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-224155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4,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349250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4, 2016, Weatherford International Ltd., a Bermuda exempted company (“Weatherford Bermuda”), as borrower, and Weatherford International plc, an Irish public limited company (“Weatherford Ireland”), as guarantor, entered into (1) an Amended and Restated Credit Agreement (“A&amp;R Credit Agreement”) among Weatherford Bermuda, Weatherford Ireland, certain subsidiaries of Weatherford Ireland, the lenders party thereto, and JPMorgan Chase Bank, N.A., as administrative agent, lender and swingline lender, in the amount of $1.38 billion and (2) a Term Loan Agreement (“Term Loan Agreement” and together with the A&amp;R Credit Agreement, “New Credit Agreements”) among Weatherford Bermuda, Weatherford Ireland, the lenders party thereto and JPMorgan Chase Bank, N.A., as administrative agent and lender, in the amount of $500 million. The A&amp;R Credit Agreement was entered into pursuant to an Amendment and Restatement Agreement, dated as of May 4, 2016 (the “A&amp;R Agreement”), by and among Weatherford Ireland, Weatherford Bermuda, Weatherford International, LLC, the lenders party thereto and JPMorgan Chase Bank, N.A., as administrative agent. The A&amp;R Agreement contained various conditions precedent to the effectiveness of the A&amp;R Credit Agreement prior to the initial borrowing under the New Credit Agreements. These conditions were satisfied on May 9,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lenders that agreed to extend their revolving commitments (such lenders, representing $1.15 billion, the “extending lenders”), the A&amp;R Credit Agreement matures on July 12, 2019, subject to an earlier maturity of November 28, 2018 if, under certain circumstances, Weatherford Bermuda has not voluntarily redeemed, repurchased, refinanced or otherwise retired at least $500 million of its 2019 senior notes prior to November 28, 2018. For lenders that have not agreed to extend their revolving commitments (such lenders, representing $229 million, the “non-extending lenders”), the A&amp;R Credit Agreement matures on July 13, 2017. The Term Loan Agreement matures on July 13,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under the New Credit Agreements are subject to varying rates of interest based on whether the loan is a Eurodollar loan or an alternate base rate loan.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Eurodollar Loans</w:t>
      </w:r>
      <w:r>
        <w:rPr>
          <w:rFonts w:ascii="Arial" w:cs="Arial" w:eastAsia="Arial" w:hAnsi="Arial"/>
          <w:sz w:val="18"/>
          <w:szCs w:val="18"/>
          <w:color w:val="auto"/>
        </w:rPr>
        <w:t>. Eurodollar loans bear interest at the Eurodollar rate, which is LIBOR, plus the applicable margin. The applicable margin for</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loans under the A&amp;R Credit Agreement depends on whether the lender is an extending lender or a non-extending lender. For non-extending lenders, the applicable margin under the A&amp;R Credit Agreement ranges from 0.75% to 1.925% depending on the credit rating of Weatherford Bermuda, and for extending lenders under the A&amp;R Credit Agreement the applicable margin ranges from 1.925% to 3.7% depending on the Specified Senior Leverage Ratio (as described below). The applicable margin for Eurodollar loans under the Term Loan Agreement ranges from 1.425% to 3.2% depending on the Specified Senior Leverage Ratio.</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Alternate Base Rate Loans</w:t>
      </w:r>
      <w:r>
        <w:rPr>
          <w:rFonts w:ascii="Arial" w:cs="Arial" w:eastAsia="Arial" w:hAnsi="Arial"/>
          <w:sz w:val="18"/>
          <w:szCs w:val="18"/>
          <w:color w:val="auto"/>
        </w:rPr>
        <w:t>. Alternate base rate loans bear interest at the alternate base rate plus the applicable margin. The applicable margin for</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alternate base rate loans under the A&amp;R Credit Agreement depends on whether the lender is an extending lender or a non-extending lender. For non-extending lenders, the applicable margin under the A&amp;R Credit Agreement ranges from 0.0% to 0.925% depending on the credit rating of Weatherford Bermuda, and for extending lenders the applicable margin under the A&amp;R Credit Agreement ranges from 0.925% to 2.7% depending on the Specified Senior Leverage Ratio. The applicable margin for alternate base rate loans under the Term Loan Agreement ranges from 0.425% to 2.2% depending on the Specified Senior Leverage Ratio.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Obligations under the Term Loan Agreement are secured by substantially all of Weatherford Ireland’s assets, including the equity and assets of a material portion of its subsidiaries. Accordingly, certain subsidiaries of Weatherford Ireland entered into pledge and security agreements including a U.S. Pledge and Security Agreement (“U.S. Pledge and Security Agreement”), dated as of May 9, 2016, by and among the subsidiary parties thereto and JPMorgan Chase Bank, N.A., as administrative agent of the Term Loan Agreement, pursuant to which certain U.S. subsidiaries granted to JPMorgan Chase Bank, N.A., on behalf of the lenders, a security interest in substantially all of their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obligations under the New Credit Agreements are guaranteed by Weatherford Ireland and a material portion of its subsidiaries pursuant to (i) a Guaranty Agreement (“A&amp;R Guaranty”), dated as of May 9, 2016, by Weatherford Ireland and</w:t>
      </w:r>
    </w:p>
    <w:p>
      <w:pPr>
        <w:sectPr>
          <w:pgSz w:w="11900" w:h="16838" w:orient="portrait"/>
          <w:cols w:equalWidth="0" w:num="1">
            <w:col w:w="11420"/>
          </w:cols>
          <w:pgMar w:left="240" w:top="742" w:right="239" w:bottom="1440" w:gutter="0" w:footer="0" w:header="0"/>
        </w:sectPr>
      </w:pPr>
    </w:p>
    <w:bookmarkStart w:id="2" w:name="page3"/>
    <w:bookmarkEnd w:id="2"/>
    <w:p>
      <w:pPr>
        <w:jc w:val="both"/>
        <w:spacing w:after="0" w:line="312" w:lineRule="auto"/>
        <w:rPr>
          <w:sz w:val="20"/>
          <w:szCs w:val="20"/>
          <w:color w:val="auto"/>
        </w:rPr>
      </w:pPr>
      <w:r>
        <w:rPr>
          <w:rFonts w:ascii="Arial" w:cs="Arial" w:eastAsia="Arial" w:hAnsi="Arial"/>
          <w:sz w:val="16"/>
          <w:szCs w:val="16"/>
          <w:color w:val="auto"/>
        </w:rPr>
        <w:t>certain subsidiary parties thereto, as guarantors, in favor of JPMorgan Chase Bank, N.A., as administrative agent of the A&amp;R Credit Agreement and (ii) a Guaranty Agreement (“Term Loan Guaranty” and, together with the A&amp;R Guaranty, the “Guarantees”), dated as of May 9, 2016, by Weatherford Ireland and certain subsidiary parties thereto, as guarantors, in favor of JPMorgan Chase Bank, N.A., as administrative agent of the Term Loan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New Credit Agreements contain customary representations and warranties and contain covenants including, among others, the following:</w:t>
      </w:r>
    </w:p>
    <w:p>
      <w:pPr>
        <w:spacing w:after="0" w:line="23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restriction on creating liens on assets (including the assets of our operating subsidiaries), subject to permitted exceptions;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Specified Senior Leverage Ratio (Specified Senior Indebtedness to Specified Consolidated Adjusted EBITDA) of no greater than 3 to 1 beginning June 30, 2016 through December 31, 2016 and 2.5 to 1 thereafter until the maturity date.</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Specified Leverage and LC Ratio (Specified Senior Indebtedness and all Specified Letters of Credit to Specified Consolidated Adjusted EBITDA) of no greater than 4 to 1 on or before December 31, 2016 and 3.5 to 1 thereafter.</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Specified Asset Coverage Ratio (Total Specified Asset Value to Specified Senior Indebtedness) of at least 4 to 1 beginning June 30, 2016.</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provision limiting derivative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New Credit Agreements contain customary events of default that include, among other things, the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If an event of default occurs and is continuing, all amounts outstanding under the New Credit Agreements may become immediately due and payable.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descriptions of the A&amp;R Agreement, the A&amp;R Credit Agreement, the Term Loan Agreement, the U.S. Pledge and Security Agreement, the A&amp;R Guaranty and the Term Loan Guaranty are summaries only and are qualified in their entirety by reference to the A&amp;R Agreement, the A&amp;R Credit Agreement, the Term Loan Agreement, the U.S. Pledge and Security Agreement, the A&amp;R Guaranty and the Term Loan Guaranty, copies of which are attached as Exhibit 10.1, Exhibit 10.2, Exhibit 10.3, Exhibit 10.4, Exhibit 10.5 and Exhibit 10.6, respectively, to this Current Report on Form 8-K and are incorporated herein by reference.</w:t>
      </w:r>
    </w:p>
    <w:p>
      <w:pPr>
        <w:sectPr>
          <w:pgSz w:w="11900" w:h="16838" w:orient="portrait"/>
          <w:cols w:equalWidth="0" w:num="1">
            <w:col w:w="11420"/>
          </w:cols>
          <w:pgMar w:left="240" w:top="584" w:right="239" w:bottom="1440" w:gutter="0" w:footer="0" w:header="0"/>
        </w:sectPr>
      </w:pPr>
    </w:p>
    <w:bookmarkStart w:id="3" w:name="page4"/>
    <w:bookmarkEnd w:id="3"/>
    <w:p>
      <w:pPr>
        <w:ind w:left="1340" w:right="2360" w:hanging="1296"/>
        <w:spacing w:after="0" w:line="282" w:lineRule="auto"/>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and contained in Item 1.01 above in this Form 8-K is incorporated by reference.</w:t>
      </w:r>
    </w:p>
    <w:p>
      <w:pPr>
        <w:spacing w:after="0" w:line="383"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380" w:hanging="856"/>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Amendment and Restatement Agreement, dated as of May 4, 2016, by and among Weatherford International plc, Weatherford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International Ltd., Weatherford International, LLC, the 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Amended and Restated Credit Agreement, effective as of May 9, 2016, by and among Weatherford International Ltd., Weatherford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International plc, the other Borrowers party thereto, the 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Term Loan Agreement, dated as of May 4, 2016, by and among Weatherford International Ltd., Weatherford International plc, the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U.S. Pledge and Security Agreement, dated as of May 9, 2016, by and among the Subsidiary parties thereto and JPMorgan Chase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Bank, N.A., as administrative agent of the Term Loan Agreement, dated May 4, 2016.</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Guaranty Agreement, dated as of May 9, 2016, by Weatherford International plc and certain Subsidiary parties thereto, as guarantors,</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in favor of JPMorgan Chase Bank, N.A., as administrative agent of the Amended and Restated Credit Agreement, effective as of May</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9, 2016.</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Guaranty Agreement, dated as of May 9, 2016, by Weatherford International plc and certain Subsidiary parties thereto, as guarantors,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in favor of JPMorgan Chase Bank, N.A., as administrative agent of the Term Loan Agreement, dated as of May 4, 2016.</w:t>
            </w:r>
          </w:p>
        </w:tc>
      </w:tr>
    </w:tbl>
    <w:p>
      <w:pPr>
        <w:sectPr>
          <w:pgSz w:w="11900" w:h="16838" w:orient="portrait"/>
          <w:cols w:equalWidth="0" w:num="1">
            <w:col w:w="11420"/>
          </w:cols>
          <w:pgMar w:left="240" w:top="742"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9,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Amendment and Restatement Agreement, dated as of May 4, 2016, by and among Weatherford International plc, Weatherford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International Ltd., Weatherford International, LLC, the 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Amended and Restated Credit Agreement, effective as of May 9, 2016, by and among Weatherford International Ltd., Weatherford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International plc, the other Borrowers party thereto, the 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Term Loan Agreement, dated as of May 4, 2016, by and among Weatherford International Ltd., Weatherford International plc, the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lenders party thereto and JPMorgan Chase Bank, N.A., as administrative agent.</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U.S. Pledge and Security Agreement, dated as of May 9, 2016, by and among the Subsidiary parties thereto and JPMorgan Chase</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Bank, N.A., as administrative agent of the Term Loan Agreement, dated May 4, 2016.</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Guaranty Agreement, dated as of May 9, 2016, by Weatherford International plc and certain Subsidiary parties thereto, as guarantors,</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in favor of JPMorgan Chase Bank, N.A., as administrative agent of the Amended and Restated Credit Agreement, effective as of May</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9, 2016.</w:t>
            </w: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Guaranty Agreement, dated as of May 9, 2016, by Weatherford International plc and certain Subsidiary parties thereto, as guarantors,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in favor of JPMorgan Chase Bank, N.A., as administrative agent of the Term Loan Agreement, dated as of May 4, 2016.</w:t>
            </w:r>
          </w:p>
        </w:tc>
      </w:tr>
    </w:tbl>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RESTATEMENT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4, 2016</w:t>
      </w:r>
    </w:p>
    <w:p>
      <w:pPr>
        <w:spacing w:after="0" w:line="22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THIS AMENDMENT AND RESTATEMENT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May 4, 2016 by and among Weatherford International plc, an Irish public limited liability company (“</w:t>
      </w:r>
      <w:r>
        <w:rPr>
          <w:rFonts w:ascii="Arial" w:cs="Arial" w:eastAsia="Arial" w:hAnsi="Arial"/>
          <w:sz w:val="19"/>
          <w:szCs w:val="19"/>
          <w:u w:val="single" w:color="auto"/>
          <w:color w:val="auto"/>
        </w:rPr>
        <w:t>WIL-Ireland</w:t>
      </w:r>
      <w:r>
        <w:rPr>
          <w:rFonts w:ascii="Arial" w:cs="Arial" w:eastAsia="Arial" w:hAnsi="Arial"/>
          <w:sz w:val="19"/>
          <w:szCs w:val="19"/>
          <w:color w:val="auto"/>
        </w:rPr>
        <w:t>”), Weatherford International Ltd., a Bermuda exempted company (“</w:t>
      </w:r>
      <w:r>
        <w:rPr>
          <w:rFonts w:ascii="Arial" w:cs="Arial" w:eastAsia="Arial" w:hAnsi="Arial"/>
          <w:sz w:val="19"/>
          <w:szCs w:val="19"/>
          <w:u w:val="single" w:color="auto"/>
          <w:color w:val="auto"/>
        </w:rPr>
        <w:t>WIL-Bermuda</w:t>
      </w:r>
      <w:r>
        <w:rPr>
          <w:rFonts w:ascii="Arial" w:cs="Arial" w:eastAsia="Arial" w:hAnsi="Arial"/>
          <w:sz w:val="19"/>
          <w:szCs w:val="19"/>
          <w:color w:val="auto"/>
        </w:rPr>
        <w:t>”), as the Borrower, Weatherford International, LLC (“</w:t>
      </w:r>
      <w:r>
        <w:rPr>
          <w:rFonts w:ascii="Arial" w:cs="Arial" w:eastAsia="Arial" w:hAnsi="Arial"/>
          <w:sz w:val="19"/>
          <w:szCs w:val="19"/>
          <w:u w:val="single" w:color="auto"/>
          <w:color w:val="auto"/>
        </w:rPr>
        <w:t>WIL-Delaware</w:t>
      </w:r>
      <w:r>
        <w:rPr>
          <w:rFonts w:ascii="Arial" w:cs="Arial" w:eastAsia="Arial" w:hAnsi="Arial"/>
          <w:sz w:val="19"/>
          <w:szCs w:val="19"/>
          <w:color w:val="auto"/>
        </w:rPr>
        <w:t>”), each financial institution listed on the signature pages hereof as an Extending Lender (as defined below),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in its capacity as administrative agent for the Lenders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each of JPMorgan, Deutsche Bank AG New York Branch, The Toronto Dominion Bank, New York Branch and Wells Fargo Bank, National Association (“</w:t>
      </w:r>
      <w:r>
        <w:rPr>
          <w:rFonts w:ascii="Arial" w:cs="Arial" w:eastAsia="Arial" w:hAnsi="Arial"/>
          <w:sz w:val="19"/>
          <w:szCs w:val="19"/>
          <w:u w:val="single" w:color="auto"/>
          <w:color w:val="auto"/>
        </w:rPr>
        <w:t>Wells</w:t>
      </w:r>
      <w:r>
        <w:rPr>
          <w:rFonts w:ascii="Arial" w:cs="Arial" w:eastAsia="Arial" w:hAnsi="Arial"/>
          <w:sz w:val="19"/>
          <w:szCs w:val="19"/>
          <w:color w:val="auto"/>
        </w:rPr>
        <w:t xml:space="preserve"> </w:t>
      </w:r>
      <w:r>
        <w:rPr>
          <w:rFonts w:ascii="Arial" w:cs="Arial" w:eastAsia="Arial" w:hAnsi="Arial"/>
          <w:sz w:val="19"/>
          <w:szCs w:val="19"/>
          <w:u w:val="single" w:color="auto"/>
          <w:color w:val="auto"/>
        </w:rPr>
        <w:t>Fargo</w:t>
      </w:r>
      <w:r>
        <w:rPr>
          <w:rFonts w:ascii="Arial" w:cs="Arial" w:eastAsia="Arial" w:hAnsi="Arial"/>
          <w:sz w:val="19"/>
          <w:szCs w:val="19"/>
          <w:color w:val="auto"/>
        </w:rPr>
        <w:t>”), as Issuing Banks (collectively, the “</w:t>
      </w:r>
      <w:r>
        <w:rPr>
          <w:rFonts w:ascii="Arial" w:cs="Arial" w:eastAsia="Arial" w:hAnsi="Arial"/>
          <w:sz w:val="19"/>
          <w:szCs w:val="19"/>
          <w:u w:val="single" w:color="auto"/>
          <w:color w:val="auto"/>
        </w:rPr>
        <w:t>Extending Issuing Banks</w:t>
      </w:r>
      <w:r>
        <w:rPr>
          <w:rFonts w:ascii="Arial" w:cs="Arial" w:eastAsia="Arial" w:hAnsi="Arial"/>
          <w:sz w:val="19"/>
          <w:szCs w:val="19"/>
          <w:color w:val="auto"/>
        </w:rPr>
        <w:t>”) and each of JPMorgan and Wells Fargo as Swingline Lenders (collectively, the “</w:t>
      </w:r>
      <w:r>
        <w:rPr>
          <w:rFonts w:ascii="Arial" w:cs="Arial" w:eastAsia="Arial" w:hAnsi="Arial"/>
          <w:sz w:val="19"/>
          <w:szCs w:val="19"/>
          <w:u w:val="single" w:color="auto"/>
          <w:color w:val="auto"/>
        </w:rPr>
        <w:t>Existing Swingline Lenders</w:t>
      </w:r>
      <w:r>
        <w:rPr>
          <w:rFonts w:ascii="Arial" w:cs="Arial" w:eastAsia="Arial" w:hAnsi="Arial"/>
          <w:sz w:val="19"/>
          <w:szCs w:val="19"/>
          <w:color w:val="auto"/>
        </w:rPr>
        <w:t>”) under the Existing Revolving Credit Agreement (as defined below).</w:t>
      </w:r>
    </w:p>
    <w:p>
      <w:pPr>
        <w:spacing w:after="0" w:line="15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WHEREAS, WIL-Bermuda, WIL-Ireland, the Existing Lenders (as defined below), the Administrative Agent, certain Issuing Banks and certain Swingline Lenders are parties to that certain Credit Agreement dated as of October 15, 2010 (as amended by that certain Amendment No. 1 to Credit Agreement, dated as of July 13, 2011, as further amended by that certain Amendment No. 2 to Credit Agreement, dated as of August 6, 2012, as further amended by that certain Amendment No. 3 to Credit Agreement, dated as of June 30, 2015, and as further amended by that certain Amendment No. 4 to Credit Agreement, dated as of February 1, 2016, the “</w:t>
      </w:r>
      <w:r>
        <w:rPr>
          <w:rFonts w:ascii="Arial" w:cs="Arial" w:eastAsia="Arial" w:hAnsi="Arial"/>
          <w:sz w:val="21"/>
          <w:szCs w:val="21"/>
          <w:u w:val="single" w:color="auto"/>
          <w:color w:val="auto"/>
        </w:rPr>
        <w:t>Existing Revolving Credit Agreement</w:t>
      </w:r>
      <w:r>
        <w:rPr>
          <w:rFonts w:ascii="Arial" w:cs="Arial" w:eastAsia="Arial" w:hAnsi="Arial"/>
          <w:sz w:val="21"/>
          <w:szCs w:val="21"/>
          <w:color w:val="auto"/>
        </w:rPr>
        <w:t>”);</w:t>
      </w:r>
    </w:p>
    <w:p>
      <w:pPr>
        <w:spacing w:after="0" w:line="18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WHEREAS, WIL-Ireland and WIL-Bermuda have invited each Existing Lender (a)to extend all or any portion of its Revolving Credit Commitment (and the Maturity Date for its Revolving Credit Loans and other Revolving Credit Exposure) under the Existing Revolving Credit Agreement (with respect to any Existing Lender, its “</w:t>
      </w:r>
      <w:r>
        <w:rPr>
          <w:rFonts w:ascii="Arial" w:cs="Arial" w:eastAsia="Arial" w:hAnsi="Arial"/>
          <w:sz w:val="19"/>
          <w:szCs w:val="19"/>
          <w:u w:val="single" w:color="auto"/>
          <w:color w:val="auto"/>
        </w:rPr>
        <w:t>Existing Revolving Credit Commitment</w:t>
      </w:r>
      <w:r>
        <w:rPr>
          <w:rFonts w:ascii="Arial" w:cs="Arial" w:eastAsia="Arial" w:hAnsi="Arial"/>
          <w:sz w:val="19"/>
          <w:szCs w:val="19"/>
          <w:color w:val="auto"/>
        </w:rPr>
        <w:t>”) and</w:t>
      </w:r>
    </w:p>
    <w:p>
      <w:pPr>
        <w:spacing w:after="0" w:line="1" w:lineRule="exact"/>
        <w:rPr>
          <w:sz w:val="20"/>
          <w:szCs w:val="20"/>
          <w:color w:val="auto"/>
        </w:rPr>
      </w:pPr>
    </w:p>
    <w:p>
      <w:pPr>
        <w:jc w:val="both"/>
        <w:ind w:firstLine="8"/>
        <w:spacing w:after="0" w:line="245" w:lineRule="auto"/>
        <w:tabs>
          <w:tab w:leader="none" w:pos="336"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provide a proportionate Term Loan Commitment (as defined below) subject to its Existing Revolving Credit Commitment being reduced by an amount that is at least equal to such Term Loan Commitment (collectively, the “</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Transactions</w:t>
      </w:r>
      <w:r>
        <w:rPr>
          <w:rFonts w:ascii="Arial" w:cs="Arial" w:eastAsia="Arial" w:hAnsi="Arial"/>
          <w:sz w:val="22"/>
          <w:szCs w:val="22"/>
          <w:color w:val="auto"/>
        </w:rPr>
        <w:t>”);</w:t>
      </w:r>
    </w:p>
    <w:p>
      <w:pPr>
        <w:spacing w:after="0" w:line="193"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WHEREAS, WIL-Bermuda desires to enter into that certain Term Loan Agreement (as defined below) evidencing a new four-year senior secured term loan facility in an aggregate principal amount of $500 million (the facility evidenced by the Term Loan Agreement and the other Term Loan Documents (as defined below), the “</w:t>
      </w:r>
      <w:r>
        <w:rPr>
          <w:rFonts w:ascii="Arial" w:cs="Arial" w:eastAsia="Arial" w:hAnsi="Arial"/>
          <w:sz w:val="21"/>
          <w:szCs w:val="21"/>
          <w:u w:val="single" w:color="auto"/>
          <w:color w:val="auto"/>
        </w:rPr>
        <w:t>Term Loan Facility</w:t>
      </w:r>
      <w:r>
        <w:rPr>
          <w:rFonts w:ascii="Arial" w:cs="Arial" w:eastAsia="Arial" w:hAnsi="Arial"/>
          <w:sz w:val="21"/>
          <w:szCs w:val="21"/>
          <w:color w:val="auto"/>
        </w:rPr>
        <w:t>”), the proceeds of which must be used to prepay outstanding Revolving Credit Loans as described herein;</w:t>
      </w:r>
    </w:p>
    <w:p>
      <w:pPr>
        <w:spacing w:after="0" w:line="17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WHEREAS, WIL-Bermuda desires to reduce the unused Commitments of each Existing Lender that elects to become a Participating Lender in an amount that is at least equal to such Extending Lender’s Term Loan Commitment;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ACTIVE 214218818v.4</w:t>
      </w:r>
    </w:p>
    <w:p>
      <w:pPr>
        <w:sectPr>
          <w:pgSz w:w="11900" w:h="16838" w:orient="portrait"/>
          <w:cols w:equalWidth="0" w:num="1">
            <w:col w:w="11420"/>
          </w:cols>
          <w:pgMar w:left="240" w:top="558" w:right="239" w:bottom="1440" w:gutter="0" w:footer="0" w:header="0"/>
        </w:sectPr>
      </w:pPr>
    </w:p>
    <w:bookmarkStart w:id="7" w:name="page8"/>
    <w:bookmarkEnd w:id="7"/>
    <w:p>
      <w:pPr>
        <w:jc w:val="both"/>
        <w:ind w:firstLine="1297"/>
        <w:spacing w:after="0" w:line="253" w:lineRule="auto"/>
        <w:rPr>
          <w:sz w:val="20"/>
          <w:szCs w:val="20"/>
          <w:color w:val="auto"/>
        </w:rPr>
      </w:pPr>
      <w:r>
        <w:rPr>
          <w:rFonts w:ascii="Arial" w:cs="Arial" w:eastAsia="Arial" w:hAnsi="Arial"/>
          <w:sz w:val="22"/>
          <w:szCs w:val="22"/>
          <w:color w:val="auto"/>
        </w:rPr>
        <w:t>WHEREAS, the parties hereto have agreed to amend and restate (i) the Existing Revolving Credit Agreement (including all Exhibits and Schedules thereto) in the form of the Amended Revolving Credit Agreement (as defined below) and (ii) certain other Loan Documents;</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NOW, THEREFORE, in consideration of the premises set forth above, the terms and conditions contained herein, and other good and valuable consideration, the receipt and sufficiency of which are hereby acknowledged, the parties hereto have agreed to enter into this Agreement.</w:t>
      </w:r>
    </w:p>
    <w:p>
      <w:pPr>
        <w:spacing w:after="0" w:line="186" w:lineRule="exact"/>
        <w:rPr>
          <w:sz w:val="20"/>
          <w:szCs w:val="20"/>
          <w:color w:val="auto"/>
        </w:rPr>
      </w:pPr>
    </w:p>
    <w:p>
      <w:pPr>
        <w:ind w:left="2120" w:hanging="815"/>
        <w:spacing w:after="0"/>
        <w:tabs>
          <w:tab w:leader="none" w:pos="212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w:t>
      </w:r>
    </w:p>
    <w:p>
      <w:pPr>
        <w:spacing w:after="0" w:line="260" w:lineRule="exact"/>
        <w:rPr>
          <w:sz w:val="20"/>
          <w:szCs w:val="20"/>
          <w:color w:val="auto"/>
        </w:rPr>
      </w:pPr>
    </w:p>
    <w:p>
      <w:pPr>
        <w:ind w:right="20" w:firstLine="1305"/>
        <w:spacing w:after="0" w:line="263" w:lineRule="auto"/>
        <w:tabs>
          <w:tab w:leader="none" w:pos="2185" w:val="left"/>
        </w:tabs>
        <w:numPr>
          <w:ilvl w:val="0"/>
          <w:numId w:val="6"/>
        </w:numPr>
        <w:rPr>
          <w:rFonts w:ascii="Arial" w:cs="Arial" w:eastAsia="Arial" w:hAnsi="Arial"/>
          <w:sz w:val="22"/>
          <w:szCs w:val="22"/>
          <w:color w:val="auto"/>
        </w:rPr>
      </w:pPr>
      <w:r>
        <w:rPr>
          <w:rFonts w:ascii="Arial" w:cs="Arial" w:eastAsia="Arial" w:hAnsi="Arial"/>
          <w:sz w:val="22"/>
          <w:szCs w:val="22"/>
          <w:color w:val="auto"/>
        </w:rPr>
        <w:t>Capitalized terms used but not defined herein shall have the meanings assigned to such terms in the Existing Credit Agreement.</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used in this Agreement:</w:t>
      </w:r>
    </w:p>
    <w:p>
      <w:pPr>
        <w:spacing w:after="0" w:line="26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w:t>
      </w:r>
      <w:r>
        <w:rPr>
          <w:rFonts w:ascii="Arial" w:cs="Arial" w:eastAsia="Arial" w:hAnsi="Arial"/>
          <w:sz w:val="22"/>
          <w:szCs w:val="22"/>
          <w:color w:val="auto"/>
        </w:rPr>
        <w:t>” shall mean any Lender party to the Existing Revolving Credit Agreement immediately prior to the effectiveness of the Amended Revolving Credit Agreement.</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Required Lenders</w:t>
      </w:r>
      <w:r>
        <w:rPr>
          <w:rFonts w:ascii="Arial" w:cs="Arial" w:eastAsia="Arial" w:hAnsi="Arial"/>
          <w:sz w:val="22"/>
          <w:szCs w:val="22"/>
          <w:color w:val="auto"/>
        </w:rPr>
        <w:t>” means the “Required Lenders” under and as defined in the Existing Revolving Credit Agreement, as determined immediately prior to the effectiveness of this Agreement.</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shall mean any Existing Lender with respect to and to the extent of its “Extended Commitment” (under and as defined in the Amended Revolving Credit Agreement).</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w:t>
      </w:r>
      <w:r>
        <w:rPr>
          <w:rFonts w:ascii="Arial" w:cs="Arial" w:eastAsia="Arial" w:hAnsi="Arial"/>
          <w:sz w:val="22"/>
          <w:szCs w:val="22"/>
          <w:color w:val="auto"/>
        </w:rPr>
        <w:t>” shall mean any Existing Lender with respect to and to the extent of its “Non-Extended Commitment” (under and as defined in the Amended Revolving Credit Agreement).</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Lender</w:t>
      </w:r>
      <w:r>
        <w:rPr>
          <w:rFonts w:ascii="Arial" w:cs="Arial" w:eastAsia="Arial" w:hAnsi="Arial"/>
          <w:sz w:val="22"/>
          <w:szCs w:val="22"/>
          <w:color w:val="auto"/>
        </w:rPr>
        <w:t>” shall mean any Existing Lender that has agreed to participate in the Extending Lender Transactions described in Section 2(a) of this Agreement with respect to all or any portion of its Existing Revolving Credit Commitment.</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Agreement</w:t>
      </w:r>
      <w:r>
        <w:rPr>
          <w:rFonts w:ascii="Arial" w:cs="Arial" w:eastAsia="Arial" w:hAnsi="Arial"/>
          <w:sz w:val="22"/>
          <w:szCs w:val="22"/>
          <w:color w:val="auto"/>
        </w:rPr>
        <w:t>” means that certain Term Loan Agreement dated as of the Signing Date by and among, WIL-Bermuda, as the borrower thereunder, WIL-Ireland, the lenders from time to time party thereto and JPMorgan Chase Bank, N.A., as the administrative agent thereunder.</w:t>
      </w:r>
    </w:p>
    <w:p>
      <w:pPr>
        <w:spacing w:after="0" w:line="186"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means, with respect to any “Lender” under and as defined in the Term Loan Agreement, such Lender’s “Commitment” under and as defined in the Term Loan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8" w:name="page9"/>
    <w:bookmarkEnd w:id="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Documents</w:t>
      </w:r>
      <w:r>
        <w:rPr>
          <w:rFonts w:ascii="Arial" w:cs="Arial" w:eastAsia="Arial" w:hAnsi="Arial"/>
          <w:sz w:val="22"/>
          <w:szCs w:val="22"/>
          <w:color w:val="auto"/>
        </w:rPr>
        <w:t>” the “Loan Documents” under and as defined in the Term Loan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means the “Loans” under and as defined in the Term Loan Agreement.</w:t>
      </w:r>
    </w:p>
    <w:p>
      <w:pPr>
        <w:spacing w:after="0" w:line="220" w:lineRule="exact"/>
        <w:rPr>
          <w:sz w:val="20"/>
          <w:szCs w:val="20"/>
          <w:color w:val="auto"/>
        </w:rPr>
      </w:pPr>
    </w:p>
    <w:p>
      <w:pPr>
        <w:ind w:left="2120" w:hanging="815"/>
        <w:spacing w:after="0"/>
        <w:tabs>
          <w:tab w:leader="none" w:pos="212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Election of Extending Lenders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63" w:lineRule="auto"/>
        <w:tabs>
          <w:tab w:leader="none" w:pos="2185" w:val="left"/>
        </w:tabs>
        <w:numPr>
          <w:ilvl w:val="1"/>
          <w:numId w:val="8"/>
        </w:numPr>
        <w:rPr>
          <w:rFonts w:ascii="Arial" w:cs="Arial" w:eastAsia="Arial" w:hAnsi="Arial"/>
          <w:sz w:val="22"/>
          <w:szCs w:val="22"/>
          <w:color w:val="auto"/>
        </w:rPr>
      </w:pPr>
      <w:r>
        <w:rPr>
          <w:rFonts w:ascii="Arial" w:cs="Arial" w:eastAsia="Arial" w:hAnsi="Arial"/>
          <w:sz w:val="22"/>
          <w:szCs w:val="22"/>
          <w:color w:val="auto"/>
        </w:rPr>
        <w:t>By its execution below, each Lender identified as an Extending Lender on its signature page hereto hereby acknowledges and agrees that:</w:t>
      </w:r>
    </w:p>
    <w:p>
      <w:pPr>
        <w:spacing w:after="0" w:line="215"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such Lender has made an election to be, and shall upon the effectiveness of the Amended Revolving Credit Agreement on the Amendment Effective Date become, an “Extending Lender” under and as defined in the Amended Revolving Credit Agreement, with all the rights and obligations of an Extending Lender thereunder, with respect to and to the extent of its “Extended Commitment” (under and as defined in the Amended Revolving Credit Agreement); and</w:t>
      </w:r>
    </w:p>
    <w:p>
      <w:pPr>
        <w:spacing w:after="0" w:line="192"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color w:val="auto"/>
        </w:rPr>
        <w:t>such Lender has made an election to be, and shall upon the effectiveness of the Term Loan Agreement on the Amendment Effective Date become, a “Lender” under and as defined in the Term Loan Agreement, with all the rights and obligations of a “Lender” thereunder, with respect to and to the extent of its Term Loan Commitment.</w:t>
      </w:r>
    </w:p>
    <w:p>
      <w:pPr>
        <w:spacing w:after="0" w:line="133" w:lineRule="exact"/>
        <w:rPr>
          <w:rFonts w:ascii="Arial" w:cs="Arial" w:eastAsia="Arial" w:hAnsi="Arial"/>
          <w:sz w:val="19"/>
          <w:szCs w:val="19"/>
          <w:color w:val="auto"/>
        </w:rPr>
      </w:pPr>
    </w:p>
    <w:p>
      <w:pPr>
        <w:jc w:val="both"/>
        <w:ind w:left="660" w:firstLine="645"/>
        <w:spacing w:after="0" w:line="302" w:lineRule="auto"/>
        <w:tabs>
          <w:tab w:leader="none" w:pos="2209" w:val="left"/>
        </w:tabs>
        <w:numPr>
          <w:ilvl w:val="1"/>
          <w:numId w:val="9"/>
        </w:numPr>
        <w:rPr>
          <w:rFonts w:ascii="Arial" w:cs="Arial" w:eastAsia="Arial" w:hAnsi="Arial"/>
          <w:sz w:val="19"/>
          <w:szCs w:val="19"/>
          <w:color w:val="auto"/>
        </w:rPr>
      </w:pPr>
      <w:r>
        <w:rPr>
          <w:rFonts w:ascii="Arial" w:cs="Arial" w:eastAsia="Arial" w:hAnsi="Arial"/>
          <w:sz w:val="19"/>
          <w:szCs w:val="19"/>
          <w:color w:val="auto"/>
        </w:rPr>
        <w:t>each Non-Extending Lender shall, upon the effectiveness of the Amended Revolving Credit Agreement on the Amendment Effective Date, be a “Non-Extending Lender” under and as defined in the Amended Revolving Credit Agreement, with all the rights and obligations of a Non-Extending Lender thereunder, with respect to and to the extent of its “Non-Extended Commitment” (under and as defined in the Amended Revolving Credit Agreement).</w:t>
      </w:r>
    </w:p>
    <w:p>
      <w:pPr>
        <w:spacing w:after="0" w:line="183" w:lineRule="exact"/>
        <w:rPr>
          <w:rFonts w:ascii="Arial" w:cs="Arial" w:eastAsia="Arial" w:hAnsi="Arial"/>
          <w:sz w:val="19"/>
          <w:szCs w:val="19"/>
          <w:color w:val="auto"/>
        </w:rPr>
      </w:pPr>
    </w:p>
    <w:p>
      <w:pPr>
        <w:jc w:val="both"/>
        <w:ind w:firstLine="1305"/>
        <w:spacing w:after="0" w:line="250" w:lineRule="auto"/>
        <w:tabs>
          <w:tab w:leader="none" w:pos="2185"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reflects each Existing Lender’s “Extended Commitment” (under and as defined in the Amended Revolving Credit Agreement), “Non-Extended Commitment” (under and as defined in the Amended Revolving Credit Agreement) and Term Loan Commitment, in each case, on the Amendment Effective Date after giving effect to the Specified Prepayment (as defined below) and Commitment Reduction (as defined below).</w:t>
      </w:r>
    </w:p>
    <w:p>
      <w:pPr>
        <w:spacing w:after="0" w:line="229" w:lineRule="exact"/>
        <w:rPr>
          <w:sz w:val="20"/>
          <w:szCs w:val="20"/>
          <w:color w:val="auto"/>
        </w:rPr>
      </w:pPr>
    </w:p>
    <w:p>
      <w:pPr>
        <w:jc w:val="both"/>
        <w:ind w:firstLine="1305"/>
        <w:spacing w:after="0" w:line="263" w:lineRule="auto"/>
        <w:tabs>
          <w:tab w:leader="none" w:pos="2107"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Consent to Term Loan Facility</w:t>
      </w:r>
      <w:r>
        <w:rPr>
          <w:rFonts w:ascii="Arial" w:cs="Arial" w:eastAsia="Arial" w:hAnsi="Arial"/>
          <w:sz w:val="21"/>
          <w:szCs w:val="21"/>
          <w:color w:val="auto"/>
        </w:rPr>
        <w:t>. On the Amendment Effective Date, but immediately prior to the effectiveness of the Amended Revolving Credit Agreement, notwithstanding anything to the contrary in the Existing Revolving Credit Agreement (including, without limitation, Section 8.03 thereof), the Existing Required Lenders hereby consent to the Term Loan Facility, including the execution and delivery of the Term Loan Agreement and the other Term Loan Documents by the “Obligors” thereunder (with each term in quotations as defined in the Term Loan Agreement).</w:t>
      </w:r>
    </w:p>
    <w:p>
      <w:pPr>
        <w:spacing w:after="0" w:line="216" w:lineRule="exact"/>
        <w:rPr>
          <w:rFonts w:ascii="Arial" w:cs="Arial" w:eastAsia="Arial" w:hAnsi="Arial"/>
          <w:sz w:val="21"/>
          <w:szCs w:val="21"/>
          <w:color w:val="auto"/>
        </w:rPr>
      </w:pPr>
    </w:p>
    <w:p>
      <w:pPr>
        <w:ind w:left="2120" w:hanging="815"/>
        <w:spacing w:after="0"/>
        <w:tabs>
          <w:tab w:leader="none" w:pos="212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Repayment of Loans; Reduction of Existing Revolving Credit Commitments of Participating Lenders</w:t>
      </w:r>
      <w:r>
        <w:rPr>
          <w:rFonts w:ascii="Arial" w:cs="Arial" w:eastAsia="Arial" w:hAnsi="Arial"/>
          <w:sz w:val="19"/>
          <w:szCs w:val="19"/>
          <w:color w:val="auto"/>
        </w:rPr>
        <w:t>.</w:t>
      </w:r>
    </w:p>
    <w:p>
      <w:pPr>
        <w:spacing w:after="0" w:line="295" w:lineRule="exact"/>
        <w:rPr>
          <w:sz w:val="20"/>
          <w:szCs w:val="20"/>
          <w:color w:val="auto"/>
        </w:rPr>
      </w:pPr>
    </w:p>
    <w:p>
      <w:pPr>
        <w:ind w:left="2200" w:hanging="895"/>
        <w:spacing w:after="0"/>
        <w:tabs>
          <w:tab w:leader="none" w:pos="220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Repayment of Revolving Loans</w:t>
      </w:r>
      <w:r>
        <w:rPr>
          <w:rFonts w:ascii="Arial" w:cs="Arial" w:eastAsia="Arial" w:hAnsi="Arial"/>
          <w:sz w:val="22"/>
          <w:szCs w:val="22"/>
          <w:color w:val="auto"/>
        </w:rPr>
        <w:t>. Immediately upon receipt of the proceeds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22"/>
          <w:szCs w:val="22"/>
          <w:color w:val="auto"/>
        </w:rPr>
        <w:t>of the Term Loans under the Term Loan Agreement, WIL-Bermuda shall prepay the Revolving Credit Loans of the Existing Lenders ratably in accordance with Section 2.08(a) and (b) of the Existing Revolving Credit Agreement (such prepayment, the “</w:t>
      </w:r>
      <w:r>
        <w:rPr>
          <w:rFonts w:ascii="Arial" w:cs="Arial" w:eastAsia="Arial" w:hAnsi="Arial"/>
          <w:sz w:val="22"/>
          <w:szCs w:val="22"/>
          <w:u w:val="single" w:color="auto"/>
          <w:color w:val="auto"/>
        </w:rPr>
        <w:t>Specified Prepayment</w:t>
      </w:r>
      <w:r>
        <w:rPr>
          <w:rFonts w:ascii="Arial" w:cs="Arial" w:eastAsia="Arial" w:hAnsi="Arial"/>
          <w:sz w:val="22"/>
          <w:szCs w:val="22"/>
          <w:color w:val="auto"/>
        </w:rPr>
        <w:t>”). The Existing Required Lenders hereby waive any requirement of prior notice of such Specified Prepayment.</w:t>
      </w:r>
    </w:p>
    <w:p>
      <w:pPr>
        <w:spacing w:after="0" w:line="229" w:lineRule="exact"/>
        <w:rPr>
          <w:sz w:val="20"/>
          <w:szCs w:val="20"/>
          <w:color w:val="auto"/>
        </w:rPr>
      </w:pPr>
    </w:p>
    <w:p>
      <w:pPr>
        <w:jc w:val="both"/>
        <w:ind w:firstLine="1305"/>
        <w:spacing w:after="0" w:line="259" w:lineRule="auto"/>
        <w:tabs>
          <w:tab w:leader="none" w:pos="2197"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Commitment Reduction</w:t>
      </w:r>
      <w:r>
        <w:rPr>
          <w:rFonts w:ascii="Arial" w:cs="Arial" w:eastAsia="Arial" w:hAnsi="Arial"/>
          <w:sz w:val="21"/>
          <w:szCs w:val="21"/>
          <w:color w:val="auto"/>
        </w:rPr>
        <w:t xml:space="preserve">. Immediately following the Specified Prepayment on the Amendment Effective Date, notwithstanding anything to the contrary in Section 2.06(c) of the Existing Revolving Credit Agreement, the unused Commitment of each Participating Lender shall be reduced by the amount necessary to reflect the “Extended Commitment” (under and as defined in the Amended Revolving Credit Agreement) of such Participating Lender as set forth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hereto, which amount shall be no less than such Participating Lender’s Term Loan Commitment (all such reductions being referred to collectively as the “</w:t>
      </w:r>
      <w:r>
        <w:rPr>
          <w:rFonts w:ascii="Arial" w:cs="Arial" w:eastAsia="Arial" w:hAnsi="Arial"/>
          <w:sz w:val="21"/>
          <w:szCs w:val="21"/>
          <w:u w:val="single" w:color="auto"/>
          <w:color w:val="auto"/>
        </w:rPr>
        <w:t>Commitment Reduction</w:t>
      </w:r>
      <w:r>
        <w:rPr>
          <w:rFonts w:ascii="Arial" w:cs="Arial" w:eastAsia="Arial" w:hAnsi="Arial"/>
          <w:sz w:val="21"/>
          <w:szCs w:val="21"/>
          <w:color w:val="auto"/>
        </w:rPr>
        <w:t>”). The Existing Required Lenders hereby waive any requirement of prior notice of any such Commitment Reduction or any requirement that such Commitment Reduction be made ratably among the Existing Lenders or the Extending Lenders, as the case may be.</w:t>
      </w:r>
    </w:p>
    <w:p>
      <w:pPr>
        <w:spacing w:after="0" w:line="224" w:lineRule="exact"/>
        <w:rPr>
          <w:rFonts w:ascii="Arial" w:cs="Arial" w:eastAsia="Arial" w:hAnsi="Arial"/>
          <w:sz w:val="21"/>
          <w:szCs w:val="21"/>
          <w:color w:val="auto"/>
        </w:rPr>
      </w:pPr>
    </w:p>
    <w:p>
      <w:pPr>
        <w:jc w:val="both"/>
        <w:ind w:firstLine="1305"/>
        <w:spacing w:after="0" w:line="253" w:lineRule="auto"/>
        <w:tabs>
          <w:tab w:leader="none" w:pos="2185"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For the avoidance of doubt, the Borrowers shall indemnify all applicable Lenders for breakage costs incurred in connection with the Specified Prepayment and the Commitment Reduction in accordance with Section 2.13 of the Existing Credit Agreement.</w:t>
      </w:r>
    </w:p>
    <w:p>
      <w:pPr>
        <w:spacing w:after="0" w:line="226" w:lineRule="exact"/>
        <w:rPr>
          <w:sz w:val="20"/>
          <w:szCs w:val="20"/>
          <w:color w:val="auto"/>
        </w:rPr>
      </w:pPr>
    </w:p>
    <w:p>
      <w:pPr>
        <w:ind w:firstLine="1305"/>
        <w:spacing w:after="0" w:line="263" w:lineRule="auto"/>
        <w:tabs>
          <w:tab w:leader="none" w:pos="2107"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Amendment and Restatement of the Existing Revolving Credit Agreement and Amendment of Certain Existing Loan Documents; Reaffirmation; Borrowings and Reallocations.</w:t>
      </w:r>
    </w:p>
    <w:p>
      <w:pPr>
        <w:spacing w:after="0" w:line="215" w:lineRule="exact"/>
        <w:rPr>
          <w:sz w:val="20"/>
          <w:szCs w:val="20"/>
          <w:color w:val="auto"/>
        </w:rPr>
      </w:pPr>
    </w:p>
    <w:p>
      <w:pPr>
        <w:jc w:val="both"/>
        <w:ind w:firstLine="1305"/>
        <w:spacing w:after="0" w:line="253" w:lineRule="auto"/>
        <w:tabs>
          <w:tab w:leader="none" w:pos="2185"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Effective on the Amendment Effective Date, the Existing Revolving Credit Agreement (including the Exhibits and Schedules thereto) is hereby amended and restated in its entirety to read as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Amended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Credit Agreement</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14"/>
        </w:numPr>
        <w:rPr>
          <w:rFonts w:ascii="Arial" w:cs="Arial" w:eastAsia="Arial" w:hAnsi="Arial"/>
          <w:sz w:val="22"/>
          <w:szCs w:val="22"/>
          <w:color w:val="auto"/>
        </w:rPr>
      </w:pPr>
      <w:r>
        <w:rPr>
          <w:rFonts w:ascii="Arial" w:cs="Arial" w:eastAsia="Arial" w:hAnsi="Arial"/>
          <w:sz w:val="22"/>
          <w:szCs w:val="22"/>
          <w:color w:val="auto"/>
        </w:rPr>
        <w:t>Effective on May 4, 2016, Weatherford Liquidity Management Hungary Limited Liability Company, a Hungarian limited liability company, and Weatherford Capital Management Services Limited Liability Company, a Hungarian limited liability company, have been removed as Borrowers under the Existing Credit Agreement in accordance with Section 11.01(d) of the Existing Credit Agreement.</w:t>
      </w:r>
    </w:p>
    <w:p>
      <w:pPr>
        <w:spacing w:after="0" w:line="228" w:lineRule="exact"/>
        <w:rPr>
          <w:rFonts w:ascii="Arial" w:cs="Arial" w:eastAsia="Arial" w:hAnsi="Arial"/>
          <w:sz w:val="22"/>
          <w:szCs w:val="22"/>
          <w:color w:val="auto"/>
        </w:rPr>
      </w:pPr>
    </w:p>
    <w:p>
      <w:pPr>
        <w:ind w:firstLine="1305"/>
        <w:spacing w:after="0" w:line="343" w:lineRule="auto"/>
        <w:tabs>
          <w:tab w:leader="none" w:pos="2185" w:val="left"/>
        </w:tabs>
        <w:numPr>
          <w:ilvl w:val="0"/>
          <w:numId w:val="14"/>
        </w:numPr>
        <w:rPr>
          <w:rFonts w:ascii="Arial" w:cs="Arial" w:eastAsia="Arial" w:hAnsi="Arial"/>
          <w:sz w:val="19"/>
          <w:szCs w:val="19"/>
          <w:color w:val="auto"/>
        </w:rPr>
      </w:pPr>
      <w:r>
        <w:rPr>
          <w:rFonts w:ascii="Arial" w:cs="Arial" w:eastAsia="Arial" w:hAnsi="Arial"/>
          <w:sz w:val="19"/>
          <w:szCs w:val="19"/>
          <w:color w:val="auto"/>
        </w:rPr>
        <w:t>Effective on the Amendment Effective Date, Wells Fargo shall no longer constitute a Swingline Lender and Wells Fargo’s Swingline Sublimit shall be terminated, all as reflected in the Amended Revolving Credit Agreement.</w:t>
      </w:r>
    </w:p>
    <w:p>
      <w:pPr>
        <w:spacing w:after="0" w:line="145" w:lineRule="exact"/>
        <w:rPr>
          <w:rFonts w:ascii="Arial" w:cs="Arial" w:eastAsia="Arial" w:hAnsi="Arial"/>
          <w:sz w:val="19"/>
          <w:szCs w:val="19"/>
          <w:color w:val="auto"/>
        </w:rPr>
      </w:pPr>
    </w:p>
    <w:p>
      <w:pPr>
        <w:jc w:val="both"/>
        <w:ind w:firstLine="1305"/>
        <w:spacing w:after="0" w:line="265" w:lineRule="auto"/>
        <w:tabs>
          <w:tab w:leader="none" w:pos="2197"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Existing Required Lenders hereby confirm the Administrative Agent’s authority to enter into to such amendments to, amendments and restatements of, or other modifications to the other Loan Documents on the Amendment Effective Date that have been executed or delivered in connection with the Existing Credit Agreement (including, without limitation, each Guaranty Agreement, the “</w:t>
      </w:r>
      <w:r>
        <w:rPr>
          <w:rFonts w:ascii="Arial" w:cs="Arial" w:eastAsia="Arial" w:hAnsi="Arial"/>
          <w:sz w:val="21"/>
          <w:szCs w:val="21"/>
          <w:u w:val="single" w:color="auto"/>
          <w:color w:val="auto"/>
        </w:rPr>
        <w:t>Existing Loan Documents</w:t>
      </w:r>
      <w:r>
        <w:rPr>
          <w:rFonts w:ascii="Arial" w:cs="Arial" w:eastAsia="Arial" w:hAnsi="Arial"/>
          <w:sz w:val="21"/>
          <w:szCs w:val="21"/>
          <w:color w:val="auto"/>
        </w:rPr>
        <w:t>”) as the Administrative Agent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shall approve, in order to effect the transactions contemplated by the Amended Revolving Credit Agreement.</w:t>
      </w:r>
    </w:p>
    <w:p>
      <w:pPr>
        <w:spacing w:after="0" w:line="260" w:lineRule="exact"/>
        <w:rPr>
          <w:sz w:val="20"/>
          <w:szCs w:val="20"/>
          <w:color w:val="auto"/>
        </w:rPr>
      </w:pPr>
    </w:p>
    <w:p>
      <w:pPr>
        <w:jc w:val="both"/>
        <w:ind w:firstLine="1305"/>
        <w:spacing w:after="0" w:line="284" w:lineRule="auto"/>
        <w:tabs>
          <w:tab w:leader="none" w:pos="2185"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amendment and restatement of the Existing Revolving Credit Agreement and any Existing Loan Documents as contemplated hereby shall not be construed to discharge or otherwise affect any Obligations of the Obligors thereunder accrued or otherwise owing under the Existing Revolving Credit Agreement or Existing Loan Documents that have not been paid, it being understood that such obligations will be reevidenced as and constitute “Obligations” under and as defined in the Amended Revolving Credit Agreement and the Amended Loan Documents (as defined below) payable in accordance with the terms thereof. Without limiting the foregoing, each of WIL-Bermuda, WIL-Ireland and WIL-Delaware hereby agrees that on the Amendment Effective Date, the Existing Revolving Credit Agreement and the Existing Loan Documents shall be amended and restated in their entirety by this Agreement and the other amendments and restatements of, or other modifications to the Existing Loan Documents that have been executed or delivered (the “</w:t>
      </w:r>
      <w:r>
        <w:rPr>
          <w:rFonts w:ascii="Arial" w:cs="Arial" w:eastAsia="Arial" w:hAnsi="Arial"/>
          <w:sz w:val="19"/>
          <w:szCs w:val="19"/>
          <w:u w:val="single" w:color="auto"/>
          <w:color w:val="auto"/>
        </w:rPr>
        <w:t>Amended Loan Documents</w:t>
      </w:r>
      <w:r>
        <w:rPr>
          <w:rFonts w:ascii="Arial" w:cs="Arial" w:eastAsia="Arial" w:hAnsi="Arial"/>
          <w:sz w:val="19"/>
          <w:szCs w:val="19"/>
          <w:color w:val="auto"/>
        </w:rPr>
        <w:t>”), and the Existing Revolving Credit Agreement and such Existing Loan Documents shall thereafter be of no further force and effect, except that WIL-Ireland, WIL-Bermuda, WIL-Delaware, the Lenders and the Administrative Agent agree that (i) the incurrence by WIL-Bermuda of “Obligations” under and as defined in the Existing Revolving Credit Agreement (whether or not such “Obligations” are contingent as of the Amendment Effective Date) shall continue to exist under and be evidenced by the Amended Revolving Credit Agreement and the Amended Loan Documents, (ii) the Existing Revolving Credit Agreement and Existing Loan Documents shall continue to evidence the representations and warranties made by WIL-Bermuda, WIL-Ireland and WIL-Delaware prior to the Amendment Effective Date and (iii) the Existing Revolving Credit Agreement and the Existing Loan Documents shall continue to evidence any action or omission performed or required to be performed pursuant to the Existing Revolving Credit Agreement and the Existing Loan Documents prior to the Amendment Effective Date (including any failure, prior to the Amendment Effective Date, to comply with the covenants contained in the Existing Revolving Credit Agreement and the Existing Loan Documents). This Agreement is not in any way intended to constitute a novation of the obligations and liabilities existing under the Existing Revolving Credit Agreement and the Existing Loan Documents or evidence payment of all or any portion of such obligations and liabilities.</w:t>
      </w:r>
    </w:p>
    <w:p>
      <w:pPr>
        <w:spacing w:after="0" w:line="215" w:lineRule="exact"/>
        <w:rPr>
          <w:rFonts w:ascii="Arial" w:cs="Arial" w:eastAsia="Arial" w:hAnsi="Arial"/>
          <w:sz w:val="19"/>
          <w:szCs w:val="19"/>
          <w:color w:val="auto"/>
        </w:rPr>
      </w:pPr>
    </w:p>
    <w:p>
      <w:pPr>
        <w:jc w:val="both"/>
        <w:ind w:right="20" w:firstLine="1305"/>
        <w:spacing w:after="0" w:line="253" w:lineRule="auto"/>
        <w:tabs>
          <w:tab w:leader="none" w:pos="2161"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amendments and restatements described herein shall not cure any breach thereof or any “Default” or “Event of Default” under and as defined in the Existing Revolving Credit Agreement and the Existing Loan Documents existing prior to the Amendment Effective Date.</w:t>
      </w:r>
    </w:p>
    <w:p>
      <w:pPr>
        <w:spacing w:after="0" w:line="226"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15"/>
        </w:numPr>
        <w:rPr>
          <w:rFonts w:ascii="Arial" w:cs="Arial" w:eastAsia="Arial" w:hAnsi="Arial"/>
          <w:sz w:val="19"/>
          <w:szCs w:val="19"/>
          <w:color w:val="auto"/>
        </w:rPr>
      </w:pPr>
      <w:r>
        <w:rPr>
          <w:rFonts w:ascii="Arial" w:cs="Arial" w:eastAsia="Arial" w:hAnsi="Arial"/>
          <w:sz w:val="19"/>
          <w:szCs w:val="19"/>
          <w:color w:val="auto"/>
        </w:rPr>
        <w:t>From and after the effectiveness of the Amended Revolving Credit Agreement, the terms “Agreement”, “this Agreement”, “herein”, “hereinafter”, “hereto”, “hereof” and words of similar import, as used in the Amended Revolving Credit Agreement, shall, unless the context otherwise requires, refer to the Amended Revolving Credit Agreement, and the term “Credit Agreement”, as used in the other Existing Loan Documents, shall mean the Amended Revolving Credit Agreement.</w:t>
      </w:r>
    </w:p>
    <w:p>
      <w:pPr>
        <w:spacing w:after="0" w:line="183" w:lineRule="exact"/>
        <w:rPr>
          <w:rFonts w:ascii="Arial" w:cs="Arial" w:eastAsia="Arial" w:hAnsi="Arial"/>
          <w:sz w:val="19"/>
          <w:szCs w:val="19"/>
          <w:color w:val="auto"/>
        </w:rPr>
      </w:pPr>
    </w:p>
    <w:p>
      <w:pPr>
        <w:ind w:firstLine="1305"/>
        <w:spacing w:after="0" w:line="263" w:lineRule="auto"/>
        <w:tabs>
          <w:tab w:leader="none" w:pos="2197"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parties hereto hereby agree that Amended Revolving Credit Agreement shall be dated as of the day on which the Amendment Effective Date occurs. The Amended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11" w:name="page12"/>
    <w:bookmarkEnd w:id="11"/>
    <w:p>
      <w:pPr>
        <w:jc w:val="both"/>
        <w:ind w:firstLine="1305"/>
        <w:spacing w:after="0" w:line="271" w:lineRule="auto"/>
        <w:tabs>
          <w:tab w:leader="none" w:pos="2203" w:val="left"/>
        </w:tabs>
        <w:numPr>
          <w:ilvl w:val="0"/>
          <w:numId w:val="16"/>
        </w:numPr>
        <w:rPr>
          <w:rFonts w:ascii="Arial" w:cs="Arial" w:eastAsia="Arial" w:hAnsi="Arial"/>
          <w:sz w:val="21"/>
          <w:szCs w:val="21"/>
          <w:color w:val="auto"/>
        </w:rPr>
      </w:pPr>
      <w:r>
        <w:rPr>
          <w:rFonts w:ascii="Arial" w:cs="Arial" w:eastAsia="Arial" w:hAnsi="Arial"/>
          <w:sz w:val="21"/>
          <w:szCs w:val="21"/>
          <w:color w:val="auto"/>
        </w:rPr>
        <w:t xml:space="preserve">Revolving Credit Agreement attached hereto as </w:t>
      </w:r>
      <w:r>
        <w:rPr>
          <w:rFonts w:ascii="Arial" w:cs="Arial" w:eastAsia="Arial" w:hAnsi="Arial"/>
          <w:sz w:val="21"/>
          <w:szCs w:val="21"/>
          <w:u w:val="single" w:color="auto"/>
          <w:color w:val="auto"/>
        </w:rPr>
        <w:t>Annex II</w:t>
      </w:r>
      <w:r>
        <w:rPr>
          <w:rFonts w:ascii="Arial" w:cs="Arial" w:eastAsia="Arial" w:hAnsi="Arial"/>
          <w:sz w:val="21"/>
          <w:szCs w:val="21"/>
          <w:color w:val="auto"/>
        </w:rPr>
        <w:t xml:space="preserve"> (including any Exhibits thereto) shall be deemed to be amended on the Amendment Effective Date solely to incorporate such date in the appropriate locations (and the Administrative Agent shall be authorized to modify the Amended Revolving Credit Agreement to reflect such date).</w:t>
      </w:r>
    </w:p>
    <w:p>
      <w:pPr>
        <w:spacing w:after="0" w:line="208" w:lineRule="exact"/>
        <w:rPr>
          <w:sz w:val="20"/>
          <w:szCs w:val="20"/>
          <w:color w:val="auto"/>
        </w:rPr>
      </w:pPr>
    </w:p>
    <w:p>
      <w:pPr>
        <w:jc w:val="both"/>
        <w:ind w:firstLine="1305"/>
        <w:spacing w:after="0" w:line="260" w:lineRule="auto"/>
        <w:tabs>
          <w:tab w:leader="none" w:pos="2107"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Borrowings; Reallocation</w:t>
      </w:r>
      <w:r>
        <w:rPr>
          <w:rFonts w:ascii="Arial" w:cs="Arial" w:eastAsia="Arial" w:hAnsi="Arial"/>
          <w:sz w:val="21"/>
          <w:szCs w:val="21"/>
          <w:color w:val="auto"/>
        </w:rPr>
        <w:t>. If, after giving effect to the transactions contemplated hereby on the Amendment Effective Date, Revolving Credit Loans and Revolving Credit Exposure are not held by the Revolving Credit Lenders ratably in accordance with their Extended Commitments and Non-Extended Commitments, either (i) WIL-Bermuda shall make any necessary repayments and reborrowings of existing Revolving Credit Loans or (ii) the Administrative Agent shall otherwise administer any required assignment and reallocation of outstanding Revolving Credit Loans and Revolving Credit Exposure ratably among the Revolving Credit Lenders; provided that the Borrowers shall indemnify all applicable Lenders for breakage costs in accordance with Section 2.13 of the Amended Revolving Credit Agreement.</w:t>
      </w:r>
    </w:p>
    <w:p>
      <w:pPr>
        <w:spacing w:after="0" w:line="221" w:lineRule="exact"/>
        <w:rPr>
          <w:rFonts w:ascii="Arial" w:cs="Arial" w:eastAsia="Arial" w:hAnsi="Arial"/>
          <w:sz w:val="21"/>
          <w:szCs w:val="21"/>
          <w:color w:val="auto"/>
        </w:rPr>
      </w:pPr>
    </w:p>
    <w:p>
      <w:pPr>
        <w:jc w:val="both"/>
        <w:ind w:firstLine="1305"/>
        <w:spacing w:after="0" w:line="285" w:lineRule="auto"/>
        <w:tabs>
          <w:tab w:leader="none" w:pos="2107"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Assignment of Nordea’s Interest</w:t>
      </w:r>
      <w:r>
        <w:rPr>
          <w:rFonts w:ascii="Arial" w:cs="Arial" w:eastAsia="Arial" w:hAnsi="Arial"/>
          <w:sz w:val="19"/>
          <w:szCs w:val="19"/>
          <w:color w:val="auto"/>
        </w:rPr>
        <w:t xml:space="preserve">. On or after the Amendment Effective Date, after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w:t>
      </w:r>
      <w:r>
        <w:rPr>
          <w:rFonts w:ascii="Arial" w:cs="Arial" w:eastAsia="Arial" w:hAnsi="Arial"/>
          <w:sz w:val="19"/>
          <w:szCs w:val="19"/>
          <w:color w:val="auto"/>
        </w:rPr>
        <w:t xml:space="preserve"> above, and upon obtaining the outstanding consent required pursuant to Section 11.05(b)(i)(C) of the Amended Revolving Credit Agreement, Nordea Bank Norge ASA (“</w:t>
      </w:r>
      <w:r>
        <w:rPr>
          <w:rFonts w:ascii="Arial" w:cs="Arial" w:eastAsia="Arial" w:hAnsi="Arial"/>
          <w:sz w:val="19"/>
          <w:szCs w:val="19"/>
          <w:u w:val="single" w:color="auto"/>
          <w:color w:val="auto"/>
        </w:rPr>
        <w:t>Assignor</w:t>
      </w:r>
      <w:r>
        <w:rPr>
          <w:rFonts w:ascii="Arial" w:cs="Arial" w:eastAsia="Arial" w:hAnsi="Arial"/>
          <w:sz w:val="19"/>
          <w:szCs w:val="19"/>
          <w:color w:val="auto"/>
        </w:rPr>
        <w:t>”) hereby irrevocably sells and assigns to its Affiliate, Nordea Bank Finland Plc, New York Branch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and Assignee hereby irrevocably purchases and assumes from Assignor, as of the later of the Amendment Effective Date and the date such outstanding consent is obtained (a) all of Assignor’s rights and obligations in its capacity as a Lender and an Extending Lender under the Amended Revolving Credit Agreement and the other Amended Loan Documents to the extent related to all of such outstanding rights and obligations of Assignor under the Amended Revolving Credit Agreement and the other Amended Loan Documents and (b) to the extent permitted to be assigned under applicable law, all claims, suits, causes of action and any other right of Assignor (in its capacity as a Lender) against any Person, whether known or unknown, arising under or in connection with the Amended Revolving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(a) above (the rights and obligations sold and assigned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hereof being referred to collectively as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Notwithstanding the provisions of Section 11.05 of the Amended Revolving Credit Agreement, the Assignor and the Assignee hereby agree that an Assignment and Assumption Agreement shall not be required to be signed in connection with such assignment; provided that the Assignor and Assignee shall be subject to the terms of the Standard Terms and conditions for Assignment and Assumption attached as Annex I to Exhibit A to the Amended Revolving Credit Agreement and shall be bound by all terms, and shall be deemed to make all representations and warranties, applicable to an “Assignor” or an “Assignee” (as the case may be) therein with respect to the Assigned Interest.</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2120" w:hanging="815"/>
        <w:spacing w:after="0"/>
        <w:tabs>
          <w:tab w:leader="none" w:pos="212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Conditions of Effectiveness</w:t>
      </w:r>
      <w:r>
        <w:rPr>
          <w:rFonts w:ascii="Arial" w:cs="Arial" w:eastAsia="Arial" w:hAnsi="Arial"/>
          <w:sz w:val="21"/>
          <w:szCs w:val="21"/>
          <w:color w:val="auto"/>
        </w:rPr>
        <w:t>. This Agreement shall become effective as of the first date (the “</w:t>
      </w:r>
      <w:r>
        <w:rPr>
          <w:rFonts w:ascii="Arial" w:cs="Arial" w:eastAsia="Arial" w:hAnsi="Arial"/>
          <w:sz w:val="21"/>
          <w:szCs w:val="21"/>
          <w:u w:val="single" w:color="auto"/>
          <w:color w:val="auto"/>
        </w:rPr>
        <w:t>Signing</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 on which:</w:t>
      </w:r>
    </w:p>
    <w:p>
      <w:pPr>
        <w:spacing w:after="0" w:line="242" w:lineRule="exact"/>
        <w:rPr>
          <w:sz w:val="20"/>
          <w:szCs w:val="20"/>
          <w:color w:val="auto"/>
        </w:rPr>
      </w:pPr>
    </w:p>
    <w:p>
      <w:pPr>
        <w:ind w:left="2200" w:hanging="895"/>
        <w:spacing w:after="0"/>
        <w:tabs>
          <w:tab w:leader="none" w:pos="22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of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2" w:name="page13"/>
    <w:bookmarkEnd w:id="12"/>
    <w:p>
      <w:pPr>
        <w:jc w:val="both"/>
        <w:spacing w:after="0" w:line="265" w:lineRule="auto"/>
        <w:rPr>
          <w:sz w:val="20"/>
          <w:szCs w:val="20"/>
          <w:color w:val="auto"/>
        </w:rPr>
      </w:pPr>
      <w:r>
        <w:rPr>
          <w:rFonts w:ascii="Arial" w:cs="Arial" w:eastAsia="Arial" w:hAnsi="Arial"/>
          <w:sz w:val="21"/>
          <w:szCs w:val="21"/>
          <w:color w:val="auto"/>
        </w:rPr>
        <w:t>WIL-Ireland, WIL-Bermuda, WIL-Delaware, the Existing Required Lenders, any Extending Lenders, each Extending Issuing Bank and each Existing Swingline Lender, either a counterpart of this Agreement signed on behalf of such party or written evidence satisfactory to the Administrative Agent (which may include facsimile or other electronic transmission of a signed signature page of this Agreement) that such party has signed a counterpart of this Agreement; and</w:t>
      </w:r>
    </w:p>
    <w:p>
      <w:pPr>
        <w:spacing w:after="0" w:line="216" w:lineRule="exact"/>
        <w:rPr>
          <w:sz w:val="20"/>
          <w:szCs w:val="20"/>
          <w:color w:val="auto"/>
        </w:rPr>
      </w:pPr>
    </w:p>
    <w:p>
      <w:pPr>
        <w:jc w:val="both"/>
        <w:ind w:firstLine="1305"/>
        <w:spacing w:after="0" w:line="260" w:lineRule="auto"/>
        <w:tabs>
          <w:tab w:leader="none" w:pos="2197"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“Agreement Parties” (as defined below) in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shall be true and correct in all material respects (except to the extent qualified by materiality or reference to Material Adverse Effect, in which case such applicable representation and warranty shall be true and correct in all respects) on and as of the Signing Date, except to the extent any such representations and warranties are expressly limited to an earlier date, in which case, on and as of the Signing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222" w:lineRule="exact"/>
        <w:rPr>
          <w:sz w:val="20"/>
          <w:szCs w:val="20"/>
          <w:color w:val="auto"/>
        </w:rPr>
      </w:pPr>
    </w:p>
    <w:p>
      <w:pPr>
        <w:jc w:val="both"/>
        <w:ind w:firstLine="1305"/>
        <w:spacing w:after="0" w:line="271" w:lineRule="auto"/>
        <w:tabs>
          <w:tab w:leader="none" w:pos="2107"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Conditions of Amendment Effective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Sections 3</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7</w:t>
      </w:r>
      <w:r>
        <w:rPr>
          <w:rFonts w:ascii="Arial" w:cs="Arial" w:eastAsia="Arial" w:hAnsi="Arial"/>
          <w:sz w:val="21"/>
          <w:szCs w:val="21"/>
          <w:color w:val="auto"/>
        </w:rPr>
        <w:t xml:space="preserve"> of this Amendment shall only become effective on the date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xml:space="preserve">”) on which each of the following additional conditions precedent have been satisfied (in addition to the satisfaction of the conditions precedent described in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above):</w:t>
      </w:r>
    </w:p>
    <w:p>
      <w:pPr>
        <w:spacing w:after="0" w:line="208" w:lineRule="exact"/>
        <w:rPr>
          <w:sz w:val="20"/>
          <w:szCs w:val="20"/>
          <w:color w:val="auto"/>
        </w:rPr>
      </w:pPr>
    </w:p>
    <w:p>
      <w:pPr>
        <w:jc w:val="both"/>
        <w:ind w:firstLine="1305"/>
        <w:spacing w:after="0" w:line="312" w:lineRule="auto"/>
        <w:tabs>
          <w:tab w:leader="none" w:pos="2185"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WIL-Bermuda shall have paid all fees and expenses (including, to the extent invoiced, reimbursement of fees and expenses of the Administrative Agent’s counsels) in connection with this Agreement, the Amended Revolving Credit Agreement, the Term Loan Agreement and each other transaction contemplated hereby and thereby;</w:t>
      </w:r>
    </w:p>
    <w:p>
      <w:pPr>
        <w:spacing w:after="0" w:line="174" w:lineRule="exact"/>
        <w:rPr>
          <w:rFonts w:ascii="Arial" w:cs="Arial" w:eastAsia="Arial" w:hAnsi="Arial"/>
          <w:sz w:val="19"/>
          <w:szCs w:val="19"/>
          <w:color w:val="auto"/>
        </w:rPr>
      </w:pPr>
    </w:p>
    <w:p>
      <w:pPr>
        <w:jc w:val="both"/>
        <w:ind w:firstLine="1305"/>
        <w:spacing w:after="0" w:line="260" w:lineRule="auto"/>
        <w:tabs>
          <w:tab w:leader="none" w:pos="2197"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Agreement Parties in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shall be true and correct in all material respects (except to the extent qualified by materiality or reference to Material Adverse Effect, in which case such applicable representation and warranty shall be true and correct in all respects) on and as of the Amendment Effective Date, except to the extent any such representations and warranties are expressly limited to an earlier date, in which case, on and as of the Amendment Effective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221" w:lineRule="exact"/>
        <w:rPr>
          <w:rFonts w:ascii="Arial" w:cs="Arial" w:eastAsia="Arial" w:hAnsi="Arial"/>
          <w:sz w:val="21"/>
          <w:szCs w:val="21"/>
          <w:color w:val="auto"/>
        </w:rPr>
      </w:pPr>
    </w:p>
    <w:p>
      <w:pPr>
        <w:ind w:left="2200" w:hanging="895"/>
        <w:spacing w:after="0"/>
        <w:tabs>
          <w:tab w:leader="none" w:pos="22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occurrence of the “Effective Date” under and as defined in the Amended Revolving Credit Agreement;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occurrence of the “Effective Date” under and as defined in the Term Loan Agreement.</w:t>
      </w:r>
    </w:p>
    <w:p>
      <w:pPr>
        <w:spacing w:after="0" w:line="260" w:lineRule="exact"/>
        <w:rPr>
          <w:sz w:val="20"/>
          <w:szCs w:val="20"/>
          <w:color w:val="auto"/>
        </w:rPr>
      </w:pPr>
    </w:p>
    <w:p>
      <w:pPr>
        <w:jc w:val="both"/>
        <w:ind w:firstLine="1305"/>
        <w:spacing w:after="0" w:line="253" w:lineRule="auto"/>
        <w:tabs>
          <w:tab w:leader="none" w:pos="221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other parties hereto to enter into this Agreement, each of WIL-Bermuda, WIL-Ireland and WIL-Delaware (herein, an “</w:t>
      </w:r>
      <w:r>
        <w:rPr>
          <w:rFonts w:ascii="Arial" w:cs="Arial" w:eastAsia="Arial" w:hAnsi="Arial"/>
          <w:sz w:val="22"/>
          <w:szCs w:val="22"/>
          <w:u w:val="single" w:color="auto"/>
          <w:color w:val="auto"/>
        </w:rPr>
        <w:t>Agreement Party</w:t>
      </w:r>
      <w:r>
        <w:rPr>
          <w:rFonts w:ascii="Arial" w:cs="Arial" w:eastAsia="Arial" w:hAnsi="Arial"/>
          <w:sz w:val="22"/>
          <w:szCs w:val="22"/>
          <w:color w:val="auto"/>
        </w:rPr>
        <w:t>”) hereby represents and warrants on and as of the Signing Date and the Amendment Effective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3" w:name="page14"/>
    <w:bookmarkEnd w:id="13"/>
    <w:p>
      <w:pPr>
        <w:jc w:val="both"/>
        <w:ind w:firstLine="1305"/>
        <w:spacing w:after="0" w:line="253" w:lineRule="auto"/>
        <w:tabs>
          <w:tab w:leader="none" w:pos="2185" w:val="left"/>
        </w:tabs>
        <w:numPr>
          <w:ilvl w:val="0"/>
          <w:numId w:val="23"/>
        </w:numPr>
        <w:rPr>
          <w:rFonts w:ascii="Arial" w:cs="Arial" w:eastAsia="Arial" w:hAnsi="Arial"/>
          <w:sz w:val="22"/>
          <w:szCs w:val="22"/>
          <w:color w:val="auto"/>
        </w:rPr>
      </w:pPr>
      <w:r>
        <w:rPr>
          <w:rFonts w:ascii="Arial" w:cs="Arial" w:eastAsia="Arial" w:hAnsi="Arial"/>
          <w:sz w:val="22"/>
          <w:szCs w:val="22"/>
          <w:color w:val="auto"/>
        </w:rPr>
        <w:t>Each Agreement Party has the corporate or other power and authority to execute, deliver and perform its obligations hereunder and to consummate the transactions contemplated hereby, and all such action has been duly authorized by all necessary corporate, partnership or other proceedings on its part or on its behalf.</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21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This Agreement has been duly and validly executed and delivered by or on behalf of each Agreement Party and constitutes valid and legally binding agreements of such Agreement Party enforceable against such Agreement Party in accordance with the terms hereof, except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w:t>
      </w:r>
    </w:p>
    <w:p>
      <w:pPr>
        <w:spacing w:after="0" w:line="234"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 authorization, consent, approval, license or exemption of, or filing or registration with, any Governmental Authority is necessary to have been made or obtained by any Agreement Party for the valid execution, delivery and performance by such Agreement Party of this Agreement or the consummation of the transactions contemplated hereby, except those that have been obtained and are in full force and effect.</w:t>
      </w:r>
    </w:p>
    <w:p>
      <w:pPr>
        <w:spacing w:after="0" w:line="228" w:lineRule="exact"/>
        <w:rPr>
          <w:rFonts w:ascii="Arial" w:cs="Arial" w:eastAsia="Arial" w:hAnsi="Arial"/>
          <w:sz w:val="22"/>
          <w:szCs w:val="22"/>
          <w:color w:val="auto"/>
        </w:rPr>
      </w:pPr>
    </w:p>
    <w:p>
      <w:pPr>
        <w:jc w:val="both"/>
        <w:ind w:firstLine="1305"/>
        <w:spacing w:after="0" w:line="258" w:lineRule="auto"/>
        <w:tabs>
          <w:tab w:leader="none" w:pos="2197" w:val="left"/>
        </w:tabs>
        <w:numPr>
          <w:ilvl w:val="0"/>
          <w:numId w:val="23"/>
        </w:numPr>
        <w:rPr>
          <w:rFonts w:ascii="Arial" w:cs="Arial" w:eastAsia="Arial" w:hAnsi="Arial"/>
          <w:sz w:val="21"/>
          <w:szCs w:val="21"/>
          <w:color w:val="auto"/>
        </w:rPr>
      </w:pPr>
      <w:r>
        <w:rPr>
          <w:rFonts w:ascii="Arial" w:cs="Arial" w:eastAsia="Arial" w:hAnsi="Arial"/>
          <w:sz w:val="21"/>
          <w:szCs w:val="21"/>
          <w:color w:val="auto"/>
        </w:rPr>
        <w:t>Neither the execution, delivery and performance by any Agreement Party of this Agreement, nor compliance with the terms and provisions hereof, nor the consummation of the transactions contemplated hereby (a) will breach or violate any applicable Requirement of Law, (b) will result in any breach or violation of, or constitute a default under, or result in the creation or imposition of (or the obligation to create or impose) any Lien prohibited under the Existing Credit Agreement or the Amended Revolving Credit Agreement upon any of its property or assets pursuant to the terms of, (i) the “Existing Senior Notes” or any “Existing Senior Notes Indenture” (each as defined in the Amended Revolving Credit Agreement) or (ii) any other indenture, agreement or other instrument to which such Agreement Party is a party or by which any property or asset of it is bound or to which it is subject, except for breaches, violations and defaults under clauses (a) and (b)(ii) that collectively for the Obligor Parties would not have a Material Adverse Effect, or (c) will violate any provision of the organizational documents or by-laws of such Agreement Party.</w:t>
      </w:r>
    </w:p>
    <w:p>
      <w:pPr>
        <w:spacing w:after="0" w:line="226" w:lineRule="exact"/>
        <w:rPr>
          <w:rFonts w:ascii="Arial" w:cs="Arial" w:eastAsia="Arial" w:hAnsi="Arial"/>
          <w:sz w:val="21"/>
          <w:szCs w:val="21"/>
          <w:color w:val="auto"/>
        </w:rPr>
      </w:pPr>
    </w:p>
    <w:p>
      <w:pPr>
        <w:ind w:left="2200" w:hanging="895"/>
        <w:spacing w:after="0"/>
        <w:tabs>
          <w:tab w:leader="none" w:pos="22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54" w:lineRule="exact"/>
        <w:rPr>
          <w:sz w:val="20"/>
          <w:szCs w:val="20"/>
          <w:color w:val="auto"/>
        </w:rPr>
      </w:pPr>
    </w:p>
    <w:p>
      <w:pPr>
        <w:ind w:left="2220" w:hanging="915"/>
        <w:spacing w:after="0"/>
        <w:tabs>
          <w:tab w:leader="none" w:pos="222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w:t>
      </w:r>
      <w:r>
        <w:rPr>
          <w:rFonts w:ascii="Arial" w:cs="Arial" w:eastAsia="Arial" w:hAnsi="Arial"/>
          <w:sz w:val="21"/>
          <w:szCs w:val="21"/>
          <w:b w:val="1"/>
          <w:bCs w:val="1"/>
          <w:color w:val="auto"/>
        </w:rPr>
        <w:t>THIS AGREEMENT SHALL BE CONSTRUED IN ACCORDANCE WITH AND</w:t>
      </w:r>
    </w:p>
    <w:p>
      <w:pPr>
        <w:spacing w:after="0" w:line="3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color w:val="auto"/>
        </w:rPr>
        <w:t>GOVERNED BY THE LAW OF THE STATE OF NEW YORK.</w:t>
      </w:r>
    </w:p>
    <w:p>
      <w:pPr>
        <w:spacing w:after="0" w:line="242" w:lineRule="exact"/>
        <w:rPr>
          <w:rFonts w:ascii="Arial" w:cs="Arial" w:eastAsia="Arial" w:hAnsi="Arial"/>
          <w:sz w:val="21"/>
          <w:szCs w:val="21"/>
          <w:color w:val="auto"/>
        </w:rPr>
      </w:pPr>
    </w:p>
    <w:p>
      <w:pPr>
        <w:jc w:val="both"/>
        <w:ind w:firstLine="1305"/>
        <w:spacing w:after="0" w:line="247" w:lineRule="auto"/>
        <w:tabs>
          <w:tab w:leader="none" w:pos="221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 Waiver; Loan Document</w:t>
      </w:r>
      <w:r>
        <w:rPr>
          <w:rFonts w:ascii="Arial" w:cs="Arial" w:eastAsia="Arial" w:hAnsi="Arial"/>
          <w:sz w:val="22"/>
          <w:szCs w:val="22"/>
          <w:color w:val="auto"/>
        </w:rPr>
        <w:t>. Except as expressly provided herein, the execution, delivery and effectiveness of this Agreement (or any provision hereof) shall not operate as a waiver of any right, power or remedy of the Administrative Agent or the Lenders, nor constitute a waiver of any provision of the Existing Credit Agreement or any Existing Loan Documents. This Agreement shall be, and shall be construed and administered as, a Loan Document under the Existing Revolving Credit Agreement immediately prior to the effectiveness of the Amended Revolving Credit Agreement and, thereafter, under the Amended Revolving Credit Agreement.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1" w:right="239" w:bottom="1440" w:gutter="0" w:footer="0" w:header="0"/>
        </w:sectPr>
      </w:pPr>
    </w:p>
    <w:bookmarkStart w:id="14" w:name="page15"/>
    <w:bookmarkEnd w:id="14"/>
    <w:p>
      <w:pPr>
        <w:ind w:firstLine="1305"/>
        <w:spacing w:after="0" w:line="263" w:lineRule="auto"/>
        <w:tabs>
          <w:tab w:leader="none" w:pos="221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Agreement are included herein for convenience of reference only and shall not constitute a part of this Agreement for any other purpose.</w:t>
      </w:r>
    </w:p>
    <w:p>
      <w:pPr>
        <w:spacing w:after="0" w:line="215" w:lineRule="exact"/>
        <w:rPr>
          <w:rFonts w:ascii="Arial" w:cs="Arial" w:eastAsia="Arial" w:hAnsi="Arial"/>
          <w:sz w:val="22"/>
          <w:szCs w:val="22"/>
          <w:color w:val="auto"/>
        </w:rPr>
      </w:pPr>
    </w:p>
    <w:p>
      <w:pPr>
        <w:jc w:val="both"/>
        <w:ind w:firstLine="1305"/>
        <w:spacing w:after="0" w:line="288" w:lineRule="auto"/>
        <w:tabs>
          <w:tab w:leader="none" w:pos="221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one or more of the parties hereto on any number of separate counterparts, and all of said counterparts taken together shall be deemed to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15" w:name="page16"/>
    <w:bookmarkEnd w:id="15"/>
    <w:p>
      <w:pPr>
        <w:ind w:left="100"/>
        <w:spacing w:after="0"/>
        <w:rPr>
          <w:sz w:val="20"/>
          <w:szCs w:val="20"/>
          <w:color w:val="auto"/>
        </w:rPr>
      </w:pPr>
      <w:r>
        <w:rPr>
          <w:rFonts w:ascii="Arial" w:cs="Arial" w:eastAsia="Arial" w:hAnsi="Arial"/>
          <w:sz w:val="21"/>
          <w:szCs w:val="21"/>
          <w:color w:val="auto"/>
        </w:rPr>
        <w:t>IN WITNESS WHEREOF, this Agreement has been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Yazid Jamil Khalil Abu Khalid Altamimi</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20"/>
              <w:spacing w:after="0"/>
              <w:rPr>
                <w:sz w:val="20"/>
                <w:szCs w:val="20"/>
                <w:color w:val="auto"/>
              </w:rPr>
            </w:pPr>
            <w:r>
              <w:rPr>
                <w:rFonts w:ascii="Arial" w:cs="Arial" w:eastAsia="Arial" w:hAnsi="Arial"/>
                <w:sz w:val="22"/>
                <w:szCs w:val="22"/>
                <w:color w:val="auto"/>
              </w:rPr>
              <w:t>Yazid Jamil Khalil Abu Khalid Altamimi</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Bastiaan E. van Houts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20"/>
              <w:spacing w:after="0"/>
              <w:rPr>
                <w:sz w:val="20"/>
                <w:szCs w:val="20"/>
                <w:color w:val="auto"/>
              </w:rPr>
            </w:pPr>
            <w:r>
              <w:rPr>
                <w:rFonts w:ascii="Arial" w:cs="Arial" w:eastAsia="Arial" w:hAnsi="Arial"/>
                <w:sz w:val="22"/>
                <w:szCs w:val="22"/>
                <w:color w:val="auto"/>
              </w:rPr>
              <w:t>Bastiaan E. van Houts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2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WEATHERFORD INTERNATIONAL, LLC,</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375" w:right="239" w:bottom="1440" w:gutter="0" w:footer="0" w:header="0"/>
        </w:sectPr>
      </w:pPr>
    </w:p>
    <w:bookmarkStart w:id="16" w:name="page17"/>
    <w:bookmarkEnd w:id="16"/>
    <w:p>
      <w:pPr>
        <w:ind w:left="570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Administrative Agent, an Extending Issuing</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Bank, an Existing Swingline Lender and an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1023" w:right="239" w:bottom="1440" w:gutter="0" w:footer="0" w:header="0"/>
        </w:sectPr>
      </w:pPr>
    </w:p>
    <w:bookmarkStart w:id="17" w:name="page18"/>
    <w:bookmarkEnd w:id="17"/>
    <w:p>
      <w:pPr>
        <w:ind w:left="5700"/>
        <w:spacing w:after="0"/>
        <w:rPr>
          <w:sz w:val="20"/>
          <w:szCs w:val="20"/>
          <w:color w:val="auto"/>
        </w:rPr>
      </w:pPr>
      <w:r>
        <w:rPr>
          <w:rFonts w:ascii="Arial" w:cs="Arial" w:eastAsia="Arial" w:hAnsi="Arial"/>
          <w:sz w:val="21"/>
          <w:szCs w:val="21"/>
          <w:color w:val="auto"/>
        </w:rPr>
        <w:t>DEUTSCHE BANK AG NEW YORK BRANCH,</w:t>
      </w:r>
    </w:p>
    <w:p>
      <w:pPr>
        <w:spacing w:after="0" w:line="56"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as an Extending Issuing Bank and an Extending</w:t>
      </w:r>
    </w:p>
    <w:p>
      <w:pPr>
        <w:spacing w:after="0" w:line="5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Ming K. Chu</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Ming K. Chu</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95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Virginia Cosenza</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Virginia Cosenza</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1361" w:right="239" w:bottom="1440" w:gutter="0" w:footer="0" w:header="0"/>
        </w:sectPr>
      </w:pPr>
    </w:p>
    <w:bookmarkStart w:id="18" w:name="page19"/>
    <w:bookmarkEnd w:id="18"/>
    <w:p>
      <w:pPr>
        <w:ind w:left="5700"/>
        <w:spacing w:after="0"/>
        <w:rPr>
          <w:sz w:val="20"/>
          <w:szCs w:val="20"/>
          <w:color w:val="auto"/>
        </w:rPr>
      </w:pPr>
      <w:r>
        <w:rPr>
          <w:rFonts w:ascii="Arial" w:cs="Arial" w:eastAsia="Arial" w:hAnsi="Arial"/>
          <w:sz w:val="22"/>
          <w:szCs w:val="22"/>
          <w:color w:val="auto"/>
        </w:rPr>
        <w:t>MORGAN STANLEY BANK, N.A., as an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King</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Michael King</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19" w:name="page20"/>
    <w:bookmarkEnd w:id="19"/>
    <w:p>
      <w:pPr>
        <w:ind w:left="5700"/>
        <w:spacing w:after="0"/>
        <w:rPr>
          <w:sz w:val="20"/>
          <w:szCs w:val="20"/>
          <w:color w:val="auto"/>
        </w:rPr>
      </w:pPr>
      <w:r>
        <w:rPr>
          <w:rFonts w:ascii="Arial" w:cs="Arial" w:eastAsia="Arial" w:hAnsi="Arial"/>
          <w:sz w:val="22"/>
          <w:szCs w:val="22"/>
          <w:color w:val="auto"/>
        </w:rPr>
        <w:t>THE BANK OF TOKYO-MITSUBISHI UFJ,</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LTD., 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Sparks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Kevin Sparks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20" w:name="page21"/>
    <w:bookmarkEnd w:id="20"/>
    <w:p>
      <w:pPr>
        <w:ind w:left="5700"/>
        <w:spacing w:after="0"/>
        <w:rPr>
          <w:sz w:val="20"/>
          <w:szCs w:val="20"/>
          <w:color w:val="auto"/>
        </w:rPr>
      </w:pPr>
      <w:r>
        <w:rPr>
          <w:rFonts w:ascii="Arial" w:cs="Arial" w:eastAsia="Arial" w:hAnsi="Arial"/>
          <w:sz w:val="22"/>
          <w:szCs w:val="22"/>
          <w:color w:val="auto"/>
        </w:rPr>
        <w:t>WELLS FARGO BANK, NATIONAL</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ASSOCIATION, as an Extending Lender and</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Extending Issuing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Corder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Robert Corder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21" w:name="page22"/>
    <w:bookmarkEnd w:id="21"/>
    <w:p>
      <w:pPr>
        <w:ind w:left="5700"/>
        <w:spacing w:after="0"/>
        <w:rPr>
          <w:sz w:val="20"/>
          <w:szCs w:val="20"/>
          <w:color w:val="auto"/>
        </w:rPr>
      </w:pPr>
      <w:r>
        <w:rPr>
          <w:rFonts w:ascii="Arial" w:cs="Arial" w:eastAsia="Arial" w:hAnsi="Arial"/>
          <w:sz w:val="22"/>
          <w:szCs w:val="22"/>
          <w:color w:val="auto"/>
        </w:rPr>
        <w:t>ROYAL BANK OF CANADA, as an Extending</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Matthias Wong</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Matthias Wong</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22" w:name="page23"/>
    <w:bookmarkEnd w:id="22"/>
    <w:p>
      <w:pPr>
        <w:ind w:left="5700"/>
        <w:spacing w:after="0"/>
        <w:rPr>
          <w:sz w:val="20"/>
          <w:szCs w:val="20"/>
          <w:color w:val="auto"/>
        </w:rPr>
      </w:pPr>
      <w:r>
        <w:rPr>
          <w:rFonts w:ascii="Arial" w:cs="Arial" w:eastAsia="Arial" w:hAnsi="Arial"/>
          <w:sz w:val="22"/>
          <w:szCs w:val="22"/>
          <w:color w:val="auto"/>
        </w:rPr>
        <w:t>CITIBANK, N.A., 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Maureen P. Maroney</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/s/ Maureen P. Maroney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23" w:name="page24"/>
    <w:bookmarkEnd w:id="23"/>
    <w:p>
      <w:pPr>
        <w:ind w:left="5700"/>
        <w:spacing w:after="0"/>
        <w:rPr>
          <w:sz w:val="20"/>
          <w:szCs w:val="20"/>
          <w:color w:val="auto"/>
        </w:rPr>
      </w:pPr>
      <w:r>
        <w:rPr>
          <w:rFonts w:ascii="Arial" w:cs="Arial" w:eastAsia="Arial" w:hAnsi="Arial"/>
          <w:sz w:val="19"/>
          <w:szCs w:val="19"/>
          <w:color w:val="auto"/>
        </w:rPr>
        <w:t>BARCLAYS BANK PLC, as an Extending Lender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Ronnie Glenn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Ronnie Glenn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1252" w:right="239" w:bottom="1440" w:gutter="0" w:footer="0" w:header="0"/>
        </w:sectPr>
      </w:pPr>
    </w:p>
    <w:bookmarkStart w:id="24" w:name="page25"/>
    <w:bookmarkEnd w:id="24"/>
    <w:p>
      <w:pPr>
        <w:ind w:left="5700"/>
        <w:spacing w:after="0"/>
        <w:rPr>
          <w:sz w:val="20"/>
          <w:szCs w:val="20"/>
          <w:color w:val="auto"/>
        </w:rPr>
      </w:pPr>
      <w:r>
        <w:rPr>
          <w:rFonts w:ascii="Arial" w:cs="Arial" w:eastAsia="Arial" w:hAnsi="Arial"/>
          <w:sz w:val="22"/>
          <w:szCs w:val="22"/>
          <w:color w:val="auto"/>
        </w:rPr>
        <w:t>STANDARD CHARTERED BANK, as an</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Steven Aloupis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Steven Aloupis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w w:val="99"/>
              </w:rPr>
              <w:t>Managing Director - Loan Syndications</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1361" w:right="239" w:bottom="1440" w:gutter="0" w:footer="0" w:header="0"/>
        </w:sectPr>
      </w:pPr>
    </w:p>
    <w:bookmarkStart w:id="25" w:name="page26"/>
    <w:bookmarkEnd w:id="25"/>
    <w:p>
      <w:pPr>
        <w:ind w:left="5320"/>
        <w:spacing w:after="0"/>
        <w:rPr>
          <w:sz w:val="20"/>
          <w:szCs w:val="20"/>
          <w:color w:val="auto"/>
        </w:rPr>
      </w:pPr>
      <w:r>
        <w:rPr>
          <w:rFonts w:ascii="Arial" w:cs="Arial" w:eastAsia="Arial" w:hAnsi="Arial"/>
          <w:sz w:val="22"/>
          <w:szCs w:val="22"/>
          <w:color w:val="auto"/>
        </w:rPr>
        <w:t>BANCO BILBAO VIZCAYA ARGENTARIA, S.A.</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NEW YORK BRANCH, 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32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Cara Younger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Cara Younger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Mauricio Benitez</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Mauricio Benitez</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349"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1198" w:right="239" w:bottom="1440" w:gutter="0" w:footer="0" w:header="0"/>
        </w:sectPr>
      </w:pPr>
    </w:p>
    <w:bookmarkStart w:id="26" w:name="page27"/>
    <w:bookmarkEnd w:id="26"/>
    <w:p>
      <w:pPr>
        <w:ind w:left="5700"/>
        <w:spacing w:after="0"/>
        <w:rPr>
          <w:sz w:val="20"/>
          <w:szCs w:val="20"/>
          <w:color w:val="auto"/>
        </w:rPr>
      </w:pPr>
      <w:r>
        <w:rPr>
          <w:rFonts w:ascii="Arial" w:cs="Arial" w:eastAsia="Arial" w:hAnsi="Arial"/>
          <w:sz w:val="22"/>
          <w:szCs w:val="22"/>
          <w:color w:val="auto"/>
        </w:rPr>
        <w:t>THE TORONTO DOMINION BANK, NEW</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YORK BRANCH, as an Extending Lender and an</w:t>
      </w:r>
    </w:p>
    <w:p>
      <w:pPr>
        <w:spacing w:after="0" w:line="79"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Extending Issuing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Annie Dorval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Annie Dorval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349"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820" w:right="239" w:bottom="1440" w:gutter="0" w:footer="0" w:header="0"/>
        </w:sectPr>
      </w:pPr>
    </w:p>
    <w:bookmarkStart w:id="27" w:name="page28"/>
    <w:bookmarkEnd w:id="27"/>
    <w:p>
      <w:pPr>
        <w:ind w:left="5700"/>
        <w:spacing w:after="0"/>
        <w:rPr>
          <w:sz w:val="20"/>
          <w:szCs w:val="20"/>
          <w:color w:val="auto"/>
        </w:rPr>
      </w:pPr>
      <w:r>
        <w:rPr>
          <w:rFonts w:ascii="Arial" w:cs="Arial" w:eastAsia="Arial" w:hAnsi="Arial"/>
          <w:sz w:val="22"/>
          <w:szCs w:val="22"/>
          <w:color w:val="auto"/>
        </w:rPr>
        <w:t>NORDEA BANK FINLAND PLC, NEW YORK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BRANCH, as an Extending Lender and Assignee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Rolf Risan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Rolf Risan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r>
        <w:trPr>
          <w:trHeight w:val="95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Lars Christian Eriksen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Lars Christian Eriksen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349"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820" w:right="239" w:bottom="1440" w:gutter="0" w:footer="0" w:header="0"/>
        </w:sectPr>
      </w:pPr>
    </w:p>
    <w:bookmarkStart w:id="28" w:name="page29"/>
    <w:bookmarkEnd w:id="28"/>
    <w:p>
      <w:pPr>
        <w:ind w:left="5700"/>
        <w:spacing w:after="0"/>
        <w:rPr>
          <w:sz w:val="20"/>
          <w:szCs w:val="20"/>
          <w:color w:val="auto"/>
        </w:rPr>
      </w:pPr>
      <w:r>
        <w:rPr>
          <w:rFonts w:ascii="Arial" w:cs="Arial" w:eastAsia="Arial" w:hAnsi="Arial"/>
          <w:sz w:val="21"/>
          <w:szCs w:val="21"/>
          <w:color w:val="auto"/>
        </w:rPr>
        <w:t>NORDEA BANK NORGE ASA, as an Extending</w:t>
      </w:r>
    </w:p>
    <w:p>
      <w:pPr>
        <w:spacing w:after="0" w:line="5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Lender and Assignor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 Kuhnle</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Tom Kuhnle</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r>
        <w:trPr>
          <w:trHeight w:val="95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Olle Jonsson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Olle Jonsson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29" w:name="page30"/>
    <w:bookmarkEnd w:id="29"/>
    <w:p>
      <w:pPr>
        <w:ind w:left="5340"/>
        <w:spacing w:after="0"/>
        <w:rPr>
          <w:sz w:val="20"/>
          <w:szCs w:val="20"/>
          <w:color w:val="auto"/>
        </w:rPr>
      </w:pPr>
      <w:r>
        <w:rPr>
          <w:rFonts w:ascii="Arial" w:cs="Arial" w:eastAsia="Arial" w:hAnsi="Arial"/>
          <w:sz w:val="22"/>
          <w:szCs w:val="22"/>
          <w:color w:val="auto"/>
        </w:rPr>
        <w:t>UNICREDIT BANK AG, NEW YORK BRANCH,</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3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Julien Tizorin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00" w:type="dxa"/>
            <w:vAlign w:val="bottom"/>
          </w:tcPr>
          <w:p>
            <w:pPr>
              <w:ind w:left="20"/>
              <w:spacing w:after="0"/>
              <w:rPr>
                <w:sz w:val="20"/>
                <w:szCs w:val="20"/>
                <w:color w:val="auto"/>
              </w:rPr>
            </w:pPr>
            <w:r>
              <w:rPr>
                <w:rFonts w:ascii="Arial" w:cs="Arial" w:eastAsia="Arial" w:hAnsi="Arial"/>
                <w:sz w:val="22"/>
                <w:szCs w:val="22"/>
                <w:color w:val="auto"/>
              </w:rPr>
              <w:t>Julien Tizorin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0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Filippo Pappalardo</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00" w:type="dxa"/>
            <w:vAlign w:val="bottom"/>
          </w:tcPr>
          <w:p>
            <w:pPr>
              <w:ind w:left="20"/>
              <w:spacing w:after="0"/>
              <w:rPr>
                <w:sz w:val="20"/>
                <w:szCs w:val="20"/>
                <w:color w:val="auto"/>
              </w:rPr>
            </w:pPr>
            <w:r>
              <w:rPr>
                <w:rFonts w:ascii="Arial" w:cs="Arial" w:eastAsia="Arial" w:hAnsi="Arial"/>
                <w:sz w:val="22"/>
                <w:szCs w:val="22"/>
                <w:color w:val="auto"/>
              </w:rPr>
              <w:t>Filippo Pappalardo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0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604" w:right="239" w:bottom="1440" w:gutter="0" w:footer="0" w:header="0"/>
        </w:sectPr>
      </w:pPr>
    </w:p>
    <w:bookmarkStart w:id="30" w:name="page31"/>
    <w:bookmarkEnd w:id="30"/>
    <w:p>
      <w:pPr>
        <w:ind w:left="5700"/>
        <w:spacing w:after="0"/>
        <w:rPr>
          <w:sz w:val="20"/>
          <w:szCs w:val="20"/>
          <w:color w:val="auto"/>
        </w:rPr>
      </w:pPr>
      <w:r>
        <w:rPr>
          <w:rFonts w:ascii="Arial" w:cs="Arial" w:eastAsia="Arial" w:hAnsi="Arial"/>
          <w:sz w:val="22"/>
          <w:szCs w:val="22"/>
          <w:color w:val="auto"/>
        </w:rPr>
        <w:t>SKANDINAVISKA ENSKILDA BANKEN AB</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(PUBL), 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I. Dicks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Michael I. Dicks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95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Duncan Nash</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Duncan Nash</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33"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31" w:name="page32"/>
    <w:bookmarkEnd w:id="31"/>
    <w:p>
      <w:pPr>
        <w:ind w:left="5700"/>
        <w:spacing w:after="0"/>
        <w:rPr>
          <w:sz w:val="20"/>
          <w:szCs w:val="20"/>
          <w:color w:val="auto"/>
        </w:rPr>
      </w:pPr>
      <w:r>
        <w:rPr>
          <w:rFonts w:ascii="Arial" w:cs="Arial" w:eastAsia="Arial" w:hAnsi="Arial"/>
          <w:sz w:val="22"/>
          <w:szCs w:val="22"/>
          <w:color w:val="auto"/>
        </w:rPr>
        <w:t>ARAB BANKING CORPORATION, Grand</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cayman, as an Extending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7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Tull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Richard Tull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w w:val="99"/>
              </w:rPr>
              <w:t>Vice President, Head of Trade Finance</w:t>
            </w:r>
          </w:p>
        </w:tc>
      </w:tr>
      <w:tr>
        <w:trPr>
          <w:trHeight w:val="95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Bayo Gbowu</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Bayo Gbowu</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349"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Signature Page to Amendment and Restatement Agreement</w:t>
      </w:r>
    </w:p>
    <w:p>
      <w:pPr>
        <w:sectPr>
          <w:pgSz w:w="11900" w:h="16838" w:orient="portrait"/>
          <w:cols w:equalWidth="0" w:num="1">
            <w:col w:w="10220"/>
          </w:cols>
          <w:pgMar w:left="1440" w:top="982" w:right="239" w:bottom="1440" w:gutter="0" w:footer="0" w:header="0"/>
        </w:sectPr>
      </w:pPr>
    </w:p>
    <w:bookmarkStart w:id="32" w:name="page33"/>
    <w:bookmarkEnd w:id="32"/>
    <w:p>
      <w:pPr>
        <w:ind w:left="10560"/>
        <w:spacing w:after="0"/>
        <w:rPr>
          <w:sz w:val="20"/>
          <w:szCs w:val="20"/>
          <w:color w:val="auto"/>
        </w:rPr>
      </w:pPr>
      <w:r>
        <w:rPr>
          <w:rFonts w:ascii="Arial" w:cs="Arial" w:eastAsia="Arial" w:hAnsi="Arial"/>
          <w:sz w:val="24"/>
          <w:szCs w:val="24"/>
          <w:b w:val="1"/>
          <w:bCs w:val="1"/>
          <w:color w:val="auto"/>
        </w:rPr>
        <w:t>Annex I</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Commitments Following the Specified Prepayment and Commitment Reduction</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360" w:type="dxa"/>
            <w:vAlign w:val="bottom"/>
            <w:tcBorders>
              <w:top w:val="single" w:sz="8" w:color="auto"/>
              <w:lef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8"/>
          </w:tcPr>
          <w:p>
            <w:pPr>
              <w:jc w:val="center"/>
              <w:ind w:right="220"/>
              <w:spacing w:after="0"/>
              <w:rPr>
                <w:sz w:val="20"/>
                <w:szCs w:val="20"/>
                <w:color w:val="auto"/>
              </w:rPr>
            </w:pPr>
            <w:r>
              <w:rPr>
                <w:rFonts w:ascii="Arial" w:cs="Arial" w:eastAsia="Arial" w:hAnsi="Arial"/>
                <w:sz w:val="22"/>
                <w:szCs w:val="22"/>
                <w:b w:val="1"/>
                <w:bCs w:val="1"/>
                <w:color w:val="auto"/>
                <w:w w:val="90"/>
              </w:rPr>
              <w:t>Revolving Credit</w:t>
            </w:r>
          </w:p>
        </w:tc>
        <w:tc>
          <w:tcPr>
            <w:tcW w:w="26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6"/>
          </w:tcPr>
          <w:p>
            <w:pPr>
              <w:jc w:val="center"/>
              <w:ind w:right="220"/>
              <w:spacing w:after="0"/>
              <w:rPr>
                <w:sz w:val="20"/>
                <w:szCs w:val="20"/>
                <w:color w:val="auto"/>
              </w:rPr>
            </w:pPr>
            <w:r>
              <w:rPr>
                <w:rFonts w:ascii="Arial" w:cs="Arial" w:eastAsia="Arial" w:hAnsi="Arial"/>
                <w:sz w:val="22"/>
                <w:szCs w:val="22"/>
                <w:b w:val="1"/>
                <w:bCs w:val="1"/>
                <w:color w:val="auto"/>
                <w:w w:val="89"/>
              </w:rPr>
              <w:t>Revolving Credit</w:t>
            </w: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tcBorders>
          </w:tcPr>
          <w:p>
            <w:pPr>
              <w:spacing w:after="0"/>
              <w:rPr>
                <w:sz w:val="19"/>
                <w:szCs w:val="19"/>
                <w:color w:val="auto"/>
              </w:rPr>
            </w:pPr>
          </w:p>
        </w:tc>
        <w:tc>
          <w:tcPr>
            <w:tcW w:w="29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Lender</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spacing w:after="0" w:line="223" w:lineRule="exact"/>
              <w:rPr>
                <w:sz w:val="20"/>
                <w:szCs w:val="20"/>
                <w:color w:val="auto"/>
              </w:rPr>
            </w:pPr>
            <w:r>
              <w:rPr>
                <w:rFonts w:ascii="Arial" w:cs="Arial" w:eastAsia="Arial" w:hAnsi="Arial"/>
                <w:sz w:val="22"/>
                <w:szCs w:val="22"/>
                <w:b w:val="1"/>
                <w:bCs w:val="1"/>
                <w:color w:val="auto"/>
                <w:w w:val="88"/>
              </w:rPr>
              <w:t>Agreement</w:t>
            </w:r>
          </w:p>
        </w:tc>
        <w:tc>
          <w:tcPr>
            <w:tcW w:w="280" w:type="dxa"/>
            <w:vAlign w:val="bottom"/>
            <w:tcBorders>
              <w:top w:val="single" w:sz="8" w:color="auto"/>
            </w:tcBorders>
            <w:gridSpan w:val="3"/>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center"/>
              <w:ind w:right="280"/>
              <w:spacing w:after="0" w:line="223" w:lineRule="exact"/>
              <w:rPr>
                <w:sz w:val="20"/>
                <w:szCs w:val="20"/>
                <w:color w:val="auto"/>
              </w:rPr>
            </w:pPr>
            <w:r>
              <w:rPr>
                <w:rFonts w:ascii="Arial" w:cs="Arial" w:eastAsia="Arial" w:hAnsi="Arial"/>
                <w:sz w:val="22"/>
                <w:szCs w:val="22"/>
                <w:b w:val="1"/>
                <w:bCs w:val="1"/>
                <w:color w:val="auto"/>
                <w:w w:val="81"/>
              </w:rPr>
              <w:t>Agreement</w:t>
            </w:r>
          </w:p>
        </w:tc>
        <w:tc>
          <w:tcPr>
            <w:tcW w:w="2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22"/>
                <w:szCs w:val="22"/>
                <w:b w:val="1"/>
                <w:bCs w:val="1"/>
                <w:color w:val="auto"/>
              </w:rPr>
              <w:t>Term Loan</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52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60" w:type="dxa"/>
            <w:vAlign w:val="bottom"/>
            <w:tcBorders>
              <w:left w:val="single" w:sz="8" w:color="auto"/>
            </w:tcBorders>
          </w:tcPr>
          <w:p>
            <w:pPr>
              <w:spacing w:after="0"/>
              <w:rPr>
                <w:sz w:val="7"/>
                <w:szCs w:val="7"/>
                <w:color w:val="auto"/>
              </w:rPr>
            </w:pPr>
          </w:p>
        </w:tc>
        <w:tc>
          <w:tcPr>
            <w:tcW w:w="2920" w:type="dxa"/>
            <w:vAlign w:val="bottom"/>
            <w:tcBorders>
              <w:right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Borders>
              <w:right w:val="single" w:sz="8" w:color="auto"/>
            </w:tcBorders>
            <w:gridSpan w:val="8"/>
            <w:vMerge w:val="restart"/>
          </w:tcPr>
          <w:p>
            <w:pPr>
              <w:jc w:val="center"/>
              <w:ind w:right="220"/>
              <w:spacing w:after="0"/>
              <w:rPr>
                <w:sz w:val="20"/>
                <w:szCs w:val="20"/>
                <w:color w:val="auto"/>
              </w:rPr>
            </w:pPr>
            <w:r>
              <w:rPr>
                <w:rFonts w:ascii="Arial" w:cs="Arial" w:eastAsia="Arial" w:hAnsi="Arial"/>
                <w:sz w:val="22"/>
                <w:szCs w:val="22"/>
                <w:b w:val="1"/>
                <w:bCs w:val="1"/>
                <w:color w:val="auto"/>
                <w:w w:val="89"/>
              </w:rPr>
              <w:t>Non-Extended</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Borders>
              <w:right w:val="single" w:sz="8" w:color="auto"/>
            </w:tcBorders>
            <w:gridSpan w:val="4"/>
            <w:vMerge w:val="restart"/>
          </w:tcPr>
          <w:p>
            <w:pPr>
              <w:jc w:val="center"/>
              <w:ind w:right="560"/>
              <w:spacing w:after="0"/>
              <w:rPr>
                <w:sz w:val="20"/>
                <w:szCs w:val="20"/>
                <w:color w:val="auto"/>
              </w:rPr>
            </w:pPr>
            <w:r>
              <w:rPr>
                <w:rFonts w:ascii="Arial" w:cs="Arial" w:eastAsia="Arial" w:hAnsi="Arial"/>
                <w:sz w:val="22"/>
                <w:szCs w:val="22"/>
                <w:b w:val="1"/>
                <w:bCs w:val="1"/>
                <w:color w:val="auto"/>
                <w:w w:val="88"/>
              </w:rPr>
              <w:t>Extended</w:t>
            </w:r>
          </w:p>
        </w:tc>
        <w:tc>
          <w:tcPr>
            <w:tcW w:w="4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2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Borders>
              <w:right w:val="single" w:sz="8" w:color="auto"/>
            </w:tcBorders>
            <w:gridSpan w:val="8"/>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right w:val="single" w:sz="8" w:color="auto"/>
            </w:tcBorders>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b w:val="1"/>
                <w:bCs w:val="1"/>
                <w:color w:val="auto"/>
                <w:w w:val="86"/>
              </w:rPr>
              <w:t>Agreement</w:t>
            </w:r>
          </w:p>
        </w:tc>
        <w:tc>
          <w:tcPr>
            <w:tcW w:w="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4"/>
          </w:tcPr>
          <w:p>
            <w:pPr>
              <w:jc w:val="center"/>
              <w:ind w:right="60"/>
              <w:spacing w:after="0" w:line="223" w:lineRule="exact"/>
              <w:rPr>
                <w:sz w:val="20"/>
                <w:szCs w:val="20"/>
                <w:color w:val="auto"/>
              </w:rPr>
            </w:pPr>
            <w:r>
              <w:rPr>
                <w:rFonts w:ascii="Arial" w:cs="Arial" w:eastAsia="Arial" w:hAnsi="Arial"/>
                <w:sz w:val="22"/>
                <w:szCs w:val="22"/>
                <w:b w:val="1"/>
                <w:bCs w:val="1"/>
                <w:color w:val="auto"/>
                <w:w w:val="90"/>
              </w:rPr>
              <w:t>Commitment</w:t>
            </w:r>
          </w:p>
        </w:tc>
        <w:tc>
          <w:tcPr>
            <w:tcW w:w="340" w:type="dxa"/>
            <w:vAlign w:val="bottom"/>
            <w:tcBorders>
              <w:right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75"/>
              </w:rPr>
              <w:t>Commitment</w:t>
            </w:r>
          </w:p>
        </w:tc>
        <w:tc>
          <w:tcPr>
            <w:tcW w:w="120" w:type="dxa"/>
            <w:vAlign w:val="bottom"/>
          </w:tcPr>
          <w:p>
            <w:pPr>
              <w:spacing w:after="0"/>
              <w:rPr>
                <w:sz w:val="19"/>
                <w:szCs w:val="19"/>
                <w:color w:val="auto"/>
              </w:rPr>
            </w:pPr>
          </w:p>
        </w:tc>
        <w:tc>
          <w:tcPr>
            <w:tcW w:w="380" w:type="dxa"/>
            <w:vAlign w:val="bottom"/>
            <w:tcBorders>
              <w:right w:val="single" w:sz="8" w:color="auto"/>
            </w:tcBorders>
            <w:gridSpan w:val="2"/>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0" w:type="dxa"/>
            <w:vAlign w:val="bottom"/>
            <w:tcBorders>
              <w:top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72"/>
              </w:rPr>
              <w:t>Commitment</w:t>
            </w:r>
          </w:p>
        </w:tc>
        <w:tc>
          <w:tcPr>
            <w:tcW w:w="100" w:type="dxa"/>
            <w:vAlign w:val="bottom"/>
            <w:gridSpan w:val="2"/>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36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1660" w:type="dxa"/>
            <w:vAlign w:val="bottom"/>
            <w:gridSpan w:val="6"/>
          </w:tcPr>
          <w:p>
            <w:pPr>
              <w:jc w:val="center"/>
              <w:ind w:left="270"/>
              <w:spacing w:after="0"/>
              <w:rPr>
                <w:sz w:val="20"/>
                <w:szCs w:val="20"/>
                <w:color w:val="auto"/>
              </w:rPr>
            </w:pPr>
            <w:r>
              <w:rPr>
                <w:rFonts w:ascii="Arial" w:cs="Arial" w:eastAsia="Arial" w:hAnsi="Arial"/>
                <w:sz w:val="18"/>
                <w:szCs w:val="18"/>
                <w:color w:val="auto"/>
                <w:w w:val="90"/>
              </w:rPr>
              <w:t>$157,777,777.78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4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jc w:val="center"/>
              <w:ind w:left="410"/>
              <w:spacing w:after="0"/>
              <w:rPr>
                <w:sz w:val="20"/>
                <w:szCs w:val="20"/>
                <w:color w:val="auto"/>
              </w:rPr>
            </w:pPr>
            <w:r>
              <w:rPr>
                <w:rFonts w:ascii="Arial" w:cs="Arial" w:eastAsia="Arial" w:hAnsi="Arial"/>
                <w:sz w:val="18"/>
                <w:szCs w:val="18"/>
                <w:color w:val="auto"/>
                <w:w w:val="89"/>
              </w:rPr>
              <w:t>$0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JPMorgan Chase Bank, N.A.</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Deutsche Bank AG New York Branch</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Morgan Stanley Bank, N.A.</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jc w:val="center"/>
              <w:ind w:left="410"/>
              <w:spacing w:after="0"/>
              <w:rPr>
                <w:sz w:val="20"/>
                <w:szCs w:val="20"/>
                <w:color w:val="auto"/>
              </w:rPr>
            </w:pPr>
            <w:r>
              <w:rPr>
                <w:rFonts w:ascii="Arial" w:cs="Arial" w:eastAsia="Arial" w:hAnsi="Arial"/>
                <w:sz w:val="18"/>
                <w:szCs w:val="18"/>
                <w:color w:val="auto"/>
                <w:w w:val="89"/>
              </w:rPr>
              <w:t>$0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Morgan Stanley Senior Funding, Inc.</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4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Wells Fargo Bank, National Association</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Citibank, N.A.</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The Bank of Tokyo-Mitsubishi UFJ, Ltd.</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0"/>
              </w:rPr>
              <w:t>$109,982,378.81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$47,776,880.45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Skandinaviska Enskilda Banken AB (publ)</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$77,461,471.16</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$33,649,639.95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The Toronto Dominion Bank, New York Branch</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$77,461,471.16</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$33,649,639.95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Royal Bank of Canada</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$69,715,324.05</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$30,284,675.95</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Standard Chartered Bank</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$62,743,791.64</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$27,256,208.36</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Barclays Bank plc</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$55,772,259.24</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$24,227,740.76</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HSBC Bank USA, N.A.</w:t>
            </w:r>
          </w:p>
        </w:tc>
        <w:tc>
          <w:tcPr>
            <w:tcW w:w="1660" w:type="dxa"/>
            <w:vAlign w:val="bottom"/>
            <w:gridSpan w:val="6"/>
          </w:tcPr>
          <w:p>
            <w:pPr>
              <w:jc w:val="center"/>
              <w:ind w:left="270"/>
              <w:spacing w:after="0"/>
              <w:rPr>
                <w:sz w:val="20"/>
                <w:szCs w:val="20"/>
                <w:color w:val="auto"/>
              </w:rPr>
            </w:pPr>
            <w:r>
              <w:rPr>
                <w:rFonts w:ascii="Arial" w:cs="Arial" w:eastAsia="Arial" w:hAnsi="Arial"/>
                <w:sz w:val="18"/>
                <w:szCs w:val="18"/>
                <w:color w:val="auto"/>
                <w:w w:val="87"/>
              </w:rPr>
              <w:t>$71,111,111.11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4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jc w:val="center"/>
              <w:ind w:left="410"/>
              <w:spacing w:after="0"/>
              <w:rPr>
                <w:sz w:val="20"/>
                <w:szCs w:val="20"/>
                <w:color w:val="auto"/>
              </w:rPr>
            </w:pPr>
            <w:r>
              <w:rPr>
                <w:rFonts w:ascii="Arial" w:cs="Arial" w:eastAsia="Arial" w:hAnsi="Arial"/>
                <w:sz w:val="18"/>
                <w:szCs w:val="18"/>
                <w:color w:val="auto"/>
                <w:w w:val="89"/>
              </w:rPr>
              <w:t>$0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Nordea Bank Norge Finland Plc, New York Branch</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$49,575,341.54</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$21,535,769.57</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Unicredit Bank AG, New York Branch</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$49,575,341.54</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$21,535,769.57</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Banco Bilbao Vizcaya Argentaria, S.A. New York Branch</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$27,886,129.62</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6"/>
          </w:tcPr>
          <w:p>
            <w:pPr>
              <w:jc w:val="center"/>
              <w:ind w:left="290"/>
              <w:spacing w:after="0"/>
              <w:rPr>
                <w:sz w:val="20"/>
                <w:szCs w:val="20"/>
                <w:color w:val="auto"/>
              </w:rPr>
            </w:pPr>
            <w:r>
              <w:rPr>
                <w:rFonts w:ascii="Arial" w:cs="Arial" w:eastAsia="Arial" w:hAnsi="Arial"/>
                <w:sz w:val="18"/>
                <w:szCs w:val="18"/>
                <w:color w:val="auto"/>
                <w:w w:val="89"/>
              </w:rPr>
              <w:t>$12,113,870.38</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Arab Banking Corporation, Grand Cayman</w:t>
            </w:r>
          </w:p>
        </w:tc>
        <w:tc>
          <w:tcPr>
            <w:tcW w:w="1560" w:type="dxa"/>
            <w:vAlign w:val="bottom"/>
            <w:gridSpan w:val="5"/>
          </w:tcPr>
          <w:p>
            <w:pPr>
              <w:jc w:val="center"/>
              <w:ind w:left="370"/>
              <w:spacing w:after="0"/>
              <w:rPr>
                <w:sz w:val="20"/>
                <w:szCs w:val="20"/>
                <w:color w:val="auto"/>
              </w:rPr>
            </w:pPr>
            <w:r>
              <w:rPr>
                <w:rFonts w:ascii="Arial" w:cs="Arial" w:eastAsia="Arial" w:hAnsi="Arial"/>
                <w:sz w:val="18"/>
                <w:szCs w:val="18"/>
                <w:color w:val="auto"/>
                <w:w w:val="89"/>
              </w:rPr>
              <w:t>$0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color w:val="auto"/>
                <w:w w:val="91"/>
              </w:rPr>
              <w:t>$20,914,597.21</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$9,085,402.79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6"/>
          </w:tcPr>
          <w:p>
            <w:pPr>
              <w:jc w:val="center"/>
              <w:ind w:left="270"/>
              <w:spacing w:after="0"/>
              <w:rPr>
                <w:sz w:val="20"/>
                <w:szCs w:val="20"/>
                <w:color w:val="auto"/>
              </w:rPr>
            </w:pPr>
            <w:r>
              <w:rPr>
                <w:rFonts w:ascii="Arial" w:cs="Arial" w:eastAsia="Arial" w:hAnsi="Arial"/>
                <w:sz w:val="18"/>
                <w:szCs w:val="18"/>
                <w:b w:val="1"/>
                <w:bCs w:val="1"/>
                <w:color w:val="auto"/>
                <w:w w:val="90"/>
              </w:rPr>
              <w:t>$228,888,888.89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1"/>
              </w:rPr>
              <w:t>$1,151,000,000</w:t>
            </w:r>
          </w:p>
        </w:tc>
        <w:tc>
          <w:tcPr>
            <w:tcW w:w="1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$500,000,000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1440"/>
          </w:cols>
          <w:pgMar w:left="240" w:top="360"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25"/>
          <w:szCs w:val="25"/>
          <w:b w:val="1"/>
          <w:bCs w:val="1"/>
          <w:color w:val="auto"/>
        </w:rPr>
        <w:t>Annex II</w:t>
      </w: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(See Exhibit 10.2 Amended and Restated Credit Agreement)</w:t>
      </w:r>
    </w:p>
    <w:p>
      <w:pPr>
        <w:sectPr>
          <w:pgSz w:w="11900" w:h="16838" w:orient="portrait"/>
          <w:cols w:equalWidth="0" w:num="1">
            <w:col w:w="10220"/>
          </w:cols>
          <w:pgMar w:left="1440" w:top="36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ANNEX VERSION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AMENDED AND RESTATED CREDIT AGREEMENT</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DATED AS OF MAY [●], 2016</w:t>
      </w:r>
    </w:p>
    <w:p>
      <w:pPr>
        <w:spacing w:after="0" w:line="218" w:lineRule="exact"/>
        <w:rPr>
          <w:sz w:val="20"/>
          <w:szCs w:val="20"/>
          <w:color w:val="auto"/>
        </w:rPr>
      </w:pPr>
    </w:p>
    <w:p>
      <w:pPr>
        <w:ind w:left="5300"/>
        <w:spacing w:after="0"/>
        <w:rPr>
          <w:sz w:val="20"/>
          <w:szCs w:val="20"/>
          <w:color w:val="auto"/>
        </w:rPr>
      </w:pPr>
      <w:r>
        <w:rPr>
          <w:rFonts w:ascii="Arial" w:cs="Arial" w:eastAsia="Arial" w:hAnsi="Arial"/>
          <w:sz w:val="21"/>
          <w:szCs w:val="21"/>
          <w:b w:val="1"/>
          <w:bCs w:val="1"/>
          <w:color w:val="auto"/>
        </w:rPr>
        <w:t>AMONG</w:t>
      </w:r>
    </w:p>
    <w:p>
      <w:pPr>
        <w:spacing w:after="0" w:line="218"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WEATHERFORD INTERNATIONAL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 BERMUDA EXEMPTED COMPANY,</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AND</w:t>
      </w:r>
    </w:p>
    <w:p>
      <w:pPr>
        <w:spacing w:after="0" w:line="218" w:lineRule="exact"/>
        <w:rPr>
          <w:sz w:val="20"/>
          <w:szCs w:val="20"/>
          <w:color w:val="auto"/>
        </w:rPr>
      </w:pPr>
    </w:p>
    <w:p>
      <w:pPr>
        <w:ind w:left="3520"/>
        <w:spacing w:after="0"/>
        <w:rPr>
          <w:sz w:val="20"/>
          <w:szCs w:val="20"/>
          <w:color w:val="auto"/>
        </w:rPr>
      </w:pPr>
      <w:r>
        <w:rPr>
          <w:rFonts w:ascii="Arial" w:cs="Arial" w:eastAsia="Arial" w:hAnsi="Arial"/>
          <w:sz w:val="21"/>
          <w:szCs w:val="21"/>
          <w:b w:val="1"/>
          <w:bCs w:val="1"/>
          <w:color w:val="auto"/>
        </w:rPr>
        <w:t>THE OTHER BORROWERS PARTY HERETO,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BORROWERS,</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WEATHERFORD INTERNATIONAL PLC,</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AN IRISH PUBLIC LIMITED COMPANY,</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THE LENDERS PARTY HERETO,</w:t>
      </w: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THE ISSUING BANKS NAMED HEREIN,</w:t>
      </w:r>
    </w:p>
    <w:p>
      <w:pPr>
        <w:spacing w:after="0" w:line="218"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AND</w:t>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JPMORGAN CHASE BANK, N.A.,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ADMINISTRATIVE AGENT AND A SWINGLINE LENDER</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21"/>
          <w:szCs w:val="21"/>
          <w:b w:val="1"/>
          <w:bCs w:val="1"/>
          <w:color w:val="auto"/>
        </w:rPr>
        <w:t>__________________________________________________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JPMORGAN CHASE BANK, N.A., DEUTSCHE BANK SECURITIES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WELLS FARGO SECURITIES, LLC, BANK OF TOKYO-MITSUBISHI UFJ, LTD., CITIGROUP GLOBAL MARKETS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MORGAN STANLEY SENIOR FUNDING,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JOINT LEAD ARRANGERS AND JOINT BOOKRUNNERS,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DEUTSCHE BANK SECURITIES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SYNDICATION AGENT,</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AND</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WELLS FARGO SECURITIES, LLC, BANK OF TOKYO-MITSUBISHI UFJ, LTD., CITIGROUP GLOBAL MARKETS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MORGAN STANLEY SENIOR FUNDING,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CO-DOCUMENTATION AGENTS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ACTIVE 214079716</w:t>
      </w:r>
    </w:p>
    <w:p>
      <w:pPr>
        <w:sectPr>
          <w:pgSz w:w="11900" w:h="16838" w:orient="portrait"/>
          <w:cols w:equalWidth="0" w:num="1">
            <w:col w:w="11420"/>
          </w:cols>
          <w:pgMar w:left="240" w:top="558" w:right="239" w:bottom="1440" w:gutter="0" w:footer="0" w:header="0"/>
        </w:sectPr>
      </w:pPr>
    </w:p>
    <w:bookmarkStart w:id="35" w:name="page36"/>
    <w:bookmarkEnd w:id="35"/>
    <w:p>
      <w:pPr>
        <w:ind w:left="45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60" w:type="dxa"/>
            <w:vAlign w:val="bottom"/>
            <w:gridSpan w:val="8"/>
          </w:tcPr>
          <w:p>
            <w:pPr>
              <w:jc w:val="center"/>
              <w:ind w:right="2820"/>
              <w:spacing w:after="0"/>
              <w:rPr>
                <w:sz w:val="20"/>
                <w:szCs w:val="20"/>
                <w:color w:val="auto"/>
              </w:rPr>
            </w:pPr>
            <w:r>
              <w:rPr>
                <w:rFonts w:ascii="Arial" w:cs="Arial" w:eastAsia="Arial" w:hAnsi="Arial"/>
                <w:sz w:val="22"/>
                <w:szCs w:val="22"/>
                <w:color w:val="010000"/>
                <w:w w:val="96"/>
              </w:rPr>
              <w:t>ARTICLE I</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9"/>
        </w:trPr>
        <w:tc>
          <w:tcPr>
            <w:tcW w:w="2580" w:type="dxa"/>
            <w:vAlign w:val="bottom"/>
          </w:tcPr>
          <w:p>
            <w:pPr>
              <w:spacing w:after="0"/>
              <w:rPr>
                <w:sz w:val="24"/>
                <w:szCs w:val="24"/>
                <w:color w:val="auto"/>
              </w:rPr>
            </w:pPr>
          </w:p>
        </w:tc>
        <w:tc>
          <w:tcPr>
            <w:tcW w:w="6900" w:type="dxa"/>
            <w:vAlign w:val="bottom"/>
            <w:gridSpan w:val="25"/>
          </w:tcPr>
          <w:p>
            <w:pPr>
              <w:jc w:val="center"/>
              <w:ind w:right="680"/>
              <w:spacing w:after="0"/>
              <w:rPr>
                <w:sz w:val="20"/>
                <w:szCs w:val="20"/>
                <w:color w:val="auto"/>
              </w:rPr>
            </w:pPr>
            <w:r>
              <w:rPr>
                <w:rFonts w:ascii="Arial" w:cs="Arial" w:eastAsia="Arial" w:hAnsi="Arial"/>
                <w:sz w:val="22"/>
                <w:szCs w:val="22"/>
                <w:color w:val="auto"/>
                <w:w w:val="95"/>
              </w:rPr>
              <w:t>DEFINITIONS; ACCOUNTING TERMS; INTERPRETATION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6"/>
        </w:trPr>
        <w:tc>
          <w:tcPr>
            <w:tcW w:w="2580" w:type="dxa"/>
            <w:vAlign w:val="bottom"/>
            <w:vMerge w:val="restart"/>
          </w:tcPr>
          <w:p>
            <w:pPr>
              <w:spacing w:after="0"/>
              <w:rPr>
                <w:sz w:val="20"/>
                <w:szCs w:val="20"/>
                <w:color w:val="auto"/>
              </w:rPr>
            </w:pPr>
            <w:r>
              <w:rPr>
                <w:rFonts w:ascii="Arial" w:cs="Arial" w:eastAsia="Arial" w:hAnsi="Arial"/>
                <w:sz w:val="22"/>
                <w:szCs w:val="22"/>
                <w:color w:val="010000"/>
              </w:rPr>
              <w:t>SECTION 1.01</w:t>
            </w:r>
          </w:p>
        </w:tc>
        <w:tc>
          <w:tcPr>
            <w:tcW w:w="6900" w:type="dxa"/>
            <w:vAlign w:val="bottom"/>
            <w:gridSpan w:val="25"/>
            <w:vMerge w:val="restart"/>
          </w:tcPr>
          <w:p>
            <w:pPr>
              <w:spacing w:after="0"/>
              <w:rPr>
                <w:sz w:val="20"/>
                <w:szCs w:val="20"/>
                <w:color w:val="auto"/>
              </w:rPr>
            </w:pPr>
            <w:r>
              <w:rPr>
                <w:rFonts w:ascii="Arial" w:cs="Arial" w:eastAsia="Arial" w:hAnsi="Arial"/>
                <w:sz w:val="22"/>
                <w:szCs w:val="22"/>
                <w:color w:val="auto"/>
              </w:rPr>
              <w:t>Definitions</w:t>
            </w:r>
          </w:p>
        </w:tc>
        <w:tc>
          <w:tcPr>
            <w:tcW w:w="1240" w:type="dxa"/>
            <w:vAlign w:val="bottom"/>
          </w:tcPr>
          <w:p>
            <w:pPr>
              <w:jc w:val="center"/>
              <w:ind w:left="89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166"/>
        </w:trPr>
        <w:tc>
          <w:tcPr>
            <w:tcW w:w="2580" w:type="dxa"/>
            <w:vAlign w:val="bottom"/>
            <w:vMerge w:val="continue"/>
          </w:tcPr>
          <w:p>
            <w:pPr>
              <w:spacing w:after="0"/>
              <w:rPr>
                <w:sz w:val="14"/>
                <w:szCs w:val="14"/>
                <w:color w:val="auto"/>
              </w:rPr>
            </w:pPr>
          </w:p>
        </w:tc>
        <w:tc>
          <w:tcPr>
            <w:tcW w:w="6900" w:type="dxa"/>
            <w:vAlign w:val="bottom"/>
            <w:gridSpan w:val="25"/>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vMerge w:val="restart"/>
          </w:tcPr>
          <w:p>
            <w:pPr>
              <w:jc w:val="center"/>
              <w:ind w:left="912"/>
              <w:spacing w:after="0"/>
              <w:rPr>
                <w:sz w:val="20"/>
                <w:szCs w:val="20"/>
                <w:color w:val="auto"/>
              </w:rPr>
            </w:pPr>
            <w:r>
              <w:rPr>
                <w:rFonts w:ascii="Arial" w:cs="Arial" w:eastAsia="Arial" w:hAnsi="Arial"/>
                <w:sz w:val="22"/>
                <w:szCs w:val="22"/>
                <w:color w:val="auto"/>
                <w:w w:val="89"/>
              </w:rPr>
              <w:t>46</w:t>
            </w:r>
          </w:p>
        </w:tc>
        <w:tc>
          <w:tcPr>
            <w:tcW w:w="0" w:type="dxa"/>
            <w:vAlign w:val="bottom"/>
          </w:tcPr>
          <w:p>
            <w:pPr>
              <w:spacing w:after="0" w:line="20" w:lineRule="exact"/>
              <w:rPr>
                <w:sz w:val="1"/>
                <w:szCs w:val="1"/>
                <w:color w:val="auto"/>
              </w:rPr>
            </w:pPr>
          </w:p>
        </w:tc>
      </w:tr>
      <w:tr>
        <w:trPr>
          <w:trHeight w:val="544"/>
        </w:trPr>
        <w:tc>
          <w:tcPr>
            <w:tcW w:w="2580" w:type="dxa"/>
            <w:vAlign w:val="bottom"/>
            <w:vMerge w:val="restart"/>
          </w:tcPr>
          <w:p>
            <w:pPr>
              <w:spacing w:after="0"/>
              <w:rPr>
                <w:sz w:val="20"/>
                <w:szCs w:val="20"/>
                <w:color w:val="auto"/>
              </w:rPr>
            </w:pPr>
            <w:r>
              <w:rPr>
                <w:rFonts w:ascii="Arial" w:cs="Arial" w:eastAsia="Arial" w:hAnsi="Arial"/>
                <w:sz w:val="22"/>
                <w:szCs w:val="22"/>
                <w:color w:val="010000"/>
              </w:rPr>
              <w:t>SECTION 1.02</w:t>
            </w:r>
          </w:p>
        </w:tc>
        <w:tc>
          <w:tcPr>
            <w:tcW w:w="1760" w:type="dxa"/>
            <w:vAlign w:val="bottom"/>
            <w:gridSpan w:val="11"/>
            <w:vMerge w:val="restart"/>
          </w:tcPr>
          <w:p>
            <w:pPr>
              <w:spacing w:after="0"/>
              <w:rPr>
                <w:sz w:val="20"/>
                <w:szCs w:val="20"/>
                <w:color w:val="auto"/>
              </w:rPr>
            </w:pPr>
            <w:r>
              <w:rPr>
                <w:rFonts w:ascii="Arial" w:cs="Arial" w:eastAsia="Arial" w:hAnsi="Arial"/>
                <w:sz w:val="22"/>
                <w:szCs w:val="22"/>
                <w:color w:val="auto"/>
                <w:w w:val="86"/>
              </w:rPr>
              <w:t>Types of Borrowings</w:t>
            </w:r>
          </w:p>
        </w:tc>
        <w:tc>
          <w:tcPr>
            <w:tcW w:w="5140" w:type="dxa"/>
            <w:vAlign w:val="bottom"/>
            <w:gridSpan w:val="14"/>
            <w:vMerge w:val="restart"/>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760" w:type="dxa"/>
            <w:vAlign w:val="bottom"/>
            <w:tcBorders>
              <w:bottom w:val="single" w:sz="8" w:color="auto"/>
            </w:tcBorders>
            <w:gridSpan w:val="11"/>
            <w:vMerge w:val="continue"/>
          </w:tcPr>
          <w:p>
            <w:pPr>
              <w:spacing w:after="0"/>
              <w:rPr>
                <w:sz w:val="14"/>
                <w:szCs w:val="14"/>
                <w:color w:val="auto"/>
              </w:rPr>
            </w:pPr>
          </w:p>
        </w:tc>
        <w:tc>
          <w:tcPr>
            <w:tcW w:w="5140" w:type="dxa"/>
            <w:vAlign w:val="bottom"/>
            <w:gridSpan w:val="14"/>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4"/>
        </w:trPr>
        <w:tc>
          <w:tcPr>
            <w:tcW w:w="2580" w:type="dxa"/>
            <w:vAlign w:val="bottom"/>
            <w:vMerge w:val="restart"/>
          </w:tcPr>
          <w:p>
            <w:pPr>
              <w:spacing w:after="0"/>
              <w:rPr>
                <w:sz w:val="20"/>
                <w:szCs w:val="20"/>
                <w:color w:val="auto"/>
              </w:rPr>
            </w:pPr>
            <w:r>
              <w:rPr>
                <w:rFonts w:ascii="Arial" w:cs="Arial" w:eastAsia="Arial" w:hAnsi="Arial"/>
                <w:sz w:val="22"/>
                <w:szCs w:val="22"/>
                <w:color w:val="010000"/>
              </w:rPr>
              <w:t>SECTION 1.03</w:t>
            </w:r>
          </w:p>
        </w:tc>
        <w:tc>
          <w:tcPr>
            <w:tcW w:w="3260" w:type="dxa"/>
            <w:vAlign w:val="bottom"/>
            <w:gridSpan w:val="18"/>
            <w:vMerge w:val="restart"/>
          </w:tcPr>
          <w:p>
            <w:pPr>
              <w:spacing w:after="0"/>
              <w:rPr>
                <w:sz w:val="20"/>
                <w:szCs w:val="20"/>
                <w:color w:val="auto"/>
              </w:rPr>
            </w:pPr>
            <w:r>
              <w:rPr>
                <w:rFonts w:ascii="Arial" w:cs="Arial" w:eastAsia="Arial" w:hAnsi="Arial"/>
                <w:sz w:val="22"/>
                <w:szCs w:val="22"/>
                <w:color w:val="auto"/>
                <w:w w:val="88"/>
              </w:rPr>
              <w:t>Accounting Terms; Changes in GAAP</w:t>
            </w:r>
          </w:p>
        </w:tc>
        <w:tc>
          <w:tcPr>
            <w:tcW w:w="3640" w:type="dxa"/>
            <w:vAlign w:val="bottom"/>
            <w:gridSpan w:val="7"/>
            <w:vMerge w:val="restart"/>
          </w:tcPr>
          <w:p>
            <w:pPr>
              <w:spacing w:after="0"/>
              <w:rPr>
                <w:sz w:val="24"/>
                <w:szCs w:val="24"/>
                <w:color w:val="auto"/>
              </w:rPr>
            </w:pPr>
          </w:p>
        </w:tc>
        <w:tc>
          <w:tcPr>
            <w:tcW w:w="1240" w:type="dxa"/>
            <w:vAlign w:val="bottom"/>
          </w:tcPr>
          <w:p>
            <w:pPr>
              <w:jc w:val="center"/>
              <w:ind w:left="912"/>
              <w:spacing w:after="0"/>
              <w:rPr>
                <w:sz w:val="20"/>
                <w:szCs w:val="20"/>
                <w:color w:val="auto"/>
              </w:rPr>
            </w:pPr>
            <w:r>
              <w:rPr>
                <w:rFonts w:ascii="Arial" w:cs="Arial" w:eastAsia="Arial" w:hAnsi="Arial"/>
                <w:sz w:val="22"/>
                <w:szCs w:val="22"/>
                <w:color w:val="auto"/>
                <w:w w:val="89"/>
              </w:rPr>
              <w:t>46</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3260" w:type="dxa"/>
            <w:vAlign w:val="bottom"/>
            <w:tcBorders>
              <w:bottom w:val="single" w:sz="8" w:color="auto"/>
            </w:tcBorders>
            <w:gridSpan w:val="18"/>
            <w:vMerge w:val="continue"/>
          </w:tcPr>
          <w:p>
            <w:pPr>
              <w:spacing w:after="0"/>
              <w:rPr>
                <w:sz w:val="14"/>
                <w:szCs w:val="14"/>
                <w:color w:val="auto"/>
              </w:rPr>
            </w:pPr>
          </w:p>
        </w:tc>
        <w:tc>
          <w:tcPr>
            <w:tcW w:w="3640" w:type="dxa"/>
            <w:vAlign w:val="bottom"/>
            <w:gridSpan w:val="7"/>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4"/>
        </w:trPr>
        <w:tc>
          <w:tcPr>
            <w:tcW w:w="2580" w:type="dxa"/>
            <w:vAlign w:val="bottom"/>
            <w:vMerge w:val="restart"/>
          </w:tcPr>
          <w:p>
            <w:pPr>
              <w:spacing w:after="0"/>
              <w:rPr>
                <w:sz w:val="20"/>
                <w:szCs w:val="20"/>
                <w:color w:val="auto"/>
              </w:rPr>
            </w:pPr>
            <w:r>
              <w:rPr>
                <w:rFonts w:ascii="Arial" w:cs="Arial" w:eastAsia="Arial" w:hAnsi="Arial"/>
                <w:sz w:val="22"/>
                <w:szCs w:val="22"/>
                <w:color w:val="010000"/>
              </w:rPr>
              <w:t>SECTION 1.04</w:t>
            </w:r>
          </w:p>
        </w:tc>
        <w:tc>
          <w:tcPr>
            <w:tcW w:w="1120" w:type="dxa"/>
            <w:vAlign w:val="bottom"/>
            <w:gridSpan w:val="5"/>
            <w:vMerge w:val="restart"/>
          </w:tcPr>
          <w:p>
            <w:pPr>
              <w:spacing w:after="0"/>
              <w:rPr>
                <w:sz w:val="20"/>
                <w:szCs w:val="20"/>
                <w:color w:val="auto"/>
              </w:rPr>
            </w:pPr>
            <w:r>
              <w:rPr>
                <w:rFonts w:ascii="Arial" w:cs="Arial" w:eastAsia="Arial" w:hAnsi="Arial"/>
                <w:sz w:val="22"/>
                <w:szCs w:val="22"/>
                <w:color w:val="auto"/>
                <w:w w:val="84"/>
              </w:rPr>
              <w:t>Interpretation</w:t>
            </w:r>
          </w:p>
        </w:tc>
        <w:tc>
          <w:tcPr>
            <w:tcW w:w="5780" w:type="dxa"/>
            <w:vAlign w:val="bottom"/>
            <w:gridSpan w:val="20"/>
            <w:vMerge w:val="restart"/>
          </w:tcPr>
          <w:p>
            <w:pPr>
              <w:spacing w:after="0"/>
              <w:rPr>
                <w:sz w:val="24"/>
                <w:szCs w:val="24"/>
                <w:color w:val="auto"/>
              </w:rPr>
            </w:pPr>
          </w:p>
        </w:tc>
        <w:tc>
          <w:tcPr>
            <w:tcW w:w="1240" w:type="dxa"/>
            <w:vAlign w:val="bottom"/>
          </w:tcPr>
          <w:p>
            <w:pPr>
              <w:jc w:val="center"/>
              <w:ind w:left="912"/>
              <w:spacing w:after="0"/>
              <w:rPr>
                <w:sz w:val="20"/>
                <w:szCs w:val="20"/>
                <w:color w:val="auto"/>
              </w:rPr>
            </w:pPr>
            <w:r>
              <w:rPr>
                <w:rFonts w:ascii="Arial" w:cs="Arial" w:eastAsia="Arial" w:hAnsi="Arial"/>
                <w:sz w:val="22"/>
                <w:szCs w:val="22"/>
                <w:color w:val="auto"/>
                <w:w w:val="89"/>
              </w:rPr>
              <w:t>47</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5780" w:type="dxa"/>
            <w:vAlign w:val="bottom"/>
            <w:gridSpan w:val="20"/>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4"/>
        </w:trPr>
        <w:tc>
          <w:tcPr>
            <w:tcW w:w="2580" w:type="dxa"/>
            <w:vAlign w:val="bottom"/>
            <w:vMerge w:val="restart"/>
          </w:tcPr>
          <w:p>
            <w:pPr>
              <w:spacing w:after="0"/>
              <w:rPr>
                <w:sz w:val="20"/>
                <w:szCs w:val="20"/>
                <w:color w:val="auto"/>
              </w:rPr>
            </w:pPr>
            <w:r>
              <w:rPr>
                <w:rFonts w:ascii="Arial" w:cs="Arial" w:eastAsia="Arial" w:hAnsi="Arial"/>
                <w:sz w:val="22"/>
                <w:szCs w:val="22"/>
                <w:color w:val="010000"/>
              </w:rPr>
              <w:t>SECTION 1.05</w:t>
            </w:r>
          </w:p>
        </w:tc>
        <w:tc>
          <w:tcPr>
            <w:tcW w:w="6900" w:type="dxa"/>
            <w:vAlign w:val="bottom"/>
            <w:gridSpan w:val="25"/>
            <w:vMerge w:val="restart"/>
          </w:tcPr>
          <w:p>
            <w:pPr>
              <w:spacing w:after="0"/>
              <w:rPr>
                <w:sz w:val="20"/>
                <w:szCs w:val="20"/>
                <w:color w:val="auto"/>
              </w:rPr>
            </w:pPr>
            <w:r>
              <w:rPr>
                <w:rFonts w:ascii="Arial" w:cs="Arial" w:eastAsia="Arial" w:hAnsi="Arial"/>
                <w:sz w:val="22"/>
                <w:szCs w:val="22"/>
                <w:color w:val="auto"/>
              </w:rPr>
              <w:t>Amendment and Restatement of Existing Credit Agreement</w:t>
            </w:r>
          </w:p>
        </w:tc>
        <w:tc>
          <w:tcPr>
            <w:tcW w:w="1240" w:type="dxa"/>
            <w:vAlign w:val="bottom"/>
          </w:tcPr>
          <w:p>
            <w:pPr>
              <w:jc w:val="center"/>
              <w:ind w:left="912"/>
              <w:spacing w:after="0"/>
              <w:rPr>
                <w:sz w:val="20"/>
                <w:szCs w:val="20"/>
                <w:color w:val="auto"/>
              </w:rPr>
            </w:pPr>
            <w:r>
              <w:rPr>
                <w:rFonts w:ascii="Arial" w:cs="Arial" w:eastAsia="Arial" w:hAnsi="Arial"/>
                <w:sz w:val="22"/>
                <w:szCs w:val="22"/>
                <w:color w:val="auto"/>
                <w:w w:val="89"/>
              </w:rPr>
              <w:t>49</w:t>
            </w:r>
          </w:p>
        </w:tc>
        <w:tc>
          <w:tcPr>
            <w:tcW w:w="0" w:type="dxa"/>
            <w:vAlign w:val="bottom"/>
          </w:tcPr>
          <w:p>
            <w:pPr>
              <w:spacing w:after="0"/>
              <w:rPr>
                <w:sz w:val="1"/>
                <w:szCs w:val="1"/>
                <w:color w:val="auto"/>
              </w:rPr>
            </w:pPr>
          </w:p>
        </w:tc>
      </w:tr>
      <w:tr>
        <w:trPr>
          <w:trHeight w:val="166"/>
        </w:trPr>
        <w:tc>
          <w:tcPr>
            <w:tcW w:w="2580" w:type="dxa"/>
            <w:vAlign w:val="bottom"/>
            <w:vMerge w:val="continue"/>
          </w:tcPr>
          <w:p>
            <w:pPr>
              <w:spacing w:after="0"/>
              <w:rPr>
                <w:sz w:val="14"/>
                <w:szCs w:val="14"/>
                <w:color w:val="auto"/>
              </w:rPr>
            </w:pPr>
          </w:p>
        </w:tc>
        <w:tc>
          <w:tcPr>
            <w:tcW w:w="6900" w:type="dxa"/>
            <w:vAlign w:val="bottom"/>
            <w:gridSpan w:val="25"/>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5"/>
        </w:trPr>
        <w:tc>
          <w:tcPr>
            <w:tcW w:w="2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gridSpan w:val="6"/>
          </w:tcPr>
          <w:p>
            <w:pPr>
              <w:jc w:val="center"/>
              <w:ind w:right="1020"/>
              <w:spacing w:after="0"/>
              <w:rPr>
                <w:sz w:val="20"/>
                <w:szCs w:val="20"/>
                <w:color w:val="auto"/>
              </w:rPr>
            </w:pPr>
            <w:r>
              <w:rPr>
                <w:rFonts w:ascii="Arial" w:cs="Arial" w:eastAsia="Arial" w:hAnsi="Arial"/>
                <w:sz w:val="22"/>
                <w:szCs w:val="22"/>
                <w:color w:val="010000"/>
                <w:w w:val="98"/>
              </w:rPr>
              <w:t>ARTICLE II</w:t>
            </w:r>
          </w:p>
        </w:tc>
        <w:tc>
          <w:tcPr>
            <w:tcW w:w="180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12"/>
          </w:tcPr>
          <w:p>
            <w:pPr>
              <w:jc w:val="center"/>
              <w:ind w:right="2540"/>
              <w:spacing w:after="0"/>
              <w:rPr>
                <w:sz w:val="20"/>
                <w:szCs w:val="20"/>
                <w:color w:val="auto"/>
              </w:rPr>
            </w:pPr>
            <w:r>
              <w:rPr>
                <w:rFonts w:ascii="Arial" w:cs="Arial" w:eastAsia="Arial" w:hAnsi="Arial"/>
                <w:sz w:val="22"/>
                <w:szCs w:val="22"/>
                <w:color w:val="010000"/>
                <w:w w:val="97"/>
              </w:rPr>
              <w:t>COMMITMENTS; LOANS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580" w:type="dxa"/>
            <w:vAlign w:val="bottom"/>
          </w:tcPr>
          <w:p>
            <w:pPr>
              <w:spacing w:after="0"/>
              <w:rPr>
                <w:sz w:val="20"/>
                <w:szCs w:val="20"/>
                <w:color w:val="auto"/>
              </w:rPr>
            </w:pPr>
            <w:r>
              <w:rPr>
                <w:rFonts w:ascii="Arial" w:cs="Arial" w:eastAsia="Arial" w:hAnsi="Arial"/>
                <w:sz w:val="22"/>
                <w:szCs w:val="22"/>
                <w:color w:val="010000"/>
              </w:rPr>
              <w:t>SECTION 2.01</w:t>
            </w:r>
          </w:p>
        </w:tc>
        <w:tc>
          <w:tcPr>
            <w:tcW w:w="202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87"/>
              </w:rPr>
              <w:t>Revolving Credit Loans</w:t>
            </w:r>
          </w:p>
        </w:tc>
        <w:tc>
          <w:tcPr>
            <w:tcW w:w="4880" w:type="dxa"/>
            <w:vAlign w:val="bottom"/>
            <w:gridSpan w:val="10"/>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49</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2.02</w:t>
            </w:r>
          </w:p>
        </w:tc>
        <w:tc>
          <w:tcPr>
            <w:tcW w:w="446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8"/>
              </w:rPr>
              <w:t>Requests for Borrowings of Revolving Credit Loans</w:t>
            </w:r>
          </w:p>
        </w:tc>
        <w:tc>
          <w:tcPr>
            <w:tcW w:w="2440" w:type="dxa"/>
            <w:vAlign w:val="bottom"/>
            <w:gridSpan w:val="4"/>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50</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2.03</w:t>
            </w:r>
          </w:p>
        </w:tc>
        <w:tc>
          <w:tcPr>
            <w:tcW w:w="140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6"/>
              </w:rPr>
              <w:t>Swingline Loans</w:t>
            </w:r>
          </w:p>
        </w:tc>
        <w:tc>
          <w:tcPr>
            <w:tcW w:w="5500" w:type="dxa"/>
            <w:vAlign w:val="bottom"/>
            <w:gridSpan w:val="18"/>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51</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2.04</w:t>
            </w:r>
          </w:p>
        </w:tc>
        <w:tc>
          <w:tcPr>
            <w:tcW w:w="6900" w:type="dxa"/>
            <w:vAlign w:val="bottom"/>
            <w:gridSpan w:val="25"/>
          </w:tcPr>
          <w:p>
            <w:pPr>
              <w:spacing w:after="0"/>
              <w:rPr>
                <w:sz w:val="20"/>
                <w:szCs w:val="20"/>
                <w:color w:val="auto"/>
              </w:rPr>
            </w:pPr>
            <w:r>
              <w:rPr>
                <w:rFonts w:ascii="Arial" w:cs="Arial" w:eastAsia="Arial" w:hAnsi="Arial"/>
                <w:sz w:val="22"/>
                <w:szCs w:val="22"/>
                <w:color w:val="auto"/>
              </w:rPr>
              <w:t>Funding of Borrowings</w:t>
            </w: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54</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2.05</w:t>
            </w:r>
          </w:p>
        </w:tc>
        <w:tc>
          <w:tcPr>
            <w:tcW w:w="14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2"/>
                <w:szCs w:val="22"/>
                <w:color w:val="auto"/>
                <w:w w:val="84"/>
              </w:rPr>
              <w:t>Interest Elections</w:t>
            </w:r>
          </w:p>
        </w:tc>
        <w:tc>
          <w:tcPr>
            <w:tcW w:w="520" w:type="dxa"/>
            <w:vAlign w:val="bottom"/>
            <w:tcBorders>
              <w:top w:val="single" w:sz="8" w:color="auto"/>
            </w:tcBorders>
            <w:gridSpan w:val="6"/>
          </w:tcPr>
          <w:p>
            <w:pPr>
              <w:spacing w:after="0"/>
              <w:rPr>
                <w:sz w:val="24"/>
                <w:szCs w:val="24"/>
                <w:color w:val="auto"/>
              </w:rPr>
            </w:pPr>
          </w:p>
        </w:tc>
        <w:tc>
          <w:tcPr>
            <w:tcW w:w="4940" w:type="dxa"/>
            <w:vAlign w:val="bottom"/>
            <w:gridSpan w:val="11"/>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55</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2.06</w:t>
            </w:r>
          </w:p>
        </w:tc>
        <w:tc>
          <w:tcPr>
            <w:tcW w:w="6900" w:type="dxa"/>
            <w:vAlign w:val="bottom"/>
            <w:gridSpan w:val="25"/>
          </w:tcPr>
          <w:p>
            <w:pPr>
              <w:spacing w:after="0"/>
              <w:rPr>
                <w:sz w:val="20"/>
                <w:szCs w:val="20"/>
                <w:color w:val="auto"/>
              </w:rPr>
            </w:pPr>
            <w:r>
              <w:rPr>
                <w:rFonts w:ascii="Arial" w:cs="Arial" w:eastAsia="Arial" w:hAnsi="Arial"/>
                <w:sz w:val="22"/>
                <w:szCs w:val="22"/>
                <w:color w:val="auto"/>
              </w:rPr>
              <w:t>Termination and Reduction of Commitments</w:t>
            </w: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56</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2.07</w:t>
            </w:r>
          </w:p>
        </w:tc>
        <w:tc>
          <w:tcPr>
            <w:tcW w:w="3800" w:type="dxa"/>
            <w:vAlign w:val="bottom"/>
            <w:tcBorders>
              <w:top w:val="single" w:sz="8" w:color="auto"/>
            </w:tcBorders>
            <w:gridSpan w:val="20"/>
          </w:tcPr>
          <w:p>
            <w:pPr>
              <w:spacing w:after="0"/>
              <w:rPr>
                <w:sz w:val="20"/>
                <w:szCs w:val="20"/>
                <w:color w:val="auto"/>
              </w:rPr>
            </w:pPr>
            <w:r>
              <w:rPr>
                <w:rFonts w:ascii="Arial" w:cs="Arial" w:eastAsia="Arial" w:hAnsi="Arial"/>
                <w:sz w:val="22"/>
                <w:szCs w:val="22"/>
                <w:color w:val="auto"/>
                <w:w w:val="98"/>
              </w:rPr>
              <w:t>Repayment of Loans; Evidence of Debt</w:t>
            </w:r>
          </w:p>
        </w:tc>
        <w:tc>
          <w:tcPr>
            <w:tcW w:w="3100" w:type="dxa"/>
            <w:vAlign w:val="bottom"/>
            <w:gridSpan w:val="5"/>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58</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2.08</w:t>
            </w:r>
          </w:p>
        </w:tc>
        <w:tc>
          <w:tcPr>
            <w:tcW w:w="3360" w:type="dxa"/>
            <w:vAlign w:val="bottom"/>
            <w:tcBorders>
              <w:top w:val="single" w:sz="8" w:color="auto"/>
            </w:tcBorders>
            <w:gridSpan w:val="19"/>
          </w:tcPr>
          <w:p>
            <w:pPr>
              <w:spacing w:after="0"/>
              <w:rPr>
                <w:sz w:val="20"/>
                <w:szCs w:val="20"/>
                <w:color w:val="auto"/>
              </w:rPr>
            </w:pPr>
            <w:r>
              <w:rPr>
                <w:rFonts w:ascii="Arial" w:cs="Arial" w:eastAsia="Arial" w:hAnsi="Arial"/>
                <w:sz w:val="22"/>
                <w:szCs w:val="22"/>
                <w:color w:val="auto"/>
              </w:rPr>
              <w:t>Prepayment of Loans</w:t>
            </w:r>
          </w:p>
        </w:tc>
        <w:tc>
          <w:tcPr>
            <w:tcW w:w="3540" w:type="dxa"/>
            <w:vAlign w:val="bottom"/>
            <w:gridSpan w:val="6"/>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59</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2.09</w:t>
            </w:r>
          </w:p>
        </w:tc>
        <w:tc>
          <w:tcPr>
            <w:tcW w:w="178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Fees</w:t>
            </w:r>
          </w:p>
        </w:tc>
        <w:tc>
          <w:tcPr>
            <w:tcW w:w="5120" w:type="dxa"/>
            <w:vAlign w:val="bottom"/>
            <w:gridSpan w:val="13"/>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60</w:t>
            </w:r>
          </w:p>
        </w:tc>
        <w:tc>
          <w:tcPr>
            <w:tcW w:w="0" w:type="dxa"/>
            <w:vAlign w:val="bottom"/>
          </w:tcPr>
          <w:p>
            <w:pPr>
              <w:spacing w:after="0"/>
              <w:rPr>
                <w:sz w:val="1"/>
                <w:szCs w:val="1"/>
                <w:color w:val="auto"/>
              </w:rPr>
            </w:pPr>
          </w:p>
        </w:tc>
      </w:tr>
      <w:tr>
        <w:trPr>
          <w:trHeight w:val="20"/>
        </w:trPr>
        <w:tc>
          <w:tcPr>
            <w:tcW w:w="2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2.10</w:t>
            </w:r>
          </w:p>
        </w:tc>
        <w:tc>
          <w:tcPr>
            <w:tcW w:w="6900" w:type="dxa"/>
            <w:vAlign w:val="bottom"/>
            <w:gridSpan w:val="25"/>
          </w:tcPr>
          <w:p>
            <w:pPr>
              <w:spacing w:after="0"/>
              <w:rPr>
                <w:sz w:val="20"/>
                <w:szCs w:val="20"/>
                <w:color w:val="auto"/>
              </w:rPr>
            </w:pPr>
            <w:r>
              <w:rPr>
                <w:rFonts w:ascii="Arial" w:cs="Arial" w:eastAsia="Arial" w:hAnsi="Arial"/>
                <w:sz w:val="22"/>
                <w:szCs w:val="22"/>
                <w:color w:val="auto"/>
              </w:rPr>
              <w:t>Interest</w:t>
            </w: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62</w:t>
            </w:r>
          </w:p>
        </w:tc>
        <w:tc>
          <w:tcPr>
            <w:tcW w:w="0" w:type="dxa"/>
            <w:vAlign w:val="bottom"/>
          </w:tcPr>
          <w:p>
            <w:pPr>
              <w:spacing w:after="0"/>
              <w:rPr>
                <w:sz w:val="1"/>
                <w:szCs w:val="1"/>
                <w:color w:val="auto"/>
              </w:rPr>
            </w:pPr>
          </w:p>
        </w:tc>
      </w:tr>
      <w:tr>
        <w:trPr>
          <w:trHeight w:val="20"/>
        </w:trPr>
        <w:tc>
          <w:tcPr>
            <w:tcW w:w="258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2.11</w:t>
            </w:r>
          </w:p>
        </w:tc>
        <w:tc>
          <w:tcPr>
            <w:tcW w:w="214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86"/>
              </w:rPr>
              <w:t>Alternate Rate of Interest</w:t>
            </w:r>
          </w:p>
        </w:tc>
        <w:tc>
          <w:tcPr>
            <w:tcW w:w="4760" w:type="dxa"/>
            <w:vAlign w:val="bottom"/>
            <w:gridSpan w:val="8"/>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63</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2.12</w:t>
            </w: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0"/>
              </w:rPr>
              <w:t>Increased Costs</w:t>
            </w:r>
          </w:p>
        </w:tc>
        <w:tc>
          <w:tcPr>
            <w:tcW w:w="5600" w:type="dxa"/>
            <w:vAlign w:val="bottom"/>
            <w:gridSpan w:val="19"/>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64</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2.13</w:t>
            </w:r>
          </w:p>
        </w:tc>
        <w:tc>
          <w:tcPr>
            <w:tcW w:w="212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85"/>
              </w:rPr>
              <w:t>Break Funding Payments</w:t>
            </w:r>
          </w:p>
        </w:tc>
        <w:tc>
          <w:tcPr>
            <w:tcW w:w="4780" w:type="dxa"/>
            <w:vAlign w:val="bottom"/>
            <w:gridSpan w:val="9"/>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65</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2.14</w:t>
            </w:r>
          </w:p>
        </w:tc>
        <w:tc>
          <w:tcPr>
            <w:tcW w:w="6900" w:type="dxa"/>
            <w:vAlign w:val="bottom"/>
            <w:gridSpan w:val="25"/>
          </w:tcPr>
          <w:p>
            <w:pPr>
              <w:spacing w:after="0"/>
              <w:rPr>
                <w:sz w:val="20"/>
                <w:szCs w:val="20"/>
                <w:color w:val="auto"/>
              </w:rPr>
            </w:pPr>
            <w:r>
              <w:rPr>
                <w:rFonts w:ascii="Arial" w:cs="Arial" w:eastAsia="Arial" w:hAnsi="Arial"/>
                <w:sz w:val="22"/>
                <w:szCs w:val="22"/>
                <w:color w:val="auto"/>
              </w:rPr>
              <w:t>Agreement to Defer Exercise of Right of Contribution, Etc.</w:t>
            </w: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66</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2.15</w:t>
            </w:r>
          </w:p>
        </w:tc>
        <w:tc>
          <w:tcPr>
            <w:tcW w:w="5060" w:type="dxa"/>
            <w:vAlign w:val="bottom"/>
            <w:tcBorders>
              <w:top w:val="single" w:sz="8" w:color="auto"/>
            </w:tcBorders>
            <w:gridSpan w:val="22"/>
          </w:tcPr>
          <w:p>
            <w:pPr>
              <w:spacing w:after="0"/>
              <w:rPr>
                <w:sz w:val="20"/>
                <w:szCs w:val="20"/>
                <w:color w:val="auto"/>
              </w:rPr>
            </w:pPr>
            <w:r>
              <w:rPr>
                <w:rFonts w:ascii="Arial" w:cs="Arial" w:eastAsia="Arial" w:hAnsi="Arial"/>
                <w:sz w:val="22"/>
                <w:szCs w:val="22"/>
                <w:color w:val="auto"/>
              </w:rPr>
              <w:t>[RESERVED]</w:t>
            </w:r>
          </w:p>
        </w:tc>
        <w:tc>
          <w:tcPr>
            <w:tcW w:w="1840" w:type="dxa"/>
            <w:vAlign w:val="bottom"/>
            <w:gridSpan w:val="3"/>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2.16</w:t>
            </w:r>
          </w:p>
        </w:tc>
        <w:tc>
          <w:tcPr>
            <w:tcW w:w="6900" w:type="dxa"/>
            <w:vAlign w:val="bottom"/>
            <w:gridSpan w:val="25"/>
          </w:tcPr>
          <w:p>
            <w:pPr>
              <w:spacing w:after="0"/>
              <w:rPr>
                <w:sz w:val="20"/>
                <w:szCs w:val="20"/>
                <w:color w:val="auto"/>
              </w:rPr>
            </w:pPr>
            <w:r>
              <w:rPr>
                <w:rFonts w:ascii="Arial" w:cs="Arial" w:eastAsia="Arial" w:hAnsi="Arial"/>
                <w:sz w:val="22"/>
                <w:szCs w:val="22"/>
                <w:color w:val="auto"/>
              </w:rPr>
              <w:t>Determination of Exchange Rates; Prepayment of Loans as a Result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5800" w:type="dxa"/>
            <w:vAlign w:val="bottom"/>
            <w:tcBorders>
              <w:top w:val="single" w:sz="8" w:color="auto"/>
            </w:tcBorders>
            <w:gridSpan w:val="24"/>
          </w:tcPr>
          <w:p>
            <w:pPr>
              <w:spacing w:after="0"/>
              <w:rPr>
                <w:sz w:val="20"/>
                <w:szCs w:val="20"/>
                <w:color w:val="auto"/>
              </w:rPr>
            </w:pPr>
            <w:r>
              <w:rPr>
                <w:rFonts w:ascii="Arial" w:cs="Arial" w:eastAsia="Arial" w:hAnsi="Arial"/>
                <w:sz w:val="22"/>
                <w:szCs w:val="22"/>
                <w:color w:val="auto"/>
              </w:rPr>
              <w:t>Currency Fluctuations</w:t>
            </w:r>
          </w:p>
        </w:tc>
        <w:tc>
          <w:tcPr>
            <w:tcW w:w="1100" w:type="dxa"/>
            <w:vAlign w:val="bottom"/>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66</w:t>
            </w: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0"/>
                <w:szCs w:val="20"/>
                <w:color w:val="auto"/>
              </w:rPr>
            </w:pPr>
            <w:r>
              <w:rPr>
                <w:rFonts w:ascii="Arial" w:cs="Arial" w:eastAsia="Arial" w:hAnsi="Arial"/>
                <w:sz w:val="22"/>
                <w:szCs w:val="22"/>
                <w:color w:val="010000"/>
              </w:rPr>
              <w:t>SECTION 2.17</w:t>
            </w:r>
          </w:p>
        </w:tc>
        <w:tc>
          <w:tcPr>
            <w:tcW w:w="1860" w:type="dxa"/>
            <w:vAlign w:val="bottom"/>
            <w:tcBorders>
              <w:top w:val="single" w:sz="8" w:color="auto"/>
            </w:tcBorders>
            <w:gridSpan w:val="13"/>
          </w:tcPr>
          <w:p>
            <w:pPr>
              <w:spacing w:after="0"/>
              <w:rPr>
                <w:sz w:val="20"/>
                <w:szCs w:val="20"/>
                <w:color w:val="auto"/>
              </w:rPr>
            </w:pPr>
            <w:r>
              <w:rPr>
                <w:rFonts w:ascii="Arial" w:cs="Arial" w:eastAsia="Arial" w:hAnsi="Arial"/>
                <w:sz w:val="22"/>
                <w:szCs w:val="22"/>
                <w:color w:val="auto"/>
                <w:w w:val="99"/>
              </w:rPr>
              <w:t>Defaulting Lenders</w:t>
            </w:r>
          </w:p>
        </w:tc>
        <w:tc>
          <w:tcPr>
            <w:tcW w:w="5040" w:type="dxa"/>
            <w:vAlign w:val="bottom"/>
            <w:gridSpan w:val="12"/>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67</w:t>
            </w:r>
          </w:p>
        </w:tc>
        <w:tc>
          <w:tcPr>
            <w:tcW w:w="0" w:type="dxa"/>
            <w:vAlign w:val="bottom"/>
          </w:tcPr>
          <w:p>
            <w:pPr>
              <w:spacing w:after="0"/>
              <w:rPr>
                <w:sz w:val="1"/>
                <w:szCs w:val="1"/>
                <w:color w:val="auto"/>
              </w:rPr>
            </w:pPr>
          </w:p>
        </w:tc>
      </w:tr>
      <w:tr>
        <w:trPr>
          <w:trHeight w:val="841"/>
        </w:trPr>
        <w:tc>
          <w:tcPr>
            <w:tcW w:w="2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8"/>
          </w:tcPr>
          <w:p>
            <w:pPr>
              <w:jc w:val="center"/>
              <w:ind w:right="2820"/>
              <w:spacing w:after="0"/>
              <w:rPr>
                <w:sz w:val="20"/>
                <w:szCs w:val="20"/>
                <w:color w:val="auto"/>
              </w:rPr>
            </w:pPr>
            <w:r>
              <w:rPr>
                <w:rFonts w:ascii="Arial" w:cs="Arial" w:eastAsia="Arial" w:hAnsi="Arial"/>
                <w:sz w:val="22"/>
                <w:szCs w:val="22"/>
                <w:color w:val="010000"/>
              </w:rPr>
              <w:t>ARTICLE III</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gridSpan w:val="10"/>
          </w:tcPr>
          <w:p>
            <w:pPr>
              <w:jc w:val="center"/>
              <w:ind w:right="2700"/>
              <w:spacing w:after="0"/>
              <w:rPr>
                <w:sz w:val="20"/>
                <w:szCs w:val="20"/>
                <w:color w:val="auto"/>
              </w:rPr>
            </w:pPr>
            <w:r>
              <w:rPr>
                <w:rFonts w:ascii="Arial" w:cs="Arial" w:eastAsia="Arial" w:hAnsi="Arial"/>
                <w:sz w:val="22"/>
                <w:szCs w:val="22"/>
                <w:color w:val="auto"/>
                <w:w w:val="93"/>
              </w:rPr>
              <w:t>LETTERS OF CREDIT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0"/>
        </w:trPr>
        <w:tc>
          <w:tcPr>
            <w:tcW w:w="2580" w:type="dxa"/>
            <w:vAlign w:val="bottom"/>
          </w:tcPr>
          <w:p>
            <w:pPr>
              <w:spacing w:after="0"/>
              <w:rPr>
                <w:sz w:val="20"/>
                <w:szCs w:val="20"/>
                <w:color w:val="auto"/>
              </w:rPr>
            </w:pPr>
            <w:r>
              <w:rPr>
                <w:rFonts w:ascii="Arial" w:cs="Arial" w:eastAsia="Arial" w:hAnsi="Arial"/>
                <w:sz w:val="22"/>
                <w:szCs w:val="22"/>
                <w:color w:val="010000"/>
              </w:rPr>
              <w:t>SECTION 3.01</w:t>
            </w:r>
          </w:p>
        </w:tc>
        <w:tc>
          <w:tcPr>
            <w:tcW w:w="158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9"/>
              </w:rPr>
              <w:t>Letters of Credit</w:t>
            </w:r>
          </w:p>
        </w:tc>
        <w:tc>
          <w:tcPr>
            <w:tcW w:w="5320" w:type="dxa"/>
            <w:vAlign w:val="bottom"/>
            <w:gridSpan w:val="16"/>
          </w:tcPr>
          <w:p>
            <w:pPr>
              <w:spacing w:after="0"/>
              <w:rPr>
                <w:sz w:val="24"/>
                <w:szCs w:val="24"/>
                <w:color w:val="auto"/>
              </w:rPr>
            </w:pPr>
          </w:p>
        </w:tc>
        <w:tc>
          <w:tcPr>
            <w:tcW w:w="1240" w:type="dxa"/>
            <w:vAlign w:val="bottom"/>
          </w:tcPr>
          <w:p>
            <w:pPr>
              <w:jc w:val="center"/>
              <w:ind w:left="872"/>
              <w:spacing w:after="0"/>
              <w:rPr>
                <w:sz w:val="20"/>
                <w:szCs w:val="20"/>
                <w:color w:val="auto"/>
              </w:rPr>
            </w:pPr>
            <w:r>
              <w:rPr>
                <w:rFonts w:ascii="Arial" w:cs="Arial" w:eastAsia="Arial" w:hAnsi="Arial"/>
                <w:sz w:val="22"/>
                <w:szCs w:val="22"/>
                <w:color w:val="010000"/>
                <w:w w:val="89"/>
              </w:rPr>
              <w:t>69</w:t>
            </w:r>
          </w:p>
        </w:tc>
        <w:tc>
          <w:tcPr>
            <w:tcW w:w="0" w:type="dxa"/>
            <w:vAlign w:val="bottom"/>
          </w:tcPr>
          <w:p>
            <w:pPr>
              <w:spacing w:after="0"/>
              <w:rPr>
                <w:sz w:val="1"/>
                <w:szCs w:val="1"/>
                <w:color w:val="auto"/>
              </w:rPr>
            </w:pPr>
          </w:p>
        </w:tc>
      </w:tr>
    </w:tbl>
    <w:p>
      <w:pPr>
        <w:sectPr>
          <w:pgSz w:w="11900" w:h="16838" w:orient="portrait"/>
          <w:cols w:equalWidth="0" w:num="1">
            <w:col w:w="10820"/>
          </w:cols>
          <w:pgMar w:left="260" w:top="949" w:right="819" w:bottom="0" w:gutter="0" w:footer="0" w:header="0"/>
        </w:sectPr>
      </w:pPr>
    </w:p>
    <w:bookmarkStart w:id="36" w:name="page37"/>
    <w:bookmarkEnd w:id="36"/>
    <w:p>
      <w:pPr>
        <w:jc w:val="center"/>
        <w:ind w:right="-679"/>
        <w:spacing w:after="0"/>
        <w:rPr>
          <w:sz w:val="20"/>
          <w:szCs w:val="20"/>
          <w:color w:val="auto"/>
        </w:rPr>
      </w:pPr>
      <w:r>
        <w:rPr>
          <w:rFonts w:ascii="Arial" w:cs="Arial" w:eastAsia="Arial" w:hAnsi="Arial"/>
          <w:sz w:val="22"/>
          <w:szCs w:val="22"/>
          <w:color w:val="010000"/>
        </w:rPr>
        <w:t>ARTICLE IV</w:t>
      </w:r>
    </w:p>
    <w:p>
      <w:pPr>
        <w:spacing w:after="0" w:line="26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PAYMENTS; PRO RATA TREATMENT; TAXES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4.01</w:t>
            </w:r>
          </w:p>
        </w:tc>
        <w:tc>
          <w:tcPr>
            <w:tcW w:w="53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Payments Generally; Pro Rata Treatment; Sharing of Set-offs</w:t>
            </w:r>
          </w:p>
        </w:tc>
        <w:tc>
          <w:tcPr>
            <w:tcW w:w="1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010000"/>
              </w:rPr>
              <w:t>75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4.02</w:t>
            </w:r>
          </w:p>
        </w:tc>
        <w:tc>
          <w:tcPr>
            <w:tcW w:w="2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Taxes/Additional Payments</w:t>
            </w:r>
          </w:p>
        </w:tc>
        <w:tc>
          <w:tcPr>
            <w:tcW w:w="426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010000"/>
              </w:rPr>
              <w:t>77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4.03</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Mitigation Obligations; Replacement of Lenders</w:t>
            </w:r>
          </w:p>
        </w:tc>
        <w:tc>
          <w:tcPr>
            <w:tcW w:w="244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010000"/>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0700"/>
          </w:cols>
          <w:pgMar w:left="260" w:top="118" w:right="9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4.04</w:t>
            </w:r>
          </w:p>
        </w:tc>
        <w:tc>
          <w:tcPr>
            <w:tcW w:w="7080" w:type="dxa"/>
            <w:vAlign w:val="bottom"/>
            <w:gridSpan w:val="30"/>
          </w:tcPr>
          <w:p>
            <w:pPr>
              <w:spacing w:after="0"/>
              <w:rPr>
                <w:sz w:val="20"/>
                <w:szCs w:val="20"/>
                <w:color w:val="auto"/>
              </w:rPr>
            </w:pPr>
            <w:r>
              <w:rPr>
                <w:rFonts w:ascii="Arial" w:cs="Arial" w:eastAsia="Arial" w:hAnsi="Arial"/>
                <w:sz w:val="22"/>
                <w:szCs w:val="22"/>
                <w:color w:val="auto"/>
              </w:rPr>
              <w:t>Financial Assistance</w:t>
            </w:r>
          </w:p>
        </w:tc>
        <w:tc>
          <w:tcPr>
            <w:tcW w:w="1100" w:type="dxa"/>
            <w:vAlign w:val="bottom"/>
          </w:tcPr>
          <w:p>
            <w:pPr>
              <w:jc w:val="right"/>
              <w:spacing w:after="0"/>
              <w:rPr>
                <w:sz w:val="20"/>
                <w:szCs w:val="20"/>
                <w:color w:val="auto"/>
              </w:rPr>
            </w:pPr>
            <w:r>
              <w:rPr>
                <w:rFonts w:ascii="Arial" w:cs="Arial" w:eastAsia="Arial" w:hAnsi="Arial"/>
                <w:sz w:val="22"/>
                <w:szCs w:val="22"/>
                <w:color w:val="010000"/>
              </w:rPr>
              <w:t>81</w:t>
            </w:r>
          </w:p>
        </w:tc>
      </w:tr>
      <w:tr>
        <w:trPr>
          <w:trHeight w:val="625"/>
        </w:trPr>
        <w:tc>
          <w:tcPr>
            <w:tcW w:w="25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6"/>
          </w:tcPr>
          <w:p>
            <w:pPr>
              <w:jc w:val="center"/>
              <w:ind w:right="3260"/>
              <w:spacing w:after="0"/>
              <w:rPr>
                <w:sz w:val="20"/>
                <w:szCs w:val="20"/>
                <w:color w:val="auto"/>
              </w:rPr>
            </w:pPr>
            <w:r>
              <w:rPr>
                <w:rFonts w:ascii="Arial" w:cs="Arial" w:eastAsia="Arial" w:hAnsi="Arial"/>
                <w:sz w:val="22"/>
                <w:szCs w:val="22"/>
                <w:color w:val="010000"/>
                <w:w w:val="96"/>
              </w:rPr>
              <w:t>ARTICLE V</w:t>
            </w:r>
          </w:p>
        </w:tc>
        <w:tc>
          <w:tcPr>
            <w:tcW w:w="1100" w:type="dxa"/>
            <w:vAlign w:val="bottom"/>
          </w:tcPr>
          <w:p>
            <w:pPr>
              <w:spacing w:after="0"/>
              <w:rPr>
                <w:sz w:val="24"/>
                <w:szCs w:val="24"/>
                <w:color w:val="auto"/>
              </w:rPr>
            </w:pPr>
          </w:p>
        </w:tc>
      </w:tr>
      <w:tr>
        <w:trPr>
          <w:trHeight w:val="513"/>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gridSpan w:val="24"/>
          </w:tcPr>
          <w:p>
            <w:pPr>
              <w:jc w:val="center"/>
              <w:ind w:right="2520"/>
              <w:spacing w:after="0"/>
              <w:rPr>
                <w:sz w:val="20"/>
                <w:szCs w:val="20"/>
                <w:color w:val="auto"/>
              </w:rPr>
            </w:pPr>
            <w:r>
              <w:rPr>
                <w:rFonts w:ascii="Arial" w:cs="Arial" w:eastAsia="Arial" w:hAnsi="Arial"/>
                <w:sz w:val="22"/>
                <w:szCs w:val="22"/>
                <w:color w:val="auto"/>
                <w:w w:val="93"/>
              </w:rPr>
              <w:t>CONDITIONS PRECEDENT</w:t>
            </w:r>
          </w:p>
        </w:tc>
        <w:tc>
          <w:tcPr>
            <w:tcW w:w="1100" w:type="dxa"/>
            <w:vAlign w:val="bottom"/>
          </w:tcPr>
          <w:p>
            <w:pPr>
              <w:spacing w:after="0"/>
              <w:rPr>
                <w:sz w:val="24"/>
                <w:szCs w:val="24"/>
                <w:color w:val="auto"/>
              </w:rPr>
            </w:pPr>
          </w:p>
        </w:tc>
      </w:tr>
      <w:tr>
        <w:trPr>
          <w:trHeight w:val="760"/>
        </w:trPr>
        <w:tc>
          <w:tcPr>
            <w:tcW w:w="2520" w:type="dxa"/>
            <w:vAlign w:val="bottom"/>
          </w:tcPr>
          <w:p>
            <w:pPr>
              <w:spacing w:after="0"/>
              <w:rPr>
                <w:sz w:val="20"/>
                <w:szCs w:val="20"/>
                <w:color w:val="auto"/>
              </w:rPr>
            </w:pPr>
            <w:r>
              <w:rPr>
                <w:rFonts w:ascii="Arial" w:cs="Arial" w:eastAsia="Arial" w:hAnsi="Arial"/>
                <w:sz w:val="22"/>
                <w:szCs w:val="22"/>
                <w:color w:val="010000"/>
              </w:rPr>
              <w:t>SECTION 5.01</w:t>
            </w:r>
          </w:p>
        </w:tc>
        <w:tc>
          <w:tcPr>
            <w:tcW w:w="370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88"/>
              </w:rPr>
              <w:t>Conditions Precedent to the Effective Date</w:t>
            </w:r>
          </w:p>
        </w:tc>
        <w:tc>
          <w:tcPr>
            <w:tcW w:w="338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83</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5.02</w:t>
            </w:r>
          </w:p>
        </w:tc>
        <w:tc>
          <w:tcPr>
            <w:tcW w:w="364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9"/>
              </w:rPr>
              <w:t>Conditions Precedent to All Credit Events</w:t>
            </w:r>
          </w:p>
        </w:tc>
        <w:tc>
          <w:tcPr>
            <w:tcW w:w="344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86</w:t>
            </w:r>
          </w:p>
        </w:tc>
      </w:tr>
      <w:tr>
        <w:trPr>
          <w:trHeight w:val="611"/>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6"/>
          </w:tcPr>
          <w:p>
            <w:pPr>
              <w:jc w:val="center"/>
              <w:ind w:right="3260"/>
              <w:spacing w:after="0"/>
              <w:rPr>
                <w:sz w:val="20"/>
                <w:szCs w:val="20"/>
                <w:color w:val="auto"/>
              </w:rPr>
            </w:pPr>
            <w:r>
              <w:rPr>
                <w:rFonts w:ascii="Arial" w:cs="Arial" w:eastAsia="Arial" w:hAnsi="Arial"/>
                <w:sz w:val="22"/>
                <w:szCs w:val="22"/>
                <w:color w:val="010000"/>
                <w:w w:val="98"/>
              </w:rPr>
              <w:t>ARTICLE VI</w:t>
            </w:r>
          </w:p>
        </w:tc>
        <w:tc>
          <w:tcPr>
            <w:tcW w:w="1100" w:type="dxa"/>
            <w:vAlign w:val="bottom"/>
          </w:tcPr>
          <w:p>
            <w:pPr>
              <w:spacing w:after="0"/>
              <w:rPr>
                <w:sz w:val="24"/>
                <w:szCs w:val="24"/>
                <w:color w:val="auto"/>
              </w:rPr>
            </w:pPr>
          </w:p>
        </w:tc>
      </w:tr>
      <w:tr>
        <w:trPr>
          <w:trHeight w:val="297"/>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gridSpan w:val="26"/>
          </w:tcPr>
          <w:p>
            <w:pPr>
              <w:jc w:val="center"/>
              <w:ind w:right="1700"/>
              <w:spacing w:after="0"/>
              <w:rPr>
                <w:sz w:val="20"/>
                <w:szCs w:val="20"/>
                <w:color w:val="auto"/>
              </w:rPr>
            </w:pPr>
            <w:r>
              <w:rPr>
                <w:rFonts w:ascii="Arial" w:cs="Arial" w:eastAsia="Arial" w:hAnsi="Arial"/>
                <w:sz w:val="22"/>
                <w:szCs w:val="22"/>
                <w:color w:val="010000"/>
                <w:w w:val="93"/>
              </w:rPr>
              <w:t>REPRESENTATIONS AND WARRANTIES</w:t>
            </w:r>
          </w:p>
        </w:tc>
        <w:tc>
          <w:tcPr>
            <w:tcW w:w="1100" w:type="dxa"/>
            <w:vAlign w:val="bottom"/>
          </w:tcPr>
          <w:p>
            <w:pPr>
              <w:spacing w:after="0"/>
              <w:rPr>
                <w:sz w:val="24"/>
                <w:szCs w:val="24"/>
                <w:color w:val="auto"/>
              </w:rPr>
            </w:pPr>
          </w:p>
        </w:tc>
      </w:tr>
      <w:tr>
        <w:trPr>
          <w:trHeight w:val="530"/>
        </w:trPr>
        <w:tc>
          <w:tcPr>
            <w:tcW w:w="2520" w:type="dxa"/>
            <w:vAlign w:val="bottom"/>
          </w:tcPr>
          <w:p>
            <w:pPr>
              <w:spacing w:after="0"/>
              <w:rPr>
                <w:sz w:val="20"/>
                <w:szCs w:val="20"/>
                <w:color w:val="auto"/>
              </w:rPr>
            </w:pPr>
            <w:r>
              <w:rPr>
                <w:rFonts w:ascii="Arial" w:cs="Arial" w:eastAsia="Arial" w:hAnsi="Arial"/>
                <w:sz w:val="22"/>
                <w:szCs w:val="22"/>
                <w:color w:val="010000"/>
              </w:rPr>
              <w:t>SECTION 6.01</w:t>
            </w:r>
          </w:p>
        </w:tc>
        <w:tc>
          <w:tcPr>
            <w:tcW w:w="268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90"/>
              </w:rPr>
              <w:t>Organization and Qualification</w:t>
            </w:r>
          </w:p>
        </w:tc>
        <w:tc>
          <w:tcPr>
            <w:tcW w:w="4400" w:type="dxa"/>
            <w:vAlign w:val="bottom"/>
            <w:gridSpan w:val="1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6.02</w:t>
            </w:r>
          </w:p>
        </w:tc>
        <w:tc>
          <w:tcPr>
            <w:tcW w:w="7080" w:type="dxa"/>
            <w:vAlign w:val="bottom"/>
            <w:gridSpan w:val="30"/>
          </w:tcPr>
          <w:p>
            <w:pPr>
              <w:spacing w:after="0"/>
              <w:rPr>
                <w:sz w:val="20"/>
                <w:szCs w:val="20"/>
                <w:color w:val="auto"/>
              </w:rPr>
            </w:pPr>
            <w:r>
              <w:rPr>
                <w:rFonts w:ascii="Arial" w:cs="Arial" w:eastAsia="Arial" w:hAnsi="Arial"/>
                <w:sz w:val="22"/>
                <w:szCs w:val="22"/>
                <w:color w:val="auto"/>
              </w:rPr>
              <w:t>Authorization, Validity, Etc.</w:t>
            </w:r>
          </w:p>
        </w:tc>
        <w:tc>
          <w:tcPr>
            <w:tcW w:w="1100" w:type="dxa"/>
            <w:vAlign w:val="bottom"/>
          </w:tcPr>
          <w:p>
            <w:pPr>
              <w:jc w:val="right"/>
              <w:spacing w:after="0"/>
              <w:rPr>
                <w:sz w:val="20"/>
                <w:szCs w:val="20"/>
                <w:color w:val="auto"/>
              </w:rPr>
            </w:pPr>
            <w:r>
              <w:rPr>
                <w:rFonts w:ascii="Arial" w:cs="Arial" w:eastAsia="Arial" w:hAnsi="Arial"/>
                <w:sz w:val="22"/>
                <w:szCs w:val="22"/>
                <w:color w:val="010000"/>
              </w:rPr>
              <w:t>87</w:t>
            </w:r>
          </w:p>
        </w:tc>
      </w:tr>
      <w:tr>
        <w:trPr>
          <w:trHeight w:val="20"/>
        </w:trPr>
        <w:tc>
          <w:tcPr>
            <w:tcW w:w="2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6.03</w:t>
            </w:r>
          </w:p>
        </w:tc>
        <w:tc>
          <w:tcPr>
            <w:tcW w:w="7080" w:type="dxa"/>
            <w:vAlign w:val="bottom"/>
            <w:gridSpan w:val="30"/>
          </w:tcPr>
          <w:p>
            <w:pPr>
              <w:spacing w:after="0"/>
              <w:rPr>
                <w:sz w:val="20"/>
                <w:szCs w:val="20"/>
                <w:color w:val="auto"/>
              </w:rPr>
            </w:pPr>
            <w:r>
              <w:rPr>
                <w:rFonts w:ascii="Arial" w:cs="Arial" w:eastAsia="Arial" w:hAnsi="Arial"/>
                <w:sz w:val="22"/>
                <w:szCs w:val="22"/>
                <w:color w:val="auto"/>
              </w:rPr>
              <w:t>Governmental Consents, Etc.</w:t>
            </w:r>
          </w:p>
        </w:tc>
        <w:tc>
          <w:tcPr>
            <w:tcW w:w="1100" w:type="dxa"/>
            <w:vAlign w:val="bottom"/>
          </w:tcPr>
          <w:p>
            <w:pPr>
              <w:jc w:val="right"/>
              <w:spacing w:after="0"/>
              <w:rPr>
                <w:sz w:val="20"/>
                <w:szCs w:val="20"/>
                <w:color w:val="auto"/>
              </w:rPr>
            </w:pPr>
            <w:r>
              <w:rPr>
                <w:rFonts w:ascii="Arial" w:cs="Arial" w:eastAsia="Arial" w:hAnsi="Arial"/>
                <w:sz w:val="22"/>
                <w:szCs w:val="22"/>
                <w:color w:val="010000"/>
              </w:rPr>
              <w:t>87</w:t>
            </w:r>
          </w:p>
        </w:tc>
      </w:tr>
      <w:tr>
        <w:trPr>
          <w:trHeight w:val="20"/>
        </w:trPr>
        <w:tc>
          <w:tcPr>
            <w:tcW w:w="2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6.04</w:t>
            </w:r>
          </w:p>
        </w:tc>
        <w:tc>
          <w:tcPr>
            <w:tcW w:w="4020" w:type="dxa"/>
            <w:vAlign w:val="bottom"/>
            <w:tcBorders>
              <w:bottom w:val="single" w:sz="8" w:color="auto"/>
            </w:tcBorders>
            <w:gridSpan w:val="25"/>
          </w:tcPr>
          <w:p>
            <w:pPr>
              <w:spacing w:after="0"/>
              <w:rPr>
                <w:sz w:val="20"/>
                <w:szCs w:val="20"/>
                <w:color w:val="auto"/>
              </w:rPr>
            </w:pPr>
            <w:r>
              <w:rPr>
                <w:rFonts w:ascii="Arial" w:cs="Arial" w:eastAsia="Arial" w:hAnsi="Arial"/>
                <w:sz w:val="22"/>
                <w:szCs w:val="22"/>
                <w:color w:val="auto"/>
                <w:w w:val="90"/>
              </w:rPr>
              <w:t>No Breach or Violation of Law or Agreements</w:t>
            </w:r>
          </w:p>
        </w:tc>
        <w:tc>
          <w:tcPr>
            <w:tcW w:w="306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6.05</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Litigation</w:t>
            </w:r>
          </w:p>
        </w:tc>
        <w:tc>
          <w:tcPr>
            <w:tcW w:w="6220" w:type="dxa"/>
            <w:vAlign w:val="bottom"/>
            <w:gridSpan w:val="2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6.06</w:t>
            </w:r>
          </w:p>
        </w:tc>
        <w:tc>
          <w:tcPr>
            <w:tcW w:w="3680" w:type="dxa"/>
            <w:vAlign w:val="bottom"/>
            <w:tcBorders>
              <w:bottom w:val="single" w:sz="8" w:color="auto"/>
            </w:tcBorders>
            <w:gridSpan w:val="22"/>
          </w:tcPr>
          <w:p>
            <w:pPr>
              <w:spacing w:after="0"/>
              <w:rPr>
                <w:sz w:val="20"/>
                <w:szCs w:val="20"/>
                <w:color w:val="auto"/>
              </w:rPr>
            </w:pPr>
            <w:r>
              <w:rPr>
                <w:rFonts w:ascii="Arial" w:cs="Arial" w:eastAsia="Arial" w:hAnsi="Arial"/>
                <w:sz w:val="22"/>
                <w:szCs w:val="22"/>
                <w:color w:val="auto"/>
                <w:w w:val="90"/>
              </w:rPr>
              <w:t>Information; No Material Adverse Change</w:t>
            </w:r>
          </w:p>
        </w:tc>
        <w:tc>
          <w:tcPr>
            <w:tcW w:w="340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6.07</w:t>
            </w:r>
          </w:p>
        </w:tc>
        <w:tc>
          <w:tcPr>
            <w:tcW w:w="7080" w:type="dxa"/>
            <w:vAlign w:val="bottom"/>
            <w:gridSpan w:val="30"/>
          </w:tcPr>
          <w:p>
            <w:pPr>
              <w:spacing w:after="0"/>
              <w:rPr>
                <w:sz w:val="20"/>
                <w:szCs w:val="20"/>
                <w:color w:val="auto"/>
              </w:rPr>
            </w:pPr>
            <w:r>
              <w:rPr>
                <w:rFonts w:ascii="Arial" w:cs="Arial" w:eastAsia="Arial" w:hAnsi="Arial"/>
                <w:sz w:val="22"/>
                <w:szCs w:val="22"/>
                <w:color w:val="auto"/>
              </w:rPr>
              <w:t>Investment Company Act; Margin Regulations</w:t>
            </w:r>
          </w:p>
        </w:tc>
        <w:tc>
          <w:tcPr>
            <w:tcW w:w="1100" w:type="dxa"/>
            <w:vAlign w:val="bottom"/>
          </w:tcPr>
          <w:p>
            <w:pPr>
              <w:jc w:val="right"/>
              <w:spacing w:after="0"/>
              <w:rPr>
                <w:sz w:val="20"/>
                <w:szCs w:val="20"/>
                <w:color w:val="auto"/>
              </w:rPr>
            </w:pPr>
            <w:r>
              <w:rPr>
                <w:rFonts w:ascii="Arial" w:cs="Arial" w:eastAsia="Arial" w:hAnsi="Arial"/>
                <w:sz w:val="22"/>
                <w:szCs w:val="22"/>
                <w:color w:val="010000"/>
              </w:rPr>
              <w:t>89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6.08</w:t>
            </w: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90"/>
              </w:rPr>
              <w:t>ERISA</w:t>
            </w:r>
          </w:p>
        </w:tc>
        <w:tc>
          <w:tcPr>
            <w:tcW w:w="3420" w:type="dxa"/>
            <w:vAlign w:val="bottom"/>
            <w:tcBorders>
              <w:top w:val="single" w:sz="8" w:color="auto"/>
            </w:tcBorders>
            <w:gridSpan w:val="25"/>
          </w:tcPr>
          <w:p>
            <w:pPr>
              <w:spacing w:after="0"/>
              <w:rPr>
                <w:sz w:val="24"/>
                <w:szCs w:val="24"/>
                <w:color w:val="auto"/>
              </w:rPr>
            </w:pPr>
          </w:p>
        </w:tc>
        <w:tc>
          <w:tcPr>
            <w:tcW w:w="304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6.09</w:t>
            </w:r>
          </w:p>
        </w:tc>
        <w:tc>
          <w:tcPr>
            <w:tcW w:w="232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6"/>
              </w:rPr>
              <w:t>Tax Returns and Payments</w:t>
            </w:r>
          </w:p>
        </w:tc>
        <w:tc>
          <w:tcPr>
            <w:tcW w:w="4760" w:type="dxa"/>
            <w:vAlign w:val="bottom"/>
            <w:gridSpan w:val="1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89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6.10</w:t>
            </w:r>
          </w:p>
        </w:tc>
        <w:tc>
          <w:tcPr>
            <w:tcW w:w="7080" w:type="dxa"/>
            <w:vAlign w:val="bottom"/>
            <w:gridSpan w:val="30"/>
          </w:tcPr>
          <w:p>
            <w:pPr>
              <w:spacing w:after="0"/>
              <w:rPr>
                <w:sz w:val="20"/>
                <w:szCs w:val="20"/>
                <w:color w:val="auto"/>
              </w:rPr>
            </w:pPr>
            <w:r>
              <w:rPr>
                <w:rFonts w:ascii="Arial" w:cs="Arial" w:eastAsia="Arial" w:hAnsi="Arial"/>
                <w:sz w:val="22"/>
                <w:szCs w:val="22"/>
                <w:color w:val="auto"/>
              </w:rPr>
              <w:t>Requirements of Law</w:t>
            </w:r>
          </w:p>
        </w:tc>
        <w:tc>
          <w:tcPr>
            <w:tcW w:w="1100" w:type="dxa"/>
            <w:vAlign w:val="bottom"/>
          </w:tcPr>
          <w:p>
            <w:pPr>
              <w:jc w:val="right"/>
              <w:spacing w:after="0"/>
              <w:rPr>
                <w:sz w:val="20"/>
                <w:szCs w:val="20"/>
                <w:color w:val="auto"/>
              </w:rPr>
            </w:pPr>
            <w:r>
              <w:rPr>
                <w:rFonts w:ascii="Arial" w:cs="Arial" w:eastAsia="Arial" w:hAnsi="Arial"/>
                <w:sz w:val="22"/>
                <w:szCs w:val="22"/>
                <w:color w:val="010000"/>
              </w:rPr>
              <w:t>89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6.11</w:t>
            </w:r>
          </w:p>
        </w:tc>
        <w:tc>
          <w:tcPr>
            <w:tcW w:w="9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2"/>
                <w:szCs w:val="22"/>
                <w:color w:val="auto"/>
                <w:w w:val="90"/>
              </w:rPr>
              <w:t>No Default</w:t>
            </w:r>
          </w:p>
        </w:tc>
        <w:tc>
          <w:tcPr>
            <w:tcW w:w="900" w:type="dxa"/>
            <w:vAlign w:val="bottom"/>
            <w:tcBorders>
              <w:top w:val="single" w:sz="8" w:color="auto"/>
            </w:tcBorders>
            <w:gridSpan w:val="3"/>
          </w:tcPr>
          <w:p>
            <w:pPr>
              <w:spacing w:after="0"/>
              <w:rPr>
                <w:sz w:val="24"/>
                <w:szCs w:val="24"/>
                <w:color w:val="auto"/>
              </w:rPr>
            </w:pPr>
          </w:p>
        </w:tc>
        <w:tc>
          <w:tcPr>
            <w:tcW w:w="5220" w:type="dxa"/>
            <w:vAlign w:val="bottom"/>
            <w:gridSpan w:val="2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6.12</w:t>
            </w:r>
          </w:p>
        </w:tc>
        <w:tc>
          <w:tcPr>
            <w:tcW w:w="7080" w:type="dxa"/>
            <w:vAlign w:val="bottom"/>
            <w:gridSpan w:val="30"/>
          </w:tcPr>
          <w:p>
            <w:pPr>
              <w:spacing w:after="0"/>
              <w:rPr>
                <w:sz w:val="20"/>
                <w:szCs w:val="20"/>
                <w:color w:val="auto"/>
              </w:rPr>
            </w:pPr>
            <w:r>
              <w:rPr>
                <w:rFonts w:ascii="Arial" w:cs="Arial" w:eastAsia="Arial" w:hAnsi="Arial"/>
                <w:sz w:val="22"/>
                <w:szCs w:val="22"/>
                <w:color w:val="auto"/>
              </w:rPr>
              <w:t>Anti-Corruption Laws and Sanctions</w:t>
            </w:r>
          </w:p>
        </w:tc>
        <w:tc>
          <w:tcPr>
            <w:tcW w:w="1100" w:type="dxa"/>
            <w:vAlign w:val="bottom"/>
          </w:tcPr>
          <w:p>
            <w:pPr>
              <w:jc w:val="right"/>
              <w:spacing w:after="0"/>
              <w:rPr>
                <w:sz w:val="20"/>
                <w:szCs w:val="20"/>
                <w:color w:val="auto"/>
              </w:rPr>
            </w:pPr>
            <w:r>
              <w:rPr>
                <w:rFonts w:ascii="Arial" w:cs="Arial" w:eastAsia="Arial" w:hAnsi="Arial"/>
                <w:sz w:val="22"/>
                <w:szCs w:val="22"/>
                <w:color w:val="010000"/>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6.13</w:t>
            </w:r>
          </w:p>
        </w:tc>
        <w:tc>
          <w:tcPr>
            <w:tcW w:w="3180" w:type="dxa"/>
            <w:vAlign w:val="bottom"/>
            <w:tcBorders>
              <w:top w:val="single" w:sz="8" w:color="auto"/>
            </w:tcBorders>
            <w:gridSpan w:val="18"/>
          </w:tcPr>
          <w:p>
            <w:pPr>
              <w:spacing w:after="0"/>
              <w:rPr>
                <w:sz w:val="20"/>
                <w:szCs w:val="20"/>
                <w:color w:val="auto"/>
              </w:rPr>
            </w:pPr>
            <w:r>
              <w:rPr>
                <w:rFonts w:ascii="Arial" w:cs="Arial" w:eastAsia="Arial" w:hAnsi="Arial"/>
                <w:sz w:val="22"/>
                <w:szCs w:val="22"/>
                <w:color w:val="auto"/>
              </w:rPr>
              <w:t>Properties</w:t>
            </w:r>
          </w:p>
        </w:tc>
        <w:tc>
          <w:tcPr>
            <w:tcW w:w="390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90</w:t>
            </w:r>
          </w:p>
        </w:tc>
      </w:tr>
      <w:tr>
        <w:trPr>
          <w:trHeight w:val="20"/>
        </w:trPr>
        <w:tc>
          <w:tcPr>
            <w:tcW w:w="25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6.14</w:t>
            </w:r>
          </w:p>
        </w:tc>
        <w:tc>
          <w:tcPr>
            <w:tcW w:w="7080" w:type="dxa"/>
            <w:vAlign w:val="bottom"/>
            <w:gridSpan w:val="30"/>
          </w:tcPr>
          <w:p>
            <w:pPr>
              <w:spacing w:after="0"/>
              <w:rPr>
                <w:sz w:val="20"/>
                <w:szCs w:val="20"/>
                <w:color w:val="auto"/>
              </w:rPr>
            </w:pPr>
            <w:r>
              <w:rPr>
                <w:rFonts w:ascii="Arial" w:cs="Arial" w:eastAsia="Arial" w:hAnsi="Arial"/>
                <w:sz w:val="22"/>
                <w:szCs w:val="22"/>
                <w:color w:val="auto"/>
              </w:rPr>
              <w:t>No Restrictive Agreements</w:t>
            </w:r>
          </w:p>
        </w:tc>
        <w:tc>
          <w:tcPr>
            <w:tcW w:w="1100" w:type="dxa"/>
            <w:vAlign w:val="bottom"/>
          </w:tcPr>
          <w:p>
            <w:pPr>
              <w:jc w:val="right"/>
              <w:spacing w:after="0"/>
              <w:rPr>
                <w:sz w:val="20"/>
                <w:szCs w:val="20"/>
                <w:color w:val="auto"/>
              </w:rPr>
            </w:pPr>
            <w:r>
              <w:rPr>
                <w:rFonts w:ascii="Arial" w:cs="Arial" w:eastAsia="Arial" w:hAnsi="Arial"/>
                <w:sz w:val="22"/>
                <w:szCs w:val="22"/>
                <w:color w:val="010000"/>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6.15</w:t>
            </w: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7"/>
              </w:rPr>
              <w:t>Solvency</w:t>
            </w:r>
          </w:p>
        </w:tc>
        <w:tc>
          <w:tcPr>
            <w:tcW w:w="1540" w:type="dxa"/>
            <w:vAlign w:val="bottom"/>
            <w:tcBorders>
              <w:top w:val="single" w:sz="8" w:color="auto"/>
            </w:tcBorders>
            <w:gridSpan w:val="10"/>
          </w:tcPr>
          <w:p>
            <w:pPr>
              <w:spacing w:after="0"/>
              <w:rPr>
                <w:sz w:val="24"/>
                <w:szCs w:val="24"/>
                <w:color w:val="auto"/>
              </w:rPr>
            </w:pPr>
          </w:p>
        </w:tc>
        <w:tc>
          <w:tcPr>
            <w:tcW w:w="4740" w:type="dxa"/>
            <w:vAlign w:val="bottom"/>
            <w:gridSpan w:val="1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6.16</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4"/>
              </w:rPr>
              <w:t>Insurance</w:t>
            </w:r>
          </w:p>
        </w:tc>
        <w:tc>
          <w:tcPr>
            <w:tcW w:w="6220" w:type="dxa"/>
            <w:vAlign w:val="bottom"/>
            <w:gridSpan w:val="2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91</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6.17</w:t>
            </w:r>
          </w:p>
        </w:tc>
        <w:tc>
          <w:tcPr>
            <w:tcW w:w="7080" w:type="dxa"/>
            <w:vAlign w:val="bottom"/>
            <w:gridSpan w:val="30"/>
          </w:tcPr>
          <w:p>
            <w:pPr>
              <w:spacing w:after="0"/>
              <w:rPr>
                <w:sz w:val="20"/>
                <w:szCs w:val="20"/>
                <w:color w:val="auto"/>
              </w:rPr>
            </w:pPr>
            <w:r>
              <w:rPr>
                <w:rFonts w:ascii="Arial" w:cs="Arial" w:eastAsia="Arial" w:hAnsi="Arial"/>
                <w:sz w:val="22"/>
                <w:szCs w:val="22"/>
                <w:color w:val="auto"/>
              </w:rPr>
              <w:t>Rank of Obligations</w:t>
            </w:r>
          </w:p>
        </w:tc>
        <w:tc>
          <w:tcPr>
            <w:tcW w:w="1100" w:type="dxa"/>
            <w:vAlign w:val="bottom"/>
          </w:tcPr>
          <w:p>
            <w:pPr>
              <w:jc w:val="right"/>
              <w:spacing w:after="0"/>
              <w:rPr>
                <w:sz w:val="20"/>
                <w:szCs w:val="20"/>
                <w:color w:val="auto"/>
              </w:rPr>
            </w:pPr>
            <w:r>
              <w:rPr>
                <w:rFonts w:ascii="Arial" w:cs="Arial" w:eastAsia="Arial" w:hAnsi="Arial"/>
                <w:sz w:val="22"/>
                <w:szCs w:val="22"/>
                <w:color w:val="010000"/>
              </w:rPr>
              <w:t>91</w:t>
            </w:r>
          </w:p>
        </w:tc>
      </w:tr>
      <w:tr>
        <w:trPr>
          <w:trHeight w:val="20"/>
        </w:trPr>
        <w:tc>
          <w:tcPr>
            <w:tcW w:w="2520" w:type="dxa"/>
            <w:vAlign w:val="bottom"/>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6.18</w:t>
            </w:r>
          </w:p>
        </w:tc>
        <w:tc>
          <w:tcPr>
            <w:tcW w:w="230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1"/>
              </w:rPr>
              <w:t>EEA Financial Institutions</w:t>
            </w:r>
          </w:p>
        </w:tc>
        <w:tc>
          <w:tcPr>
            <w:tcW w:w="4780" w:type="dxa"/>
            <w:vAlign w:val="bottom"/>
            <w:gridSpan w:val="2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91</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6.19</w:t>
            </w:r>
          </w:p>
        </w:tc>
        <w:tc>
          <w:tcPr>
            <w:tcW w:w="3860" w:type="dxa"/>
            <w:vAlign w:val="bottom"/>
            <w:tcBorders>
              <w:bottom w:val="single" w:sz="8" w:color="auto"/>
            </w:tcBorders>
            <w:gridSpan w:val="24"/>
          </w:tcPr>
          <w:p>
            <w:pPr>
              <w:spacing w:after="0"/>
              <w:rPr>
                <w:sz w:val="20"/>
                <w:szCs w:val="20"/>
                <w:color w:val="auto"/>
              </w:rPr>
            </w:pPr>
            <w:r>
              <w:rPr>
                <w:rFonts w:ascii="Arial" w:cs="Arial" w:eastAsia="Arial" w:hAnsi="Arial"/>
                <w:sz w:val="22"/>
                <w:szCs w:val="22"/>
                <w:color w:val="auto"/>
                <w:w w:val="89"/>
              </w:rPr>
              <w:t>Compliance with the Swiss Non-Bank Rules</w:t>
            </w:r>
          </w:p>
        </w:tc>
        <w:tc>
          <w:tcPr>
            <w:tcW w:w="322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91</w:t>
            </w:r>
          </w:p>
        </w:tc>
      </w:tr>
      <w:tr>
        <w:trPr>
          <w:trHeight w:val="611"/>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6"/>
          </w:tcPr>
          <w:p>
            <w:pPr>
              <w:jc w:val="center"/>
              <w:ind w:right="3260"/>
              <w:spacing w:after="0"/>
              <w:rPr>
                <w:sz w:val="20"/>
                <w:szCs w:val="20"/>
                <w:color w:val="auto"/>
              </w:rPr>
            </w:pPr>
            <w:r>
              <w:rPr>
                <w:rFonts w:ascii="Arial" w:cs="Arial" w:eastAsia="Arial" w:hAnsi="Arial"/>
                <w:sz w:val="22"/>
                <w:szCs w:val="22"/>
                <w:color w:val="010000"/>
              </w:rPr>
              <w:t>ARTICLE VII</w:t>
            </w:r>
          </w:p>
        </w:tc>
        <w:tc>
          <w:tcPr>
            <w:tcW w:w="1100" w:type="dxa"/>
            <w:vAlign w:val="bottom"/>
          </w:tcPr>
          <w:p>
            <w:pPr>
              <w:spacing w:after="0"/>
              <w:rPr>
                <w:sz w:val="24"/>
                <w:szCs w:val="24"/>
                <w:color w:val="auto"/>
              </w:rPr>
            </w:pPr>
          </w:p>
        </w:tc>
      </w:tr>
      <w:tr>
        <w:trPr>
          <w:trHeight w:val="297"/>
        </w:trPr>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40" w:type="dxa"/>
            <w:vAlign w:val="bottom"/>
            <w:gridSpan w:val="25"/>
          </w:tcPr>
          <w:p>
            <w:pPr>
              <w:jc w:val="center"/>
              <w:ind w:right="2480"/>
              <w:spacing w:after="0"/>
              <w:rPr>
                <w:sz w:val="20"/>
                <w:szCs w:val="20"/>
                <w:color w:val="auto"/>
              </w:rPr>
            </w:pPr>
            <w:r>
              <w:rPr>
                <w:rFonts w:ascii="Arial" w:cs="Arial" w:eastAsia="Arial" w:hAnsi="Arial"/>
                <w:sz w:val="22"/>
                <w:szCs w:val="22"/>
                <w:color w:val="010000"/>
                <w:w w:val="96"/>
              </w:rPr>
              <w:t>AFFIRMATIVE COVENANTS</w:t>
            </w:r>
          </w:p>
        </w:tc>
        <w:tc>
          <w:tcPr>
            <w:tcW w:w="1100" w:type="dxa"/>
            <w:vAlign w:val="bottom"/>
          </w:tcPr>
          <w:p>
            <w:pPr>
              <w:spacing w:after="0"/>
              <w:rPr>
                <w:sz w:val="24"/>
                <w:szCs w:val="24"/>
                <w:color w:val="auto"/>
              </w:rPr>
            </w:pPr>
          </w:p>
        </w:tc>
      </w:tr>
      <w:tr>
        <w:trPr>
          <w:trHeight w:val="530"/>
        </w:trPr>
        <w:tc>
          <w:tcPr>
            <w:tcW w:w="2520" w:type="dxa"/>
            <w:vAlign w:val="bottom"/>
          </w:tcPr>
          <w:p>
            <w:pPr>
              <w:spacing w:after="0"/>
              <w:rPr>
                <w:sz w:val="20"/>
                <w:szCs w:val="20"/>
                <w:color w:val="auto"/>
              </w:rPr>
            </w:pPr>
            <w:r>
              <w:rPr>
                <w:rFonts w:ascii="Arial" w:cs="Arial" w:eastAsia="Arial" w:hAnsi="Arial"/>
                <w:sz w:val="22"/>
                <w:szCs w:val="22"/>
                <w:color w:val="010000"/>
              </w:rPr>
              <w:t>SECTION 7.01</w:t>
            </w:r>
          </w:p>
        </w:tc>
        <w:tc>
          <w:tcPr>
            <w:tcW w:w="200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89"/>
              </w:rPr>
              <w:t>Information Covenants</w:t>
            </w:r>
          </w:p>
        </w:tc>
        <w:tc>
          <w:tcPr>
            <w:tcW w:w="5080" w:type="dxa"/>
            <w:vAlign w:val="bottom"/>
            <w:gridSpan w:val="2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7.02</w:t>
            </w:r>
          </w:p>
        </w:tc>
        <w:tc>
          <w:tcPr>
            <w:tcW w:w="7080" w:type="dxa"/>
            <w:vAlign w:val="bottom"/>
            <w:gridSpan w:val="30"/>
          </w:tcPr>
          <w:p>
            <w:pPr>
              <w:spacing w:after="0"/>
              <w:rPr>
                <w:sz w:val="20"/>
                <w:szCs w:val="20"/>
                <w:color w:val="auto"/>
              </w:rPr>
            </w:pPr>
            <w:r>
              <w:rPr>
                <w:rFonts w:ascii="Arial" w:cs="Arial" w:eastAsia="Arial" w:hAnsi="Arial"/>
                <w:sz w:val="22"/>
                <w:szCs w:val="22"/>
                <w:color w:val="auto"/>
              </w:rPr>
              <w:t>Books, Records and Inspections</w:t>
            </w:r>
          </w:p>
        </w:tc>
        <w:tc>
          <w:tcPr>
            <w:tcW w:w="1100" w:type="dxa"/>
            <w:vAlign w:val="bottom"/>
          </w:tcPr>
          <w:p>
            <w:pPr>
              <w:jc w:val="right"/>
              <w:spacing w:after="0"/>
              <w:rPr>
                <w:sz w:val="20"/>
                <w:szCs w:val="20"/>
                <w:color w:val="auto"/>
              </w:rPr>
            </w:pPr>
            <w:r>
              <w:rPr>
                <w:rFonts w:ascii="Arial" w:cs="Arial" w:eastAsia="Arial" w:hAnsi="Arial"/>
                <w:sz w:val="22"/>
                <w:szCs w:val="22"/>
                <w:color w:val="010000"/>
              </w:rPr>
              <w:t>94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7.03</w:t>
            </w:r>
          </w:p>
        </w:tc>
        <w:tc>
          <w:tcPr>
            <w:tcW w:w="8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2"/>
                <w:szCs w:val="22"/>
                <w:color w:val="auto"/>
                <w:w w:val="84"/>
              </w:rPr>
              <w:t>Insurance</w:t>
            </w:r>
          </w:p>
        </w:tc>
        <w:tc>
          <w:tcPr>
            <w:tcW w:w="1900" w:type="dxa"/>
            <w:vAlign w:val="bottom"/>
            <w:tcBorders>
              <w:top w:val="single" w:sz="8" w:color="auto"/>
            </w:tcBorders>
            <w:gridSpan w:val="13"/>
          </w:tcPr>
          <w:p>
            <w:pPr>
              <w:spacing w:after="0"/>
              <w:rPr>
                <w:sz w:val="24"/>
                <w:szCs w:val="24"/>
                <w:color w:val="auto"/>
              </w:rPr>
            </w:pPr>
          </w:p>
        </w:tc>
        <w:tc>
          <w:tcPr>
            <w:tcW w:w="4320" w:type="dxa"/>
            <w:vAlign w:val="bottom"/>
            <w:gridSpan w:val="1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7.04</w:t>
            </w:r>
          </w:p>
        </w:tc>
        <w:tc>
          <w:tcPr>
            <w:tcW w:w="7080" w:type="dxa"/>
            <w:vAlign w:val="bottom"/>
            <w:gridSpan w:val="30"/>
          </w:tcPr>
          <w:p>
            <w:pPr>
              <w:spacing w:after="0"/>
              <w:rPr>
                <w:sz w:val="20"/>
                <w:szCs w:val="20"/>
                <w:color w:val="auto"/>
              </w:rPr>
            </w:pPr>
            <w:r>
              <w:rPr>
                <w:rFonts w:ascii="Arial" w:cs="Arial" w:eastAsia="Arial" w:hAnsi="Arial"/>
                <w:sz w:val="22"/>
                <w:szCs w:val="22"/>
                <w:color w:val="auto"/>
              </w:rPr>
              <w:t>Payment of Taxes and other Claims</w:t>
            </w: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7.05</w:t>
            </w:r>
          </w:p>
        </w:tc>
        <w:tc>
          <w:tcPr>
            <w:tcW w:w="8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2"/>
                <w:szCs w:val="22"/>
                <w:color w:val="auto"/>
                <w:w w:val="85"/>
              </w:rPr>
              <w:t>Existence</w:t>
            </w:r>
          </w:p>
        </w:tc>
        <w:tc>
          <w:tcPr>
            <w:tcW w:w="2200" w:type="dxa"/>
            <w:vAlign w:val="bottom"/>
            <w:tcBorders>
              <w:top w:val="single" w:sz="8" w:color="auto"/>
            </w:tcBorders>
            <w:gridSpan w:val="14"/>
          </w:tcPr>
          <w:p>
            <w:pPr>
              <w:spacing w:after="0"/>
              <w:rPr>
                <w:sz w:val="24"/>
                <w:szCs w:val="24"/>
                <w:color w:val="auto"/>
              </w:rPr>
            </w:pPr>
          </w:p>
        </w:tc>
        <w:tc>
          <w:tcPr>
            <w:tcW w:w="4020" w:type="dxa"/>
            <w:vAlign w:val="bottom"/>
            <w:gridSpan w:val="1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7.06</w:t>
            </w: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0"/>
              </w:rPr>
              <w:t>ERISA Compliance</w:t>
            </w:r>
          </w:p>
        </w:tc>
        <w:tc>
          <w:tcPr>
            <w:tcW w:w="5340" w:type="dxa"/>
            <w:vAlign w:val="bottom"/>
            <w:gridSpan w:val="2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7.07</w:t>
            </w:r>
          </w:p>
        </w:tc>
        <w:tc>
          <w:tcPr>
            <w:tcW w:w="5280" w:type="dxa"/>
            <w:vAlign w:val="bottom"/>
            <w:tcBorders>
              <w:bottom w:val="single" w:sz="8" w:color="auto"/>
            </w:tcBorders>
            <w:gridSpan w:val="28"/>
          </w:tcPr>
          <w:p>
            <w:pPr>
              <w:spacing w:after="0"/>
              <w:rPr>
                <w:sz w:val="20"/>
                <w:szCs w:val="20"/>
                <w:color w:val="auto"/>
              </w:rPr>
            </w:pPr>
            <w:r>
              <w:rPr>
                <w:rFonts w:ascii="Arial" w:cs="Arial" w:eastAsia="Arial" w:hAnsi="Arial"/>
                <w:sz w:val="22"/>
                <w:szCs w:val="22"/>
                <w:color w:val="auto"/>
                <w:w w:val="90"/>
              </w:rPr>
              <w:t>Compliance with Laws and Material Contractual Obligations</w:t>
            </w:r>
          </w:p>
        </w:tc>
        <w:tc>
          <w:tcPr>
            <w:tcW w:w="180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7.08</w:t>
            </w:r>
          </w:p>
        </w:tc>
        <w:tc>
          <w:tcPr>
            <w:tcW w:w="7080" w:type="dxa"/>
            <w:vAlign w:val="bottom"/>
            <w:gridSpan w:val="30"/>
          </w:tcPr>
          <w:p>
            <w:pPr>
              <w:spacing w:after="0"/>
              <w:rPr>
                <w:sz w:val="20"/>
                <w:szCs w:val="20"/>
                <w:color w:val="auto"/>
              </w:rPr>
            </w:pPr>
            <w:r>
              <w:rPr>
                <w:rFonts w:ascii="Arial" w:cs="Arial" w:eastAsia="Arial" w:hAnsi="Arial"/>
                <w:sz w:val="22"/>
                <w:szCs w:val="22"/>
                <w:color w:val="auto"/>
              </w:rPr>
              <w:t>Additional Guarantors; Additional Specified Jurisdictions</w:t>
            </w:r>
          </w:p>
        </w:tc>
        <w:tc>
          <w:tcPr>
            <w:tcW w:w="1100" w:type="dxa"/>
            <w:vAlign w:val="bottom"/>
          </w:tcPr>
          <w:p>
            <w:pPr>
              <w:jc w:val="right"/>
              <w:spacing w:after="0"/>
              <w:rPr>
                <w:sz w:val="20"/>
                <w:szCs w:val="20"/>
                <w:color w:val="auto"/>
              </w:rPr>
            </w:pPr>
            <w:r>
              <w:rPr>
                <w:rFonts w:ascii="Arial" w:cs="Arial" w:eastAsia="Arial" w:hAnsi="Arial"/>
                <w:sz w:val="22"/>
                <w:szCs w:val="22"/>
                <w:color w:val="010000"/>
              </w:rPr>
              <w:t>95</w:t>
            </w:r>
          </w:p>
        </w:tc>
      </w:tr>
      <w:tr>
        <w:trPr>
          <w:trHeight w:val="20"/>
        </w:trPr>
        <w:tc>
          <w:tcPr>
            <w:tcW w:w="2520" w:type="dxa"/>
            <w:vAlign w:val="bottom"/>
          </w:tcPr>
          <w:p>
            <w:pPr>
              <w:spacing w:after="0" w:line="20" w:lineRule="exact"/>
              <w:rPr>
                <w:sz w:val="1"/>
                <w:szCs w:val="1"/>
                <w:color w:val="auto"/>
              </w:rPr>
            </w:pPr>
          </w:p>
        </w:tc>
        <w:tc>
          <w:tcPr>
            <w:tcW w:w="2280" w:type="dxa"/>
            <w:vAlign w:val="bottom"/>
            <w:gridSpan w:val="9"/>
            <w:shd w:val="clear" w:color="auto" w:fill="000000"/>
          </w:tcPr>
          <w:p>
            <w:pPr>
              <w:spacing w:after="0" w:line="20" w:lineRule="exact"/>
              <w:rPr>
                <w:sz w:val="1"/>
                <w:szCs w:val="1"/>
                <w:color w:val="auto"/>
              </w:rPr>
            </w:pPr>
          </w:p>
        </w:tc>
        <w:tc>
          <w:tcPr>
            <w:tcW w:w="920" w:type="dxa"/>
            <w:vAlign w:val="bottom"/>
            <w:gridSpan w:val="10"/>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gridSpan w:val="7"/>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7.09</w:t>
            </w:r>
          </w:p>
        </w:tc>
        <w:tc>
          <w:tcPr>
            <w:tcW w:w="6220" w:type="dxa"/>
            <w:vAlign w:val="bottom"/>
            <w:tcBorders>
              <w:bottom w:val="single" w:sz="8" w:color="auto"/>
            </w:tcBorders>
            <w:gridSpan w:val="29"/>
          </w:tcPr>
          <w:p>
            <w:pPr>
              <w:spacing w:after="0"/>
              <w:rPr>
                <w:sz w:val="20"/>
                <w:szCs w:val="20"/>
                <w:color w:val="auto"/>
              </w:rPr>
            </w:pPr>
            <w:r>
              <w:rPr>
                <w:rFonts w:ascii="Arial" w:cs="Arial" w:eastAsia="Arial" w:hAnsi="Arial"/>
                <w:sz w:val="22"/>
                <w:szCs w:val="22"/>
                <w:color w:val="auto"/>
                <w:w w:val="89"/>
              </w:rPr>
              <w:t>Designation of Unrestricted Subsidiaries; Redesignation of Unrestricted</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7"/>
        </w:trPr>
        <w:tc>
          <w:tcPr>
            <w:tcW w:w="252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22"/>
                <w:szCs w:val="22"/>
                <w:color w:val="auto"/>
              </w:rPr>
              <w:t>Subsidiaries as Restricted Subsidiaries</w:t>
            </w:r>
          </w:p>
        </w:tc>
        <w:tc>
          <w:tcPr>
            <w:tcW w:w="1100" w:type="dxa"/>
            <w:vAlign w:val="bottom"/>
          </w:tcPr>
          <w:p>
            <w:pPr>
              <w:jc w:val="right"/>
              <w:spacing w:after="0"/>
              <w:rPr>
                <w:sz w:val="20"/>
                <w:szCs w:val="20"/>
                <w:color w:val="auto"/>
              </w:rPr>
            </w:pPr>
            <w:r>
              <w:rPr>
                <w:rFonts w:ascii="Arial" w:cs="Arial" w:eastAsia="Arial" w:hAnsi="Arial"/>
                <w:sz w:val="22"/>
                <w:szCs w:val="22"/>
                <w:color w:val="010000"/>
              </w:rPr>
              <w:t>96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7.10</w:t>
            </w:r>
          </w:p>
        </w:tc>
        <w:tc>
          <w:tcPr>
            <w:tcW w:w="3320" w:type="dxa"/>
            <w:vAlign w:val="bottom"/>
            <w:tcBorders>
              <w:top w:val="single" w:sz="8" w:color="auto"/>
            </w:tcBorders>
            <w:gridSpan w:val="20"/>
          </w:tcPr>
          <w:p>
            <w:pPr>
              <w:spacing w:after="0"/>
              <w:rPr>
                <w:sz w:val="20"/>
                <w:szCs w:val="20"/>
                <w:color w:val="auto"/>
              </w:rPr>
            </w:pPr>
            <w:r>
              <w:rPr>
                <w:rFonts w:ascii="Arial" w:cs="Arial" w:eastAsia="Arial" w:hAnsi="Arial"/>
                <w:sz w:val="22"/>
                <w:szCs w:val="22"/>
                <w:color w:val="auto"/>
                <w:w w:val="91"/>
              </w:rPr>
              <w:t>More Favorable Financial Covenants</w:t>
            </w:r>
          </w:p>
        </w:tc>
        <w:tc>
          <w:tcPr>
            <w:tcW w:w="376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97</w:t>
            </w:r>
          </w:p>
        </w:tc>
      </w:tr>
      <w:tr>
        <w:trPr>
          <w:trHeight w:val="20"/>
        </w:trPr>
        <w:tc>
          <w:tcPr>
            <w:tcW w:w="2520" w:type="dxa"/>
            <w:vAlign w:val="bottom"/>
          </w:tcPr>
          <w:p>
            <w:pPr>
              <w:spacing w:after="0" w:line="20" w:lineRule="exact"/>
              <w:rPr>
                <w:sz w:val="1"/>
                <w:szCs w:val="1"/>
                <w:color w:val="auto"/>
              </w:rPr>
            </w:pPr>
          </w:p>
        </w:tc>
        <w:tc>
          <w:tcPr>
            <w:tcW w:w="2280" w:type="dxa"/>
            <w:vAlign w:val="bottom"/>
            <w:gridSpan w:val="9"/>
            <w:shd w:val="clear" w:color="auto" w:fill="000000"/>
          </w:tcPr>
          <w:p>
            <w:pPr>
              <w:spacing w:after="0" w:line="20" w:lineRule="exact"/>
              <w:rPr>
                <w:sz w:val="1"/>
                <w:szCs w:val="1"/>
                <w:color w:val="auto"/>
              </w:rPr>
            </w:pPr>
          </w:p>
        </w:tc>
        <w:tc>
          <w:tcPr>
            <w:tcW w:w="920" w:type="dxa"/>
            <w:vAlign w:val="bottom"/>
            <w:gridSpan w:val="10"/>
            <w:shd w:val="clear" w:color="auto" w:fill="000000"/>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7.11</w:t>
            </w:r>
          </w:p>
        </w:tc>
        <w:tc>
          <w:tcPr>
            <w:tcW w:w="3860" w:type="dxa"/>
            <w:vAlign w:val="bottom"/>
            <w:tcBorders>
              <w:bottom w:val="single" w:sz="8" w:color="auto"/>
            </w:tcBorders>
            <w:gridSpan w:val="24"/>
          </w:tcPr>
          <w:p>
            <w:pPr>
              <w:spacing w:after="0"/>
              <w:rPr>
                <w:sz w:val="20"/>
                <w:szCs w:val="20"/>
                <w:color w:val="auto"/>
              </w:rPr>
            </w:pPr>
            <w:r>
              <w:rPr>
                <w:rFonts w:ascii="Arial" w:cs="Arial" w:eastAsia="Arial" w:hAnsi="Arial"/>
                <w:sz w:val="22"/>
                <w:szCs w:val="22"/>
                <w:color w:val="auto"/>
                <w:w w:val="89"/>
              </w:rPr>
              <w:t>Compliance with the Swiss Non-Bank Rules</w:t>
            </w:r>
          </w:p>
        </w:tc>
        <w:tc>
          <w:tcPr>
            <w:tcW w:w="322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010000"/>
              </w:rPr>
              <w:t>98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7.12</w:t>
            </w:r>
          </w:p>
        </w:tc>
        <w:tc>
          <w:tcPr>
            <w:tcW w:w="7080" w:type="dxa"/>
            <w:vAlign w:val="bottom"/>
            <w:gridSpan w:val="30"/>
          </w:tcPr>
          <w:p>
            <w:pPr>
              <w:spacing w:after="0"/>
              <w:rPr>
                <w:sz w:val="20"/>
                <w:szCs w:val="20"/>
                <w:color w:val="auto"/>
              </w:rPr>
            </w:pPr>
            <w:r>
              <w:rPr>
                <w:rFonts w:ascii="Arial" w:cs="Arial" w:eastAsia="Arial" w:hAnsi="Arial"/>
                <w:sz w:val="22"/>
                <w:szCs w:val="22"/>
                <w:color w:val="auto"/>
              </w:rPr>
              <w:t>Secured Facility Covenant</w:t>
            </w:r>
          </w:p>
        </w:tc>
        <w:tc>
          <w:tcPr>
            <w:tcW w:w="1100" w:type="dxa"/>
            <w:vAlign w:val="bottom"/>
          </w:tcPr>
          <w:p>
            <w:pPr>
              <w:jc w:val="right"/>
              <w:spacing w:after="0"/>
              <w:rPr>
                <w:sz w:val="20"/>
                <w:szCs w:val="20"/>
                <w:color w:val="auto"/>
              </w:rPr>
            </w:pPr>
            <w:r>
              <w:rPr>
                <w:rFonts w:ascii="Arial" w:cs="Arial" w:eastAsia="Arial" w:hAnsi="Arial"/>
                <w:sz w:val="22"/>
                <w:szCs w:val="22"/>
                <w:color w:val="010000"/>
              </w:rPr>
              <w:t>99</w:t>
            </w:r>
          </w:p>
        </w:tc>
      </w:tr>
      <w:tr>
        <w:trPr>
          <w:trHeight w:val="20"/>
        </w:trPr>
        <w:tc>
          <w:tcPr>
            <w:tcW w:w="2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ectPr>
          <w:pgSz w:w="11900" w:h="16838" w:orient="portrait"/>
          <w:cols w:equalWidth="0" w:num="1">
            <w:col w:w="10700"/>
          </w:cols>
          <w:pgMar w:left="260" w:top="926" w:right="939" w:bottom="1035"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9019"/>
          </w:cols>
          <w:pgMar w:left="1440" w:top="132" w:right="1440" w:bottom="1440" w:gutter="0" w:footer="0" w:header="0"/>
        </w:sectPr>
      </w:pPr>
    </w:p>
    <w:bookmarkStart w:id="39" w:name="page40"/>
    <w:bookmarkEnd w:id="39"/>
    <w:p>
      <w:pPr>
        <w:spacing w:after="0" w:line="34" w:lineRule="exact"/>
        <w:rPr>
          <w:sz w:val="20"/>
          <w:szCs w:val="20"/>
          <w:color w:val="auto"/>
        </w:rPr>
      </w:pPr>
    </w:p>
    <w:p>
      <w:pPr>
        <w:jc w:val="center"/>
        <w:ind w:right="-619"/>
        <w:spacing w:after="0"/>
        <w:rPr>
          <w:sz w:val="20"/>
          <w:szCs w:val="20"/>
          <w:color w:val="auto"/>
        </w:rPr>
      </w:pPr>
      <w:r>
        <w:rPr>
          <w:rFonts w:ascii="Arial" w:cs="Arial" w:eastAsia="Arial" w:hAnsi="Arial"/>
          <w:sz w:val="22"/>
          <w:szCs w:val="22"/>
          <w:color w:val="010000"/>
        </w:rPr>
        <w:t>ARTICLE VIII</w:t>
      </w:r>
    </w:p>
    <w:p>
      <w:pPr>
        <w:spacing w:after="0" w:line="44" w:lineRule="exact"/>
        <w:rPr>
          <w:sz w:val="20"/>
          <w:szCs w:val="20"/>
          <w:color w:val="auto"/>
        </w:rPr>
      </w:pPr>
    </w:p>
    <w:p>
      <w:pPr>
        <w:jc w:val="center"/>
        <w:ind w:right="-619"/>
        <w:spacing w:after="0"/>
        <w:rPr>
          <w:sz w:val="20"/>
          <w:szCs w:val="20"/>
          <w:color w:val="auto"/>
        </w:rPr>
      </w:pPr>
      <w:r>
        <w:rPr>
          <w:rFonts w:ascii="Arial" w:cs="Arial" w:eastAsia="Arial" w:hAnsi="Arial"/>
          <w:sz w:val="22"/>
          <w:szCs w:val="22"/>
          <w:color w:val="010000"/>
        </w:rPr>
        <w:t>NEGATIVE COVENANTS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8.01</w:t>
            </w:r>
          </w:p>
        </w:tc>
        <w:tc>
          <w:tcPr>
            <w:tcW w:w="7060" w:type="dxa"/>
            <w:vAlign w:val="bottom"/>
            <w:gridSpan w:val="31"/>
          </w:tcPr>
          <w:p>
            <w:pPr>
              <w:spacing w:after="0"/>
              <w:rPr>
                <w:sz w:val="20"/>
                <w:szCs w:val="20"/>
                <w:color w:val="auto"/>
              </w:rPr>
            </w:pPr>
            <w:r>
              <w:rPr>
                <w:rFonts w:ascii="Arial" w:cs="Arial" w:eastAsia="Arial" w:hAnsi="Arial"/>
                <w:sz w:val="22"/>
                <w:szCs w:val="22"/>
                <w:color w:val="auto"/>
              </w:rPr>
              <w:t>Indebtedness</w:t>
            </w:r>
          </w:p>
        </w:tc>
        <w:tc>
          <w:tcPr>
            <w:tcW w:w="1180" w:type="dxa"/>
            <w:vAlign w:val="bottom"/>
          </w:tcPr>
          <w:p>
            <w:pPr>
              <w:jc w:val="center"/>
              <w:ind w:left="732"/>
              <w:spacing w:after="0"/>
              <w:rPr>
                <w:sz w:val="20"/>
                <w:szCs w:val="20"/>
                <w:color w:val="auto"/>
              </w:rPr>
            </w:pPr>
            <w:r>
              <w:rPr>
                <w:rFonts w:ascii="Arial" w:cs="Arial" w:eastAsia="Arial" w:hAnsi="Arial"/>
                <w:sz w:val="22"/>
                <w:szCs w:val="22"/>
                <w:color w:val="010000"/>
                <w:w w:val="89"/>
              </w:rPr>
              <w:t>99</w:t>
            </w: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8.02</w:t>
            </w:r>
          </w:p>
        </w:tc>
        <w:tc>
          <w:tcPr>
            <w:tcW w:w="7060" w:type="dxa"/>
            <w:vAlign w:val="bottom"/>
            <w:gridSpan w:val="31"/>
          </w:tcPr>
          <w:p>
            <w:pPr>
              <w:spacing w:after="0"/>
              <w:rPr>
                <w:sz w:val="20"/>
                <w:szCs w:val="20"/>
                <w:color w:val="auto"/>
              </w:rPr>
            </w:pPr>
            <w:r>
              <w:rPr>
                <w:rFonts w:ascii="Arial" w:cs="Arial" w:eastAsia="Arial" w:hAnsi="Arial"/>
                <w:sz w:val="22"/>
                <w:szCs w:val="22"/>
                <w:color w:val="auto"/>
              </w:rPr>
              <w:t>Fundamental Changes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102</w:t>
            </w: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8.03</w:t>
            </w:r>
          </w:p>
        </w:tc>
        <w:tc>
          <w:tcPr>
            <w:tcW w:w="7060" w:type="dxa"/>
            <w:vAlign w:val="bottom"/>
            <w:gridSpan w:val="31"/>
          </w:tcPr>
          <w:p>
            <w:pPr>
              <w:spacing w:after="0"/>
              <w:rPr>
                <w:sz w:val="20"/>
                <w:szCs w:val="20"/>
                <w:color w:val="auto"/>
              </w:rPr>
            </w:pPr>
            <w:r>
              <w:rPr>
                <w:rFonts w:ascii="Arial" w:cs="Arial" w:eastAsia="Arial" w:hAnsi="Arial"/>
                <w:sz w:val="22"/>
                <w:szCs w:val="22"/>
                <w:color w:val="auto"/>
              </w:rPr>
              <w:t>Material Change in Business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103</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8.04</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7"/>
              </w:rPr>
              <w:t>Liens</w:t>
            </w:r>
          </w:p>
        </w:tc>
        <w:tc>
          <w:tcPr>
            <w:tcW w:w="2000" w:type="dxa"/>
            <w:vAlign w:val="bottom"/>
            <w:tcBorders>
              <w:top w:val="single" w:sz="8" w:color="auto"/>
            </w:tcBorders>
            <w:gridSpan w:val="21"/>
          </w:tcPr>
          <w:p>
            <w:pPr>
              <w:spacing w:after="0"/>
              <w:rPr>
                <w:sz w:val="24"/>
                <w:szCs w:val="24"/>
                <w:color w:val="auto"/>
              </w:rPr>
            </w:pPr>
          </w:p>
        </w:tc>
        <w:tc>
          <w:tcPr>
            <w:tcW w:w="4580" w:type="dxa"/>
            <w:vAlign w:val="bottom"/>
            <w:gridSpan w:val="9"/>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8.05</w:t>
            </w:r>
          </w:p>
        </w:tc>
        <w:tc>
          <w:tcPr>
            <w:tcW w:w="7060" w:type="dxa"/>
            <w:vAlign w:val="bottom"/>
            <w:gridSpan w:val="31"/>
          </w:tcPr>
          <w:p>
            <w:pPr>
              <w:spacing w:after="0"/>
              <w:rPr>
                <w:sz w:val="20"/>
                <w:szCs w:val="20"/>
                <w:color w:val="auto"/>
              </w:rPr>
            </w:pPr>
            <w:r>
              <w:rPr>
                <w:rFonts w:ascii="Arial" w:cs="Arial" w:eastAsia="Arial" w:hAnsi="Arial"/>
                <w:sz w:val="22"/>
                <w:szCs w:val="22"/>
                <w:color w:val="auto"/>
              </w:rPr>
              <w:t>Asset Dispositions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8.06</w:t>
            </w:r>
          </w:p>
        </w:tc>
        <w:tc>
          <w:tcPr>
            <w:tcW w:w="10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5"/>
              </w:rPr>
              <w:t>Investments</w:t>
            </w:r>
          </w:p>
        </w:tc>
        <w:tc>
          <w:tcPr>
            <w:tcW w:w="560" w:type="dxa"/>
            <w:vAlign w:val="bottom"/>
            <w:tcBorders>
              <w:top w:val="single" w:sz="8" w:color="auto"/>
            </w:tcBorders>
            <w:gridSpan w:val="9"/>
          </w:tcPr>
          <w:p>
            <w:pPr>
              <w:spacing w:after="0"/>
              <w:rPr>
                <w:sz w:val="24"/>
                <w:szCs w:val="24"/>
                <w:color w:val="auto"/>
              </w:rPr>
            </w:pPr>
          </w:p>
        </w:tc>
        <w:tc>
          <w:tcPr>
            <w:tcW w:w="5460" w:type="dxa"/>
            <w:vAlign w:val="bottom"/>
            <w:gridSpan w:val="16"/>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8.07</w:t>
            </w:r>
          </w:p>
        </w:tc>
        <w:tc>
          <w:tcPr>
            <w:tcW w:w="158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6"/>
              </w:rPr>
              <w:t>Swap Agreements</w:t>
            </w:r>
          </w:p>
        </w:tc>
        <w:tc>
          <w:tcPr>
            <w:tcW w:w="5480" w:type="dxa"/>
            <w:vAlign w:val="bottom"/>
            <w:gridSpan w:val="17"/>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8.08</w:t>
            </w:r>
          </w:p>
        </w:tc>
        <w:tc>
          <w:tcPr>
            <w:tcW w:w="7060" w:type="dxa"/>
            <w:vAlign w:val="bottom"/>
            <w:gridSpan w:val="31"/>
          </w:tcPr>
          <w:p>
            <w:pPr>
              <w:spacing w:after="0"/>
              <w:rPr>
                <w:sz w:val="20"/>
                <w:szCs w:val="20"/>
                <w:color w:val="auto"/>
              </w:rPr>
            </w:pPr>
            <w:r>
              <w:rPr>
                <w:rFonts w:ascii="Arial" w:cs="Arial" w:eastAsia="Arial" w:hAnsi="Arial"/>
                <w:sz w:val="22"/>
                <w:szCs w:val="22"/>
                <w:color w:val="auto"/>
              </w:rPr>
              <w:t>Restricted Payments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107</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8.09</w:t>
            </w:r>
          </w:p>
        </w:tc>
        <w:tc>
          <w:tcPr>
            <w:tcW w:w="7060" w:type="dxa"/>
            <w:vAlign w:val="bottom"/>
            <w:gridSpan w:val="31"/>
          </w:tcPr>
          <w:p>
            <w:pPr>
              <w:spacing w:after="0"/>
              <w:rPr>
                <w:sz w:val="20"/>
                <w:szCs w:val="20"/>
                <w:color w:val="auto"/>
              </w:rPr>
            </w:pPr>
            <w:r>
              <w:rPr>
                <w:rFonts w:ascii="Arial" w:cs="Arial" w:eastAsia="Arial" w:hAnsi="Arial"/>
                <w:sz w:val="22"/>
                <w:szCs w:val="22"/>
                <w:color w:val="auto"/>
              </w:rPr>
              <w:t>Financial Covenants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109</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8.10</w:t>
            </w:r>
          </w:p>
        </w:tc>
        <w:tc>
          <w:tcPr>
            <w:tcW w:w="3640" w:type="dxa"/>
            <w:vAlign w:val="bottom"/>
            <w:tcBorders>
              <w:bottom w:val="single" w:sz="8" w:color="auto"/>
            </w:tcBorders>
            <w:gridSpan w:val="25"/>
          </w:tcPr>
          <w:p>
            <w:pPr>
              <w:spacing w:after="0"/>
              <w:rPr>
                <w:sz w:val="20"/>
                <w:szCs w:val="20"/>
                <w:color w:val="auto"/>
              </w:rPr>
            </w:pPr>
            <w:r>
              <w:rPr>
                <w:rFonts w:ascii="Arial" w:cs="Arial" w:eastAsia="Arial" w:hAnsi="Arial"/>
                <w:sz w:val="22"/>
                <w:szCs w:val="22"/>
                <w:color w:val="auto"/>
                <w:w w:val="92"/>
              </w:rPr>
              <w:t>Limitation on Transactions with Affiliates</w:t>
            </w:r>
          </w:p>
        </w:tc>
        <w:tc>
          <w:tcPr>
            <w:tcW w:w="3420" w:type="dxa"/>
            <w:vAlign w:val="bottom"/>
            <w:gridSpan w:val="6"/>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109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8.11</w:t>
            </w:r>
          </w:p>
        </w:tc>
        <w:tc>
          <w:tcPr>
            <w:tcW w:w="7060" w:type="dxa"/>
            <w:vAlign w:val="bottom"/>
            <w:gridSpan w:val="31"/>
          </w:tcPr>
          <w:p>
            <w:pPr>
              <w:spacing w:after="0"/>
              <w:rPr>
                <w:sz w:val="20"/>
                <w:szCs w:val="20"/>
                <w:color w:val="auto"/>
              </w:rPr>
            </w:pPr>
            <w:r>
              <w:rPr>
                <w:rFonts w:ascii="Arial" w:cs="Arial" w:eastAsia="Arial" w:hAnsi="Arial"/>
                <w:sz w:val="22"/>
                <w:szCs w:val="22"/>
                <w:color w:val="auto"/>
              </w:rPr>
              <w:t>Restrictive Agreements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8.12</w:t>
            </w:r>
          </w:p>
        </w:tc>
        <w:tc>
          <w:tcPr>
            <w:tcW w:w="1420" w:type="dxa"/>
            <w:vAlign w:val="bottom"/>
            <w:tcBorders>
              <w:top w:val="single" w:sz="8" w:color="auto"/>
              <w:bottom w:val="single" w:sz="8" w:color="auto"/>
            </w:tcBorders>
            <w:gridSpan w:val="13"/>
          </w:tcPr>
          <w:p>
            <w:pPr>
              <w:spacing w:after="0"/>
              <w:rPr>
                <w:sz w:val="20"/>
                <w:szCs w:val="20"/>
                <w:color w:val="auto"/>
              </w:rPr>
            </w:pPr>
            <w:r>
              <w:rPr>
                <w:rFonts w:ascii="Arial" w:cs="Arial" w:eastAsia="Arial" w:hAnsi="Arial"/>
                <w:sz w:val="22"/>
                <w:szCs w:val="22"/>
                <w:color w:val="auto"/>
                <w:w w:val="86"/>
              </w:rPr>
              <w:t>Use of Proceeds</w:t>
            </w:r>
          </w:p>
        </w:tc>
        <w:tc>
          <w:tcPr>
            <w:tcW w:w="600" w:type="dxa"/>
            <w:vAlign w:val="bottom"/>
            <w:tcBorders>
              <w:top w:val="single" w:sz="8" w:color="auto"/>
            </w:tcBorders>
            <w:gridSpan w:val="6"/>
          </w:tcPr>
          <w:p>
            <w:pPr>
              <w:spacing w:after="0"/>
              <w:rPr>
                <w:sz w:val="24"/>
                <w:szCs w:val="24"/>
                <w:color w:val="auto"/>
              </w:rPr>
            </w:pPr>
          </w:p>
        </w:tc>
        <w:tc>
          <w:tcPr>
            <w:tcW w:w="5040" w:type="dxa"/>
            <w:vAlign w:val="bottom"/>
            <w:gridSpan w:val="12"/>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111</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8.13</w:t>
            </w:r>
          </w:p>
        </w:tc>
        <w:tc>
          <w:tcPr>
            <w:tcW w:w="7060" w:type="dxa"/>
            <w:vAlign w:val="bottom"/>
            <w:gridSpan w:val="31"/>
          </w:tcPr>
          <w:p>
            <w:pPr>
              <w:spacing w:after="0"/>
              <w:rPr>
                <w:sz w:val="20"/>
                <w:szCs w:val="20"/>
                <w:color w:val="auto"/>
              </w:rPr>
            </w:pPr>
            <w:r>
              <w:rPr>
                <w:rFonts w:ascii="Arial" w:cs="Arial" w:eastAsia="Arial" w:hAnsi="Arial"/>
                <w:sz w:val="22"/>
                <w:szCs w:val="22"/>
                <w:color w:val="auto"/>
              </w:rPr>
              <w:t>Changes to Fiscal Year</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112</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6"/>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8.14</w:t>
            </w:r>
          </w:p>
        </w:tc>
        <w:tc>
          <w:tcPr>
            <w:tcW w:w="526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8"/>
              </w:rPr>
              <w:t>Amendments to Documents Governing Certain Indebtedness</w:t>
            </w:r>
          </w:p>
        </w:tc>
        <w:tc>
          <w:tcPr>
            <w:tcW w:w="1800" w:type="dxa"/>
            <w:vAlign w:val="bottom"/>
            <w:gridSpan w:val="5"/>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8.15</w:t>
            </w:r>
          </w:p>
        </w:tc>
        <w:tc>
          <w:tcPr>
            <w:tcW w:w="7060" w:type="dxa"/>
            <w:vAlign w:val="bottom"/>
            <w:gridSpan w:val="31"/>
          </w:tcPr>
          <w:p>
            <w:pPr>
              <w:spacing w:after="0"/>
              <w:rPr>
                <w:sz w:val="20"/>
                <w:szCs w:val="20"/>
                <w:color w:val="auto"/>
              </w:rPr>
            </w:pPr>
            <w:r>
              <w:rPr>
                <w:rFonts w:ascii="Arial" w:cs="Arial" w:eastAsia="Arial" w:hAnsi="Arial"/>
                <w:sz w:val="22"/>
                <w:szCs w:val="22"/>
                <w:color w:val="auto"/>
              </w:rPr>
              <w:t>Limit on Contingent Liabilities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112</w:t>
            </w: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11"/>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gridSpan w:val="9"/>
          </w:tcPr>
          <w:p>
            <w:pPr>
              <w:jc w:val="center"/>
              <w:ind w:right="3200"/>
              <w:spacing w:after="0"/>
              <w:rPr>
                <w:sz w:val="20"/>
                <w:szCs w:val="20"/>
                <w:color w:val="auto"/>
              </w:rPr>
            </w:pPr>
            <w:r>
              <w:rPr>
                <w:rFonts w:ascii="Arial" w:cs="Arial" w:eastAsia="Arial" w:hAnsi="Arial"/>
                <w:sz w:val="22"/>
                <w:szCs w:val="22"/>
                <w:color w:val="010000"/>
                <w:w w:val="98"/>
              </w:rPr>
              <w:t>ARTICLE IX</w:t>
            </w:r>
          </w:p>
        </w:tc>
        <w:tc>
          <w:tcPr>
            <w:tcW w:w="1180" w:type="dxa"/>
            <w:vAlign w:val="bottom"/>
          </w:tcPr>
          <w:p>
            <w:pPr>
              <w:spacing w:after="0"/>
              <w:rPr>
                <w:sz w:val="24"/>
                <w:szCs w:val="24"/>
                <w:color w:val="auto"/>
              </w:rPr>
            </w:pPr>
          </w:p>
        </w:tc>
      </w:tr>
      <w:tr>
        <w:trPr>
          <w:trHeight w:val="297"/>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80" w:type="dxa"/>
            <w:vAlign w:val="bottom"/>
            <w:gridSpan w:val="23"/>
          </w:tcPr>
          <w:p>
            <w:pPr>
              <w:jc w:val="center"/>
              <w:ind w:right="1900"/>
              <w:spacing w:after="0"/>
              <w:rPr>
                <w:sz w:val="20"/>
                <w:szCs w:val="20"/>
                <w:color w:val="auto"/>
              </w:rPr>
            </w:pPr>
            <w:r>
              <w:rPr>
                <w:rFonts w:ascii="Arial" w:cs="Arial" w:eastAsia="Arial" w:hAnsi="Arial"/>
                <w:sz w:val="22"/>
                <w:szCs w:val="22"/>
                <w:color w:val="010000"/>
                <w:w w:val="94"/>
              </w:rPr>
              <w:t>EVENTS OF DEFAULT AND REMEDIES</w:t>
            </w:r>
          </w:p>
        </w:tc>
        <w:tc>
          <w:tcPr>
            <w:tcW w:w="1180" w:type="dxa"/>
            <w:vAlign w:val="bottom"/>
          </w:tcPr>
          <w:p>
            <w:pPr>
              <w:spacing w:after="0"/>
              <w:rPr>
                <w:sz w:val="24"/>
                <w:szCs w:val="24"/>
                <w:color w:val="auto"/>
              </w:rPr>
            </w:pPr>
          </w:p>
        </w:tc>
      </w:tr>
      <w:tr>
        <w:trPr>
          <w:trHeight w:val="530"/>
        </w:trPr>
        <w:tc>
          <w:tcPr>
            <w:tcW w:w="2520" w:type="dxa"/>
            <w:vAlign w:val="bottom"/>
          </w:tcPr>
          <w:p>
            <w:pPr>
              <w:spacing w:after="0"/>
              <w:rPr>
                <w:sz w:val="20"/>
                <w:szCs w:val="20"/>
                <w:color w:val="auto"/>
              </w:rPr>
            </w:pPr>
            <w:r>
              <w:rPr>
                <w:rFonts w:ascii="Arial" w:cs="Arial" w:eastAsia="Arial" w:hAnsi="Arial"/>
                <w:sz w:val="22"/>
                <w:szCs w:val="22"/>
                <w:color w:val="010000"/>
              </w:rPr>
              <w:t>SECTION 9.01</w:t>
            </w:r>
          </w:p>
        </w:tc>
        <w:tc>
          <w:tcPr>
            <w:tcW w:w="7060" w:type="dxa"/>
            <w:vAlign w:val="bottom"/>
            <w:gridSpan w:val="31"/>
          </w:tcPr>
          <w:p>
            <w:pPr>
              <w:spacing w:after="0"/>
              <w:rPr>
                <w:sz w:val="20"/>
                <w:szCs w:val="20"/>
                <w:color w:val="auto"/>
              </w:rPr>
            </w:pPr>
            <w:r>
              <w:rPr>
                <w:rFonts w:ascii="Arial" w:cs="Arial" w:eastAsia="Arial" w:hAnsi="Arial"/>
                <w:sz w:val="22"/>
                <w:szCs w:val="22"/>
                <w:color w:val="auto"/>
              </w:rPr>
              <w:t>Events of Default and Remedies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9.02</w:t>
            </w:r>
          </w:p>
        </w:tc>
        <w:tc>
          <w:tcPr>
            <w:tcW w:w="2780" w:type="dxa"/>
            <w:vAlign w:val="bottom"/>
            <w:tcBorders>
              <w:top w:val="single" w:sz="8" w:color="auto"/>
            </w:tcBorders>
            <w:gridSpan w:val="24"/>
          </w:tcPr>
          <w:p>
            <w:pPr>
              <w:spacing w:after="0"/>
              <w:rPr>
                <w:sz w:val="20"/>
                <w:szCs w:val="20"/>
                <w:color w:val="auto"/>
              </w:rPr>
            </w:pPr>
            <w:r>
              <w:rPr>
                <w:rFonts w:ascii="Arial" w:cs="Arial" w:eastAsia="Arial" w:hAnsi="Arial"/>
                <w:sz w:val="22"/>
                <w:szCs w:val="22"/>
                <w:color w:val="auto"/>
              </w:rPr>
              <w:t>Right of Setoff</w:t>
            </w:r>
          </w:p>
        </w:tc>
        <w:tc>
          <w:tcPr>
            <w:tcW w:w="4280" w:type="dxa"/>
            <w:vAlign w:val="bottom"/>
            <w:gridSpan w:val="7"/>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115</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9.03</w:t>
            </w:r>
          </w:p>
        </w:tc>
        <w:tc>
          <w:tcPr>
            <w:tcW w:w="140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6"/>
              </w:rPr>
              <w:t>Other Remedies</w:t>
            </w:r>
          </w:p>
        </w:tc>
        <w:tc>
          <w:tcPr>
            <w:tcW w:w="5660" w:type="dxa"/>
            <w:vAlign w:val="bottom"/>
            <w:gridSpan w:val="19"/>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9.04</w:t>
            </w:r>
          </w:p>
        </w:tc>
        <w:tc>
          <w:tcPr>
            <w:tcW w:w="5580" w:type="dxa"/>
            <w:vAlign w:val="bottom"/>
            <w:tcBorders>
              <w:bottom w:val="single" w:sz="8" w:color="auto"/>
            </w:tcBorders>
            <w:gridSpan w:val="28"/>
          </w:tcPr>
          <w:p>
            <w:pPr>
              <w:spacing w:after="0"/>
              <w:rPr>
                <w:sz w:val="20"/>
                <w:szCs w:val="20"/>
                <w:color w:val="auto"/>
              </w:rPr>
            </w:pPr>
            <w:r>
              <w:rPr>
                <w:rFonts w:ascii="Arial" w:cs="Arial" w:eastAsia="Arial" w:hAnsi="Arial"/>
                <w:sz w:val="22"/>
                <w:szCs w:val="22"/>
                <w:color w:val="auto"/>
                <w:w w:val="92"/>
              </w:rPr>
              <w:t>Application of Moneys During Continuation of Event of Default</w:t>
            </w:r>
          </w:p>
        </w:tc>
        <w:tc>
          <w:tcPr>
            <w:tcW w:w="1480" w:type="dxa"/>
            <w:vAlign w:val="bottom"/>
            <w:gridSpan w:val="3"/>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116</w:t>
            </w:r>
          </w:p>
        </w:tc>
      </w:tr>
      <w:tr>
        <w:trPr>
          <w:trHeight w:val="611"/>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gridSpan w:val="9"/>
          </w:tcPr>
          <w:p>
            <w:pPr>
              <w:jc w:val="center"/>
              <w:ind w:right="3200"/>
              <w:spacing w:after="0"/>
              <w:rPr>
                <w:sz w:val="20"/>
                <w:szCs w:val="20"/>
                <w:color w:val="auto"/>
              </w:rPr>
            </w:pPr>
            <w:r>
              <w:rPr>
                <w:rFonts w:ascii="Arial" w:cs="Arial" w:eastAsia="Arial" w:hAnsi="Arial"/>
                <w:sz w:val="22"/>
                <w:szCs w:val="22"/>
                <w:color w:val="010000"/>
                <w:w w:val="96"/>
              </w:rPr>
              <w:t>ARTICLE X</w:t>
            </w:r>
          </w:p>
        </w:tc>
        <w:tc>
          <w:tcPr>
            <w:tcW w:w="1180" w:type="dxa"/>
            <w:vAlign w:val="bottom"/>
          </w:tcPr>
          <w:p>
            <w:pPr>
              <w:spacing w:after="0"/>
              <w:rPr>
                <w:sz w:val="24"/>
                <w:szCs w:val="24"/>
                <w:color w:val="auto"/>
              </w:rPr>
            </w:pPr>
          </w:p>
        </w:tc>
      </w:tr>
      <w:tr>
        <w:trPr>
          <w:trHeight w:val="297"/>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gridSpan w:val="15"/>
          </w:tcPr>
          <w:p>
            <w:pPr>
              <w:jc w:val="center"/>
              <w:ind w:right="2480"/>
              <w:spacing w:after="0"/>
              <w:rPr>
                <w:sz w:val="20"/>
                <w:szCs w:val="20"/>
                <w:color w:val="auto"/>
              </w:rPr>
            </w:pPr>
            <w:r>
              <w:rPr>
                <w:rFonts w:ascii="Arial" w:cs="Arial" w:eastAsia="Arial" w:hAnsi="Arial"/>
                <w:sz w:val="22"/>
                <w:szCs w:val="22"/>
                <w:color w:val="010000"/>
                <w:w w:val="98"/>
              </w:rPr>
              <w:t>ADMINISTRATIVE AGENT</w:t>
            </w:r>
          </w:p>
        </w:tc>
        <w:tc>
          <w:tcPr>
            <w:tcW w:w="1180" w:type="dxa"/>
            <w:vAlign w:val="bottom"/>
          </w:tcPr>
          <w:p>
            <w:pPr>
              <w:spacing w:after="0"/>
              <w:rPr>
                <w:sz w:val="24"/>
                <w:szCs w:val="24"/>
                <w:color w:val="auto"/>
              </w:rPr>
            </w:pPr>
          </w:p>
        </w:tc>
      </w:tr>
      <w:tr>
        <w:trPr>
          <w:trHeight w:val="581"/>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gridSpan w:val="9"/>
          </w:tcPr>
          <w:p>
            <w:pPr>
              <w:jc w:val="center"/>
              <w:ind w:right="3200"/>
              <w:spacing w:after="0"/>
              <w:rPr>
                <w:sz w:val="20"/>
                <w:szCs w:val="20"/>
                <w:color w:val="auto"/>
              </w:rPr>
            </w:pPr>
            <w:r>
              <w:rPr>
                <w:rFonts w:ascii="Arial" w:cs="Arial" w:eastAsia="Arial" w:hAnsi="Arial"/>
                <w:sz w:val="22"/>
                <w:szCs w:val="22"/>
                <w:color w:val="010000"/>
                <w:w w:val="98"/>
              </w:rPr>
              <w:t>ARTICLE XI</w:t>
            </w:r>
          </w:p>
        </w:tc>
        <w:tc>
          <w:tcPr>
            <w:tcW w:w="1180" w:type="dxa"/>
            <w:vAlign w:val="bottom"/>
          </w:tcPr>
          <w:p>
            <w:pPr>
              <w:spacing w:after="0"/>
              <w:rPr>
                <w:sz w:val="24"/>
                <w:szCs w:val="24"/>
                <w:color w:val="auto"/>
              </w:rPr>
            </w:pPr>
          </w:p>
        </w:tc>
      </w:tr>
      <w:tr>
        <w:trPr>
          <w:trHeight w:val="297"/>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1"/>
          </w:tcPr>
          <w:p>
            <w:pPr>
              <w:jc w:val="center"/>
              <w:ind w:right="2780"/>
              <w:spacing w:after="0"/>
              <w:rPr>
                <w:sz w:val="20"/>
                <w:szCs w:val="20"/>
                <w:color w:val="auto"/>
              </w:rPr>
            </w:pPr>
            <w:r>
              <w:rPr>
                <w:rFonts w:ascii="Arial" w:cs="Arial" w:eastAsia="Arial" w:hAnsi="Arial"/>
                <w:sz w:val="22"/>
                <w:szCs w:val="22"/>
                <w:color w:val="010000"/>
                <w:w w:val="96"/>
              </w:rPr>
              <w:t>MISCELLANEOUS</w:t>
            </w:r>
          </w:p>
        </w:tc>
        <w:tc>
          <w:tcPr>
            <w:tcW w:w="1180" w:type="dxa"/>
            <w:vAlign w:val="bottom"/>
          </w:tcPr>
          <w:p>
            <w:pPr>
              <w:spacing w:after="0"/>
              <w:rPr>
                <w:sz w:val="24"/>
                <w:szCs w:val="24"/>
                <w:color w:val="auto"/>
              </w:rPr>
            </w:pPr>
          </w:p>
        </w:tc>
      </w:tr>
      <w:tr>
        <w:trPr>
          <w:trHeight w:val="530"/>
        </w:trPr>
        <w:tc>
          <w:tcPr>
            <w:tcW w:w="2520" w:type="dxa"/>
            <w:vAlign w:val="bottom"/>
          </w:tcPr>
          <w:p>
            <w:pPr>
              <w:spacing w:after="0"/>
              <w:rPr>
                <w:sz w:val="20"/>
                <w:szCs w:val="20"/>
                <w:color w:val="auto"/>
              </w:rPr>
            </w:pPr>
            <w:r>
              <w:rPr>
                <w:rFonts w:ascii="Arial" w:cs="Arial" w:eastAsia="Arial" w:hAnsi="Arial"/>
                <w:sz w:val="22"/>
                <w:szCs w:val="22"/>
                <w:color w:val="010000"/>
              </w:rPr>
              <w:t>SECTION 11.01</w:t>
            </w:r>
          </w:p>
        </w:tc>
        <w:tc>
          <w:tcPr>
            <w:tcW w:w="6200" w:type="dxa"/>
            <w:vAlign w:val="bottom"/>
            <w:tcBorders>
              <w:bottom w:val="single" w:sz="8" w:color="auto"/>
            </w:tcBorders>
            <w:gridSpan w:val="30"/>
          </w:tcPr>
          <w:p>
            <w:pPr>
              <w:spacing w:after="0"/>
              <w:rPr>
                <w:sz w:val="20"/>
                <w:szCs w:val="20"/>
                <w:color w:val="auto"/>
              </w:rPr>
            </w:pPr>
            <w:r>
              <w:rPr>
                <w:rFonts w:ascii="Arial" w:cs="Arial" w:eastAsia="Arial" w:hAnsi="Arial"/>
                <w:sz w:val="22"/>
                <w:szCs w:val="22"/>
                <w:color w:val="auto"/>
                <w:w w:val="88"/>
              </w:rPr>
              <w:t>Waiver; Amendments; Joinder; Removal of Certain Borrowers; Release</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7"/>
        </w:trPr>
        <w:tc>
          <w:tcPr>
            <w:tcW w:w="2520" w:type="dxa"/>
            <w:vAlign w:val="bottom"/>
          </w:tcPr>
          <w:p>
            <w:pPr>
              <w:spacing w:after="0"/>
              <w:rPr>
                <w:sz w:val="24"/>
                <w:szCs w:val="24"/>
                <w:color w:val="auto"/>
              </w:rPr>
            </w:pPr>
          </w:p>
        </w:tc>
        <w:tc>
          <w:tcPr>
            <w:tcW w:w="7060" w:type="dxa"/>
            <w:vAlign w:val="bottom"/>
            <w:gridSpan w:val="31"/>
          </w:tcPr>
          <w:p>
            <w:pPr>
              <w:spacing w:after="0"/>
              <w:rPr>
                <w:sz w:val="20"/>
                <w:szCs w:val="20"/>
                <w:color w:val="auto"/>
              </w:rPr>
            </w:pPr>
            <w:r>
              <w:rPr>
                <w:rFonts w:ascii="Arial" w:cs="Arial" w:eastAsia="Arial" w:hAnsi="Arial"/>
                <w:sz w:val="22"/>
                <w:szCs w:val="22"/>
                <w:color w:val="auto"/>
              </w:rPr>
              <w:t>of Guarantors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120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11.02</w:t>
            </w:r>
          </w:p>
        </w:tc>
        <w:tc>
          <w:tcPr>
            <w:tcW w:w="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7"/>
              </w:rPr>
              <w:t>Notices</w:t>
            </w:r>
          </w:p>
        </w:tc>
        <w:tc>
          <w:tcPr>
            <w:tcW w:w="520" w:type="dxa"/>
            <w:vAlign w:val="bottom"/>
            <w:tcBorders>
              <w:top w:val="single" w:sz="8" w:color="auto"/>
            </w:tcBorders>
            <w:gridSpan w:val="6"/>
          </w:tcPr>
          <w:p>
            <w:pPr>
              <w:spacing w:after="0"/>
              <w:rPr>
                <w:sz w:val="24"/>
                <w:szCs w:val="24"/>
                <w:color w:val="auto"/>
              </w:rPr>
            </w:pPr>
          </w:p>
        </w:tc>
        <w:tc>
          <w:tcPr>
            <w:tcW w:w="5880" w:type="dxa"/>
            <w:vAlign w:val="bottom"/>
            <w:gridSpan w:val="23"/>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122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11.03</w:t>
            </w:r>
          </w:p>
        </w:tc>
        <w:tc>
          <w:tcPr>
            <w:tcW w:w="128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84"/>
              </w:rPr>
              <w:t>Expenses, Etc.</w:t>
            </w:r>
          </w:p>
        </w:tc>
        <w:tc>
          <w:tcPr>
            <w:tcW w:w="5780" w:type="dxa"/>
            <w:vAlign w:val="bottom"/>
            <w:gridSpan w:val="22"/>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125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11.04</w:t>
            </w:r>
          </w:p>
        </w:tc>
        <w:tc>
          <w:tcPr>
            <w:tcW w:w="7060" w:type="dxa"/>
            <w:vAlign w:val="bottom"/>
            <w:gridSpan w:val="31"/>
          </w:tcPr>
          <w:p>
            <w:pPr>
              <w:spacing w:after="0"/>
              <w:rPr>
                <w:sz w:val="20"/>
                <w:szCs w:val="20"/>
                <w:color w:val="auto"/>
              </w:rPr>
            </w:pPr>
            <w:r>
              <w:rPr>
                <w:rFonts w:ascii="Arial" w:cs="Arial" w:eastAsia="Arial" w:hAnsi="Arial"/>
                <w:sz w:val="22"/>
                <w:szCs w:val="22"/>
                <w:color w:val="auto"/>
              </w:rPr>
              <w:t>Indemnity</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126</w:t>
            </w:r>
          </w:p>
        </w:tc>
      </w:tr>
      <w:tr>
        <w:trPr>
          <w:trHeight w:val="20"/>
        </w:trPr>
        <w:tc>
          <w:tcPr>
            <w:tcW w:w="25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11.05</w:t>
            </w:r>
          </w:p>
        </w:tc>
        <w:tc>
          <w:tcPr>
            <w:tcW w:w="7060" w:type="dxa"/>
            <w:vAlign w:val="bottom"/>
            <w:gridSpan w:val="31"/>
          </w:tcPr>
          <w:p>
            <w:pPr>
              <w:spacing w:after="0"/>
              <w:rPr>
                <w:sz w:val="20"/>
                <w:szCs w:val="20"/>
                <w:color w:val="auto"/>
              </w:rPr>
            </w:pPr>
            <w:r>
              <w:rPr>
                <w:rFonts w:ascii="Arial" w:cs="Arial" w:eastAsia="Arial" w:hAnsi="Arial"/>
                <w:sz w:val="22"/>
                <w:szCs w:val="22"/>
                <w:color w:val="auto"/>
              </w:rPr>
              <w:t>Successors and Assigns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128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11.06</w:t>
            </w:r>
          </w:p>
        </w:tc>
        <w:tc>
          <w:tcPr>
            <w:tcW w:w="2040" w:type="dxa"/>
            <w:vAlign w:val="bottom"/>
            <w:tcBorders>
              <w:top w:val="single" w:sz="8" w:color="auto"/>
            </w:tcBorders>
            <w:gridSpan w:val="20"/>
          </w:tcPr>
          <w:p>
            <w:pPr>
              <w:spacing w:after="0"/>
              <w:rPr>
                <w:sz w:val="20"/>
                <w:szCs w:val="20"/>
                <w:color w:val="auto"/>
              </w:rPr>
            </w:pPr>
            <w:r>
              <w:rPr>
                <w:rFonts w:ascii="Arial" w:cs="Arial" w:eastAsia="Arial" w:hAnsi="Arial"/>
                <w:sz w:val="22"/>
                <w:szCs w:val="22"/>
                <w:color w:val="auto"/>
              </w:rPr>
              <w:t>Confidentiality</w:t>
            </w:r>
          </w:p>
        </w:tc>
        <w:tc>
          <w:tcPr>
            <w:tcW w:w="5020" w:type="dxa"/>
            <w:vAlign w:val="bottom"/>
            <w:gridSpan w:val="11"/>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11.07</w:t>
            </w:r>
          </w:p>
        </w:tc>
        <w:tc>
          <w:tcPr>
            <w:tcW w:w="130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Survival</w:t>
            </w:r>
          </w:p>
        </w:tc>
        <w:tc>
          <w:tcPr>
            <w:tcW w:w="5760" w:type="dxa"/>
            <w:vAlign w:val="bottom"/>
            <w:gridSpan w:val="21"/>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134</w:t>
            </w:r>
          </w:p>
        </w:tc>
      </w:tr>
      <w:tr>
        <w:trPr>
          <w:trHeight w:val="20"/>
        </w:trPr>
        <w:tc>
          <w:tcPr>
            <w:tcW w:w="25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11.08</w:t>
            </w:r>
          </w:p>
        </w:tc>
        <w:tc>
          <w:tcPr>
            <w:tcW w:w="136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90"/>
              </w:rPr>
              <w:t>Governing Law</w:t>
            </w:r>
          </w:p>
        </w:tc>
        <w:tc>
          <w:tcPr>
            <w:tcW w:w="5700" w:type="dxa"/>
            <w:vAlign w:val="bottom"/>
            <w:gridSpan w:val="20"/>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11.09</w:t>
            </w:r>
          </w:p>
        </w:tc>
        <w:tc>
          <w:tcPr>
            <w:tcW w:w="240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86"/>
              </w:rPr>
              <w:t>Independence of Covenants</w:t>
            </w:r>
          </w:p>
        </w:tc>
        <w:tc>
          <w:tcPr>
            <w:tcW w:w="4660" w:type="dxa"/>
            <w:vAlign w:val="bottom"/>
            <w:gridSpan w:val="10"/>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11.10</w:t>
            </w:r>
          </w:p>
        </w:tc>
        <w:tc>
          <w:tcPr>
            <w:tcW w:w="5380" w:type="dxa"/>
            <w:vAlign w:val="bottom"/>
            <w:tcBorders>
              <w:bottom w:val="single" w:sz="8" w:color="auto"/>
            </w:tcBorders>
            <w:gridSpan w:val="27"/>
          </w:tcPr>
          <w:p>
            <w:pPr>
              <w:spacing w:after="0"/>
              <w:rPr>
                <w:sz w:val="20"/>
                <w:szCs w:val="20"/>
                <w:color w:val="auto"/>
              </w:rPr>
            </w:pPr>
            <w:r>
              <w:rPr>
                <w:rFonts w:ascii="Arial" w:cs="Arial" w:eastAsia="Arial" w:hAnsi="Arial"/>
                <w:sz w:val="22"/>
                <w:szCs w:val="22"/>
                <w:color w:val="auto"/>
                <w:w w:val="89"/>
              </w:rPr>
              <w:t>Counterparts; Integration; Effectiveness; Electronic Execution</w:t>
            </w:r>
          </w:p>
        </w:tc>
        <w:tc>
          <w:tcPr>
            <w:tcW w:w="1680" w:type="dxa"/>
            <w:vAlign w:val="bottom"/>
            <w:gridSpan w:val="4"/>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11.11</w:t>
            </w:r>
          </w:p>
        </w:tc>
        <w:tc>
          <w:tcPr>
            <w:tcW w:w="104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9"/>
              </w:rPr>
              <w:t>Severability</w:t>
            </w:r>
          </w:p>
        </w:tc>
        <w:tc>
          <w:tcPr>
            <w:tcW w:w="6020" w:type="dxa"/>
            <w:vAlign w:val="bottom"/>
            <w:gridSpan w:val="25"/>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11.12</w:t>
            </w:r>
          </w:p>
        </w:tc>
        <w:tc>
          <w:tcPr>
            <w:tcW w:w="5820" w:type="dxa"/>
            <w:vAlign w:val="bottom"/>
            <w:tcBorders>
              <w:bottom w:val="single" w:sz="8" w:color="auto"/>
            </w:tcBorders>
            <w:gridSpan w:val="29"/>
          </w:tcPr>
          <w:p>
            <w:pPr>
              <w:spacing w:after="0"/>
              <w:rPr>
                <w:sz w:val="20"/>
                <w:szCs w:val="20"/>
                <w:color w:val="auto"/>
              </w:rPr>
            </w:pPr>
            <w:r>
              <w:rPr>
                <w:rFonts w:ascii="Arial" w:cs="Arial" w:eastAsia="Arial" w:hAnsi="Arial"/>
                <w:sz w:val="22"/>
                <w:szCs w:val="22"/>
                <w:color w:val="auto"/>
                <w:w w:val="89"/>
              </w:rPr>
              <w:t>Conflicts Between This Agreement and the Other Loan Documents</w:t>
            </w:r>
          </w:p>
        </w:tc>
        <w:tc>
          <w:tcPr>
            <w:tcW w:w="1240" w:type="dxa"/>
            <w:vAlign w:val="bottom"/>
            <w:gridSpan w:val="2"/>
          </w:tcPr>
          <w:p>
            <w:pPr>
              <w:spacing w:after="0"/>
              <w:rPr>
                <w:sz w:val="24"/>
                <w:szCs w:val="24"/>
                <w:color w:val="auto"/>
              </w:rPr>
            </w:pP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11.13</w:t>
            </w:r>
          </w:p>
        </w:tc>
        <w:tc>
          <w:tcPr>
            <w:tcW w:w="7060" w:type="dxa"/>
            <w:vAlign w:val="bottom"/>
            <w:gridSpan w:val="31"/>
          </w:tcPr>
          <w:p>
            <w:pPr>
              <w:spacing w:after="0"/>
              <w:rPr>
                <w:sz w:val="20"/>
                <w:szCs w:val="20"/>
                <w:color w:val="auto"/>
              </w:rPr>
            </w:pPr>
            <w:r>
              <w:rPr>
                <w:rFonts w:ascii="Arial" w:cs="Arial" w:eastAsia="Arial" w:hAnsi="Arial"/>
                <w:sz w:val="22"/>
                <w:szCs w:val="22"/>
                <w:color w:val="auto"/>
              </w:rPr>
              <w:t>Headings</w:t>
            </w:r>
          </w:p>
        </w:tc>
        <w:tc>
          <w:tcPr>
            <w:tcW w:w="1180" w:type="dxa"/>
            <w:vAlign w:val="bottom"/>
          </w:tcPr>
          <w:p>
            <w:pPr>
              <w:jc w:val="center"/>
              <w:ind w:left="752"/>
              <w:spacing w:after="0"/>
              <w:rPr>
                <w:sz w:val="20"/>
                <w:szCs w:val="20"/>
                <w:color w:val="auto"/>
              </w:rPr>
            </w:pPr>
            <w:r>
              <w:rPr>
                <w:rFonts w:ascii="Arial" w:cs="Arial" w:eastAsia="Arial" w:hAnsi="Arial"/>
                <w:sz w:val="22"/>
                <w:szCs w:val="22"/>
                <w:color w:val="010000"/>
                <w:w w:val="87"/>
              </w:rPr>
              <w:t>135</w:t>
            </w: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iii -</w:t>
      </w:r>
    </w:p>
    <w:p>
      <w:pPr>
        <w:sectPr>
          <w:pgSz w:w="11900" w:h="16872" w:orient="portrait"/>
          <w:cols w:equalWidth="0" w:num="1">
            <w:col w:w="10760"/>
          </w:cols>
          <w:pgMar w:left="260" w:top="1239" w:right="879" w:bottom="0" w:gutter="0" w:footer="0" w:header="0"/>
        </w:sectPr>
      </w:pPr>
    </w:p>
    <w:bookmarkStart w:id="40" w:name="page41"/>
    <w:bookmarkEnd w:id="40"/>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11.14</w:t>
            </w:r>
          </w:p>
        </w:tc>
        <w:tc>
          <w:tcPr>
            <w:tcW w:w="7080" w:type="dxa"/>
            <w:vAlign w:val="bottom"/>
            <w:gridSpan w:val="11"/>
          </w:tcPr>
          <w:p>
            <w:pPr>
              <w:spacing w:after="0"/>
              <w:rPr>
                <w:sz w:val="20"/>
                <w:szCs w:val="20"/>
                <w:color w:val="auto"/>
              </w:rPr>
            </w:pPr>
            <w:r>
              <w:rPr>
                <w:rFonts w:ascii="Arial" w:cs="Arial" w:eastAsia="Arial" w:hAnsi="Arial"/>
                <w:sz w:val="22"/>
                <w:szCs w:val="22"/>
                <w:color w:val="auto"/>
              </w:rPr>
              <w:t>Limitation of Interest</w:t>
            </w:r>
          </w:p>
        </w:tc>
        <w:tc>
          <w:tcPr>
            <w:tcW w:w="1160" w:type="dxa"/>
            <w:vAlign w:val="bottom"/>
          </w:tcPr>
          <w:p>
            <w:pPr>
              <w:jc w:val="right"/>
              <w:spacing w:after="0"/>
              <w:rPr>
                <w:sz w:val="20"/>
                <w:szCs w:val="20"/>
                <w:color w:val="auto"/>
              </w:rPr>
            </w:pPr>
            <w:r>
              <w:rPr>
                <w:rFonts w:ascii="Arial" w:cs="Arial" w:eastAsia="Arial" w:hAnsi="Arial"/>
                <w:sz w:val="22"/>
                <w:szCs w:val="22"/>
                <w:color w:val="010000"/>
              </w:rPr>
              <w:t>135</w:t>
            </w:r>
          </w:p>
        </w:tc>
      </w:tr>
      <w:tr>
        <w:trPr>
          <w:trHeight w:val="20"/>
        </w:trPr>
        <w:tc>
          <w:tcPr>
            <w:tcW w:w="2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11.15</w:t>
            </w:r>
          </w:p>
        </w:tc>
        <w:tc>
          <w:tcPr>
            <w:tcW w:w="7080" w:type="dxa"/>
            <w:vAlign w:val="bottom"/>
            <w:gridSpan w:val="11"/>
          </w:tcPr>
          <w:p>
            <w:pPr>
              <w:spacing w:after="0"/>
              <w:rPr>
                <w:sz w:val="20"/>
                <w:szCs w:val="20"/>
                <w:color w:val="auto"/>
              </w:rPr>
            </w:pPr>
            <w:r>
              <w:rPr>
                <w:rFonts w:ascii="Arial" w:cs="Arial" w:eastAsia="Arial" w:hAnsi="Arial"/>
                <w:sz w:val="22"/>
                <w:szCs w:val="22"/>
                <w:color w:val="auto"/>
              </w:rPr>
              <w:t>Submission to Jurisdiction; Consent to Service of Process</w:t>
            </w:r>
          </w:p>
        </w:tc>
        <w:tc>
          <w:tcPr>
            <w:tcW w:w="1160" w:type="dxa"/>
            <w:vAlign w:val="bottom"/>
          </w:tcPr>
          <w:p>
            <w:pPr>
              <w:jc w:val="right"/>
              <w:spacing w:after="0"/>
              <w:rPr>
                <w:sz w:val="20"/>
                <w:szCs w:val="20"/>
                <w:color w:val="auto"/>
              </w:rPr>
            </w:pPr>
            <w:r>
              <w:rPr>
                <w:rFonts w:ascii="Arial" w:cs="Arial" w:eastAsia="Arial" w:hAnsi="Arial"/>
                <w:sz w:val="22"/>
                <w:szCs w:val="22"/>
                <w:color w:val="010000"/>
              </w:rPr>
              <w:t>136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11.16</w:t>
            </w:r>
          </w:p>
        </w:tc>
        <w:tc>
          <w:tcPr>
            <w:tcW w:w="174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22"/>
                <w:szCs w:val="22"/>
                <w:color w:val="auto"/>
                <w:w w:val="90"/>
              </w:rPr>
              <w:t>Waiver of Jury Trial</w:t>
            </w:r>
          </w:p>
        </w:tc>
        <w:tc>
          <w:tcPr>
            <w:tcW w:w="3240" w:type="dxa"/>
            <w:vAlign w:val="bottom"/>
            <w:tcBorders>
              <w:top w:val="single" w:sz="8" w:color="auto"/>
            </w:tcBorders>
            <w:gridSpan w:val="3"/>
          </w:tcPr>
          <w:p>
            <w:pPr>
              <w:spacing w:after="0"/>
              <w:rPr>
                <w:sz w:val="24"/>
                <w:szCs w:val="24"/>
                <w:color w:val="auto"/>
              </w:rPr>
            </w:pPr>
          </w:p>
        </w:tc>
        <w:tc>
          <w:tcPr>
            <w:tcW w:w="21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137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11.17</w:t>
            </w: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7"/>
              </w:rPr>
              <w:t>Judgment Currency</w:t>
            </w:r>
          </w:p>
        </w:tc>
        <w:tc>
          <w:tcPr>
            <w:tcW w:w="538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137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11.18</w:t>
            </w:r>
          </w:p>
        </w:tc>
        <w:tc>
          <w:tcPr>
            <w:tcW w:w="7080" w:type="dxa"/>
            <w:vAlign w:val="bottom"/>
            <w:gridSpan w:val="11"/>
          </w:tcPr>
          <w:p>
            <w:pPr>
              <w:spacing w:after="0"/>
              <w:rPr>
                <w:sz w:val="20"/>
                <w:szCs w:val="20"/>
                <w:color w:val="auto"/>
              </w:rPr>
            </w:pPr>
            <w:r>
              <w:rPr>
                <w:rFonts w:ascii="Arial" w:cs="Arial" w:eastAsia="Arial" w:hAnsi="Arial"/>
                <w:sz w:val="22"/>
                <w:szCs w:val="22"/>
                <w:color w:val="auto"/>
              </w:rPr>
              <w:t>USA Patriot Act</w:t>
            </w:r>
          </w:p>
        </w:tc>
        <w:tc>
          <w:tcPr>
            <w:tcW w:w="1160" w:type="dxa"/>
            <w:vAlign w:val="bottom"/>
          </w:tcPr>
          <w:p>
            <w:pPr>
              <w:jc w:val="right"/>
              <w:spacing w:after="0"/>
              <w:rPr>
                <w:sz w:val="20"/>
                <w:szCs w:val="20"/>
                <w:color w:val="auto"/>
              </w:rPr>
            </w:pPr>
            <w:r>
              <w:rPr>
                <w:rFonts w:ascii="Arial" w:cs="Arial" w:eastAsia="Arial" w:hAnsi="Arial"/>
                <w:sz w:val="22"/>
                <w:szCs w:val="22"/>
                <w:color w:val="010000"/>
              </w:rPr>
              <w:t>138</w:t>
            </w:r>
          </w:p>
        </w:tc>
      </w:tr>
      <w:tr>
        <w:trPr>
          <w:trHeight w:val="20"/>
        </w:trPr>
        <w:tc>
          <w:tcPr>
            <w:tcW w:w="2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11.19</w:t>
            </w:r>
          </w:p>
        </w:tc>
        <w:tc>
          <w:tcPr>
            <w:tcW w:w="7080" w:type="dxa"/>
            <w:vAlign w:val="bottom"/>
            <w:gridSpan w:val="11"/>
          </w:tcPr>
          <w:p>
            <w:pPr>
              <w:spacing w:after="0"/>
              <w:rPr>
                <w:sz w:val="20"/>
                <w:szCs w:val="20"/>
                <w:color w:val="auto"/>
              </w:rPr>
            </w:pPr>
            <w:r>
              <w:rPr>
                <w:rFonts w:ascii="Arial" w:cs="Arial" w:eastAsia="Arial" w:hAnsi="Arial"/>
                <w:sz w:val="22"/>
                <w:szCs w:val="22"/>
                <w:color w:val="auto"/>
              </w:rPr>
              <w:t>Payments Set Aside</w:t>
            </w:r>
          </w:p>
        </w:tc>
        <w:tc>
          <w:tcPr>
            <w:tcW w:w="1160" w:type="dxa"/>
            <w:vAlign w:val="bottom"/>
          </w:tcPr>
          <w:p>
            <w:pPr>
              <w:jc w:val="right"/>
              <w:spacing w:after="0"/>
              <w:rPr>
                <w:sz w:val="20"/>
                <w:szCs w:val="20"/>
                <w:color w:val="auto"/>
              </w:rPr>
            </w:pPr>
            <w:r>
              <w:rPr>
                <w:rFonts w:ascii="Arial" w:cs="Arial" w:eastAsia="Arial" w:hAnsi="Arial"/>
                <w:sz w:val="22"/>
                <w:szCs w:val="22"/>
                <w:color w:val="010000"/>
              </w:rPr>
              <w:t>138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11.20</w:t>
            </w:r>
          </w:p>
        </w:tc>
        <w:tc>
          <w:tcPr>
            <w:tcW w:w="172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w w:val="97"/>
              </w:rPr>
              <w:t>No Fiduciary Duty</w:t>
            </w:r>
          </w:p>
        </w:tc>
        <w:tc>
          <w:tcPr>
            <w:tcW w:w="536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138</w:t>
            </w:r>
          </w:p>
        </w:tc>
      </w:tr>
      <w:tr>
        <w:trPr>
          <w:trHeight w:val="20"/>
        </w:trPr>
        <w:tc>
          <w:tcPr>
            <w:tcW w:w="25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11.21</w:t>
            </w:r>
          </w:p>
        </w:tc>
        <w:tc>
          <w:tcPr>
            <w:tcW w:w="192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5"/>
              </w:rPr>
              <w:t>Release of Guarantors</w:t>
            </w:r>
          </w:p>
        </w:tc>
        <w:tc>
          <w:tcPr>
            <w:tcW w:w="516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139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11.22</w:t>
            </w:r>
          </w:p>
        </w:tc>
        <w:tc>
          <w:tcPr>
            <w:tcW w:w="624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0"/>
              </w:rPr>
              <w:t>Acknowledgement and Consent to Bail-In of EEA Financial Institutions</w:t>
            </w:r>
          </w:p>
        </w:tc>
        <w:tc>
          <w:tcPr>
            <w:tcW w:w="8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139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11.23</w:t>
            </w:r>
          </w:p>
        </w:tc>
        <w:tc>
          <w:tcPr>
            <w:tcW w:w="540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89"/>
              </w:rPr>
              <w:t>Confirmation of Lender’s Status as a Swiss Qualifying Lender</w:t>
            </w:r>
          </w:p>
        </w:tc>
        <w:tc>
          <w:tcPr>
            <w:tcW w:w="168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010000"/>
              </w:rPr>
              <w:t>140</w:t>
            </w:r>
          </w:p>
        </w:tc>
      </w:tr>
    </w:tbl>
    <w:p>
      <w:pPr>
        <w:spacing w:after="0" w:line="200" w:lineRule="exact"/>
        <w:rPr>
          <w:sz w:val="20"/>
          <w:szCs w:val="20"/>
          <w:color w:val="auto"/>
        </w:rPr>
      </w:pPr>
    </w:p>
    <w:p>
      <w:pPr>
        <w:spacing w:after="0" w:line="30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iv -</w:t>
      </w:r>
    </w:p>
    <w:p>
      <w:pPr>
        <w:sectPr>
          <w:pgSz w:w="11900" w:h="16838" w:orient="portrait"/>
          <w:cols w:equalWidth="0" w:num="1">
            <w:col w:w="10760"/>
          </w:cols>
          <w:pgMar w:left="260" w:top="1440" w:right="87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AMENDED AND RESTATED CREDIT AGREEMENT, dated as of May [●], 2016, is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the other Subsidiaries of WIL-Ireland from time to time party hereto, the Lenders from time to time party hereto, JPMORGAN CHASE BANK, N.A., as administrative agent for the Lenders and as a Swingline Lender, and the Issuing Banks from time to time party hereto.</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WIL-Bermuda, WIL-Ireland, certain of the Lenders, and the Administrative Agent are parties to that certain Credit Agreement, dated as of October 15, 2010 (as amended by that certain Amendment No. 1 to Credit Agreement, dated as of July 13, 2011, as further amended by that certain Amendment No. 2 to Credit Agreement, dated as of August 6, 2012, as further amended by that certain Amendment No. 3 to Credit Agreement, dated as of June 30, 2015, and as further amended by that certain Amendment No. 4 to Credit Agreement, dated as of February 1, 2016,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w:t>
      </w:r>
    </w:p>
    <w:p>
      <w:pPr>
        <w:spacing w:after="0" w:line="1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WHEREAS</w:t>
      </w:r>
      <w:r>
        <w:rPr>
          <w:rFonts w:ascii="Arial" w:cs="Arial" w:eastAsia="Arial" w:hAnsi="Arial"/>
          <w:sz w:val="19"/>
          <w:szCs w:val="19"/>
          <w:b w:val="1"/>
          <w:bCs w:val="1"/>
          <w:color w:val="auto"/>
        </w:rPr>
        <w:t>,</w:t>
      </w:r>
      <w:r>
        <w:rPr>
          <w:rFonts w:ascii="Arial" w:cs="Arial" w:eastAsia="Arial" w:hAnsi="Arial"/>
          <w:sz w:val="19"/>
          <w:szCs w:val="19"/>
          <w:color w:val="auto"/>
        </w:rPr>
        <w:t xml:space="preserve"> WIL-Ireland, WIL-Bermuda, WIL-Delaware, the Extending Lenders, the “Required Lenders” (under and as defined in the Existing Credit Agreement), the Administrative Agent, the Issuing Banks and the Swingline Lender have entered into that certain Amendment and Restatement Agreement, dated as of the date hereof (the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to consent to and effect certain transactions specified therein, including the amendment and restatement of the Existing Credit Agreement in its entirety to extend the “Maturity Date” (as defined in the Existing Credit Agreement) solely for the Extending Lenders and make certain other modifications and amendments, all as more particularly described herein.</w:t>
      </w:r>
    </w:p>
    <w:p>
      <w:pPr>
        <w:spacing w:after="0" w:line="15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0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DEFINITIONS; ACCOUNTING TERMS; INTERPRETATION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meanings: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Senior Notes</w:t>
      </w:r>
      <w:r>
        <w:rPr>
          <w:rFonts w:ascii="Arial" w:cs="Arial" w:eastAsia="Arial" w:hAnsi="Arial"/>
          <w:sz w:val="22"/>
          <w:szCs w:val="22"/>
          <w:color w:val="auto"/>
        </w:rPr>
        <w:t>” means the 9.625% Senior Notes due March 1, 2019 issued by WIL-Bermuda.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Deposit Account</w:t>
      </w:r>
      <w:r>
        <w:rPr>
          <w:rFonts w:ascii="Arial" w:cs="Arial" w:eastAsia="Arial" w:hAnsi="Arial"/>
          <w:sz w:val="22"/>
          <w:szCs w:val="22"/>
          <w:color w:val="auto"/>
        </w:rPr>
        <w:t>” means any deposit account that is (a) subject to a deposit account control agreement in form and substance reasonably acceptable to the Administrative Agent, which establishes the Term Loan Agent’s “control” (within the meaning of Section 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22"/>
          <w:szCs w:val="22"/>
          <w:color w:val="auto"/>
        </w:rPr>
        <w:t>of the Uniform Commercial Code) with respect to such deposit account and (b) subject to other documentation reasonably satisfactory to the Administrative Agent that does not permit any withdrawals from such deposit account except to Redeem any of the 2019 Senior Notes.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acquisition (whether by purchase, merger, consolidation or otherwise) of property or series of related acquisitions of property that constitutes (i) assets comprising all or substantially all or any significant portion of a business or operating unit of a business, or (ii) all or substantially all of the Capital Stock of a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Added Guarantor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7.08(c)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Financial Covenant</w:t>
      </w:r>
      <w:r>
        <w:rPr>
          <w:rFonts w:ascii="Arial" w:cs="Arial" w:eastAsia="Arial" w:hAnsi="Arial"/>
          <w:sz w:val="19"/>
          <w:szCs w:val="19"/>
          <w:color w:val="auto"/>
        </w:rPr>
        <w:t>” means any affirmative or negative “maintenance” financial covenant contained in any Other Debt Agreement applicable to WIL-Ireland or any Restricted Subsidiary (regardless of whether such provision is labeled or otherwise characterized as a “financial covenant”), including any defined terms as used therein, the subject matter of which either</w:t>
      </w:r>
    </w:p>
    <w:p>
      <w:pPr>
        <w:spacing w:after="0" w:line="1" w:lineRule="exact"/>
        <w:rPr>
          <w:sz w:val="20"/>
          <w:szCs w:val="20"/>
          <w:color w:val="auto"/>
        </w:rPr>
      </w:pPr>
    </w:p>
    <w:p>
      <w:pPr>
        <w:jc w:val="both"/>
        <w:ind w:firstLine="8"/>
        <w:spacing w:after="0" w:line="244" w:lineRule="auto"/>
        <w:tabs>
          <w:tab w:leader="none" w:pos="308" w:val="left"/>
        </w:tabs>
        <w:numPr>
          <w:ilvl w:val="0"/>
          <w:numId w:val="26"/>
        </w:numPr>
        <w:rPr>
          <w:rFonts w:ascii="Arial" w:cs="Arial" w:eastAsia="Arial" w:hAnsi="Arial"/>
          <w:sz w:val="22"/>
          <w:szCs w:val="22"/>
          <w:color w:val="auto"/>
        </w:rPr>
      </w:pPr>
      <w:r>
        <w:rPr>
          <w:rFonts w:ascii="Arial" w:cs="Arial" w:eastAsia="Arial" w:hAnsi="Arial"/>
          <w:sz w:val="22"/>
          <w:szCs w:val="22"/>
          <w:color w:val="auto"/>
        </w:rPr>
        <w:t>is similar to that of any of the Financial Covenants or the related definitions contained in this Agreement, but contains one or more percentages, amounts, formulas or other provisions that are more restrictive as to WIL-Ireland or any Restricted Subsidiary or more beneficial to the holder or holders of any Indebtedness to which such Other Debt Agreement relates than as set forth herein (and such covenant or similar restriction shall be deemed an Additional Financial Covenant only to the extent that it is more restrictive or more beneficial) or (b) is different from the subject matter of any of the Financial Covenants or the related definitions contained in this Agreement.</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JPMorgan in its capacity as administrative agent for the Lenders and any successor in such capacity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specified Person, any other Person that, directly or indirectly, controls, is controlled by or is under direct or indirect common control with, such specified Person. For the purposes of this definition, “control” (including, with correlative meanings, the terms “controlling” and “controlled”), when used with respect to any Person, means the power to direct the management and policies of such Person, directly or indirectly, whether through the ownership of voting securities, by contract or otherwise.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Guaranty</w:t>
      </w:r>
      <w:r>
        <w:rPr>
          <w:rFonts w:ascii="Arial" w:cs="Arial" w:eastAsia="Arial" w:hAnsi="Arial"/>
          <w:sz w:val="22"/>
          <w:szCs w:val="22"/>
          <w:color w:val="auto"/>
        </w:rPr>
        <w:t>” means that certain Affiliate Guaranty, dated as of the Effective Date, by and among WIL-Ireland and the other Guarantors party thereto in favor of the Administrative Agent, for the benefit of itself and the other holders of the Guaranteed Obligations.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3" w:name="page44"/>
    <w:bookmarkEnd w:id="43"/>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at any time, the sum of the Commitments of all Lenders at such time. The amount of the Aggregate Commitments as of the Effective Date is $1,379,888,888.89.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Swingline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Amended and Restated Credit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greatest of (a) the Prime Rate in effect on such day,</w:t>
      </w:r>
    </w:p>
    <w:p>
      <w:pPr>
        <w:spacing w:after="0" w:line="56" w:lineRule="exact"/>
        <w:rPr>
          <w:sz w:val="20"/>
          <w:szCs w:val="20"/>
          <w:color w:val="auto"/>
        </w:rPr>
      </w:pPr>
    </w:p>
    <w:p>
      <w:pPr>
        <w:jc w:val="both"/>
        <w:ind w:firstLine="8"/>
        <w:spacing w:after="0" w:line="257" w:lineRule="auto"/>
        <w:tabs>
          <w:tab w:leader="none" w:pos="316"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NYFRB Rate in effect on such day plus ½ of 1% and (c) the Adjusted LIBO Rate for a one 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shall mean, with respect to any Letter of Credit, any currency (other than Dollars) so long as such currency is freely traded and convertible into Dollars in the London Interbank market and a Dollar Equivalent thereof can be calculated, in which such Letter of Credit shall be denominated, as requested by any Borrower and agreed to by the applicable Issuing Bank, with prior written consent of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and Restatement Agreement</w:t>
      </w:r>
      <w:r>
        <w:rPr>
          <w:rFonts w:ascii="Arial" w:cs="Arial" w:eastAsia="Arial" w:hAnsi="Arial"/>
          <w:sz w:val="22"/>
          <w:szCs w:val="22"/>
          <w:color w:val="auto"/>
        </w:rPr>
        <w:t>” has the meaning specified in the recitals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WIL-Ireland or any of its Subsidiaries from time to time concerning or relating to bribery or corruption.</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means, for any day, (a) with respect to any Non-Extending Lender’s (i) ABR Revolving Credit Loans, the per annum rate of interest set forth in the definition of the term “Non-Extending Lender Applicable Rate” under the heading “ABR Margin” and (ii) Eurodollar Revolving Credit Loans, the per annum rate of interest set forth in the definition of the term “Non-Extending Lender Applicable Rate” under the heading “LIBOR Margin”, in each case based upon the ratings by S&amp;P and Moody’s, respectively, applicable on such date to the Index Debt and (b) with respect to any Extending Lender’s (i) ABR Revolving Credit Loans, the per annum rate of interest set forth in the definition of the term “Extending Lender Applicable Rate” under the heading “ABR Margin” and (ii) Eurodollar Revolving Credit Loans, the per annum rate of interest set forth in the definition of the term “Extending Lender Applicable Rate” under the heading “LIBOR Margin”, in each case based upon the Specified Senior Leverage Ratio as of the most recently ended Fiscal Quarter for which financial statements are available.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44" w:name="page45"/>
    <w:bookmarkEnd w:id="44"/>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the percentage (carried out to the twelfth decimal place) of the Aggregate Commitments represented by such Lender’s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Effective Date is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Certificate</w:t>
      </w:r>
      <w:r>
        <w:rPr>
          <w:rFonts w:ascii="Arial" w:cs="Arial" w:eastAsia="Arial" w:hAnsi="Arial"/>
          <w:sz w:val="22"/>
          <w:szCs w:val="22"/>
          <w:color w:val="auto"/>
        </w:rPr>
        <w:t xml:space="preserve">” means a certificate executed by an assignee under an Assignment and Assumption,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agreement entered into by a Lender and an assignee (with the consent of any party whose consent is required by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Receivables Amount</w:t>
      </w:r>
      <w:r>
        <w:rPr>
          <w:rFonts w:ascii="Arial" w:cs="Arial" w:eastAsia="Arial" w:hAnsi="Arial"/>
          <w:sz w:val="22"/>
          <w:szCs w:val="22"/>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the Effective Date to the earlier of (a) (i) with respect to the Non-Extending Lenders, the Existing Maturity Date or (ii) with respect to the Extending Lenders, the Extended Maturity Date and (b) the date of termination of all of the Commitments.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w:t>
      </w:r>
      <w:r>
        <w:rPr>
          <w:rFonts w:ascii="Arial" w:cs="Arial" w:eastAsia="Arial" w:hAnsi="Arial"/>
          <w:sz w:val="22"/>
          <w:szCs w:val="22"/>
          <w:color w:val="auto"/>
        </w:rPr>
        <w:t>” means each and any of the following bank services provided to WIL-Ireland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 Obligations</w:t>
      </w:r>
      <w:r>
        <w:rPr>
          <w:rFonts w:ascii="Arial" w:cs="Arial" w:eastAsia="Arial" w:hAnsi="Arial"/>
          <w:sz w:val="22"/>
          <w:szCs w:val="22"/>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examiner,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of America (or any successor).</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with respect to any Person, the board of directors (or other governing body) of such Person (or of its (managing) general partner or managing member, as the case may be), or any committee thereof duly authorized to act on behalf of such board of directors (or other governing body).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xml:space="preserve">” means, collectively, WIL-Bermuda and any other Persons from time to time becoming Borrowers hereunder pursuant to </w:t>
      </w:r>
      <w:r>
        <w:rPr>
          <w:rFonts w:ascii="Arial" w:cs="Arial" w:eastAsia="Arial" w:hAnsi="Arial"/>
          <w:sz w:val="22"/>
          <w:szCs w:val="22"/>
          <w:u w:val="single" w:color="auto"/>
          <w:color w:val="auto"/>
        </w:rPr>
        <w:t>Section 11.01(c)</w:t>
      </w:r>
      <w:r>
        <w:rPr>
          <w:rFonts w:ascii="Arial" w:cs="Arial" w:eastAsia="Arial" w:hAnsi="Arial"/>
          <w:sz w:val="22"/>
          <w:szCs w:val="22"/>
          <w:color w:val="auto"/>
        </w:rPr>
        <w:t xml:space="preserve">, but excluding any Persons who from time to time cease to be Borrowers hereunder pursuant to </w:t>
      </w:r>
      <w:r>
        <w:rPr>
          <w:rFonts w:ascii="Arial" w:cs="Arial" w:eastAsia="Arial" w:hAnsi="Arial"/>
          <w:sz w:val="22"/>
          <w:szCs w:val="22"/>
          <w:u w:val="single" w:color="auto"/>
          <w:color w:val="auto"/>
        </w:rPr>
        <w:t>Section 11.01(d)</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means (a) Revolving Credit Loans of the same Type made, converted or continued on the same date and, in the case of Eurodollar Loans, as to which a single Interest Period is in effect or (b) a Swingline Borrowing. For the avoidance of doubt, prior to the Non-Extended Revolving Maturity Date, each Borrowing shall be comprised of both Extended Revolving Loans and Non-Extended Revolving Loans, as provided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a Borrower for a Borrowing of Revolving Credit Loans in accordance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B-1</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that is not a Saturday, Sunday or other day on which commercial banks in New York City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banks are not open for dealings in Dollar deposits in the London interbank market.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46" w:name="page47"/>
    <w:bookmarkEnd w:id="46"/>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means, as to any Person, any lease in respect of which the rental obligation of such Person constitutes a Capital Lease Obligation.</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w:t>
      </w:r>
      <w:r>
        <w:rPr>
          <w:rFonts w:ascii="Arial" w:cs="Arial" w:eastAsia="Arial" w:hAnsi="Arial"/>
          <w:sz w:val="19"/>
          <w:szCs w:val="19"/>
          <w:color w:val="auto"/>
        </w:rPr>
        <w:t>” means, with respect to any Person, the obligation of such Person to pay rent or other amounts under a lease of (or other agreement conveying the right to use) real or personal property that is required to be classified and accounted for as a capital lease obligation on a balance sheet of such Person under GAAP and, for purposes of this Agreement, the amount of such obligation at any date shall be the capitalized amount thereof at such date, determined in accordance with GAAP.</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Carry-Over LC Exposure</w:t>
      </w:r>
      <w:r>
        <w:rPr>
          <w:rFonts w:ascii="Arial" w:cs="Arial" w:eastAsia="Arial" w:hAnsi="Arial"/>
          <w:sz w:val="21"/>
          <w:szCs w:val="21"/>
          <w:color w:val="auto"/>
        </w:rPr>
        <w:t>” means, as of any date of determination, the aggregate LC Exposure of all Non-Extending Lenders and Extending Lenders as of such date solely with respect to any and all Carry-Over Letters of Credit.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Carry-Over Letter of Credit</w:t>
      </w:r>
      <w:r>
        <w:rPr>
          <w:rFonts w:ascii="Arial" w:cs="Arial" w:eastAsia="Arial" w:hAnsi="Arial"/>
          <w:sz w:val="22"/>
          <w:szCs w:val="22"/>
          <w:color w:val="auto"/>
        </w:rPr>
        <w:t>” means any Letter of Credit that was issued prior to the Existing Maturity Date and has an expiry date after the Existing Maturity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78" w:lineRule="auto"/>
        <w:tabs>
          <w:tab w:leader="none" w:pos="1068" w:val="left"/>
        </w:tabs>
        <w:numPr>
          <w:ilvl w:val="0"/>
          <w:numId w:val="28"/>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60" w:lineRule="exact"/>
        <w:rPr>
          <w:rFonts w:ascii="Arial" w:cs="Arial" w:eastAsia="Arial" w:hAnsi="Arial"/>
          <w:sz w:val="21"/>
          <w:szCs w:val="21"/>
          <w:color w:val="auto"/>
        </w:rPr>
      </w:pPr>
    </w:p>
    <w:p>
      <w:pPr>
        <w:ind w:firstLine="656"/>
        <w:spacing w:after="0" w:line="276" w:lineRule="auto"/>
        <w:tabs>
          <w:tab w:leader="none" w:pos="1148"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095"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69" w:lineRule="exact"/>
        <w:rPr>
          <w:rFonts w:ascii="Arial" w:cs="Arial" w:eastAsia="Arial" w:hAnsi="Arial"/>
          <w:sz w:val="21"/>
          <w:szCs w:val="21"/>
          <w:color w:val="auto"/>
        </w:rPr>
      </w:pPr>
    </w:p>
    <w:p>
      <w:pPr>
        <w:ind w:right="20" w:firstLine="656"/>
        <w:spacing w:after="0" w:line="358" w:lineRule="auto"/>
        <w:tabs>
          <w:tab w:leader="none" w:pos="1161" w:val="left"/>
        </w:tabs>
        <w:numPr>
          <w:ilvl w:val="0"/>
          <w:numId w:val="28"/>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90" w:lineRule="exact"/>
        <w:rPr>
          <w:rFonts w:ascii="Arial" w:cs="Arial" w:eastAsia="Arial" w:hAnsi="Arial"/>
          <w:sz w:val="19"/>
          <w:szCs w:val="19"/>
          <w:color w:val="auto"/>
        </w:rPr>
      </w:pPr>
    </w:p>
    <w:p>
      <w:pPr>
        <w:ind w:firstLine="656"/>
        <w:spacing w:after="0" w:line="301" w:lineRule="auto"/>
        <w:tabs>
          <w:tab w:leader="none" w:pos="1082" w:val="left"/>
        </w:tabs>
        <w:numPr>
          <w:ilvl w:val="0"/>
          <w:numId w:val="28"/>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47" w:name="page48"/>
    <w:bookmarkEnd w:id="47"/>
    <w:p>
      <w:pPr>
        <w:jc w:val="both"/>
        <w:ind w:firstLine="656"/>
        <w:spacing w:after="0" w:line="253" w:lineRule="auto"/>
        <w:tabs>
          <w:tab w:leader="none" w:pos="11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case of any Restricted Subsidiary that is organized under the laws of a jurisdiction outside the United States of America, other investments that are analogous to the foregoing, are of comparable credit quality and are customarily used by companies in the jurisdiction of such Restricted Subsidiary for cash management purposes.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 (a) in the case of the Weatherford Parent Company,</w:t>
      </w:r>
    </w:p>
    <w:p>
      <w:pPr>
        <w:spacing w:after="0" w:line="56" w:lineRule="exact"/>
        <w:rPr>
          <w:sz w:val="20"/>
          <w:szCs w:val="20"/>
          <w:color w:val="auto"/>
        </w:rPr>
      </w:pPr>
    </w:p>
    <w:p>
      <w:pPr>
        <w:jc w:val="both"/>
        <w:ind w:firstLine="8"/>
        <w:spacing w:after="0" w:line="284" w:lineRule="auto"/>
        <w:tabs>
          <w:tab w:leader="none" w:pos="261"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any “person” (as such term is used in Sections 13(d) and 14(d) of the Exchange Act as in effect on the Effective Date) or related persons constituting a “group” (as such term is used in Rule 13d-5 under the Exchange Act in effect on the Effective Date) is or becomes the “beneficial owner” (as defined in Rules 13d-3 and 13d-5 under the Exchange Act, as in effect on the Effective Date), directly or indirectly, of 50% or more of the total voting power of the Voting Stock of the Weatherford Parent Company, except as a result of a Redomestication; (ii) the shareholders of the Weatherford Parent Company approve any plan of liquidation, winding up or dissolution of the Weatherford Parent Company, except in connection with a Redomestication; (iii) the Weatherford Parent Company Disposes of all or substantially all of its assets to any Person other than an Obligor or a Restricted Subsidiary organized in a Specified Jurisdiction that, concurrently with such Disposition, becomes a Guarantor in accordance with </w:t>
      </w:r>
      <w:r>
        <w:rPr>
          <w:rFonts w:ascii="Arial" w:cs="Arial" w:eastAsia="Arial" w:hAnsi="Arial"/>
          <w:sz w:val="19"/>
          <w:szCs w:val="19"/>
          <w:u w:val="single" w:color="auto"/>
          <w:color w:val="auto"/>
        </w:rPr>
        <w:t>Section 7.08(a)</w:t>
      </w:r>
      <w:r>
        <w:rPr>
          <w:rFonts w:ascii="Arial" w:cs="Arial" w:eastAsia="Arial" w:hAnsi="Arial"/>
          <w:sz w:val="19"/>
          <w:szCs w:val="19"/>
          <w:color w:val="auto"/>
        </w:rPr>
        <w:t>, except in connection with a Redomestication; or (iv) during any period of twelve consecutive months, individuals who, at the beginning of such period, constituted the Board of Directors of the Weatherford Parent Company (together with any new directors whose appointment or election by such Board of Directors or whose nomination for election by the shareholders of the Weatherford Parent Company, as applicable, was approved by a vote of not less than a majority of the directors then still in office who were either directors at the beginning of such period or whose appointment, election or nomination for election was previously so approved) cease for any reason to constitute a majority of the Board of Directors of the Weatherford Parent Company then in office, but excluding from the foregoing clause any change in the composition or membership of the Board of Directors of the Weatherford Parent Company resulting solely from the addition thereto or removal therefrom of directors to the extent necessary for the Weatherford Parent Company to comply with the United States Sarbanes Oxley Act of 2002 or the rules and regulations of any stock exchange on which the Weatherford Parent Company’s securities are listed, pursuant to the recommendation of the Weatherford Parent Company’s legal counsel; or (b) in the case of any other Obligor Party, except in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48" w:name="page49"/>
    <w:bookmarkEnd w:id="48"/>
    <w:p>
      <w:pPr>
        <w:jc w:val="both"/>
        <w:spacing w:after="0" w:line="343" w:lineRule="auto"/>
        <w:rPr>
          <w:sz w:val="20"/>
          <w:szCs w:val="20"/>
          <w:color w:val="auto"/>
        </w:rPr>
      </w:pPr>
      <w:r>
        <w:rPr>
          <w:rFonts w:ascii="Arial" w:cs="Arial" w:eastAsia="Arial" w:hAnsi="Arial"/>
          <w:sz w:val="19"/>
          <w:szCs w:val="19"/>
          <w:color w:val="auto"/>
        </w:rPr>
        <w:t xml:space="preserve">transaction permitted by </w:t>
      </w:r>
      <w:r>
        <w:rPr>
          <w:rFonts w:ascii="Arial" w:cs="Arial" w:eastAsia="Arial" w:hAnsi="Arial"/>
          <w:sz w:val="19"/>
          <w:szCs w:val="19"/>
          <w:u w:val="single" w:color="auto"/>
          <w:color w:val="auto"/>
        </w:rPr>
        <w:t>Section 8.02</w:t>
      </w:r>
      <w:r>
        <w:rPr>
          <w:rFonts w:ascii="Arial" w:cs="Arial" w:eastAsia="Arial" w:hAnsi="Arial"/>
          <w:sz w:val="19"/>
          <w:szCs w:val="19"/>
          <w:color w:val="auto"/>
        </w:rPr>
        <w:t>, the Weatherford Parent Company ceases to own, after giving effect to such event or series of events, directly or indirectly, 100% of the issued and outstanding Capital Stock of each class of such Obligor Party.</w:t>
      </w:r>
    </w:p>
    <w:p>
      <w:pPr>
        <w:spacing w:after="0" w:line="10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Event</w:t>
      </w:r>
      <w:r>
        <w:rPr>
          <w:rFonts w:ascii="Arial" w:cs="Arial" w:eastAsia="Arial" w:hAnsi="Arial"/>
          <w:sz w:val="22"/>
          <w:szCs w:val="22"/>
          <w:color w:val="auto"/>
        </w:rPr>
        <w:t>” means (a) the execution of any definitive agreement which when fully performed by the parties thereto, would result in a Change of Control; or (b) the commencement of a tender offer pursuant to Section 14(d) of the Exchange Act that would result in a Change of Control if completed.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Citi Credit Documents</w:t>
      </w:r>
      <w:r>
        <w:rPr>
          <w:rFonts w:ascii="Arial" w:cs="Arial" w:eastAsia="Arial" w:hAnsi="Arial"/>
          <w:sz w:val="19"/>
          <w:szCs w:val="19"/>
          <w:color w:val="auto"/>
        </w:rPr>
        <w:t>” means, collectively, (a) that certain Credit and Guaranty Agreement, dated as of March 3, 2014, among WIL-Bermuda, WIL-Delaware, WIL-Ireland (successor-in-interest to Weatherford International Ltd., a Swiss joint stock company), the lenders party thereto from time to time and Citicorp USA, Inc., as administrative agent and as issuing bank, and (b) that certain Continuing Agreement for Standby Letters of Credit, dated March 3, 2014, among WIL-Bermuda, WIL-Delaware, WIL-Ireland (successor-in-interest to Weatherford International Ltd., a Swiss joint stock company) and Citibank, N.A.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United States Internal Revenue Code of 1986, as amended, and the regulations promulgated thereunder.</w:t>
      </w:r>
    </w:p>
    <w:p>
      <w:pPr>
        <w:spacing w:after="0" w:line="25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Commitments</w:t>
      </w:r>
      <w:r>
        <w:rPr>
          <w:rFonts w:ascii="Arial" w:cs="Arial" w:eastAsia="Arial" w:hAnsi="Arial"/>
          <w:sz w:val="19"/>
          <w:szCs w:val="19"/>
          <w:color w:val="auto"/>
        </w:rPr>
        <w:t>” means, collectively, the Extended Commitments and the Non-Extended Commitments, if applicable, and “</w:t>
      </w:r>
      <w:r>
        <w:rPr>
          <w:rFonts w:ascii="Arial" w:cs="Arial" w:eastAsia="Arial" w:hAnsi="Arial"/>
          <w:sz w:val="19"/>
          <w:szCs w:val="19"/>
          <w:u w:val="single" w:color="auto"/>
          <w:color w:val="auto"/>
        </w:rPr>
        <w:t>Commitment</w:t>
      </w:r>
      <w:r>
        <w:rPr>
          <w:rFonts w:ascii="Arial" w:cs="Arial" w:eastAsia="Arial" w:hAnsi="Arial"/>
          <w:sz w:val="19"/>
          <w:szCs w:val="19"/>
          <w:color w:val="auto"/>
        </w:rPr>
        <w:t>” means any Extended Commitment or Non-Extended Commitment, as the context may require.</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with respect to any fiscal period, a certificate of a Principal Financial Officer of WIL-Ireland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Financial Covenants for such period, (c) attaching a summary report with respect to all Specified Letters of Credit, including all undrawn amounts thereunder, as of the last day of such period, (d) identifying all Material Specified Subsidiaries, (e) specifying whether any Material Specified Subsidiaries are organized in jurisdictions other than Specified Jurisdictions or Excluded Jurisdictions, and (f) stating whether any change in GAAP or in the application thereof has occurred since the date of WIL-Ireland’s consolidated financial statements most recently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and, if any such change has occurred, specifying the effect of such change on the financial statements accompanying such certificate.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49" w:name="page50"/>
    <w:bookmarkEnd w:id="49"/>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Adjusted EBITDA</w:t>
      </w:r>
      <w:r>
        <w:rPr>
          <w:rFonts w:ascii="Arial" w:cs="Arial" w:eastAsia="Arial" w:hAnsi="Arial"/>
          <w:sz w:val="19"/>
          <w:szCs w:val="19"/>
          <w:color w:val="auto"/>
        </w:rPr>
        <w:t xml:space="preserve">” means, for any period and with respect to any Reference Group, Consolidated Net Income of such Reference Group for such period </w:t>
      </w:r>
      <w:r>
        <w:rPr>
          <w:rFonts w:ascii="Arial" w:cs="Arial" w:eastAsia="Arial" w:hAnsi="Arial"/>
          <w:sz w:val="19"/>
          <w:szCs w:val="19"/>
          <w:i w:val="1"/>
          <w:iCs w:val="1"/>
          <w:color w:val="auto"/>
        </w:rPr>
        <w:t>plus</w:t>
      </w:r>
      <w:r>
        <w:rPr>
          <w:rFonts w:ascii="Arial" w:cs="Arial" w:eastAsia="Arial" w:hAnsi="Arial"/>
          <w:sz w:val="19"/>
          <w:szCs w:val="19"/>
          <w:color w:val="auto"/>
        </w:rPr>
        <w:t>, (a) the following expenses or charges (without duplication) and to the extent deducted from revenues in determining Consolidated Net Income of such Reference Group for such period: (i) Consolidated Interest Expense, (ii) expense for income taxes, (iii) depreciation, (iv) amortization, (v) extraordinary or non-recurring cash costs, expenses and charges, including those related to (A) severance, cost savings, operating expense reductions, facilities closings, percentage of completion contracts, consolidations, and integration costs and other restructuring</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charges or reserves and (B) litigation, settlement and judgment costs and expenses (provided that the aggregate amount of all amounts added back pursuant to this clause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(excluding any such amounts attributable to Fiscal Quarters ending on or prior to March 31, 2016), shall not exceed (y) $300,000,000 during the term of this Agreement and (z) $100,000,000 in any Testing Period), (vi) any non-cash losses or charges under Swap Agreements resulting from the application of FASB ASC 815, (vii) non-cash compensation expenses or costs related to any management equity plan or stock option plan or any other management or employee benefit plan or agreement, (viii) fees, expenses, premiums and similar charges incurred in connection with the Term Loan Agreement, this Agreement and the Transactions, and (ix) all other non-cash charges, expenses or losses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following items of income or gains (without duplication) to the extent included in Consolidated Net Income of such Reference Group for such period, (i) interest income, (ii) income tax benefits (to the extent not netted from tax expense), (iii) any cash payments made during such period in respect of non-cash items described in clause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for such Reference Group in accordance with GAAP on a consolidated basis. For the purposes of calculating Consolidated Adjusted EBITDA of any Reference Group for any Testing Period if at any time during such Testing Period any member of the applicable Reference Group shall have made any Material Acquisition or Material Disposition, Consolidated Adjusted EBITDA of such Reference Group for such Testing Period shall be calculated after giving effect thereto on a pro forma basis as if such Material Acquisition or Material Disposition had occurred on the first day of such Testing Period.</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for any period and with respect to any Reference Group, the interest expense (including interest expense under Capital Lease Obligations that is treated as interest in accordance with GAAP) of such Reference Group calculated on a consolidated basis for such period with respect to (a) all outstanding Indebtedness of such Reference Group and all outstanding letters of credit, bank guaranties and bankers’ acceptances of such Reference Group, in each case allocable to such period in accordance with GAAP (including all commissions, discounts and other fees and charges owed with respect to letters of credit and bankers acceptance financing; amortization of original issue discount resulting from the issuance of indebtedness at less than par; financing fees (including arrangement, amendment and contract fees), debt issuance costs, commissions and expenses and, in each case, the amortization thereof; and net costs under interest rate Swap Agreements to the extent such net costs are allocable to such period in accordance with GAAP; but excluding any interest that is paid in kind by adding the amount thereof to the principal amount of the related Indebtedness) and (b) the interest, yield, discount or costs, as applicable, payable on all Attributable Receivables Amounts of such Reference Group and attributable to such period. In the event that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22"/>
          <w:szCs w:val="22"/>
          <w:color w:val="auto"/>
        </w:rPr>
        <w:t>any member of such Reference Group shall have completed a Material Acquisition or a Material Disposition at any time during any Testing Period, Consolidated Interest Expense shall be determined for such period on a pro forma basis as if such Material Acquisition or Material Disposition, and any related incurrence or repayment of Indebtedness, had occurred at the beginning of such Testing Period.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and with respect to any Reference Group, the net income (or loss) of such Reference Group calculated in accordance with GAAP on a consolidated basis (without duplication)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without duplication: (a) the income (or loss) of any Person accrued prior to the date such Person became a Restricted Subsidiary of a member of such Reference Group, or is merged into or consolidated with a member of such Reference Group or such Person’s assets are acquired by any member of such Reference Group; (b) the income (or loss) of any Person that is not a Restricted Subsidiary of any member of such Reference Group, or that is accounted for by the equity method of accounting (provided that Consolidated Net Income of such Reference Group for such period shall be increased by the amount of dividends or distributions or other payments that are actually paid in cash or Cash Equivalents to any member of such Reference Group by such Person during such period); (c) the undistributed earnings of any Restricted Subsidiary of any member of such Reference Group to the extent that the declaration or payment of dividends or similar distributions by such Restricted Subsidiary is not at the time permitted by operation of the terms of its organizational documents or any contractual obligation (other than the Loan Documents) or Requirement of Law applicable to such Restricted Subsidiary; and (d) the cumulative effect of a change in accounting principles and changes as a result of the adoption or modification of accounting policies during such period to the extent included in Consolidated Net Income of such Reference Group for such period.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Agricole</w:t>
      </w:r>
      <w:r>
        <w:rPr>
          <w:rFonts w:ascii="Arial" w:cs="Arial" w:eastAsia="Arial" w:hAnsi="Arial"/>
          <w:sz w:val="22"/>
          <w:szCs w:val="22"/>
          <w:color w:val="auto"/>
        </w:rPr>
        <w:t>” means Credit Agricole Corporate and Investment Bank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any Issuing Bank, any Swingline Lender or any other Lender.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the occurrence of any event that with the giving of notice or the passage of time or both would become an Event of Default.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Business Days of the date required to be funded or paid, to (i) fund any portion of its Loans, (ii) fund any portion of its participations in Letters of Credit or Swingline Loans or</w:t>
      </w:r>
    </w:p>
    <w:p>
      <w:pPr>
        <w:spacing w:after="0" w:line="1" w:lineRule="exact"/>
        <w:rPr>
          <w:sz w:val="20"/>
          <w:szCs w:val="20"/>
          <w:color w:val="auto"/>
        </w:rPr>
      </w:pPr>
    </w:p>
    <w:p>
      <w:pPr>
        <w:jc w:val="both"/>
        <w:ind w:firstLine="8"/>
        <w:spacing w:after="0" w:line="288" w:lineRule="auto"/>
        <w:tabs>
          <w:tab w:leader="none" w:pos="385"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pay over to any Credit Party any other amount required to be paid by it hereunder, unless, in the case of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Obligor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21"/>
          <w:szCs w:val="21"/>
          <w:color w:val="auto"/>
        </w:rPr>
        <w:t xml:space="preserve">other agreements in which it commits to extend credit, (c) has failed, within three Business Days after request by any Obligor Party or any Credit Party, acting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Lender shall cease to be a Defaulting Lender pursuant to this clause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Assets</w:t>
      </w:r>
      <w:r>
        <w:rPr>
          <w:rFonts w:ascii="Arial" w:cs="Arial" w:eastAsia="Arial" w:hAnsi="Arial"/>
          <w:sz w:val="22"/>
          <w:szCs w:val="22"/>
          <w:color w:val="auto"/>
        </w:rPr>
        <w:t>” means the assets described in a writing delivered to the Administrative Agent and the Lenders prior to the Effective Date and identified in such writing as the Designated Assets.</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Joint Venture</w:t>
      </w:r>
      <w:r>
        <w:rPr>
          <w:rFonts w:ascii="Arial" w:cs="Arial" w:eastAsia="Arial" w:hAnsi="Arial"/>
          <w:sz w:val="19"/>
          <w:szCs w:val="19"/>
          <w:color w:val="auto"/>
        </w:rPr>
        <w:t>” means the potential joint venture involving the Designated Assets that is described in the same writing delivered to the Administrative Agent and the Lenders prior to the Effective Date that describes the Designated Assets.</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Joint Venture Investments Basket</w:t>
      </w:r>
      <w:r>
        <w:rPr>
          <w:rFonts w:ascii="Arial" w:cs="Arial" w:eastAsia="Arial" w:hAnsi="Arial"/>
          <w:sz w:val="22"/>
          <w:szCs w:val="22"/>
          <w:color w:val="auto"/>
        </w:rPr>
        <w:t xml:space="preserve">” means, at any date of determination, an amount equal to the sum of (a) $25,000,000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if such date is on or after the first anniversary of the Effective Date, $25,000,000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if such date is on or after the second anniversary of the Effective Date, $25,000,000.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Deutsche Bank</w:t>
      </w:r>
      <w:r>
        <w:rPr>
          <w:rFonts w:ascii="Arial" w:cs="Arial" w:eastAsia="Arial" w:hAnsi="Arial"/>
          <w:sz w:val="22"/>
          <w:szCs w:val="22"/>
          <w:color w:val="auto"/>
        </w:rPr>
        <w:t>” means Deutsche Bank AG New York Branch and its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Dispose</w:t>
      </w:r>
      <w:r>
        <w:rPr>
          <w:rFonts w:ascii="Arial" w:cs="Arial" w:eastAsia="Arial" w:hAnsi="Arial"/>
          <w:sz w:val="22"/>
          <w:szCs w:val="22"/>
          <w:color w:val="auto"/>
        </w:rPr>
        <w:t>” means to sell, lease, assign, exchange, convey or otherwise transfer (excluding the granting of a Lien on) any property. “Disposition” has a meaning correlative thereto.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Capital Stock</w:t>
      </w:r>
      <w:r>
        <w:rPr>
          <w:rFonts w:ascii="Arial" w:cs="Arial" w:eastAsia="Arial" w:hAnsi="Arial"/>
          <w:sz w:val="21"/>
          <w:szCs w:val="21"/>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later of (i) the Extended Maturity Date and (ii) the Term Loan Maturity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later of (i) Extended Maturity Date and the (ii) Term Loan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52" w:name="page53"/>
    <w:bookmarkEnd w:id="52"/>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on any date of determination, (a) with respect to any amount denominated in Dollars, such amount and (b) with respect to any amount denominated in an Alternative Currency, the equivalent in Dollars of such amount determined by the Administrative Agent in accordance with normal banking industry practice using the Exchange Rate on such date of determination. In making any determination of the Dollar Equivalent for any purpose, the Administrative Agent shall use the relevant Exchange Rate in effect on the date on which a Dollar Equivalent is required to be determined pursuant to the provisions of this Agreement. As appropriate, amounts specified herein as amounts in Dollars shall be or include any relevant Dollar Equivalent amount.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States of America.</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ECP</w:t>
      </w:r>
      <w:r>
        <w:rPr>
          <w:rFonts w:ascii="Arial" w:cs="Arial" w:eastAsia="Arial" w:hAnsi="Arial"/>
          <w:sz w:val="22"/>
          <w:szCs w:val="22"/>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each party hereto has executed and delivered this Agreement and the other conditions set forth in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are first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System</w:t>
      </w:r>
      <w:r>
        <w:rPr>
          <w:rFonts w:ascii="Arial" w:cs="Arial" w:eastAsia="Arial" w:hAnsi="Arial"/>
          <w:sz w:val="22"/>
          <w:szCs w:val="22"/>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Requirements of Law, relating in any way to the protection of the environment, preservation or reclamation of natural resources, the management, release or threatened release of any Hazardous Material or to health and safety with respect to exposure to Hazardous Materials.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53" w:name="page54"/>
    <w:bookmarkEnd w:id="53"/>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(including any liability for damages, costs of environmental remediation, fines, penalties or indemnities), of WIL-Ireland or any of its Subsidiaries resulting from (a) violation of any Environmental Law,</w:t>
      </w:r>
    </w:p>
    <w:p>
      <w:pPr>
        <w:spacing w:after="0" w:line="1" w:lineRule="exact"/>
        <w:rPr>
          <w:sz w:val="20"/>
          <w:szCs w:val="20"/>
          <w:color w:val="auto"/>
        </w:rPr>
      </w:pPr>
    </w:p>
    <w:p>
      <w:pPr>
        <w:jc w:val="both"/>
        <w:ind w:firstLine="8"/>
        <w:spacing w:after="0" w:line="302" w:lineRule="auto"/>
        <w:tabs>
          <w:tab w:leader="none" w:pos="331"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United States Employee Retirement Income Security Act of 1974, as amended from time to time, and all rules, regulations, rulings and interpretations adopted by the U.S. Department of Labor thereunder.</w:t>
      </w:r>
    </w:p>
    <w:p>
      <w:pPr>
        <w:spacing w:after="0" w:line="17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 each member of a controlled group of corporations and each trade or business (whether or not incorporated) under common control which, together with WIL-Ireland or any Borrower, would be treated as a single employer at any time within the preceding six years under Section 414 of the Code and (b) any Subsidiary of any of the Obligors.</w:t>
      </w:r>
    </w:p>
    <w:p>
      <w:pPr>
        <w:spacing w:after="0" w:line="1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w:t>
      </w:r>
    </w:p>
    <w:p>
      <w:pPr>
        <w:spacing w:after="0" w:line="1" w:lineRule="exact"/>
        <w:rPr>
          <w:sz w:val="20"/>
          <w:szCs w:val="20"/>
          <w:color w:val="auto"/>
        </w:rPr>
      </w:pPr>
    </w:p>
    <w:p>
      <w:pPr>
        <w:jc w:val="both"/>
        <w:ind w:firstLine="8"/>
        <w:spacing w:after="0" w:line="256" w:lineRule="auto"/>
        <w:tabs>
          <w:tab w:leader="none" w:pos="312"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filing pursuant to Section 412(c) of the Code or Section 302(c) of ERISA of an application for a waiver of the minimum funding standard with respect to any Plan; (d) the incurrence by WIL-Ireland, any Borrower or any ERISA Affiliate of any liability under Title IV of ERISA with respect to the termination of any Plan; (e) the receipt by WIL-Ireland, any Borrower or any ERISA Affiliate from the PBGC or a plan administrator of any notice relating to an intention to terminate any Plan or to appoint a trustee to administer any Plan; (f) the incurrence by WIL-Ireland, any Borrower or any ERISA Affiliate of any liability with respect to the withdrawal or partial withdrawal from any Plan or Multiemployer Plan; (g) the receipt by any Multiemployer Plan from WIL-Ireland, any Borrower or any ERISA Affiliate of any notice, concerning the imposition upon WIL-Ireland,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(h) any Foreign Plan Event.</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Fiscal Quarter, the excess, if any, of (a) the sum, without duplication,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 Consolidated Net Income for the WIL-Ireland Group for such Fiscal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54" w:name="page55"/>
    <w:bookmarkEnd w:id="54"/>
    <w:p>
      <w:pPr>
        <w:jc w:val="both"/>
        <w:spacing w:after="0" w:line="258" w:lineRule="exact"/>
        <w:rPr>
          <w:sz w:val="20"/>
          <w:szCs w:val="20"/>
          <w:color w:val="auto"/>
        </w:rPr>
      </w:pPr>
      <w:r>
        <w:rPr>
          <w:rFonts w:ascii="Arial" w:cs="Arial" w:eastAsia="Arial" w:hAnsi="Arial"/>
          <w:sz w:val="19"/>
          <w:szCs w:val="19"/>
          <w:color w:val="auto"/>
        </w:rPr>
        <w:t>Quarter, (ii) the amount of all non-cash charges (including depreciation and amortization) deducted in arriving at such Consolidated Net Income, (iii) decreases in Working Capital for such Fiscal Quarter, and (iv) the aggregate net amount of non</w:t>
      </w:r>
      <w:r>
        <w:rPr>
          <w:rFonts w:ascii="MS PGothic" w:cs="MS PGothic" w:eastAsia="MS PGothic" w:hAnsi="MS PGothic"/>
          <w:sz w:val="19"/>
          <w:szCs w:val="19"/>
          <w:color w:val="auto"/>
        </w:rPr>
        <w:t>‑</w:t>
      </w:r>
      <w:r>
        <w:rPr>
          <w:rFonts w:ascii="Arial" w:cs="Arial" w:eastAsia="Arial" w:hAnsi="Arial"/>
          <w:sz w:val="19"/>
          <w:szCs w:val="19"/>
          <w:color w:val="auto"/>
        </w:rPr>
        <w:t xml:space="preserve">cash loss on the disposition of property by WIL-Ireland and its Restricted Subsidiaries during such Fiscal Quarter (other than sales of inventory in the ordinary course of business), to the extent deducted in arriving at such Consolidated Net Income over (b) the sum, without duplication, of (i) the amount of all non-cash credits included in arriving at such Consolidated Net Income, (ii) the aggregate amount actually paid by WIL-Ireland and its Restricted Subsidiaries in cash during such Fiscal Quarter on account of capital expenditures, (iii) the aggregate amount of all regularly scheduled principal payments of Long-Term Debt (including the Term Loans) of WIL-Ireland and its Restricted Subsidiaries made during such Fiscal Quarter (other than in respect of any revolving credit facility to the extent there is not an equivalent permanent reduction in commitments thereunder), (iv) increases in Working Capital for such Fiscal Quarter, and (v) the aggregate net amount of non-cash gain on the disposition of property by WIL-Ireland and its Restricted Subsidiaries during such Fiscal Quarter (other than sales of inventory in the ordinary course of business), to the extent included in arriving at such Consolidated Net Income;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clause (b)(ii), such amount shall exclude the principal amount of Indebtedness incurred in connection with such expenditures and (B) in the case of clauses (b)(ii) and (b)(iii), such amounts shall exclude any such expenditures or payments financed with insurance proceeds, issuances of Capital Stock by WIL-Ireland (other than Disqualified Capital Stock), or the proceeds of Dispositions of assets.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Rate</w:t>
      </w:r>
      <w:r>
        <w:rPr>
          <w:rFonts w:ascii="Arial" w:cs="Arial" w:eastAsia="Arial" w:hAnsi="Arial"/>
          <w:sz w:val="21"/>
          <w:szCs w:val="21"/>
          <w:color w:val="auto"/>
        </w:rPr>
        <w:t xml:space="preserve">” shall mean, with respect to any Alternative Currency on a particular date, the rate at which such Alternative Currency may be exchanged into Dollars, as set forth at 11:00 a.m., London time, on such date on the applicable Reuters currency page with respect to such Alternative Currency. If such rate does not appear on the applicable Reuters currency page, the Exchange Rate with respect to such Alternative Currency shall be determined by reference to such other publicly available service for displaying exchange rates as may be agreed upon by the Administrative Agent and the Borrowers or, in the absence of such agreement, such Exchange Rate shall instead be the spot rate of exchange of the Administrative Agent in the London interbank market or other market where its foreign currency exchange operations in respect of such Alternative Currency are then being conducted, at or about 11:00 a.m., London time, at such date for the purchase of Dollars with such Alternative Currency, for delivery two Business Days later;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determination, for any reason, no such spot rate is being quoted, the Administrative Agent may use any reasonable method it deems appropriate to determine such rate, and such determination shall be presumed correct absent manifest error;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in connection with any determination of such rate, upon the written request of any Borrower, the Administrative Agent shall notify such Borrower of the sources used to determine such rate.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Jurisdictions</w:t>
      </w:r>
      <w:r>
        <w:rPr>
          <w:rFonts w:ascii="Arial" w:cs="Arial" w:eastAsia="Arial" w:hAnsi="Arial"/>
          <w:sz w:val="22"/>
          <w:szCs w:val="22"/>
          <w:color w:val="auto"/>
        </w:rPr>
        <w:t xml:space="preserve">” means the countries or other jurisdictions identified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Swap Obligation</w:t>
      </w:r>
      <w:r>
        <w:rPr>
          <w:rFonts w:ascii="Arial" w:cs="Arial" w:eastAsia="Arial" w:hAnsi="Arial"/>
          <w:sz w:val="22"/>
          <w:szCs w:val="22"/>
          <w:color w:val="auto"/>
        </w:rPr>
        <w:t>” means, with respect to any Obligor, any Specified Swap Obligation if, and to the extent that, all or a portion of the guarantee of such Obligor of, or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22"/>
          <w:szCs w:val="22"/>
          <w:color w:val="auto"/>
        </w:rPr>
        <w:t>grant by such Obligor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ECP at the time the guarantee of such Obligor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subsection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a Borrower, the Administrative Agent, any Lender, any Issuing Bank or any other such recipient is located or otherwise conducting business activity, (c) in the case of a Lender (other than an assignee pursuant to an assignment required by WIL-Bermuda under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any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(d) in the case of any Lender that becomes a party to this Agreement after the date hereof (or designates a new lending office after the date hereof) without the prior written consent of WIL to the extent required by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(other than (i) a Lender that becomes a party to this Agreement or designates a new lending office when an Event of Default has occurred and is continuing, (ii) a Lender that designates a new lending office after the date hereof pursuant to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(iii) an assignee pursuant to an assignment by a Lender under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and (iv) an assignee pursuant to an assignment required by WIL-Bermuda under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any withholding tax that is imposed on amounts payable to such Lender pursuant to any Loan Document (and including any additional withholding tax that is imposed on amounts payable to such Lender as a result of a change in treaty, law or regulation), (e) in the case of a Lender, any withholding tax imposed on amounts payable to such Lender immediately after it changes its jurisdiction of organization and/or tax residency, except to the extent payments to, or for the benefit of, such Lender were subject to a withholding tax for which an Obligor was responsible immediately prior to the Lender’s change in jurisdiction and/or tax residency, (f) any withholding tax attributable to such Lender’s failure to comply with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4.02(e)</w:t>
      </w:r>
      <w:r>
        <w:rPr>
          <w:rFonts w:ascii="Arial" w:cs="Arial" w:eastAsia="Arial" w:hAnsi="Arial"/>
          <w:sz w:val="19"/>
          <w:szCs w:val="19"/>
          <w:color w:val="auto"/>
        </w:rPr>
        <w:t xml:space="preserve"> and (g) any United States federal withholding Taxes imposed by FATCA.</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specified in the recitals hereto.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Maturity Date</w:t>
      </w:r>
      <w:r>
        <w:rPr>
          <w:rFonts w:ascii="Arial" w:cs="Arial" w:eastAsia="Arial" w:hAnsi="Arial"/>
          <w:sz w:val="22"/>
          <w:szCs w:val="22"/>
          <w:color w:val="auto"/>
        </w:rPr>
        <w:t>” means July 13, 2017.</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Senior Notes</w:t>
      </w:r>
      <w:r>
        <w:rPr>
          <w:rFonts w:ascii="Arial" w:cs="Arial" w:eastAsia="Arial" w:hAnsi="Arial"/>
          <w:sz w:val="21"/>
          <w:szCs w:val="21"/>
          <w:color w:val="auto"/>
        </w:rPr>
        <w:t>” means, collectively, (a) the 2019 Senior Notes, (b) the 6.350% Senior Notes due June 15, 2017 issued by WIL-Delaware, (c) the 6.800% Senior Notes due June 15, 2037 issued by WIL-Delaware, (d) the 6.500% Senior Notes due August 1, 2036 issued by WIL-Bermuda, (e) the 6.000% Senior Notes due March 15, 2018 issued by WIL-Bermuda, (f) the 7.000% Senior Notes due March 15, 2038 issued by WIL-Bermuda, (g) the 9.875% Senior Notes due March 1, 2039 issued by WIL-Bermuda, (h) the 5.125% Senior Notes due September 15, 2020 issued by WIL-Bermuda, (i) the 6.750% Senior Notes due September 15, 2040 issued by WIL-Bermuda, (j) the 4.500% Senior Notes due April 15, 2022 issued by WIL-Bermuda, and (k) the 5.950% Senior Notes due April 15, 2042 issued by WIL-Bermuda.</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Senior Notes Indentures</w:t>
      </w:r>
      <w:r>
        <w:rPr>
          <w:rFonts w:ascii="Arial" w:cs="Arial" w:eastAsia="Arial" w:hAnsi="Arial"/>
          <w:sz w:val="19"/>
          <w:szCs w:val="19"/>
          <w:color w:val="auto"/>
        </w:rPr>
        <w:t>” means, collectively, (a) that certain Indenture, dated as of June 18, 2007, among WIL-Delaware, as issuer, WIL-Bermuda, as guarantor, and Deutsche Bank Trust Company Americas, as trustee, and (b) that certain Indenture, dated as of October 1, 2003, among WIL-Bermuda, as issuer, WIL-Delaware, as guarantor, and Deutsche Bank Trust Company Americas, as trustee, in each case, as supplemented or otherwise modified by all supplemental indentures thereto or any other document supplementing or modifying the terms of such Indentures prior to the Effective Date.</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w:t>
      </w:r>
      <w:r>
        <w:rPr>
          <w:rFonts w:ascii="Arial" w:cs="Arial" w:eastAsia="Arial" w:hAnsi="Arial"/>
          <w:sz w:val="19"/>
          <w:szCs w:val="19"/>
          <w:color w:val="auto"/>
        </w:rPr>
        <w:t xml:space="preserve">” means, with respect to each Extending Lender, the commitment of such Extending Lender to (a) make Loans, (b) acquire participations in Letters of Credit hereunder and (c) acquire participations in Swingline Loans, which commitment will terminate on the Extended Maturity Date (if not terminated earlier in accordance with the terms hereof), in an aggregate principal amount set forth opposite such Extending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heading “Extended Commitment” or in the Assignment and Assumption pursuant to which such Extending Lender shall have assumed its Extended Commitment, as applicable, as such amount may be (i) reduced from time to time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(ii) reduced or increased from time to time pursuant to assignments by or to such Extending Lender pursuant to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11.05</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Maturity Date</w:t>
      </w:r>
      <w:r>
        <w:rPr>
          <w:rFonts w:ascii="Arial" w:cs="Arial" w:eastAsia="Arial" w:hAnsi="Arial"/>
          <w:sz w:val="22"/>
          <w:szCs w:val="22"/>
          <w:color w:val="auto"/>
        </w:rPr>
        <w:t xml:space="preserve">” means July 12, 2019;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WIL-Bermuda has not voluntarily Redeemed at least $500,000,000 of its 2019 Senior Notes prior to November 28, 2018 then, unless WIL-Bermuda has deposited cash in an amount equal to or greater than $500,000,000 into an Acceptable Deposit Account on or before November 28, 2018, the Extended Maturity Date shall be November 28, 2018.</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means each Person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extent such Person is providing an Extended Commitment and any other Person that accepts an assignment from, and assumes the obligations of, an Extending Lender pursuant to an Assignment and Assumption Agreement, other than any such Person that ceases to be a party hereto pursuant to an Assignment and Assumption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 Applicable Rate</w:t>
      </w:r>
      <w:r>
        <w:rPr>
          <w:rFonts w:ascii="Arial" w:cs="Arial" w:eastAsia="Arial" w:hAnsi="Arial"/>
          <w:sz w:val="22"/>
          <w:szCs w:val="22"/>
          <w:color w:val="auto"/>
        </w:rPr>
        <w:t>” means, for any day, with respect to the facility fees payable to any Extending Lender hereunder or with respect to any Eurodollar Revolving Credit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5" w:right="2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21"/>
          <w:szCs w:val="21"/>
          <w:color w:val="auto"/>
        </w:rPr>
        <w:t>Loan or ABR Revolving Credit Loan of any Extending Lender, as the case may be, the applicable rate per annum set forth below under the captions “Facility Fee Rate”, “LIBOR Margin” or “ABR Margin”, as the case may be, based upon the Specified Senior Leverage Ratio as of the most recently ended Fiscal Quarter for which financial statements are available:</w:t>
      </w:r>
    </w:p>
    <w:p>
      <w:pPr>
        <w:spacing w:after="0" w:line="291" w:lineRule="exact"/>
        <w:rPr>
          <w:sz w:val="20"/>
          <w:szCs w:val="20"/>
          <w:color w:val="auto"/>
        </w:rPr>
      </w:pPr>
    </w:p>
    <w:tbl>
      <w:tblPr>
        <w:tblLayout w:type="fixed"/>
        <w:tblInd w:w="1470" w:type="dxa"/>
        <w:tblCellMar>
          <w:top w:w="0" w:type="dxa"/>
          <w:left w:w="0" w:type="dxa"/>
          <w:bottom w:w="0" w:type="dxa"/>
          <w:right w:w="0" w:type="dxa"/>
        </w:tblCellMar>
      </w:tblPr>
      <w:tr>
        <w:trPr>
          <w:trHeight w:val="351"/>
        </w:trPr>
        <w:tc>
          <w:tcPr>
            <w:tcW w:w="360" w:type="dxa"/>
            <w:vAlign w:val="bottom"/>
            <w:tcBorders>
              <w:top w:val="single" w:sz="8" w:color="auto"/>
              <w:left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22"/>
                <w:szCs w:val="22"/>
                <w:color w:val="auto"/>
                <w:w w:val="89"/>
              </w:rPr>
              <w:t>Specified Senior</w:t>
            </w:r>
          </w:p>
        </w:tc>
        <w:tc>
          <w:tcPr>
            <w:tcW w:w="28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0" w:type="dxa"/>
            <w:vAlign w:val="bottom"/>
            <w:tcBorders>
              <w:top w:val="single" w:sz="8" w:color="auto"/>
              <w:bottom w:val="single" w:sz="8" w:color="auto"/>
              <w:right w:val="single" w:sz="8" w:color="auto"/>
            </w:tcBorders>
            <w:gridSpan w:val="2"/>
            <w:vMerge w:val="restart"/>
          </w:tcPr>
          <w:p>
            <w:pPr>
              <w:jc w:val="center"/>
              <w:ind w:right="120"/>
              <w:spacing w:after="0"/>
              <w:rPr>
                <w:sz w:val="20"/>
                <w:szCs w:val="20"/>
                <w:color w:val="auto"/>
              </w:rPr>
            </w:pPr>
            <w:r>
              <w:rPr>
                <w:rFonts w:ascii="Arial" w:cs="Arial" w:eastAsia="Arial" w:hAnsi="Arial"/>
                <w:sz w:val="22"/>
                <w:szCs w:val="22"/>
                <w:color w:val="auto"/>
                <w:w w:val="89"/>
              </w:rPr>
              <w:t>Facility Fee Rate</w:t>
            </w: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gridSpan w:val="2"/>
            <w:vMerge w:val="restart"/>
          </w:tcPr>
          <w:p>
            <w:pPr>
              <w:jc w:val="center"/>
              <w:ind w:right="200"/>
              <w:spacing w:after="0"/>
              <w:rPr>
                <w:sz w:val="20"/>
                <w:szCs w:val="20"/>
                <w:color w:val="auto"/>
              </w:rPr>
            </w:pPr>
            <w:r>
              <w:rPr>
                <w:rFonts w:ascii="Arial" w:cs="Arial" w:eastAsia="Arial" w:hAnsi="Arial"/>
                <w:sz w:val="22"/>
                <w:szCs w:val="22"/>
                <w:color w:val="auto"/>
                <w:w w:val="96"/>
              </w:rPr>
              <w:t>LIBOR Margin</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bottom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22"/>
                <w:szCs w:val="22"/>
                <w:color w:val="auto"/>
                <w:w w:val="94"/>
              </w:rPr>
              <w:t>ABR Margin</w:t>
            </w: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color w:val="auto"/>
                <w:w w:val="89"/>
              </w:rPr>
              <w:t>Category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Borders>
              <w:right w:val="single" w:sz="8" w:color="auto"/>
            </w:tcBorders>
            <w:gridSpan w:val="5"/>
          </w:tcPr>
          <w:p>
            <w:pPr>
              <w:jc w:val="center"/>
              <w:ind w:right="340"/>
              <w:spacing w:after="0" w:line="223" w:lineRule="exact"/>
              <w:rPr>
                <w:sz w:val="20"/>
                <w:szCs w:val="20"/>
                <w:color w:val="auto"/>
              </w:rPr>
            </w:pPr>
            <w:r>
              <w:rPr>
                <w:rFonts w:ascii="Arial" w:cs="Arial" w:eastAsia="Arial" w:hAnsi="Arial"/>
                <w:sz w:val="22"/>
                <w:szCs w:val="22"/>
                <w:color w:val="auto"/>
                <w:w w:val="88"/>
              </w:rPr>
              <w:t>Leverage Ratio</w:t>
            </w:r>
          </w:p>
        </w:tc>
        <w:tc>
          <w:tcPr>
            <w:tcW w:w="100" w:type="dxa"/>
            <w:vAlign w:val="bottom"/>
          </w:tcPr>
          <w:p>
            <w:pPr>
              <w:spacing w:after="0"/>
              <w:rPr>
                <w:sz w:val="19"/>
                <w:szCs w:val="19"/>
                <w:color w:val="auto"/>
              </w:rPr>
            </w:pPr>
          </w:p>
        </w:tc>
        <w:tc>
          <w:tcPr>
            <w:tcW w:w="160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Borders>
              <w:right w:val="single" w:sz="8" w:color="auto"/>
            </w:tcBorders>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60" w:type="dxa"/>
            <w:vAlign w:val="bottom"/>
            <w:tcBorders>
              <w:left w:val="single" w:sz="8" w:color="auto"/>
              <w:right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top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360" w:type="dxa"/>
            <w:vAlign w:val="bottom"/>
            <w:tcBorders>
              <w:left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tcBorders>
              <w:left w:val="single" w:sz="8" w:color="auto"/>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Category 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gridSpan w:val="5"/>
          </w:tcPr>
          <w:p>
            <w:pPr>
              <w:jc w:val="center"/>
              <w:ind w:right="340"/>
              <w:spacing w:after="0"/>
              <w:rPr>
                <w:sz w:val="20"/>
                <w:szCs w:val="20"/>
                <w:color w:val="auto"/>
              </w:rPr>
            </w:pPr>
            <w:r>
              <w:rPr>
                <w:rFonts w:ascii="Arial" w:cs="Arial" w:eastAsia="Arial" w:hAnsi="Arial"/>
                <w:sz w:val="22"/>
                <w:szCs w:val="22"/>
                <w:color w:val="auto"/>
                <w:w w:val="88"/>
              </w:rPr>
              <w:t>&lt; 1.00 to 1.00</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8"/>
              </w:rPr>
              <w:t>0.325%</w:t>
            </w:r>
          </w:p>
        </w:tc>
        <w:tc>
          <w:tcPr>
            <w:tcW w:w="1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22"/>
                <w:szCs w:val="22"/>
                <w:color w:val="auto"/>
                <w:w w:val="91"/>
              </w:rPr>
              <w:t>1.925%</w:t>
            </w:r>
          </w:p>
        </w:tc>
        <w:tc>
          <w:tcPr>
            <w:tcW w:w="2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22"/>
                <w:szCs w:val="22"/>
                <w:color w:val="auto"/>
                <w:w w:val="91"/>
              </w:rPr>
              <w:t>0.925%</w:t>
            </w: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6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color w:val="auto"/>
                <w:w w:val="89"/>
              </w:rPr>
              <w:t>Category 2</w:t>
            </w:r>
          </w:p>
        </w:tc>
        <w:tc>
          <w:tcPr>
            <w:tcW w:w="1960" w:type="dxa"/>
            <w:vAlign w:val="bottom"/>
            <w:tcBorders>
              <w:right w:val="single" w:sz="8" w:color="auto"/>
            </w:tcBorders>
            <w:gridSpan w:val="9"/>
          </w:tcPr>
          <w:p>
            <w:pPr>
              <w:jc w:val="center"/>
              <w:ind w:right="40"/>
              <w:spacing w:after="0"/>
              <w:rPr>
                <w:sz w:val="20"/>
                <w:szCs w:val="20"/>
                <w:color w:val="auto"/>
              </w:rPr>
            </w:pPr>
            <w:r>
              <w:rPr>
                <w:rFonts w:ascii="Arial" w:cs="Arial" w:eastAsia="Arial" w:hAnsi="Arial"/>
                <w:sz w:val="22"/>
                <w:szCs w:val="22"/>
                <w:color w:val="auto"/>
                <w:w w:val="90"/>
              </w:rPr>
              <w:t>&gt; 1.00 to 1.00 but &lt;</w:t>
            </w:r>
          </w:p>
        </w:tc>
        <w:tc>
          <w:tcPr>
            <w:tcW w:w="1580" w:type="dxa"/>
            <w:vAlign w:val="bottom"/>
            <w:gridSpan w:val="2"/>
            <w:vMerge w:val="restart"/>
          </w:tcPr>
          <w:p>
            <w:pPr>
              <w:jc w:val="center"/>
              <w:spacing w:after="0"/>
              <w:rPr>
                <w:sz w:val="20"/>
                <w:szCs w:val="20"/>
                <w:color w:val="auto"/>
              </w:rPr>
            </w:pPr>
            <w:r>
              <w:rPr>
                <w:rFonts w:ascii="Arial" w:cs="Arial" w:eastAsia="Arial" w:hAnsi="Arial"/>
                <w:sz w:val="22"/>
                <w:szCs w:val="22"/>
                <w:color w:val="auto"/>
                <w:w w:val="88"/>
              </w:rPr>
              <w:t>0.400%</w:t>
            </w:r>
          </w:p>
        </w:tc>
        <w:tc>
          <w:tcPr>
            <w:tcW w:w="120" w:type="dxa"/>
            <w:vAlign w:val="bottom"/>
            <w:tcBorders>
              <w:right w:val="single" w:sz="8" w:color="auto"/>
            </w:tcBorders>
          </w:tcPr>
          <w:p>
            <w:pPr>
              <w:spacing w:after="0"/>
              <w:rPr>
                <w:sz w:val="24"/>
                <w:szCs w:val="24"/>
                <w:color w:val="auto"/>
              </w:rPr>
            </w:pPr>
          </w:p>
        </w:tc>
        <w:tc>
          <w:tcPr>
            <w:tcW w:w="150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91"/>
              </w:rPr>
              <w:t>2.800%</w:t>
            </w:r>
          </w:p>
        </w:tc>
        <w:tc>
          <w:tcPr>
            <w:tcW w:w="20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jc w:val="center"/>
              <w:ind w:left="132"/>
              <w:spacing w:after="0"/>
              <w:rPr>
                <w:sz w:val="20"/>
                <w:szCs w:val="20"/>
                <w:color w:val="auto"/>
              </w:rPr>
            </w:pPr>
            <w:r>
              <w:rPr>
                <w:rFonts w:ascii="Arial" w:cs="Arial" w:eastAsia="Arial" w:hAnsi="Arial"/>
                <w:sz w:val="22"/>
                <w:szCs w:val="22"/>
                <w:color w:val="auto"/>
                <w:w w:val="91"/>
              </w:rPr>
              <w:t>1.800%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6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right w:val="single" w:sz="8" w:color="auto"/>
            </w:tcBorders>
            <w:gridSpan w:val="4"/>
            <w:vMerge w:val="restart"/>
          </w:tcPr>
          <w:p>
            <w:pPr>
              <w:jc w:val="center"/>
              <w:ind w:right="400"/>
              <w:spacing w:after="0"/>
              <w:rPr>
                <w:sz w:val="20"/>
                <w:szCs w:val="20"/>
                <w:color w:val="auto"/>
              </w:rPr>
            </w:pPr>
            <w:r>
              <w:rPr>
                <w:rFonts w:ascii="Arial" w:cs="Arial" w:eastAsia="Arial" w:hAnsi="Arial"/>
                <w:sz w:val="22"/>
                <w:szCs w:val="22"/>
                <w:color w:val="auto"/>
                <w:w w:val="89"/>
              </w:rPr>
              <w:t>2.00 to 1.00</w:t>
            </w:r>
          </w:p>
        </w:tc>
        <w:tc>
          <w:tcPr>
            <w:tcW w:w="1580" w:type="dxa"/>
            <w:vAlign w:val="bottom"/>
            <w:gridSpan w:val="2"/>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right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Borders>
              <w:left w:val="single" w:sz="8" w:color="auto"/>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56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color w:val="auto"/>
                <w:w w:val="89"/>
              </w:rPr>
              <w:t>Category 3</w:t>
            </w:r>
          </w:p>
        </w:tc>
        <w:tc>
          <w:tcPr>
            <w:tcW w:w="1960" w:type="dxa"/>
            <w:vAlign w:val="bottom"/>
            <w:tcBorders>
              <w:right w:val="single" w:sz="8" w:color="auto"/>
            </w:tcBorders>
            <w:gridSpan w:val="9"/>
          </w:tcPr>
          <w:p>
            <w:pPr>
              <w:jc w:val="center"/>
              <w:ind w:right="40"/>
              <w:spacing w:after="0"/>
              <w:rPr>
                <w:sz w:val="20"/>
                <w:szCs w:val="20"/>
                <w:color w:val="auto"/>
              </w:rPr>
            </w:pPr>
            <w:r>
              <w:rPr>
                <w:rFonts w:ascii="Arial" w:cs="Arial" w:eastAsia="Arial" w:hAnsi="Arial"/>
                <w:sz w:val="22"/>
                <w:szCs w:val="22"/>
                <w:color w:val="auto"/>
                <w:w w:val="90"/>
              </w:rPr>
              <w:t>&gt; 2.00 to 1.00 but &lt;</w:t>
            </w:r>
          </w:p>
        </w:tc>
        <w:tc>
          <w:tcPr>
            <w:tcW w:w="1580" w:type="dxa"/>
            <w:vAlign w:val="bottom"/>
            <w:gridSpan w:val="2"/>
            <w:vMerge w:val="restart"/>
          </w:tcPr>
          <w:p>
            <w:pPr>
              <w:jc w:val="center"/>
              <w:spacing w:after="0"/>
              <w:rPr>
                <w:sz w:val="20"/>
                <w:szCs w:val="20"/>
                <w:color w:val="auto"/>
              </w:rPr>
            </w:pPr>
            <w:r>
              <w:rPr>
                <w:rFonts w:ascii="Arial" w:cs="Arial" w:eastAsia="Arial" w:hAnsi="Arial"/>
                <w:sz w:val="22"/>
                <w:szCs w:val="22"/>
                <w:color w:val="auto"/>
                <w:w w:val="88"/>
              </w:rPr>
              <w:t>0.500%</w:t>
            </w:r>
          </w:p>
        </w:tc>
        <w:tc>
          <w:tcPr>
            <w:tcW w:w="120" w:type="dxa"/>
            <w:vAlign w:val="bottom"/>
            <w:tcBorders>
              <w:right w:val="single" w:sz="8" w:color="auto"/>
            </w:tcBorders>
          </w:tcPr>
          <w:p>
            <w:pPr>
              <w:spacing w:after="0"/>
              <w:rPr>
                <w:sz w:val="24"/>
                <w:szCs w:val="24"/>
                <w:color w:val="auto"/>
              </w:rPr>
            </w:pPr>
          </w:p>
        </w:tc>
        <w:tc>
          <w:tcPr>
            <w:tcW w:w="1500" w:type="dxa"/>
            <w:vAlign w:val="bottom"/>
            <w:gridSpan w:val="2"/>
            <w:vMerge w:val="restart"/>
          </w:tcPr>
          <w:p>
            <w:pPr>
              <w:jc w:val="center"/>
              <w:ind w:left="72"/>
              <w:spacing w:after="0"/>
              <w:rPr>
                <w:sz w:val="20"/>
                <w:szCs w:val="20"/>
                <w:color w:val="auto"/>
              </w:rPr>
            </w:pPr>
            <w:r>
              <w:rPr>
                <w:rFonts w:ascii="Arial" w:cs="Arial" w:eastAsia="Arial" w:hAnsi="Arial"/>
                <w:sz w:val="22"/>
                <w:szCs w:val="22"/>
                <w:color w:val="auto"/>
                <w:w w:val="91"/>
              </w:rPr>
              <w:t>3.200%</w:t>
            </w:r>
          </w:p>
        </w:tc>
        <w:tc>
          <w:tcPr>
            <w:tcW w:w="20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jc w:val="center"/>
              <w:ind w:left="132"/>
              <w:spacing w:after="0"/>
              <w:rPr>
                <w:sz w:val="20"/>
                <w:szCs w:val="20"/>
                <w:color w:val="auto"/>
              </w:rPr>
            </w:pPr>
            <w:r>
              <w:rPr>
                <w:rFonts w:ascii="Arial" w:cs="Arial" w:eastAsia="Arial" w:hAnsi="Arial"/>
                <w:sz w:val="22"/>
                <w:szCs w:val="22"/>
                <w:color w:val="auto"/>
                <w:w w:val="91"/>
              </w:rPr>
              <w:t>2.200%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6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right w:val="single" w:sz="8" w:color="auto"/>
            </w:tcBorders>
            <w:gridSpan w:val="4"/>
            <w:vMerge w:val="restart"/>
          </w:tcPr>
          <w:p>
            <w:pPr>
              <w:jc w:val="center"/>
              <w:ind w:right="400"/>
              <w:spacing w:after="0"/>
              <w:rPr>
                <w:sz w:val="20"/>
                <w:szCs w:val="20"/>
                <w:color w:val="auto"/>
              </w:rPr>
            </w:pPr>
            <w:r>
              <w:rPr>
                <w:rFonts w:ascii="Arial" w:cs="Arial" w:eastAsia="Arial" w:hAnsi="Arial"/>
                <w:sz w:val="22"/>
                <w:szCs w:val="22"/>
                <w:color w:val="auto"/>
                <w:w w:val="89"/>
              </w:rPr>
              <w:t>2.50 to 1.00</w:t>
            </w:r>
          </w:p>
        </w:tc>
        <w:tc>
          <w:tcPr>
            <w:tcW w:w="1580" w:type="dxa"/>
            <w:vAlign w:val="bottom"/>
            <w:gridSpan w:val="2"/>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right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Borders>
              <w:left w:val="single" w:sz="8" w:color="auto"/>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56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Category 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22"/>
                <w:szCs w:val="22"/>
                <w:color w:val="auto"/>
                <w:w w:val="88"/>
              </w:rPr>
              <w:t>&gt; 2.50 to 1.00</w:t>
            </w:r>
          </w:p>
        </w:tc>
        <w:tc>
          <w:tcPr>
            <w:tcW w:w="1580" w:type="dxa"/>
            <w:vAlign w:val="bottom"/>
            <w:gridSpan w:val="2"/>
          </w:tcPr>
          <w:p>
            <w:pPr>
              <w:jc w:val="center"/>
              <w:spacing w:after="0"/>
              <w:rPr>
                <w:sz w:val="20"/>
                <w:szCs w:val="20"/>
                <w:color w:val="auto"/>
              </w:rPr>
            </w:pPr>
            <w:r>
              <w:rPr>
                <w:rFonts w:ascii="Arial" w:cs="Arial" w:eastAsia="Arial" w:hAnsi="Arial"/>
                <w:sz w:val="22"/>
                <w:szCs w:val="22"/>
                <w:color w:val="auto"/>
                <w:w w:val="88"/>
              </w:rPr>
              <w:t>0.500%</w:t>
            </w:r>
          </w:p>
        </w:tc>
        <w:tc>
          <w:tcPr>
            <w:tcW w:w="120" w:type="dxa"/>
            <w:vAlign w:val="bottom"/>
            <w:tcBorders>
              <w:right w:val="single" w:sz="8" w:color="auto"/>
            </w:tcBorders>
          </w:tcPr>
          <w:p>
            <w:pPr>
              <w:spacing w:after="0"/>
              <w:rPr>
                <w:sz w:val="24"/>
                <w:szCs w:val="24"/>
                <w:color w:val="auto"/>
              </w:rPr>
            </w:pPr>
          </w:p>
        </w:tc>
        <w:tc>
          <w:tcPr>
            <w:tcW w:w="1500" w:type="dxa"/>
            <w:vAlign w:val="bottom"/>
            <w:gridSpan w:val="2"/>
          </w:tcPr>
          <w:p>
            <w:pPr>
              <w:jc w:val="center"/>
              <w:ind w:left="72"/>
              <w:spacing w:after="0"/>
              <w:rPr>
                <w:sz w:val="20"/>
                <w:szCs w:val="20"/>
                <w:color w:val="auto"/>
              </w:rPr>
            </w:pPr>
            <w:r>
              <w:rPr>
                <w:rFonts w:ascii="Arial" w:cs="Arial" w:eastAsia="Arial" w:hAnsi="Arial"/>
                <w:sz w:val="22"/>
                <w:szCs w:val="22"/>
                <w:color w:val="auto"/>
                <w:w w:val="91"/>
              </w:rPr>
              <w:t>3.700%</w:t>
            </w:r>
          </w:p>
        </w:tc>
        <w:tc>
          <w:tcPr>
            <w:tcW w:w="200" w:type="dxa"/>
            <w:vAlign w:val="bottom"/>
            <w:tcBorders>
              <w:right w:val="single" w:sz="8" w:color="auto"/>
            </w:tcBorders>
          </w:tcPr>
          <w:p>
            <w:pPr>
              <w:spacing w:after="0"/>
              <w:rPr>
                <w:sz w:val="24"/>
                <w:szCs w:val="24"/>
                <w:color w:val="auto"/>
              </w:rPr>
            </w:pPr>
          </w:p>
        </w:tc>
        <w:tc>
          <w:tcPr>
            <w:tcW w:w="1360" w:type="dxa"/>
            <w:vAlign w:val="bottom"/>
            <w:gridSpan w:val="2"/>
          </w:tcPr>
          <w:p>
            <w:pPr>
              <w:jc w:val="center"/>
              <w:ind w:left="132"/>
              <w:spacing w:after="0"/>
              <w:rPr>
                <w:sz w:val="20"/>
                <w:szCs w:val="20"/>
                <w:color w:val="auto"/>
              </w:rPr>
            </w:pPr>
            <w:r>
              <w:rPr>
                <w:rFonts w:ascii="Arial" w:cs="Arial" w:eastAsia="Arial" w:hAnsi="Arial"/>
                <w:sz w:val="22"/>
                <w:szCs w:val="22"/>
                <w:color w:val="auto"/>
                <w:w w:val="91"/>
              </w:rPr>
              <w:t>2.700%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at any time WIL-Ireland fails to deliver the quarterly or annual financial statements or related certificates required under this Agreement on or before the date such statements or certificates are due, Category 4 shall be deemed applicable for the period commencing three Business Days after such required date of delivery and ending on the date which is three Business Days after such statements or certificates are actually delivered, after which the Category shall be determined in accordance with the table above as applicable.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 as otherwise provided in the paragraph below, adjustments, if any, to the Category then in effect shall be effective three Business Days after the Administrative Agent has received the applicable financial statements and related certificates and shall apply until the date immediately preceding the effective date of the next such change.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Category 2 shall be deemed to be applicable until the Administrative Agent’s receipt of the applicable financial statements for the first Fiscal Quarter ending after the Effective Date and adjustments to the Category then in effect shall thereafter be effected in accordance with the preceding paragraphs.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 Revolving Credit Loan</w:t>
      </w:r>
      <w:r>
        <w:rPr>
          <w:rFonts w:ascii="Arial" w:cs="Arial" w:eastAsia="Arial" w:hAnsi="Arial"/>
          <w:sz w:val="22"/>
          <w:szCs w:val="22"/>
          <w:color w:val="auto"/>
        </w:rPr>
        <w:t>” means a Revolving Credit Loan of an Extending Lender.</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Fee Rate</w:t>
      </w:r>
      <w:r>
        <w:rPr>
          <w:rFonts w:ascii="Arial" w:cs="Arial" w:eastAsia="Arial" w:hAnsi="Arial"/>
          <w:sz w:val="19"/>
          <w:szCs w:val="19"/>
          <w:color w:val="auto"/>
        </w:rPr>
        <w:t>” means, for any day, (a) with respect to any Non-Extending Lender, the per annum rate set forth in the definition of the term “Non-Extending Lender Applicable Rate” under the heading “Facility Fee Rate”, based upon the ratings by S&amp;P and Moody’s, respectively, applicable on such date to the Index Debt and (b) with respect to any Extending Lender, the per annum rate set forth in the definition of the term “Extending Lender Applicable Rate” under the heading “Facility Fee Rate”, based upon the Specified Senior Leverage Ratio as of the most recently ended Fiscal Quarter for which financial statements are available.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58" w:name="page59"/>
    <w:bookmarkEnd w:id="58"/>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Intergovernmental Agreement as defined in Treasury Regulation Section 1.1471-1T(b)(67) or any successor provisions.</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Covenants</w:t>
      </w:r>
      <w:r>
        <w:rPr>
          <w:rFonts w:ascii="Arial" w:cs="Arial" w:eastAsia="Arial" w:hAnsi="Arial"/>
          <w:sz w:val="22"/>
          <w:szCs w:val="22"/>
          <w:color w:val="auto"/>
        </w:rPr>
        <w:t xml:space="preserve">” means those covenants set forth in </w:t>
      </w:r>
      <w:r>
        <w:rPr>
          <w:rFonts w:ascii="Arial" w:cs="Arial" w:eastAsia="Arial" w:hAnsi="Arial"/>
          <w:sz w:val="22"/>
          <w:szCs w:val="22"/>
          <w:u w:val="single" w:color="auto"/>
          <w:color w:val="auto"/>
        </w:rPr>
        <w:t>Section 8.09</w:t>
      </w:r>
      <w:r>
        <w:rPr>
          <w:rFonts w:ascii="Arial" w:cs="Arial" w:eastAsia="Arial" w:hAnsi="Arial"/>
          <w:sz w:val="22"/>
          <w:szCs w:val="22"/>
          <w:color w:val="auto"/>
        </w:rPr>
        <w:t xml:space="preserve"> and any Additional Financial Covenants included in this Agreement from time to time pursuant to </w:t>
      </w:r>
      <w:r>
        <w:rPr>
          <w:rFonts w:ascii="Arial" w:cs="Arial" w:eastAsia="Arial" w:hAnsi="Arial"/>
          <w:sz w:val="22"/>
          <w:szCs w:val="22"/>
          <w:u w:val="single" w:color="auto"/>
          <w:color w:val="auto"/>
        </w:rPr>
        <w:t>Section 7.10</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Standby Letter of Credit</w:t>
      </w:r>
      <w:r>
        <w:rPr>
          <w:rFonts w:ascii="Arial" w:cs="Arial" w:eastAsia="Arial" w:hAnsi="Arial"/>
          <w:sz w:val="21"/>
          <w:szCs w:val="21"/>
          <w:color w:val="auto"/>
        </w:rPr>
        <w:t xml:space="preserve">” means a standby Letter of Credit under which the beneficiary is entitled to draw thereon in the event that the account party (or the Person or Persons on whose behalf such Letter of Credit was issued) fails to perform a financial obligation. By way of example, a Financial Standby Letter of Credit includes (a) a standby Letter of Credit that secures an obligation to repay borrowed money or to pay invoices, insurance premiums or other monetary obligations, (b) a standby Letter of Credit issued to back a bank guarantee, surety bond or other similar instrument issued to secure an obligation to repay borrowed money or to pay invoices, insurance premiums or other monetary obligations and (c) each Existing Letter of Credit that is identified as a “Financial Standby Letter of Credit” on </w:t>
      </w:r>
      <w:r>
        <w:rPr>
          <w:rFonts w:ascii="Arial" w:cs="Arial" w:eastAsia="Arial" w:hAnsi="Arial"/>
          <w:sz w:val="21"/>
          <w:szCs w:val="21"/>
          <w:u w:val="single" w:color="auto"/>
          <w:color w:val="auto"/>
        </w:rPr>
        <w:t>Schedule 3.01</w:t>
      </w:r>
      <w:r>
        <w:rPr>
          <w:rFonts w:ascii="Arial" w:cs="Arial" w:eastAsia="Arial" w:hAnsi="Arial"/>
          <w:sz w:val="21"/>
          <w:szCs w:val="21"/>
          <w:color w:val="auto"/>
        </w:rPr>
        <w:t>.</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Standby LC Participation Fee Rate</w:t>
      </w:r>
      <w:r>
        <w:rPr>
          <w:rFonts w:ascii="Arial" w:cs="Arial" w:eastAsia="Arial" w:hAnsi="Arial"/>
          <w:sz w:val="22"/>
          <w:szCs w:val="22"/>
          <w:color w:val="auto"/>
        </w:rPr>
        <w:t>” means, for any day, (a) with respect to any Non-Extending Lender, a per annum rate equal to the applicable “LIBOR Margin” set forth in the definition of the term “Non-Extending Lender Applicable Rate”, based upon the ratings by S&amp;P and Moody’s, respectively, applicable on such date to the Index Debt and (b) with respect to any Extending Lender, a per annum rate equal to the applicable “LIBOR Margin” set forth in the definition of “Extending Lender Applicable Rate”, based upon the Specified Leverage Ratio as of the most recently ended Fiscal Quarter for which financial statements are available.</w:t>
      </w:r>
    </w:p>
    <w:p>
      <w:pPr>
        <w:spacing w:after="0" w:line="19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Fiscal Quarter of WIL-Ireland, ending on the last day of each March, June, September and December.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WIL-Ireland, ending on December 31 of each year.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the United States of America or any State thereof.</w:t>
      </w:r>
    </w:p>
    <w:p>
      <w:pPr>
        <w:spacing w:after="0" w:line="17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means any employee pension benefit plan (within the meaning of Section 3(2) of ERISA, whether or not subject to ERISA) that is not subject to United States law, that is maintained or contributed to by WIL-Ireland, any Borrower or any ERISA Affiliate or with respect to which WIL-Ireland, any Borrower or any ERISA Affiliate may have any liability.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5" w:right="239" w:bottom="1440" w:gutter="0" w:footer="0" w:header="0"/>
        </w:sectPr>
      </w:pPr>
    </w:p>
    <w:bookmarkStart w:id="59" w:name="page60"/>
    <w:bookmarkEnd w:id="59"/>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Plan Event</w:t>
      </w:r>
      <w:r>
        <w:rPr>
          <w:rFonts w:ascii="Arial" w:cs="Arial" w:eastAsia="Arial" w:hAnsi="Arial"/>
          <w:sz w:val="21"/>
          <w:szCs w:val="21"/>
          <w:color w:val="auto"/>
        </w:rPr>
        <w:t>” means with respect to any Foreign Plan, (i) the failure to make or, if applicable, accrue in accordance with normal accounting practices, any employer or employee contributions required by applicable law or by the terms of such Foreign Plan, (ii) the failure to register or loss of good standing with applicable regulatory authorities of any such Foreign Plan required to be registered, (iii) the failure of any Foreign Plan to comply with any material provisions of applicable law and regulations or with the material terms of such Foreign Plan, or (iv) a final determination that WIL-Ireland, any Borrower or any ERISA Affiliate are responsible for a deficit or funding shortfall in a Foreign Plan.</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Indebtedness</w:t>
      </w:r>
      <w:r>
        <w:rPr>
          <w:rFonts w:ascii="Arial" w:cs="Arial" w:eastAsia="Arial" w:hAnsi="Arial"/>
          <w:sz w:val="22"/>
          <w:szCs w:val="22"/>
          <w:color w:val="auto"/>
        </w:rPr>
        <w:t>” means, with respect to any Reference Group as of any date, the sum, without duplication, of (a) all Indebtedness of the type described in clauses (a), (b), (d) and (g) of the definition thereof of any member of such Reference Group, other than any such Indebtedness that is Subordinated, and (b) all Guarantees by any member of such Reference Group with respect to any of the foregoing types of Indebtedness (whether or not the primary obligor is a member of such Reference Group), other than any such Guarantee that is Subordinated.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w:t>
      </w:r>
    </w:p>
    <w:p>
      <w:pPr>
        <w:spacing w:after="0" w:line="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pay or purchase, or to advance or supply funds for the primary purpose of the payment or purchase of, any such Indebtedness,</w:t>
      </w:r>
    </w:p>
    <w:p>
      <w:pPr>
        <w:spacing w:after="0" w:line="38" w:lineRule="exact"/>
        <w:rPr>
          <w:rFonts w:ascii="Arial" w:cs="Arial" w:eastAsia="Arial" w:hAnsi="Arial"/>
          <w:sz w:val="19"/>
          <w:szCs w:val="19"/>
          <w:color w:val="auto"/>
        </w:rPr>
      </w:pPr>
    </w:p>
    <w:p>
      <w:pPr>
        <w:jc w:val="both"/>
        <w:ind w:firstLine="8"/>
        <w:spacing w:after="0" w:line="287" w:lineRule="auto"/>
        <w:tabs>
          <w:tab w:leader="none" w:pos="333"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support letters delivered for audit purposes (to the extent consistent with past practices of WIL-Ireland and its Restricted Subsidiaries) and performance guarantees shall not be considered Guarantees pursuant to this definition. The amount of any Guarantee shall be an amount equal to the lesser of the stated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87" w:lineRule="auto"/>
        <w:rPr>
          <w:sz w:val="20"/>
          <w:szCs w:val="20"/>
          <w:color w:val="auto"/>
        </w:rPr>
      </w:pPr>
      <w:r>
        <w:rPr>
          <w:rFonts w:ascii="Arial" w:cs="Arial" w:eastAsia="Arial" w:hAnsi="Arial"/>
          <w:sz w:val="21"/>
          <w:szCs w:val="21"/>
          <w:color w:val="auto"/>
        </w:rPr>
        <w:t>determinable amount of the primary Indebtedness in respect of which such Guarantee is made or, if not stated or determinable, the maximum reasonably anticipated liability in respect thereof as determined by such Person in good faith.</w:t>
      </w:r>
    </w:p>
    <w:p>
      <w:pPr>
        <w:spacing w:after="0" w:line="15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xml:space="preserve">” means (a) all Obligations and (b) all Swap Obligations and Banking Services Obligations owing to one or more Lenders or their respective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Obligor, the term “Guaranteed Obligations” shall not include any Excluded Swap Obligations of such Obligor.</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means each Holdco Guarantor and each other Restricted Subsidiary that enters into a Guaranty Agreement with respect to the Guaranteed Obligations. The Guarantors as of the Effective Date are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 Agreements</w:t>
      </w:r>
      <w:r>
        <w:rPr>
          <w:rFonts w:ascii="Arial" w:cs="Arial" w:eastAsia="Arial" w:hAnsi="Arial"/>
          <w:sz w:val="21"/>
          <w:szCs w:val="21"/>
          <w:color w:val="auto"/>
        </w:rPr>
        <w:t>” means, collectively, (a) the Affiliate Guaranty dated as of the Effective Date by and among WIL-Ireland and the Restricted Subsidiaries party thereto in favor of the Administrative Agent, for the benefit of itself and the other holders of the Guaranteed Obligations, and (b) any other guaranty agreement in form and substance reasonably satisfactory to the Administrative Agent in favor of the Administrative Agent, for the benefit of itself and the other holders of the Guaranteed Obligations, in any such case, pursuant to which any Person guarantees the Guaranteed Obligations.</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Guarantor</w:t>
      </w:r>
      <w:r>
        <w:rPr>
          <w:rFonts w:ascii="Arial" w:cs="Arial" w:eastAsia="Arial" w:hAnsi="Arial"/>
          <w:sz w:val="22"/>
          <w:szCs w:val="22"/>
          <w:color w:val="auto"/>
        </w:rPr>
        <w:t>” means each of WIL-Ireland, WIL-Delaware, Weatherford Investment (Luxembourg) S.à.r.l, a Luxembourg limited liability company, Weatherford International Holding (Bermuda) Ltd., a Bermuda exempted company, Weatherford Bermuda Holdings Ltd., a Bermuda exempted company, and Weatherford Products GmbH, a Switzerland limited liability company.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Hostile Acquisition</w:t>
      </w:r>
      <w:r>
        <w:rPr>
          <w:rFonts w:ascii="Arial" w:cs="Arial" w:eastAsia="Arial" w:hAnsi="Arial"/>
          <w:sz w:val="22"/>
          <w:szCs w:val="22"/>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Incorporated Financial Covenant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7.10(b)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5" w:right="239" w:bottom="1440" w:gutter="0" w:footer="0" w:header="0"/>
        </w:sectPr>
      </w:pPr>
    </w:p>
    <w:bookmarkStart w:id="61" w:name="page62"/>
    <w:bookmarkEnd w:id="61"/>
    <w:p>
      <w:pPr>
        <w:jc w:val="both"/>
        <w:spacing w:after="0" w:line="287" w:lineRule="auto"/>
        <w:rPr>
          <w:sz w:val="20"/>
          <w:szCs w:val="20"/>
          <w:color w:val="auto"/>
        </w:rPr>
      </w:pPr>
      <w:r>
        <w:rPr>
          <w:rFonts w:ascii="Arial" w:cs="Arial" w:eastAsia="Arial" w:hAnsi="Arial"/>
          <w:sz w:val="19"/>
          <w:szCs w:val="19"/>
          <w:color w:val="auto"/>
        </w:rPr>
        <w:t>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any Taxes imposed on or with respect to any payment made by or on account of any obligation of any Borrower or Guarantor under any Loan Document, other than Excluded Taxes and Other Taxes.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Index Debt</w:t>
      </w:r>
      <w:r>
        <w:rPr>
          <w:rFonts w:ascii="Arial" w:cs="Arial" w:eastAsia="Arial" w:hAnsi="Arial"/>
          <w:sz w:val="21"/>
          <w:szCs w:val="21"/>
          <w:color w:val="auto"/>
        </w:rPr>
        <w:t>” means senior, unsecured, long-term indebtedness for borrowed money of WIL-Bermuda that is not guaranteed by any other Person (other than WIL-Ireland and WIL</w:t>
      </w:r>
      <w:r>
        <w:rPr>
          <w:rFonts w:ascii="MS PGothic" w:cs="MS PGothic" w:eastAsia="MS PGothic" w:hAnsi="MS PGothic"/>
          <w:sz w:val="21"/>
          <w:szCs w:val="21"/>
          <w:color w:val="auto"/>
        </w:rPr>
        <w:t>‑</w:t>
      </w:r>
      <w:r>
        <w:rPr>
          <w:rFonts w:ascii="Arial" w:cs="Arial" w:eastAsia="Arial" w:hAnsi="Arial"/>
          <w:sz w:val="21"/>
          <w:szCs w:val="21"/>
          <w:color w:val="auto"/>
        </w:rPr>
        <w:t>Delaware) or subject to any other credit enhancement.</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a Borrower to convert or continue a Borrowing in accordance with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means (a) with respect to any ABR Loan (other than a Swingline Loan), the last day of each March, June, September and December and, with respect to the Non-Extending Lenders, the Existing Maturity Date and, with respect to the Extending Lenders, the Extended Maturity Date,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with respect to the Non-Extending Lenders, the Existing Maturity Date and, with respect to the Extending Lenders, the Extended Maturity Date and (c) with respect to any Swingline Loan, the day that such Loan is required to be repaid.</w:t>
      </w:r>
    </w:p>
    <w:p>
      <w:pPr>
        <w:spacing w:after="0" w:line="18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 Eurodollar Borrowing, the period commencing on the date of such Borrowing and ending on the numerically corresponding day in the calendar month that is one week or one, two, three or six months (or, with the consent of each Lender, twelve months) thereafter, as a Borrower may elect;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any Interest Period would end on a day other than a Business Day, such Interest Period shall be extended to the next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75" w:right="239" w:bottom="1440" w:gutter="0" w:footer="0" w:header="0"/>
        </w:sectPr>
      </w:pPr>
    </w:p>
    <w:bookmarkStart w:id="62" w:name="page63"/>
    <w:bookmarkEnd w:id="62"/>
    <w:p>
      <w:pPr>
        <w:jc w:val="both"/>
        <w:spacing w:after="0" w:line="246" w:lineRule="auto"/>
        <w:rPr>
          <w:sz w:val="20"/>
          <w:szCs w:val="20"/>
          <w:color w:val="auto"/>
        </w:rPr>
      </w:pPr>
      <w:r>
        <w:rPr>
          <w:rFonts w:ascii="Arial" w:cs="Arial" w:eastAsia="Arial" w:hAnsi="Arial"/>
          <w:sz w:val="22"/>
          <w:szCs w:val="22"/>
          <w:color w:val="auto"/>
        </w:rPr>
        <w:t>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Borrowing of Revolving Credit Loans, thereafter shall be the effective date of the most recent conversion or continuation of such Borrowing.</w:t>
      </w:r>
    </w:p>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Rate</w:t>
      </w:r>
      <w:r>
        <w:rPr>
          <w:rFonts w:ascii="Arial" w:cs="Arial" w:eastAsia="Arial" w:hAnsi="Arial"/>
          <w:sz w:val="22"/>
          <w:szCs w:val="22"/>
          <w:color w:val="auto"/>
        </w:rPr>
        <w:t>” means, at any time, for any Impacted Interest Period, the rate per annum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provided that if any Interpolated Rate shall be less than zero, such rate shall be deemed to be zero for the purposes of this Agreement.</w:t>
      </w:r>
    </w:p>
    <w:p>
      <w:pPr>
        <w:spacing w:after="0" w:line="1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 (d) capital contribution or other investment by such Person in any other Person or (e) purchase or other acquisition (in one transaction or a series of transactions) of any assets of any other Person constituting a business unit.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w:t>
      </w:r>
      <w:r>
        <w:rPr>
          <w:rFonts w:ascii="Arial" w:cs="Arial" w:eastAsia="Arial" w:hAnsi="Arial"/>
          <w:sz w:val="22"/>
          <w:szCs w:val="22"/>
          <w:color w:val="auto"/>
        </w:rPr>
        <w:t>” means the International Swaps and Derivatives Association, Inc.</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xml:space="preserve">” means each of JPMorgan, Deutsche Bank, Credit Agricole, Wells Fargo, Toronto Dominion and any other Lender that agrees to issue Letters of Credit hereunder as contemplated by </w:t>
      </w:r>
      <w:r>
        <w:rPr>
          <w:rFonts w:ascii="Arial" w:cs="Arial" w:eastAsia="Arial" w:hAnsi="Arial"/>
          <w:sz w:val="22"/>
          <w:szCs w:val="22"/>
          <w:u w:val="single" w:color="auto"/>
          <w:color w:val="auto"/>
        </w:rPr>
        <w:t>Section 3.01(k)</w:t>
      </w:r>
      <w:r>
        <w:rPr>
          <w:rFonts w:ascii="Arial" w:cs="Arial" w:eastAsia="Arial" w:hAnsi="Arial"/>
          <w:sz w:val="22"/>
          <w:szCs w:val="22"/>
          <w:color w:val="auto"/>
        </w:rPr>
        <w:t>,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3.01(k)</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w:t>
      </w:r>
      <w:r>
        <w:rPr>
          <w:rFonts w:ascii="Arial" w:cs="Arial" w:eastAsia="Arial" w:hAnsi="Arial"/>
          <w:sz w:val="22"/>
          <w:szCs w:val="22"/>
          <w:color w:val="auto"/>
        </w:rPr>
        <w:t>” means JPMorgan Chase Bank, N.A.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Land Rig Sale</w:t>
      </w:r>
      <w:r>
        <w:rPr>
          <w:rFonts w:ascii="Arial" w:cs="Arial" w:eastAsia="Arial" w:hAnsi="Arial"/>
          <w:sz w:val="19"/>
          <w:szCs w:val="19"/>
          <w:color w:val="auto"/>
        </w:rPr>
        <w:t>” means the Disposition of all or a portion of the land drilling business of WIL-Ireland and its Subsidiaries.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Collateral Account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3.01(j)</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75" w:right="239" w:bottom="1440" w:gutter="0" w:footer="0" w:header="0"/>
        </w:sectPr>
      </w:pPr>
    </w:p>
    <w:bookmarkStart w:id="63" w:name="page64"/>
    <w:bookmarkEnd w:id="6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as to each Issuing Bank, the commitment of such Issuing Bank to issue Letters of Credit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The initial amount of each Issuing Bank’s LC Commitment is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and may be adjusted from time to time in accordance with </w:t>
      </w:r>
      <w:r>
        <w:rPr>
          <w:rFonts w:ascii="Arial" w:cs="Arial" w:eastAsia="Arial" w:hAnsi="Arial"/>
          <w:sz w:val="22"/>
          <w:szCs w:val="22"/>
          <w:u w:val="single" w:color="auto"/>
          <w:color w:val="auto"/>
        </w:rPr>
        <w:t>Section 3.01(i)</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any Issuing Bank pursuant to a Letter of Credit.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means, with respect to any Lender at any time, such Lender’s Applicable Percentage of the Total LC Exposure at such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means, at any time, an amount equal to the lesser of (i) $1,000,000,000 and (ii) the Aggregate Commitments at such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means JPMorgan, Deutsche Bank Securities Inc., Wells Fargo Securities, LLC, The Bank of Tokyo-Mitsubishi UFJ, Ltd., Citigroup Global Markets Inc. and Morgan Stanley Senior Funding, Inc.</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Parent</w:t>
      </w:r>
      <w:r>
        <w:rPr>
          <w:rFonts w:ascii="Arial" w:cs="Arial" w:eastAsia="Arial" w:hAnsi="Arial"/>
          <w:sz w:val="22"/>
          <w:szCs w:val="22"/>
          <w:color w:val="auto"/>
        </w:rPr>
        <w:t>” means, with respect to any Lender, any Person as to which such Lender is, directly or indirectly, a subsidiary.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Extending Lenders and Non-Extending Lenders, if applicable, and “Lender” means any Extending Lender or Non-Extending Lender, as the context may require. Unless the context otherwise requires, the term “Lenders” includes the Swingline Lender.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Request</w:t>
      </w:r>
      <w:r>
        <w:rPr>
          <w:rFonts w:ascii="Arial" w:cs="Arial" w:eastAsia="Arial" w:hAnsi="Arial"/>
          <w:sz w:val="19"/>
          <w:szCs w:val="19"/>
          <w:color w:val="auto"/>
        </w:rPr>
        <w:t xml:space="preserve">” means a request by a Borrower for the issuance, amendment, renewal or extension, as the case may be, of a Letter of Credit in accordance with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means, with respect to any Eurodollar Borrowing for any applicable Interest Period, the LIBO Screen Rate at approximately 11:00 a.m., London time, two Business Days prior to the commencement of such Interest Period; provided that if a LIBO Screen Rate shall not be available at such time for such Interest Period (the “</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21"/>
          <w:szCs w:val="21"/>
          <w:u w:val="single" w:color="auto"/>
          <w:color w:val="auto"/>
        </w:rPr>
        <w:t>Section 2.11</w:t>
      </w:r>
      <w:r>
        <w:rPr>
          <w:rFonts w:ascii="Arial" w:cs="Arial" w:eastAsia="Arial" w:hAnsi="Arial"/>
          <w:sz w:val="21"/>
          <w:szCs w:val="21"/>
          <w:color w:val="auto"/>
        </w:rPr>
        <w:t>.</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75" w:right="239" w:bottom="1440" w:gutter="0" w:footer="0" w:header="0"/>
        </w:sectPr>
      </w:pPr>
    </w:p>
    <w:bookmarkStart w:id="64" w:name="page65"/>
    <w:bookmarkEnd w:id="64"/>
    <w:p>
      <w:pPr>
        <w:jc w:val="both"/>
        <w:spacing w:after="0" w:line="248" w:lineRule="auto"/>
        <w:rPr>
          <w:sz w:val="20"/>
          <w:szCs w:val="20"/>
          <w:color w:val="auto"/>
        </w:rPr>
      </w:pPr>
      <w:r>
        <w:rPr>
          <w:rFonts w:ascii="Arial" w:cs="Arial" w:eastAsia="Arial" w:hAnsi="Arial"/>
          <w:sz w:val="22"/>
          <w:szCs w:val="22"/>
          <w:color w:val="auto"/>
        </w:rPr>
        <w:t>discretion), provided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xml:space="preserve">” means any lien, mortgage, deed of trust, pledge, security interest, charge or encumbrance of any kind, including any conditional sale or other title retention agreement or any lease (excluding, however, any lease that is not a Capital Lease) in the nature thereof (whether voluntary or involuntary and whether imposed or created by operation of law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 Revolving Credit Loan or a Swingline Loan, as the context may require.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the Amendment and Restatement Agreement, any Notes issued pursuant to this Agreement, the Guaranty Agreements, the Letters of Credit (and applications therefor),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Debt</w:t>
      </w:r>
      <w:r>
        <w:rPr>
          <w:rFonts w:ascii="Arial" w:cs="Arial" w:eastAsia="Arial" w:hAnsi="Arial"/>
          <w:sz w:val="22"/>
          <w:szCs w:val="22"/>
          <w:color w:val="auto"/>
        </w:rPr>
        <w:t>” means any Indebtedness that, in accordance with GAAP, constitutes (or, when incurred, constituted) a long-term liability.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Acquisition</w:t>
      </w:r>
      <w:r>
        <w:rPr>
          <w:rFonts w:ascii="Arial" w:cs="Arial" w:eastAsia="Arial" w:hAnsi="Arial"/>
          <w:sz w:val="22"/>
          <w:szCs w:val="22"/>
          <w:color w:val="auto"/>
        </w:rPr>
        <w:t>” means, with respect to any Reference Group, any acquisition of property permitted hereunder (other than an acquisition of property in the ordinary course of business) involving the payment of consideration by any member of such Reference Group in excess of $20,000,000.</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WIL-Ireland and its Restricted Subsidiaries, taken as a whole, or (b) a material adverse effect on (i) the ability of the Obligors to collectively perform their payment or other material obligations hereunder or under the Notes and other Loan Documents or (ii) the ability of the Administrative Agent or the Lenders to realize the material benefits intended to be provided by the Obligors under the Loan Documents.</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Disposition</w:t>
      </w:r>
      <w:r>
        <w:rPr>
          <w:rFonts w:ascii="Arial" w:cs="Arial" w:eastAsia="Arial" w:hAnsi="Arial"/>
          <w:sz w:val="22"/>
          <w:szCs w:val="22"/>
          <w:color w:val="auto"/>
        </w:rPr>
        <w:t>” means, with respect to any Reference Group, any Disposition of property that involves the receipt of consideration by any member of such Reference Group in excess of $20,000,000.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75" w:right="239" w:bottom="1440" w:gutter="0" w:footer="0" w:header="0"/>
        </w:sectPr>
      </w:pPr>
    </w:p>
    <w:bookmarkStart w:id="65" w:name="page66"/>
    <w:bookmarkEnd w:id="65"/>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 the Term Loan Facility, (b) Indebtedness (other than the Loans and Letters of Credit) of any one or more of WIL-Ireland and its Restricted Subsidiaries in an aggregate principal amount exceeding $100,000,000 and</w:t>
      </w:r>
    </w:p>
    <w:p>
      <w:pPr>
        <w:spacing w:after="0" w:line="1" w:lineRule="exact"/>
        <w:rPr>
          <w:sz w:val="20"/>
          <w:szCs w:val="20"/>
          <w:color w:val="auto"/>
        </w:rPr>
      </w:pPr>
    </w:p>
    <w:p>
      <w:pPr>
        <w:jc w:val="both"/>
        <w:ind w:firstLine="8"/>
        <w:spacing w:after="0" w:line="258" w:lineRule="auto"/>
        <w:tabs>
          <w:tab w:leader="none" w:pos="298" w:val="left"/>
        </w:tabs>
        <w:numPr>
          <w:ilvl w:val="0"/>
          <w:numId w:val="35"/>
        </w:numPr>
        <w:rPr>
          <w:rFonts w:ascii="Arial" w:cs="Arial" w:eastAsia="Arial" w:hAnsi="Arial"/>
          <w:sz w:val="21"/>
          <w:szCs w:val="21"/>
          <w:color w:val="auto"/>
        </w:rPr>
      </w:pPr>
      <w:r>
        <w:rPr>
          <w:rFonts w:ascii="Arial" w:cs="Arial" w:eastAsia="Arial" w:hAnsi="Arial"/>
          <w:sz w:val="21"/>
          <w:szCs w:val="21"/>
          <w:color w:val="auto"/>
        </w:rPr>
        <w:t>obligations in respect of one or more Swap Agreements of any one or more of WIL-Ireland and its Restricted Subsidiaries in an aggregate principal amount exceeding $100,000,000.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Specified Subsidiary</w:t>
      </w:r>
      <w:r>
        <w:rPr>
          <w:rFonts w:ascii="Arial" w:cs="Arial" w:eastAsia="Arial" w:hAnsi="Arial"/>
          <w:sz w:val="19"/>
          <w:szCs w:val="19"/>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of this Agreement (i) had assets representing more than 2.5% of the Total Specified Asset Value as of such date or (ii) generated more than 2.5% of Consolidated Adjusted EBITDA of the Specified Group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 each Material Specified Subsidiary and (b) each other Restricted Subsidiary that, together with its own consolidated Restricted Subsidiaries, either (i) has total assets in excess of 5% of the total assets of WIL-Ireland and its consolidated Restricted Subsidiaries or (ii) has gross revenues in excess of 5% of the consolidated gross revenues of WIL-Ireland and its consolidated Restricted Subsidiaries based, in each case, on the most recent audited consolidated financial statements of WIL-Ireland. Notwithstanding the foregoing, WIL-Delaware and WIL-Bermuda shall be deemed to be Material Subsidiaries.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to the rating agency business thereof.</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plan covered by Title IV of ERISA which is a “multiemployer plan” (as such term is defined in Section 4001(a)(3)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with respect to any event, (a) the cash proceeds received in respect of such event including</w:t>
      </w:r>
    </w:p>
    <w:p>
      <w:pPr>
        <w:spacing w:after="0" w:line="56" w:lineRule="exact"/>
        <w:rPr>
          <w:sz w:val="20"/>
          <w:szCs w:val="20"/>
          <w:color w:val="auto"/>
        </w:rPr>
      </w:pPr>
    </w:p>
    <w:p>
      <w:pPr>
        <w:jc w:val="both"/>
        <w:ind w:firstLine="8"/>
        <w:spacing w:after="0" w:line="257" w:lineRule="auto"/>
        <w:tabs>
          <w:tab w:leader="none" w:pos="274"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75" w:right="239" w:bottom="1440" w:gutter="0" w:footer="0" w:header="0"/>
        </w:sectPr>
      </w:pPr>
    </w:p>
    <w:bookmarkStart w:id="66" w:name="page67"/>
    <w:bookmarkEnd w:id="66"/>
    <w:p>
      <w:pPr>
        <w:jc w:val="both"/>
        <w:spacing w:after="0" w:line="260" w:lineRule="exact"/>
        <w:rPr>
          <w:sz w:val="20"/>
          <w:szCs w:val="20"/>
          <w:color w:val="auto"/>
        </w:rPr>
      </w:pPr>
      <w:r>
        <w:rPr>
          <w:rFonts w:ascii="Arial" w:cs="Arial" w:eastAsia="Arial" w:hAnsi="Arial"/>
          <w:sz w:val="22"/>
          <w:szCs w:val="22"/>
          <w:color w:val="auto"/>
        </w:rPr>
        <w:t>required to be made as a result of such event to repay Indebtedness (other than Loans) secured by such asset or otherwise subject to mandatory prepayment as a result of such event, (iii) the amount of all taxes paid (or reasonably estimated to be payable) and the amount of any reserves established to fund contingent liabilities reasonably estimated to be payable, in each case during the year that such event occurred or the next succeeding year that are directly attributable to such event (as determined reasonably and in good faith by a Principal Financial Officer of WIL</w:t>
      </w:r>
      <w:r>
        <w:rPr>
          <w:rFonts w:ascii="MS PGothic" w:cs="MS PGothic" w:eastAsia="MS PGothic" w:hAnsi="MS PGothic"/>
          <w:sz w:val="22"/>
          <w:szCs w:val="22"/>
          <w:color w:val="auto"/>
        </w:rPr>
        <w:t>‑</w:t>
      </w:r>
      <w:r>
        <w:rPr>
          <w:rFonts w:ascii="Arial" w:cs="Arial" w:eastAsia="Arial" w:hAnsi="Arial"/>
          <w:sz w:val="22"/>
          <w:szCs w:val="22"/>
          <w:color w:val="auto"/>
        </w:rPr>
        <w:t>Ireland) and (iv) the proceeds of business interruption insurance to the extent compensation for lost revenue.</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Proceeds</w:t>
      </w:r>
      <w:r>
        <w:rPr>
          <w:rFonts w:ascii="Arial" w:cs="Arial" w:eastAsia="Arial" w:hAnsi="Arial"/>
          <w:sz w:val="22"/>
          <w:szCs w:val="22"/>
          <w:color w:val="auto"/>
        </w:rPr>
        <w:t>” means, with respect to any event, (a) the Net Cash Proceeds with respect to such event, plus (b) the fair market value (determined at the time received) of any non-cash proceeds received by WIL-Ireland and its Restricted Subsidiaries in respect to such event.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Weatherford Parent</w:t>
      </w:r>
      <w:r>
        <w:rPr>
          <w:rFonts w:ascii="Arial" w:cs="Arial" w:eastAsia="Arial" w:hAnsi="Arial"/>
          <w:sz w:val="21"/>
          <w:szCs w:val="21"/>
          <w:color w:val="auto"/>
        </w:rPr>
        <w:t xml:space="preserve">” has the meaning specified in clause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the term “Redomestication”.</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(ii) has been approved by the Required Lenders.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Commitment</w:t>
      </w:r>
      <w:r>
        <w:rPr>
          <w:rFonts w:ascii="Arial" w:cs="Arial" w:eastAsia="Arial" w:hAnsi="Arial"/>
          <w:sz w:val="19"/>
          <w:szCs w:val="19"/>
          <w:color w:val="auto"/>
        </w:rPr>
        <w:t>” means, with respect to each Non-Extending Lender, the commitment of such Non-Extending</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Lender to (a) make Loans, (b) acquire participations in Letters of Credit hereunder and (c) acquire participations in Swingline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Loans, which commitment will terminate on the Existing Maturity Date (if not terminated earlier in accordance with the terms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hereof), in an aggregate principal amount set forth opposite such Non-Extending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heading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“Non-Extended Commitment” or in the Assignment and Assumption pursuant to which such Non-Extending Lender shall have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assumed its Non-Extended Commitment, as applicable, as such amount may be (i) reduced from time to time pursuant to </w:t>
      </w:r>
      <w:r>
        <w:rPr>
          <w:rFonts w:ascii="Arial" w:cs="Arial" w:eastAsia="Arial" w:hAnsi="Arial"/>
          <w:sz w:val="19"/>
          <w:szCs w:val="19"/>
          <w:u w:val="single" w:color="auto"/>
          <w:color w:val="auto"/>
        </w:rPr>
        <w:t>Section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2.06</w:t>
      </w:r>
      <w:r>
        <w:rPr>
          <w:rFonts w:ascii="Arial" w:cs="Arial" w:eastAsia="Arial" w:hAnsi="Arial"/>
          <w:sz w:val="19"/>
          <w:szCs w:val="19"/>
          <w:color w:val="auto"/>
        </w:rPr>
        <w:t xml:space="preserve"> and (ii) reduced or increased from time to time pursuant to assignments by or to such Extending Lender pursuant to </w:t>
      </w:r>
      <w:r>
        <w:rPr>
          <w:rFonts w:ascii="Arial" w:cs="Arial" w:eastAsia="Arial" w:hAnsi="Arial"/>
          <w:sz w:val="19"/>
          <w:szCs w:val="19"/>
          <w:u w:val="single" w:color="auto"/>
          <w:color w:val="auto"/>
        </w:rPr>
        <w:t>Section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w:t>
      </w:r>
      <w:r>
        <w:rPr>
          <w:rFonts w:ascii="Arial" w:cs="Arial" w:eastAsia="Arial" w:hAnsi="Arial"/>
          <w:sz w:val="22"/>
          <w:szCs w:val="22"/>
          <w:color w:val="auto"/>
        </w:rPr>
        <w:t xml:space="preserve">” means each Person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extent such Person is providing a Non-Extended Commitment and any other Person that accepts an assignment from, and assumes the obligations of, a Non-Extending Lender pursuant to an Assignment and Assumption Agreement, other than any such Person that ceases to be a party hereto pursuant to an Assignment and Assumption Agreement.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 Applicable Rate</w:t>
      </w:r>
      <w:r>
        <w:rPr>
          <w:rFonts w:ascii="Arial" w:cs="Arial" w:eastAsia="Arial" w:hAnsi="Arial"/>
          <w:sz w:val="22"/>
          <w:szCs w:val="22"/>
          <w:color w:val="auto"/>
        </w:rPr>
        <w:t>” means, for any day, with respect to the facility fees payable to any Non-Extending Lender hereunder or with respect to any Eurodollar Revolving Credit Loan or ABR Revolving Credit Loan of any Non-Extending Lender, as the case may be, the applicable rate per annum set forth below under the captions “Facility Fee Rate”, “LIBOR Margin” or “ABR Margin”, as the case may be, based upon the ratings by S&amp;P and Moody’s, respectively, applicable on such date to the Index Debt: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5" w:right="239" w:bottom="1440" w:gutter="0" w:footer="0" w:header="0"/>
        </w:sectPr>
      </w:pPr>
    </w:p>
    <w:bookmarkStart w:id="67" w:name="page68"/>
    <w:bookmarkEnd w:id="67"/>
    <w:tbl>
      <w:tblPr>
        <w:tblLayout w:type="fixed"/>
        <w:tblInd w:w="590" w:type="dxa"/>
        <w:tblCellMar>
          <w:top w:w="0" w:type="dxa"/>
          <w:left w:w="0" w:type="dxa"/>
          <w:bottom w:w="0" w:type="dxa"/>
          <w:right w:w="0" w:type="dxa"/>
        </w:tblCellMar>
      </w:tblPr>
      <w:tr>
        <w:trPr>
          <w:trHeight w:val="351"/>
        </w:trPr>
        <w:tc>
          <w:tcPr>
            <w:tcW w:w="5060" w:type="dxa"/>
            <w:vAlign w:val="bottom"/>
            <w:tcBorders>
              <w:top w:val="single" w:sz="8" w:color="auto"/>
              <w:left w:val="single" w:sz="8" w:color="auto"/>
              <w:right w:val="single" w:sz="8" w:color="auto"/>
            </w:tcBorders>
            <w:gridSpan w:val="9"/>
          </w:tcPr>
          <w:p>
            <w:pPr>
              <w:jc w:val="center"/>
              <w:ind w:right="20"/>
              <w:spacing w:after="0"/>
              <w:rPr>
                <w:sz w:val="20"/>
                <w:szCs w:val="20"/>
                <w:color w:val="auto"/>
              </w:rPr>
            </w:pPr>
            <w:r>
              <w:rPr>
                <w:rFonts w:ascii="Arial" w:cs="Arial" w:eastAsia="Arial" w:hAnsi="Arial"/>
                <w:sz w:val="22"/>
                <w:szCs w:val="22"/>
                <w:color w:val="auto"/>
                <w:w w:val="91"/>
              </w:rPr>
              <w:t>Index Debt Ratings (S&amp;P/Moody’s):</w:t>
            </w:r>
          </w:p>
        </w:tc>
        <w:tc>
          <w:tcPr>
            <w:tcW w:w="18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w w:val="99"/>
              </w:rPr>
              <w:t>Facility Fee Rate</w:t>
            </w: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LIBOR Margin</w:t>
            </w:r>
          </w:p>
        </w:tc>
        <w:tc>
          <w:tcPr>
            <w:tcW w:w="1620" w:type="dxa"/>
            <w:vAlign w:val="bottom"/>
            <w:tcBorders>
              <w:top w:val="single" w:sz="8" w:color="auto"/>
              <w:right w:val="single" w:sz="8" w:color="auto"/>
            </w:tcBorders>
            <w:gridSpan w:val="3"/>
          </w:tcPr>
          <w:p>
            <w:pPr>
              <w:ind w:left="220"/>
              <w:spacing w:after="0"/>
              <w:rPr>
                <w:sz w:val="20"/>
                <w:szCs w:val="20"/>
                <w:color w:val="auto"/>
              </w:rPr>
            </w:pPr>
            <w:r>
              <w:rPr>
                <w:rFonts w:ascii="Arial" w:cs="Arial" w:eastAsia="Arial" w:hAnsi="Arial"/>
                <w:sz w:val="22"/>
                <w:szCs w:val="22"/>
                <w:color w:val="auto"/>
              </w:rPr>
              <w:t>ABR Margin</w:t>
            </w: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tcBorders>
              <w:right w:val="single" w:sz="8" w:color="auto"/>
            </w:tcBorders>
            <w:gridSpan w:val="6"/>
          </w:tcPr>
          <w:p>
            <w:pPr>
              <w:jc w:val="center"/>
              <w:ind w:right="1680"/>
              <w:spacing w:after="0"/>
              <w:rPr>
                <w:sz w:val="20"/>
                <w:szCs w:val="20"/>
                <w:color w:val="auto"/>
              </w:rPr>
            </w:pPr>
            <w:r>
              <w:rPr>
                <w:rFonts w:ascii="Arial" w:cs="Arial" w:eastAsia="Arial" w:hAnsi="Arial"/>
                <w:sz w:val="22"/>
                <w:szCs w:val="22"/>
                <w:color w:val="auto"/>
                <w:w w:val="90"/>
              </w:rPr>
              <w:t>Performance Level I</w:t>
            </w: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0.125%</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0.750%</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A/A2 or above</w:t>
            </w:r>
          </w:p>
        </w:tc>
        <w:tc>
          <w:tcPr>
            <w:tcW w:w="1680" w:type="dxa"/>
            <w:vAlign w:val="bottom"/>
            <w:tcBorders>
              <w:right w:val="single" w:sz="8" w:color="auto"/>
            </w:tcBorders>
            <w:gridSpan w:val="5"/>
            <w:vMerge w:val="restart"/>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680" w:type="dxa"/>
            <w:vAlign w:val="bottom"/>
            <w:tcBorders>
              <w:right w:val="single" w:sz="8" w:color="auto"/>
            </w:tcBorders>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tcBorders>
              <w:right w:val="single" w:sz="8" w:color="auto"/>
            </w:tcBorders>
            <w:gridSpan w:val="6"/>
          </w:tcPr>
          <w:p>
            <w:pPr>
              <w:jc w:val="center"/>
              <w:ind w:right="1620"/>
              <w:spacing w:after="0"/>
              <w:rPr>
                <w:sz w:val="20"/>
                <w:szCs w:val="20"/>
                <w:color w:val="auto"/>
              </w:rPr>
            </w:pPr>
            <w:r>
              <w:rPr>
                <w:rFonts w:ascii="Arial" w:cs="Arial" w:eastAsia="Arial" w:hAnsi="Arial"/>
                <w:sz w:val="22"/>
                <w:szCs w:val="22"/>
                <w:color w:val="auto"/>
                <w:w w:val="90"/>
              </w:rPr>
              <w:t>Performance Level II</w:t>
            </w: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0.150%</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0.850%</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22"/>
                <w:szCs w:val="22"/>
                <w:color w:val="auto"/>
              </w:rPr>
              <w:t>A-/A3</w:t>
            </w:r>
          </w:p>
        </w:tc>
        <w:tc>
          <w:tcPr>
            <w:tcW w:w="1620" w:type="dxa"/>
            <w:vAlign w:val="bottom"/>
            <w:tcBorders>
              <w:right w:val="single" w:sz="8" w:color="auto"/>
            </w:tcBorders>
            <w:gridSpan w:val="4"/>
            <w:vMerge w:val="restart"/>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620" w:type="dxa"/>
            <w:vAlign w:val="bottom"/>
            <w:tcBorders>
              <w:right w:val="single" w:sz="8" w:color="auto"/>
            </w:tcBorders>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tcBorders>
              <w:right w:val="single" w:sz="8" w:color="auto"/>
            </w:tcBorders>
            <w:gridSpan w:val="7"/>
          </w:tcPr>
          <w:p>
            <w:pPr>
              <w:jc w:val="center"/>
              <w:ind w:right="1580"/>
              <w:spacing w:after="0"/>
              <w:rPr>
                <w:sz w:val="20"/>
                <w:szCs w:val="20"/>
                <w:color w:val="auto"/>
              </w:rPr>
            </w:pPr>
            <w:r>
              <w:rPr>
                <w:rFonts w:ascii="Arial" w:cs="Arial" w:eastAsia="Arial" w:hAnsi="Arial"/>
                <w:sz w:val="22"/>
                <w:szCs w:val="22"/>
                <w:color w:val="auto"/>
                <w:w w:val="91"/>
              </w:rPr>
              <w:t>Performance Level III</w:t>
            </w: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0.175%</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0.950%</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90"/>
              </w:rPr>
              <w:t>BBB+/Baa1</w:t>
            </w:r>
          </w:p>
        </w:tc>
        <w:tc>
          <w:tcPr>
            <w:tcW w:w="1580" w:type="dxa"/>
            <w:vAlign w:val="bottom"/>
            <w:tcBorders>
              <w:right w:val="single" w:sz="8" w:color="auto"/>
            </w:tcBorders>
            <w:gridSpan w:val="2"/>
            <w:vMerge w:val="restart"/>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580" w:type="dxa"/>
            <w:vAlign w:val="bottom"/>
            <w:tcBorders>
              <w:right w:val="single" w:sz="8" w:color="auto"/>
            </w:tcBorders>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tcBorders>
              <w:right w:val="single" w:sz="8" w:color="auto"/>
            </w:tcBorders>
            <w:gridSpan w:val="7"/>
          </w:tcPr>
          <w:p>
            <w:pPr>
              <w:jc w:val="center"/>
              <w:ind w:right="1580"/>
              <w:spacing w:after="0"/>
              <w:rPr>
                <w:sz w:val="20"/>
                <w:szCs w:val="20"/>
                <w:color w:val="auto"/>
              </w:rPr>
            </w:pPr>
            <w:r>
              <w:rPr>
                <w:rFonts w:ascii="Arial" w:cs="Arial" w:eastAsia="Arial" w:hAnsi="Arial"/>
                <w:sz w:val="22"/>
                <w:szCs w:val="22"/>
                <w:color w:val="auto"/>
                <w:w w:val="90"/>
              </w:rPr>
              <w:t>Performance Level IV</w:t>
            </w: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0.225%</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1.025%</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0.025%</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90"/>
              </w:rPr>
              <w:t>BBB/Baa2</w:t>
            </w:r>
          </w:p>
        </w:tc>
        <w:tc>
          <w:tcPr>
            <w:tcW w:w="1580" w:type="dxa"/>
            <w:vAlign w:val="bottom"/>
            <w:tcBorders>
              <w:right w:val="single" w:sz="8" w:color="auto"/>
            </w:tcBorders>
            <w:gridSpan w:val="2"/>
            <w:vMerge w:val="restart"/>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580" w:type="dxa"/>
            <w:vAlign w:val="bottom"/>
            <w:tcBorders>
              <w:right w:val="single" w:sz="8" w:color="auto"/>
            </w:tcBorders>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0"/>
              </w:rPr>
              <w:t>Performance Level V</w:t>
            </w:r>
          </w:p>
        </w:tc>
        <w:tc>
          <w:tcPr>
            <w:tcW w:w="1600" w:type="dxa"/>
            <w:vAlign w:val="bottom"/>
            <w:tcBorders>
              <w:right w:val="single" w:sz="8" w:color="auto"/>
            </w:tcBorders>
            <w:gridSpan w:val="3"/>
          </w:tcPr>
          <w:p>
            <w:pPr>
              <w:spacing w:after="0"/>
              <w:rPr>
                <w:sz w:val="24"/>
                <w:szCs w:val="24"/>
                <w:color w:val="auto"/>
              </w:rPr>
            </w:pP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0.275%</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1.475%</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0.475%</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60" w:type="dxa"/>
            <w:vAlign w:val="bottom"/>
            <w:tcBorders>
              <w:right w:val="single" w:sz="8" w:color="auto"/>
            </w:tcBorders>
            <w:gridSpan w:val="6"/>
            <w:vMerge w:val="restart"/>
          </w:tcPr>
          <w:p>
            <w:pPr>
              <w:jc w:val="center"/>
              <w:ind w:right="1620"/>
              <w:spacing w:after="0"/>
              <w:rPr>
                <w:sz w:val="20"/>
                <w:szCs w:val="20"/>
                <w:color w:val="auto"/>
              </w:rPr>
            </w:pPr>
            <w:r>
              <w:rPr>
                <w:rFonts w:ascii="Arial" w:cs="Arial" w:eastAsia="Arial" w:hAnsi="Arial"/>
                <w:sz w:val="22"/>
                <w:szCs w:val="22"/>
                <w:color w:val="auto"/>
                <w:w w:val="91"/>
              </w:rPr>
              <w:t>BBB-/Baa3</w:t>
            </w: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60" w:type="dxa"/>
            <w:vAlign w:val="bottom"/>
            <w:tcBorders>
              <w:right w:val="single" w:sz="8" w:color="auto"/>
            </w:tcBorders>
            <w:gridSpan w:val="6"/>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tcBorders>
              <w:right w:val="single" w:sz="8" w:color="auto"/>
            </w:tcBorders>
            <w:gridSpan w:val="7"/>
          </w:tcPr>
          <w:p>
            <w:pPr>
              <w:jc w:val="center"/>
              <w:ind w:right="1580"/>
              <w:spacing w:after="0"/>
              <w:rPr>
                <w:sz w:val="20"/>
                <w:szCs w:val="20"/>
                <w:color w:val="auto"/>
              </w:rPr>
            </w:pPr>
            <w:r>
              <w:rPr>
                <w:rFonts w:ascii="Arial" w:cs="Arial" w:eastAsia="Arial" w:hAnsi="Arial"/>
                <w:sz w:val="22"/>
                <w:szCs w:val="22"/>
                <w:color w:val="auto"/>
                <w:w w:val="90"/>
              </w:rPr>
              <w:t>Performance Level VI</w:t>
            </w:r>
          </w:p>
        </w:tc>
        <w:tc>
          <w:tcPr>
            <w:tcW w:w="1660" w:type="dxa"/>
            <w:vAlign w:val="bottom"/>
            <w:gridSpan w:val="2"/>
            <w:vMerge w:val="restart"/>
          </w:tcPr>
          <w:p>
            <w:pPr>
              <w:jc w:val="right"/>
              <w:ind w:right="872"/>
              <w:spacing w:after="0"/>
              <w:rPr>
                <w:sz w:val="20"/>
                <w:szCs w:val="20"/>
                <w:color w:val="auto"/>
              </w:rPr>
            </w:pPr>
            <w:r>
              <w:rPr>
                <w:rFonts w:ascii="Arial" w:cs="Arial" w:eastAsia="Arial" w:hAnsi="Arial"/>
                <w:sz w:val="22"/>
                <w:szCs w:val="22"/>
                <w:color w:val="auto"/>
                <w:w w:val="88"/>
              </w:rPr>
              <w:t>0.325%</w:t>
            </w:r>
          </w:p>
        </w:tc>
        <w:tc>
          <w:tcPr>
            <w:tcW w:w="200" w:type="dxa"/>
            <w:vAlign w:val="bottom"/>
            <w:tcBorders>
              <w:right w:val="single" w:sz="8" w:color="auto"/>
            </w:tcBorders>
          </w:tcPr>
          <w:p>
            <w:pPr>
              <w:spacing w:after="0"/>
              <w:rPr>
                <w:sz w:val="24"/>
                <w:szCs w:val="24"/>
                <w:color w:val="auto"/>
              </w:rPr>
            </w:pPr>
          </w:p>
        </w:tc>
        <w:tc>
          <w:tcPr>
            <w:tcW w:w="1520" w:type="dxa"/>
            <w:vAlign w:val="bottom"/>
            <w:gridSpan w:val="2"/>
            <w:vMerge w:val="restart"/>
          </w:tcPr>
          <w:p>
            <w:pPr>
              <w:jc w:val="right"/>
              <w:ind w:right="732"/>
              <w:spacing w:after="0"/>
              <w:rPr>
                <w:sz w:val="20"/>
                <w:szCs w:val="20"/>
                <w:color w:val="auto"/>
              </w:rPr>
            </w:pPr>
            <w:r>
              <w:rPr>
                <w:rFonts w:ascii="Arial" w:cs="Arial" w:eastAsia="Arial" w:hAnsi="Arial"/>
                <w:sz w:val="22"/>
                <w:szCs w:val="22"/>
                <w:color w:val="auto"/>
                <w:w w:val="88"/>
              </w:rPr>
              <w:t>1.925%</w:t>
            </w:r>
          </w:p>
        </w:tc>
        <w:tc>
          <w:tcPr>
            <w:tcW w:w="240" w:type="dxa"/>
            <w:vAlign w:val="bottom"/>
            <w:tcBorders>
              <w:right w:val="single" w:sz="8" w:color="auto"/>
            </w:tcBorders>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2"/>
                <w:szCs w:val="22"/>
                <w:color w:val="auto"/>
              </w:rPr>
              <w:t>0.925%</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93"/>
              </w:rPr>
              <w:t>Below BBB-/Baa3</w:t>
            </w:r>
          </w:p>
        </w:tc>
        <w:tc>
          <w:tcPr>
            <w:tcW w:w="1580" w:type="dxa"/>
            <w:vAlign w:val="bottom"/>
            <w:tcBorders>
              <w:right w:val="single" w:sz="8" w:color="auto"/>
            </w:tcBorders>
            <w:gridSpan w:val="2"/>
            <w:vMerge w:val="restart"/>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580" w:type="dxa"/>
            <w:vAlign w:val="bottom"/>
            <w:tcBorders>
              <w:right w:val="single" w:sz="8" w:color="auto"/>
            </w:tcBorders>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For purposes of the foregoing, (i) if either S&amp;P or Moody’s shall not have in effect a rating for the Index Debt (other than by reason of the circumstances referred to in the next succeeding paragraph of this definition), then such rating agency shall be deemed to have established a rating in the same Performance Level as the rating agency that has in effect a rating for the Index Debt; (ii) if the ratings established or deemed to have been established by S&amp;P and Moody’s for the Index Debt shall fall within different Performance Levels, the Non-Extending Lender Applicable Rate shall be based on the higher of the two ratings unless one of the two ratings is two or more Performance Levels lower than the other, in which case the Non</w:t>
      </w:r>
      <w:r>
        <w:rPr>
          <w:rFonts w:ascii="MS PGothic" w:cs="MS PGothic" w:eastAsia="MS PGothic" w:hAnsi="MS PGothic"/>
          <w:sz w:val="19"/>
          <w:szCs w:val="19"/>
          <w:color w:val="auto"/>
        </w:rPr>
        <w:t>‑</w:t>
      </w:r>
      <w:r>
        <w:rPr>
          <w:rFonts w:ascii="Arial" w:cs="Arial" w:eastAsia="Arial" w:hAnsi="Arial"/>
          <w:sz w:val="19"/>
          <w:szCs w:val="19"/>
          <w:color w:val="auto"/>
        </w:rPr>
        <w:t>Extending Lender Applicable Rate shall be determined by reference to the Performance Level one rating lower than the higher of the two ratings; (iii) if either S&amp;P or Moody’s shall have issued at any one time more than one rating of the Index Debt, the lowest such rating issued by such rating agency shall apply; and (iv) if the ratings established or deemed to have been established by S&amp;P and Moody’s for the Index Debt shall be changed (other than as a result of a change in the rating system of S&amp;P or Moody’s), such change shall be effective as of the date on which it is first announced by the applicable rating agency, irrespective of when or whether notice of such change shall have been furnished by any Borrower to the Administrative Agent and the Lenders. Each change in the Non-Extending Lender Applicable Rate shall apply during the period commencing on the effective date of such change and ending on the date immediately preceding the effective date of the next such change.</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the rating system of S&amp;P or Moody’s shall change, or if either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98" w:right="2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22"/>
          <w:szCs w:val="22"/>
          <w:color w:val="auto"/>
        </w:rPr>
        <w:t>amendment, the applicable Facility Fee, LIBOR Margin and ABR Margin shall be determined by reference to the rating most recently in effect prior to such change or cessation.</w:t>
      </w:r>
    </w:p>
    <w:p>
      <w:pPr>
        <w:spacing w:after="0" w:line="175"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21"/>
          <w:szCs w:val="21"/>
          <w:color w:val="auto"/>
        </w:rPr>
        <w:t>If WIL-Bermuda shall at any time fail to have in effect a rating for the Index Debt, WIL</w:t>
      </w:r>
      <w:r>
        <w:rPr>
          <w:rFonts w:ascii="MS PGothic" w:cs="MS PGothic" w:eastAsia="MS PGothic" w:hAnsi="MS PGothic"/>
          <w:sz w:val="21"/>
          <w:szCs w:val="21"/>
          <w:color w:val="auto"/>
        </w:rPr>
        <w:t>‑</w:t>
      </w:r>
      <w:r>
        <w:rPr>
          <w:rFonts w:ascii="Arial" w:cs="Arial" w:eastAsia="Arial" w:hAnsi="Arial"/>
          <w:sz w:val="21"/>
          <w:szCs w:val="21"/>
          <w:color w:val="auto"/>
        </w:rPr>
        <w:t>Bermuda shall seek and obtain, within thirty (30) days after such rating first ceases to be in effect, a corporate credit rating or a bank loan rating from S&amp;P and/or Moody’s (or, if neither S&amp;P nor Moody’s issues such types of ratings or ratings comparable thereto, from another nationally recognized rating agency approved by each of WIL-Bermuda and the Administrative Agent in its reasonable discretion), and from and after the date on which such corporate credit rating or bank loan rating is obtained until such time (if any) that a rating for the Index Debt becomes effective again, the Non-Extending Lender Applicable Rate shall be based on such corporate credit or bank loan rating or ratings in the same manner as provided herein with respect to the ratings for the Index Debt (with Performance Level VI being the Non-Extending Lender Applicable Rate in effect from the time the ratings for the Index Debt cease to be in effect until the earlier of (x) the date on which any such corporate credit rating or bank loan rating is obtained and (y) the date on which a rating for the Index Debt becomes effective again).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 Revolving Credit Loan</w:t>
      </w:r>
      <w:r>
        <w:rPr>
          <w:rFonts w:ascii="Arial" w:cs="Arial" w:eastAsia="Arial" w:hAnsi="Arial"/>
          <w:sz w:val="22"/>
          <w:szCs w:val="22"/>
          <w:color w:val="auto"/>
        </w:rPr>
        <w:t>” means a Revolving Credit Loan of a Non-Extending Lender.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Revolving Credit Note or a Swingline Note, as the context may require.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collectively, all unpaid principal of and accrued and unpaid interest on the Loans,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WIL-Ireland and its Subsidiaries to any of the Lenders, the Administrative Agent, the Issuing Banks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any of the Letters of Credit.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75"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Obligors</w:t>
      </w:r>
      <w:r>
        <w:rPr>
          <w:rFonts w:ascii="Arial" w:cs="Arial" w:eastAsia="Arial" w:hAnsi="Arial"/>
          <w:sz w:val="22"/>
          <w:szCs w:val="22"/>
          <w:color w:val="auto"/>
        </w:rPr>
        <w:t>” means the Obligor Parties and any other Guarantors, and “</w:t>
      </w:r>
      <w:r>
        <w:rPr>
          <w:rFonts w:ascii="Arial" w:cs="Arial" w:eastAsia="Arial" w:hAnsi="Arial"/>
          <w:sz w:val="22"/>
          <w:szCs w:val="22"/>
          <w:u w:val="single" w:color="auto"/>
          <w:color w:val="auto"/>
        </w:rPr>
        <w:t>Obligor</w:t>
      </w:r>
      <w:r>
        <w:rPr>
          <w:rFonts w:ascii="Arial" w:cs="Arial" w:eastAsia="Arial" w:hAnsi="Arial"/>
          <w:sz w:val="22"/>
          <w:szCs w:val="22"/>
          <w:color w:val="auto"/>
        </w:rPr>
        <w:t>” means any of them.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 Parties</w:t>
      </w:r>
      <w:r>
        <w:rPr>
          <w:rFonts w:ascii="Arial" w:cs="Arial" w:eastAsia="Arial" w:hAnsi="Arial"/>
          <w:sz w:val="22"/>
          <w:szCs w:val="22"/>
          <w:color w:val="auto"/>
        </w:rPr>
        <w:t>” means the Borrowers and WIL-Ireland, and “</w:t>
      </w:r>
      <w:r>
        <w:rPr>
          <w:rFonts w:ascii="Arial" w:cs="Arial" w:eastAsia="Arial" w:hAnsi="Arial"/>
          <w:sz w:val="22"/>
          <w:szCs w:val="22"/>
          <w:u w:val="single" w:color="auto"/>
          <w:color w:val="auto"/>
        </w:rPr>
        <w:t>Obligor Party</w:t>
      </w:r>
      <w:r>
        <w:rPr>
          <w:rFonts w:ascii="Arial" w:cs="Arial" w:eastAsia="Arial" w:hAnsi="Arial"/>
          <w:sz w:val="22"/>
          <w:szCs w:val="22"/>
          <w:color w:val="auto"/>
        </w:rPr>
        <w:t>” means any of them.</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Debt Agreement</w:t>
      </w:r>
      <w:r>
        <w:rPr>
          <w:rFonts w:ascii="Arial" w:cs="Arial" w:eastAsia="Arial" w:hAnsi="Arial"/>
          <w:sz w:val="22"/>
          <w:szCs w:val="22"/>
          <w:color w:val="auto"/>
        </w:rPr>
        <w:t>” means any agreement, instrument or other document governing any Indebtedness for borrowed money of any Obligor (other than intercompany Indebtedness).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Subsidiaries Group</w:t>
      </w:r>
      <w:r>
        <w:rPr>
          <w:rFonts w:ascii="Arial" w:cs="Arial" w:eastAsia="Arial" w:hAnsi="Arial"/>
          <w:sz w:val="22"/>
          <w:szCs w:val="22"/>
          <w:color w:val="auto"/>
        </w:rPr>
        <w:t>” means, collectively, all of the Restricted Subsidiaries of WIL-Ireland that are not Specified Group Members.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Subsidiaries Group Member</w:t>
      </w:r>
      <w:r>
        <w:rPr>
          <w:rFonts w:ascii="Arial" w:cs="Arial" w:eastAsia="Arial" w:hAnsi="Arial"/>
          <w:sz w:val="22"/>
          <w:szCs w:val="22"/>
          <w:color w:val="auto"/>
        </w:rPr>
        <w:t>” means any member of the Other Subsidiaries Group.</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present or future stamp or documentary taxes or any other excise or property taxes, charges or similar levies, other than Excluded Taxes, arising from any payment made hereunder or from the execution, delivery or enforcement of, or otherwise with respect to, this Agreement, but only to the extent that any of the foregoing is imposed by</w:t>
      </w:r>
    </w:p>
    <w:p>
      <w:pPr>
        <w:spacing w:after="0" w:line="1" w:lineRule="exact"/>
        <w:rPr>
          <w:sz w:val="20"/>
          <w:szCs w:val="20"/>
          <w:color w:val="auto"/>
        </w:rPr>
      </w:pPr>
    </w:p>
    <w:p>
      <w:pPr>
        <w:jc w:val="both"/>
        <w:ind w:firstLine="8"/>
        <w:spacing w:after="0" w:line="244" w:lineRule="auto"/>
        <w:tabs>
          <w:tab w:leader="none" w:pos="286" w:val="left"/>
        </w:tabs>
        <w:numPr>
          <w:ilvl w:val="0"/>
          <w:numId w:val="37"/>
        </w:numPr>
        <w:rPr>
          <w:rFonts w:ascii="Arial" w:cs="Arial" w:eastAsia="Arial" w:hAnsi="Arial"/>
          <w:sz w:val="22"/>
          <w:szCs w:val="22"/>
          <w:color w:val="auto"/>
        </w:rPr>
      </w:pPr>
      <w:r>
        <w:rPr>
          <w:rFonts w:ascii="Arial" w:cs="Arial" w:eastAsia="Arial" w:hAnsi="Arial"/>
          <w:sz w:val="22"/>
          <w:szCs w:val="22"/>
          <w:color w:val="auto"/>
        </w:rPr>
        <w:t>Bermuda, Switzerland, the United States or any other jurisdiction in which any Borrower is organized or is resident for tax purposes or any other jurisdiction in which WIL-Bermuda is Redomesticated or is resident for tax purposes with respect to a Foreign Lender, or (ii)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Certificate</w:t>
      </w:r>
      <w:r>
        <w:rPr>
          <w:rFonts w:ascii="Arial" w:cs="Arial" w:eastAsia="Arial" w:hAnsi="Arial"/>
          <w:sz w:val="22"/>
          <w:szCs w:val="22"/>
          <w:color w:val="auto"/>
        </w:rPr>
        <w:t xml:space="preserve">” means a certificate executed by a Participant, substantially in the form of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75"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Borrower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in Full</w:t>
      </w:r>
      <w:r>
        <w:rPr>
          <w:rFonts w:ascii="Arial" w:cs="Arial" w:eastAsia="Arial" w:hAnsi="Arial"/>
          <w:sz w:val="22"/>
          <w:szCs w:val="22"/>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w:t>
      </w:r>
    </w:p>
    <w:p>
      <w:pPr>
        <w:spacing w:after="0" w:line="19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entity succeeding to any or all of its functions under ERISA.</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Standby Letter of Credit</w:t>
      </w:r>
      <w:r>
        <w:rPr>
          <w:rFonts w:ascii="Arial" w:cs="Arial" w:eastAsia="Arial" w:hAnsi="Arial"/>
          <w:sz w:val="21"/>
          <w:szCs w:val="21"/>
          <w:color w:val="auto"/>
        </w:rPr>
        <w:t xml:space="preserve">” means a standby Letter of Credit under which the beneficiary is entitled to draw thereon in the event that the account party (or the Person or Persons on whose behalf such Letter of Credit was issued) fails to perform a nonfinancial contractual obligation. By way of example, a Performance Standby Letter of Credit includes (a) a standby Letter of Credit issued to secure (i) performance obligations in connection with the provision of Weatherford Customer Services (including Weatherford Customer Services about to be commenced) or (ii) performance obligations in connection with bids for prospective projects involving Weatherford Customer Services, (b) a standby Letter of Credit issued to back a bank guarantee, surety bond, performance bond, customs bond, advance payment bond, or other similar instrument issued to secure the obligation to perform Weatherford Customer Services and (c) each Existing Letter of Credit that is identified as a “Performance Letter of Credit” in </w:t>
      </w:r>
      <w:r>
        <w:rPr>
          <w:rFonts w:ascii="Arial" w:cs="Arial" w:eastAsia="Arial" w:hAnsi="Arial"/>
          <w:sz w:val="21"/>
          <w:szCs w:val="21"/>
          <w:u w:val="single" w:color="auto"/>
          <w:color w:val="auto"/>
        </w:rPr>
        <w:t>Schedule 3.01</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Standby LC Participation Fee Rate</w:t>
      </w:r>
      <w:r>
        <w:rPr>
          <w:rFonts w:ascii="Arial" w:cs="Arial" w:eastAsia="Arial" w:hAnsi="Arial"/>
          <w:sz w:val="22"/>
          <w:szCs w:val="22"/>
          <w:color w:val="auto"/>
        </w:rPr>
        <w:t>” means, for any day, (a) with respect to any Non-Extending Lender, a per annum rate equal to 50% of the applicable “LIBOR Margin” set forth in the definition of the term “Non-Extending Lender Applicable Rate”, based upon the ratings by S&amp;P and Moody’s, respectively, applicable on such date to the Index Debt and (b) with respect to any Extending Lender, a per annum rate equal to 50% of the applicable “LIBOR Margin” set forth in the definition of “Extending Lender Applicable Rate”, based upon the Specified Leverage Ratio as of the most recently ended Fiscal Quarter for which financial statements are available.</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xml:space="preserve">” means any Acquisition (other than a Hostile Acquisition) by WIL-Ireland or a Restricted Subsidiary if (a) at the time of and immediately after giving effect thereto, (i) no Default has occurred and is continuing or would result therefrom, (ii) WIL-Ireland and its Restricted Subsidiaries are in compliance with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and (iii) WIL-Ireland is in compliance, on a pro forma basis, with the Financial Covenants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the applicable Testing Period and, if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75" w:right="239" w:bottom="1440" w:gutter="0" w:footer="0" w:header="0"/>
        </w:sectPr>
      </w:pPr>
    </w:p>
    <w:bookmarkStart w:id="71" w:name="page72"/>
    <w:bookmarkEnd w:id="71"/>
    <w:p>
      <w:pPr>
        <w:jc w:val="both"/>
        <w:spacing w:after="0" w:line="288" w:lineRule="auto"/>
        <w:rPr>
          <w:sz w:val="20"/>
          <w:szCs w:val="20"/>
          <w:color w:val="auto"/>
        </w:rPr>
      </w:pPr>
      <w:r>
        <w:rPr>
          <w:rFonts w:ascii="Arial" w:cs="Arial" w:eastAsia="Arial" w:hAnsi="Arial"/>
          <w:sz w:val="19"/>
          <w:szCs w:val="19"/>
          <w:color w:val="auto"/>
        </w:rPr>
        <w:t xml:space="preserve">the aggregate consideration paid in respect of such Acquisition exceeds $50,000,000, WIL-Ireland shall have delivered to the Administrative Agent a certificate of a Principal Financial Officer to such effect, together with all relevant financial information, statements and projections reasonably requested by the Administrative Agent, (b) all actions required to be taken with respect to such acquired or newly formed Subsidiary under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shall have been taken or will be taken within the time periods set forth therein, (c) if such Acquisition involves a merger, consolidation or amalgamation of WIL-Ireland or a Restricted Subsidiary with any other Person, such Acquisition is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and (d) the aggregate consideration paid in respect of such Acquisition, when taken together with the aggregate consideration paid in respect of all other Acquisitions consummated since the Effective Date, does not exceed (i) with respect to Acquisitions consummated by any of the Other Subsidiaries Group Members, $100,000,000, and (ii) with respect to Acquisitions consummated by WIL-Ireland and any of the Specified Group Members, the Permitted Acquisitions Basket at the time of such Acquisition.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Acquisitions Basket</w:t>
      </w:r>
      <w:r>
        <w:rPr>
          <w:rFonts w:ascii="Arial" w:cs="Arial" w:eastAsia="Arial" w:hAnsi="Arial"/>
          <w:sz w:val="19"/>
          <w:szCs w:val="19"/>
          <w:color w:val="auto"/>
        </w:rPr>
        <w:t xml:space="preserve">” means, at any date of determination, an amount equal to the sum of (a) $200,000,000 </w:t>
      </w:r>
      <w:r>
        <w:rPr>
          <w:rFonts w:ascii="Arial" w:cs="Arial" w:eastAsia="Arial" w:hAnsi="Arial"/>
          <w:sz w:val="19"/>
          <w:szCs w:val="19"/>
          <w:u w:val="single" w:color="auto"/>
          <w:color w:val="auto"/>
        </w:rPr>
        <w:t>plus</w:t>
      </w:r>
    </w:p>
    <w:p>
      <w:pPr>
        <w:spacing w:after="0" w:line="56" w:lineRule="exact"/>
        <w:rPr>
          <w:sz w:val="20"/>
          <w:szCs w:val="20"/>
          <w:color w:val="auto"/>
        </w:rPr>
      </w:pPr>
    </w:p>
    <w:p>
      <w:pPr>
        <w:jc w:val="both"/>
        <w:ind w:firstLine="8"/>
        <w:spacing w:after="0" w:line="244" w:lineRule="auto"/>
        <w:tabs>
          <w:tab w:leader="none" w:pos="311"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if such date is on or after the first anniversary of the Effective Date, $200,000,000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if such date is on or after the second anniversary of the Effective Date, $200,000,000,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the amount of net cash proceeds from issuances of Capital Stock (other than Disqualified Capital Stock) by WIL-Ireland to the extent such net cash proceeds are used to pay consideration in respect of Acquisitions.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Existing Indebtedness</w:t>
      </w:r>
      <w:r>
        <w:rPr>
          <w:rFonts w:ascii="Arial" w:cs="Arial" w:eastAsia="Arial" w:hAnsi="Arial"/>
          <w:sz w:val="22"/>
          <w:szCs w:val="22"/>
          <w:color w:val="auto"/>
        </w:rPr>
        <w:t xml:space="preserve">” means (i) the Indebtedness of WIL-Ireland and its Restricted Subsidiaries (other than Indebtedness of the type described in </w:t>
      </w:r>
      <w:r>
        <w:rPr>
          <w:rFonts w:ascii="Arial" w:cs="Arial" w:eastAsia="Arial" w:hAnsi="Arial"/>
          <w:sz w:val="22"/>
          <w:szCs w:val="22"/>
          <w:u w:val="single" w:color="auto"/>
          <w:color w:val="auto"/>
        </w:rPr>
        <w:t>Section 8.01(m)</w:t>
      </w:r>
      <w:r>
        <w:rPr>
          <w:rFonts w:ascii="Arial" w:cs="Arial" w:eastAsia="Arial" w:hAnsi="Arial"/>
          <w:sz w:val="22"/>
          <w:szCs w:val="22"/>
          <w:color w:val="auto"/>
        </w:rPr>
        <w:t xml:space="preserve">) existing as of the Effective Date and identified on </w:t>
      </w:r>
      <w:r>
        <w:rPr>
          <w:rFonts w:ascii="Arial" w:cs="Arial" w:eastAsia="Arial" w:hAnsi="Arial"/>
          <w:sz w:val="22"/>
          <w:szCs w:val="22"/>
          <w:u w:val="single" w:color="auto"/>
          <w:color w:val="auto"/>
        </w:rPr>
        <w:t>Schedule 8.01</w:t>
      </w:r>
      <w:r>
        <w:rPr>
          <w:rFonts w:ascii="Arial" w:cs="Arial" w:eastAsia="Arial" w:hAnsi="Arial"/>
          <w:sz w:val="22"/>
          <w:szCs w:val="22"/>
          <w:color w:val="auto"/>
        </w:rPr>
        <w:t xml:space="preserve"> and (ii) the Existing Senior Notes.</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Factoring Customers</w:t>
      </w:r>
      <w:r>
        <w:rPr>
          <w:rFonts w:ascii="Arial" w:cs="Arial" w:eastAsia="Arial" w:hAnsi="Arial"/>
          <w:sz w:val="19"/>
          <w:szCs w:val="19"/>
          <w:color w:val="auto"/>
        </w:rPr>
        <w:t>” means the Persons identified to the Administrative Agent in writing on or prior to the Effective Date, as such Persons may be updated from time to time by WIL-Ireland with the approval of the Administrative Agent.</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Factoring Transaction Documents</w:t>
      </w:r>
      <w:r>
        <w:rPr>
          <w:rFonts w:ascii="Arial" w:cs="Arial" w:eastAsia="Arial" w:hAnsi="Arial"/>
          <w:sz w:val="22"/>
          <w:szCs w:val="22"/>
          <w:color w:val="auto"/>
        </w:rPr>
        <w:t>” means each of the documents and agreements entered into in connection with any Permitted Factoring Transaction.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Factoring Transactions</w:t>
      </w:r>
      <w:r>
        <w:rPr>
          <w:rFonts w:ascii="Arial" w:cs="Arial" w:eastAsia="Arial" w:hAnsi="Arial"/>
          <w:sz w:val="21"/>
          <w:szCs w:val="21"/>
          <w:color w:val="auto"/>
        </w:rPr>
        <w:t>” means receivables purchase facilities and factoring transactions entered into by WIL-Ireland or any Restricted Subsidiary with respect to Receivables originated by WIL-Ireland or such Restricted Subsidiary in the ordinary course of business and owing by one or more Permitted Factoring Customers, which receivables purchase facilities and factoring transaction give rise to Attributable Receivables Amounts that are non-recourse to WIL-Ireland and its Restricted Subsidiaries other than limited recourse customary for receivables purchase facilities and factoring transactions of the same kind, provided that the aggregate face amount of all receivables sold or transferred pursuant to Permitted Factoring Transactions shall not exceed $300,000,000 in any Fiscal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without duplication:</w:t>
      </w:r>
    </w:p>
    <w:p>
      <w:pPr>
        <w:spacing w:after="0" w:line="220" w:lineRule="exact"/>
        <w:rPr>
          <w:sz w:val="20"/>
          <w:szCs w:val="20"/>
          <w:color w:val="auto"/>
        </w:rPr>
      </w:pPr>
    </w:p>
    <w:p>
      <w:pPr>
        <w:ind w:firstLine="656"/>
        <w:spacing w:after="0" w:line="276" w:lineRule="auto"/>
        <w:tabs>
          <w:tab w:leader="none" w:pos="1082" w:val="left"/>
        </w:tabs>
        <w:numPr>
          <w:ilvl w:val="0"/>
          <w:numId w:val="39"/>
        </w:numPr>
        <w:rPr>
          <w:rFonts w:ascii="Arial" w:cs="Arial" w:eastAsia="Arial" w:hAnsi="Arial"/>
          <w:sz w:val="22"/>
          <w:szCs w:val="22"/>
          <w:color w:val="auto"/>
        </w:rPr>
      </w:pPr>
      <w:r>
        <w:rPr>
          <w:rFonts w:ascii="Arial" w:cs="Arial" w:eastAsia="Arial" w:hAnsi="Arial"/>
          <w:sz w:val="22"/>
          <w:szCs w:val="22"/>
          <w:color w:val="auto"/>
        </w:rPr>
        <w:t>Liens for Taxes or unpaid utilities (i) not yet delinquent or which can thereafter be paid without penalty, (ii) which are being contested in good faith by appropriate proceedings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75" w:right="239" w:bottom="1440" w:gutter="0" w:footer="0" w:header="0"/>
        </w:sectPr>
      </w:pPr>
    </w:p>
    <w:bookmarkStart w:id="72" w:name="page73"/>
    <w:bookmarkEnd w:id="72"/>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Taxes referenced in this clause (ii), adequate reserves with respect thereto are maintained on the books of WIL-Ireland or its Subsidiaries, to the extent required by GAAP) or (iii) imposed by any foreign Governmental Authority and attaching solely to assets with a fair market value not in excess of $50,000,000 in the aggregate at any one time;</w:t>
      </w:r>
    </w:p>
    <w:p>
      <w:pPr>
        <w:spacing w:after="0" w:line="134" w:lineRule="exact"/>
        <w:rPr>
          <w:sz w:val="20"/>
          <w:szCs w:val="20"/>
          <w:color w:val="auto"/>
        </w:rPr>
      </w:pPr>
    </w:p>
    <w:p>
      <w:pPr>
        <w:jc w:val="both"/>
        <w:ind w:firstLine="656"/>
        <w:spacing w:after="0" w:line="260"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77" w:lineRule="exact"/>
        <w:rPr>
          <w:rFonts w:ascii="Arial" w:cs="Arial" w:eastAsia="Arial" w:hAnsi="Arial"/>
          <w:sz w:val="22"/>
          <w:szCs w:val="22"/>
          <w:color w:val="auto"/>
        </w:rPr>
      </w:pPr>
    </w:p>
    <w:p>
      <w:pPr>
        <w:ind w:right="20" w:firstLine="656"/>
        <w:spacing w:after="0" w:line="358" w:lineRule="auto"/>
        <w:tabs>
          <w:tab w:leader="none" w:pos="1149" w:val="left"/>
        </w:tabs>
        <w:numPr>
          <w:ilvl w:val="0"/>
          <w:numId w:val="40"/>
        </w:numPr>
        <w:rPr>
          <w:rFonts w:ascii="Arial" w:cs="Arial" w:eastAsia="Arial" w:hAnsi="Arial"/>
          <w:sz w:val="19"/>
          <w:szCs w:val="19"/>
          <w:color w:val="auto"/>
        </w:rPr>
      </w:pPr>
      <w:r>
        <w:rPr>
          <w:rFonts w:ascii="Arial" w:cs="Arial" w:eastAsia="Arial" w:hAnsi="Arial"/>
          <w:sz w:val="19"/>
          <w:szCs w:val="19"/>
          <w:color w:val="auto"/>
        </w:rPr>
        <w:t>pledges or deposits made in compliance with, or deemed trusts arising in connection with, workers’ compensation, unemployment insurance, old age benefits, pension, employment or other social security laws or regulations;</w:t>
      </w:r>
    </w:p>
    <w:p>
      <w:pPr>
        <w:spacing w:after="0" w:line="90" w:lineRule="exact"/>
        <w:rPr>
          <w:rFonts w:ascii="Arial" w:cs="Arial" w:eastAsia="Arial" w:hAnsi="Arial"/>
          <w:sz w:val="19"/>
          <w:szCs w:val="19"/>
          <w:color w:val="auto"/>
        </w:rPr>
      </w:pPr>
    </w:p>
    <w:p>
      <w:pPr>
        <w:jc w:val="both"/>
        <w:ind w:firstLine="656"/>
        <w:spacing w:after="0" w:line="251"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WIL-Ireland or any of its Restricted Subsidiaries;</w:t>
      </w:r>
    </w:p>
    <w:p>
      <w:pPr>
        <w:spacing w:after="0" w:line="189" w:lineRule="exact"/>
        <w:rPr>
          <w:rFonts w:ascii="Arial" w:cs="Arial" w:eastAsia="Arial" w:hAnsi="Arial"/>
          <w:sz w:val="22"/>
          <w:szCs w:val="22"/>
          <w:color w:val="auto"/>
        </w:rPr>
      </w:pPr>
    </w:p>
    <w:p>
      <w:pPr>
        <w:jc w:val="both"/>
        <w:ind w:firstLine="656"/>
        <w:spacing w:after="0" w:line="278" w:lineRule="auto"/>
        <w:tabs>
          <w:tab w:leader="none" w:pos="1203" w:val="left"/>
        </w:tabs>
        <w:numPr>
          <w:ilvl w:val="0"/>
          <w:numId w:val="40"/>
        </w:numPr>
        <w:rPr>
          <w:rFonts w:ascii="Arial" w:cs="Arial" w:eastAsia="Arial" w:hAnsi="Arial"/>
          <w:sz w:val="21"/>
          <w:szCs w:val="21"/>
          <w:color w:val="auto"/>
        </w:rPr>
      </w:pPr>
      <w:r>
        <w:rPr>
          <w:rFonts w:ascii="Arial" w:cs="Arial" w:eastAsia="Arial" w:hAnsi="Arial"/>
          <w:sz w:val="21"/>
          <w:szCs w:val="21"/>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60" w:lineRule="exact"/>
        <w:rPr>
          <w:rFonts w:ascii="Arial" w:cs="Arial" w:eastAsia="Arial" w:hAnsi="Arial"/>
          <w:sz w:val="21"/>
          <w:szCs w:val="21"/>
          <w:color w:val="auto"/>
        </w:rPr>
      </w:pPr>
    </w:p>
    <w:p>
      <w:pPr>
        <w:jc w:val="both"/>
        <w:ind w:firstLine="656"/>
        <w:spacing w:after="0" w:line="250" w:lineRule="auto"/>
        <w:tabs>
          <w:tab w:leader="none" w:pos="1085"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Liens on the assets (and related insurance proceeds) of any entity or asset (and related insurance proceeds) existing at the time such asset or entity is acquired by WIL-Ireland or any of its Restricted Subsidiaries, whether by merger, amalgamation, consolidation, purchase of assets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Liens are not created, incurred or assumed by such entity in contemplation of such entity’s being acquired by WIL-Ireland or any of its Restricted Subsidiaries, (ii) such Liens do not extend to any other assets of WIL-Ireland or any of its Restricted Subsidiaries and (iii) the Indebtedness secured by such Liens is permitted pursuant to this Agreement;</w:t>
      </w:r>
    </w:p>
    <w:p>
      <w:pPr>
        <w:spacing w:after="0" w:line="188" w:lineRule="exact"/>
        <w:rPr>
          <w:rFonts w:ascii="Arial" w:cs="Arial" w:eastAsia="Arial" w:hAnsi="Arial"/>
          <w:sz w:val="22"/>
          <w:szCs w:val="22"/>
          <w:color w:val="auto"/>
        </w:rPr>
      </w:pPr>
    </w:p>
    <w:p>
      <w:pPr>
        <w:jc w:val="both"/>
        <w:ind w:firstLine="656"/>
        <w:spacing w:after="0" w:line="294" w:lineRule="auto"/>
        <w:tabs>
          <w:tab w:leader="none" w:pos="12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WIL-Ireland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w:t>
      </w:r>
      <w:r>
        <w:rPr>
          <w:rFonts w:ascii="Arial" w:cs="Arial" w:eastAsia="Arial" w:hAnsi="Arial"/>
          <w:sz w:val="19"/>
          <w:szCs w:val="19"/>
          <w:u w:val="single" w:color="auto"/>
          <w:color w:val="auto"/>
        </w:rPr>
        <w:t>Section 8.01(m)</w:t>
      </w:r>
      <w:r>
        <w:rPr>
          <w:rFonts w:ascii="Arial" w:cs="Arial" w:eastAsia="Arial" w:hAnsi="Arial"/>
          <w:sz w:val="19"/>
          <w:szCs w:val="19"/>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75" w:right="239" w:bottom="1440" w:gutter="0" w:footer="0" w:header="0"/>
        </w:sectPr>
      </w:pPr>
    </w:p>
    <w:bookmarkStart w:id="73" w:name="page74"/>
    <w:bookmarkEnd w:id="73"/>
    <w:p>
      <w:pPr>
        <w:jc w:val="both"/>
        <w:ind w:firstLine="656"/>
        <w:spacing w:after="0" w:line="251" w:lineRule="auto"/>
        <w:tabs>
          <w:tab w:leader="none" w:pos="1215" w:val="left"/>
        </w:tabs>
        <w:numPr>
          <w:ilvl w:val="0"/>
          <w:numId w:val="41"/>
        </w:numPr>
        <w:rPr>
          <w:rFonts w:ascii="Arial" w:cs="Arial" w:eastAsia="Arial" w:hAnsi="Arial"/>
          <w:sz w:val="22"/>
          <w:szCs w:val="22"/>
          <w:color w:val="auto"/>
        </w:rPr>
      </w:pPr>
      <w:r>
        <w:rPr>
          <w:rFonts w:ascii="Arial" w:cs="Arial" w:eastAsia="Arial" w:hAnsi="Arial"/>
          <w:sz w:val="22"/>
          <w:szCs w:val="22"/>
          <w:color w:val="auto"/>
        </w:rPr>
        <w:t>Liens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$50,000,000 at any one time securing letters of credit or letter of credit facilities supporting such obligations);</w:t>
      </w:r>
    </w:p>
    <w:p>
      <w:pPr>
        <w:spacing w:after="0" w:line="189" w:lineRule="exact"/>
        <w:rPr>
          <w:rFonts w:ascii="Arial" w:cs="Arial" w:eastAsia="Arial" w:hAnsi="Arial"/>
          <w:sz w:val="22"/>
          <w:szCs w:val="22"/>
          <w:color w:val="auto"/>
        </w:rPr>
      </w:pPr>
    </w:p>
    <w:p>
      <w:pPr>
        <w:ind w:firstLine="656"/>
        <w:spacing w:after="0" w:line="276" w:lineRule="auto"/>
        <w:tabs>
          <w:tab w:leader="none" w:pos="1059" w:val="left"/>
        </w:tabs>
        <w:numPr>
          <w:ilvl w:val="0"/>
          <w:numId w:val="41"/>
        </w:numPr>
        <w:rPr>
          <w:rFonts w:ascii="Arial" w:cs="Arial" w:eastAsia="Arial" w:hAnsi="Arial"/>
          <w:sz w:val="22"/>
          <w:szCs w:val="22"/>
          <w:color w:val="auto"/>
        </w:rPr>
      </w:pPr>
      <w:r>
        <w:rPr>
          <w:rFonts w:ascii="Arial" w:cs="Arial" w:eastAsia="Arial" w:hAnsi="Arial"/>
          <w:sz w:val="22"/>
          <w:szCs w:val="22"/>
          <w:color w:val="auto"/>
        </w:rPr>
        <w:t>leases or subleases granted to others not interfering in any material respect with the business of WIL-Ireland or any of its Restricted Subsidiaries;</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Liens to secure obligations arising from statutory or regulatory requirements;</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3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interest or title of a lessor in property (and proceeds (including proceeds from insurance) of, and improvements, accessions and upgrades to, such property) subject to any Capital Lease Obligation or operating lease which obligation or lease, in each case, is permitted under this Agreement;</w:t>
      </w:r>
    </w:p>
    <w:p>
      <w:pPr>
        <w:spacing w:after="0" w:line="177" w:lineRule="exact"/>
        <w:rPr>
          <w:rFonts w:ascii="Arial" w:cs="Arial" w:eastAsia="Arial" w:hAnsi="Arial"/>
          <w:sz w:val="22"/>
          <w:szCs w:val="22"/>
          <w:color w:val="auto"/>
        </w:rPr>
      </w:pPr>
    </w:p>
    <w:p>
      <w:pPr>
        <w:ind w:firstLine="656"/>
        <w:spacing w:after="0" w:line="358" w:lineRule="auto"/>
        <w:tabs>
          <w:tab w:leader="none" w:pos="1086" w:val="left"/>
        </w:tabs>
        <w:numPr>
          <w:ilvl w:val="0"/>
          <w:numId w:val="41"/>
        </w:numPr>
        <w:rPr>
          <w:rFonts w:ascii="Arial" w:cs="Arial" w:eastAsia="Arial" w:hAnsi="Arial"/>
          <w:sz w:val="19"/>
          <w:szCs w:val="19"/>
          <w:color w:val="auto"/>
        </w:rPr>
      </w:pPr>
      <w:r>
        <w:rPr>
          <w:rFonts w:ascii="Arial" w:cs="Arial" w:eastAsia="Arial" w:hAnsi="Arial"/>
          <w:sz w:val="19"/>
          <w:szCs w:val="19"/>
          <w:color w:val="auto"/>
        </w:rPr>
        <w:t>Liens in favor of collecting or payor banks having a right of setoff, revocation, refund or chargeback with respect to money or instruments of WIL-Ireland or any of its Restricted Subsidiaries on deposit with or in possession of such bank;</w:t>
      </w:r>
    </w:p>
    <w:p>
      <w:pPr>
        <w:spacing w:after="0" w:line="90" w:lineRule="exact"/>
        <w:rPr>
          <w:rFonts w:ascii="Arial" w:cs="Arial" w:eastAsia="Arial" w:hAnsi="Arial"/>
          <w:sz w:val="19"/>
          <w:szCs w:val="19"/>
          <w:color w:val="auto"/>
        </w:rPr>
      </w:pPr>
    </w:p>
    <w:p>
      <w:pPr>
        <w:ind w:left="1140" w:hanging="484"/>
        <w:spacing w:after="0"/>
        <w:tabs>
          <w:tab w:leader="none" w:pos="11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Liens on the cash deposited in an Acceptable Deposit Account pursuant to the definition of “Extended Maturity Date”;</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Liens solely on any cash earnest money deposits or escrow arrangements made by WIL-Ireland or any of its Restricted Subsidiaries in connection with any letter of intent or purchase agreement relating to any acquisition of property permitted hereunder; and</w:t>
      </w:r>
    </w:p>
    <w:p>
      <w:pPr>
        <w:spacing w:after="0" w:line="177" w:lineRule="exact"/>
        <w:rPr>
          <w:rFonts w:ascii="Arial" w:cs="Arial" w:eastAsia="Arial" w:hAnsi="Arial"/>
          <w:sz w:val="22"/>
          <w:szCs w:val="22"/>
          <w:color w:val="auto"/>
        </w:rPr>
      </w:pPr>
    </w:p>
    <w:p>
      <w:pPr>
        <w:jc w:val="both"/>
        <w:ind w:firstLine="656"/>
        <w:spacing w:after="0" w:line="270" w:lineRule="auto"/>
        <w:tabs>
          <w:tab w:leader="none" w:pos="1202" w:val="left"/>
        </w:tabs>
        <w:numPr>
          <w:ilvl w:val="0"/>
          <w:numId w:val="41"/>
        </w:numPr>
        <w:rPr>
          <w:rFonts w:ascii="Arial" w:cs="Arial" w:eastAsia="Arial" w:hAnsi="Arial"/>
          <w:sz w:val="21"/>
          <w:szCs w:val="21"/>
          <w:color w:val="auto"/>
        </w:rPr>
      </w:pPr>
      <w:r>
        <w:rPr>
          <w:rFonts w:ascii="Arial" w:cs="Arial" w:eastAsia="Arial" w:hAnsi="Arial"/>
          <w:sz w:val="21"/>
          <w:szCs w:val="21"/>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means Indebtedness (for purposes of this definition, “</w:t>
      </w:r>
      <w:r>
        <w:rPr>
          <w:rFonts w:ascii="Arial" w:cs="Arial" w:eastAsia="Arial" w:hAnsi="Arial"/>
          <w:sz w:val="19"/>
          <w:szCs w:val="19"/>
          <w:u w:val="single" w:color="auto"/>
          <w:color w:val="auto"/>
        </w:rPr>
        <w:t>New Indebtedness</w:t>
      </w:r>
      <w:r>
        <w:rPr>
          <w:rFonts w:ascii="Arial" w:cs="Arial" w:eastAsia="Arial" w:hAnsi="Arial"/>
          <w:sz w:val="19"/>
          <w:szCs w:val="19"/>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9"/>
          <w:szCs w:val="19"/>
          <w:u w:val="single" w:color="auto"/>
          <w:color w:val="auto"/>
        </w:rPr>
        <w:t>Refinanced Indebtedness</w:t>
      </w:r>
      <w:r>
        <w:rPr>
          <w:rFonts w:ascii="Arial" w:cs="Arial" w:eastAsia="Arial" w:hAnsi="Arial"/>
          <w:sz w:val="19"/>
          <w:szCs w:val="19"/>
          <w:color w:val="auto"/>
        </w:rPr>
        <w:t xml:space="preserve">”), provided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91 days after the Term Loan Maturity Date,</w:t>
      </w:r>
    </w:p>
    <w:p>
      <w:pPr>
        <w:ind w:right="20" w:firstLine="8"/>
        <w:spacing w:after="0" w:line="246" w:lineRule="auto"/>
        <w:tabs>
          <w:tab w:leader="none" w:pos="322"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New Indebtedness has a Weighted Average Life to Maturity that is no shorter than the period beginning on the date of incurrence of the New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75" w:right="239" w:bottom="1440" w:gutter="0" w:footer="0" w:header="0"/>
        </w:sectPr>
      </w:pPr>
    </w:p>
    <w:bookmarkStart w:id="74" w:name="page75"/>
    <w:bookmarkEnd w:id="74"/>
    <w:p>
      <w:pPr>
        <w:jc w:val="both"/>
        <w:spacing w:after="0" w:line="285" w:lineRule="auto"/>
        <w:rPr>
          <w:sz w:val="20"/>
          <w:szCs w:val="20"/>
          <w:color w:val="auto"/>
        </w:rPr>
      </w:pPr>
      <w:r>
        <w:rPr>
          <w:rFonts w:ascii="Arial" w:cs="Arial" w:eastAsia="Arial" w:hAnsi="Arial"/>
          <w:sz w:val="19"/>
          <w:szCs w:val="19"/>
          <w:color w:val="auto"/>
        </w:rPr>
        <w:t xml:space="preserve">Indebtedness and ending after the Term Loan Maturity Date, (d) the New Indebtedness is not incurred or Guaranteed by any Person that was not an obligor on the Refinanced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event that the Refinanced Indebtedness is of the type described in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the New Indebtedness may be Guaranteed by any Obligor and (ii) in the event that the Refinanced Indebtedness is of the type described in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the definition of “Permitted Existing Indebtedness”, the New Indebtedness may be incurred or Guaranteed by WIL-Ireland, WIL-Bermuda, WIL-Delaware or any Other Subsidiaries Group Member; and</w:t>
      </w:r>
    </w:p>
    <w:p>
      <w:pPr>
        <w:spacing w:after="0" w:line="4" w:lineRule="exact"/>
        <w:rPr>
          <w:sz w:val="20"/>
          <w:szCs w:val="20"/>
          <w:color w:val="auto"/>
        </w:rPr>
      </w:pPr>
    </w:p>
    <w:p>
      <w:pPr>
        <w:ind w:firstLine="8"/>
        <w:spacing w:after="0" w:line="246" w:lineRule="auto"/>
        <w:tabs>
          <w:tab w:leader="none" w:pos="3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Refinanced Indebtedness is subordinated in right of payment to the Obligations, the New Indebtedness is subordinated in right of payment to the Obligations to at least the same extent as the Refinanced Indebtedness.</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0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 employee pension benefit plan, as defined in Section 3(2) of ERISA, which is covered by Title IV of ERISA or subject to the minimum funding standards under Section 412 of the Code or Section 302 of ERISA and at any time within the preceding six years has been (a) sponsored, maintained or contributed to by WIL-Ireland, any Borrower or any ERISA Affiliate for employees of WIL-Ireland, any Borrower or any ERISA Affiliate or (b) maintained pursuant to a collective bargaining agreement or any other arrangement under which more than one employer makes contributions and to which WIL-Ireland, any Borrower or any ERISA Affiliate is or was then making or accruing an obligation to make contributions.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the rate of interest per annum publicly announced from time to time by the JPMorgan (for so long as it is the Administrative Agent) or any successor administrative agent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hereto as its prime rate in effect at its principal office in New York City; each change in the Prime Rate shall be effective from and including the date such change is publicly announced by the such Person as being effective.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Officer</w:t>
      </w:r>
      <w:r>
        <w:rPr>
          <w:rFonts w:ascii="Arial" w:cs="Arial" w:eastAsia="Arial" w:hAnsi="Arial"/>
          <w:sz w:val="22"/>
          <w:szCs w:val="22"/>
          <w:color w:val="auto"/>
        </w:rPr>
        <w:t>” means, with respect to any Obligor Party, any director, any manager, the chief financial officer, the treasurer or the principal accounting officer of such Obligor Party.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any right to payment of WIL-Ireland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Related Security</w:t>
      </w:r>
      <w:r>
        <w:rPr>
          <w:rFonts w:ascii="Arial" w:cs="Arial" w:eastAsia="Arial" w:hAnsi="Arial"/>
          <w:sz w:val="22"/>
          <w:szCs w:val="2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(b) any Lender and (c) any Issuing Bank, as applicable.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75" w:right="239" w:bottom="1440" w:gutter="0" w:footer="0" w:header="0"/>
        </w:sectPr>
      </w:pPr>
    </w:p>
    <w:bookmarkStart w:id="75" w:name="page76"/>
    <w:bookmarkEnd w:id="75"/>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w:t>
      </w:r>
      <w:r>
        <w:rPr>
          <w:rFonts w:ascii="Arial" w:cs="Arial" w:eastAsia="Arial" w:hAnsi="Arial"/>
          <w:sz w:val="21"/>
          <w:szCs w:val="21"/>
          <w:color w:val="auto"/>
        </w:rPr>
        <w:t>” means, with respect to any Indebtedness, the redemption, purchase, defeasance, prepayment or other acquisition or retirement for value of such Indebtedness. The term “</w:t>
      </w:r>
      <w:r>
        <w:rPr>
          <w:rFonts w:ascii="Arial" w:cs="Arial" w:eastAsia="Arial" w:hAnsi="Arial"/>
          <w:sz w:val="21"/>
          <w:szCs w:val="21"/>
          <w:u w:val="single" w:color="auto"/>
          <w:color w:val="auto"/>
        </w:rPr>
        <w:t>Redeem</w:t>
      </w:r>
      <w:r>
        <w:rPr>
          <w:rFonts w:ascii="Arial" w:cs="Arial" w:eastAsia="Arial" w:hAnsi="Arial"/>
          <w:sz w:val="21"/>
          <w:szCs w:val="21"/>
          <w:color w:val="auto"/>
        </w:rPr>
        <w:t>” has a meaning correlative thereto.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Redomestication</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64" w:lineRule="auto"/>
        <w:tabs>
          <w:tab w:leader="none" w:pos="1163"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5" w:lineRule="exact"/>
        <w:rPr>
          <w:rFonts w:ascii="Arial" w:cs="Arial" w:eastAsia="Arial" w:hAnsi="Arial"/>
          <w:sz w:val="21"/>
          <w:szCs w:val="21"/>
          <w:color w:val="auto"/>
        </w:rPr>
      </w:pPr>
    </w:p>
    <w:p>
      <w:pPr>
        <w:jc w:val="both"/>
        <w:ind w:firstLine="656"/>
        <w:spacing w:after="0" w:line="278" w:lineRule="auto"/>
        <w:tabs>
          <w:tab w:leader="none" w:pos="135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60" w:lineRule="exact"/>
        <w:rPr>
          <w:rFonts w:ascii="Arial" w:cs="Arial" w:eastAsia="Arial" w:hAnsi="Arial"/>
          <w:sz w:val="21"/>
          <w:szCs w:val="21"/>
          <w:color w:val="auto"/>
        </w:rPr>
      </w:pPr>
    </w:p>
    <w:p>
      <w:pPr>
        <w:ind w:right="20" w:firstLine="656"/>
        <w:spacing w:after="0" w:line="301" w:lineRule="auto"/>
        <w:tabs>
          <w:tab w:leader="none" w:pos="1082"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21"/>
          <w:szCs w:val="21"/>
          <w:u w:val="single" w:color="auto"/>
          <w:color w:val="auto"/>
        </w:rPr>
        <w:t>New Weatherford Parent</w:t>
      </w:r>
      <w:r>
        <w:rPr>
          <w:rFonts w:ascii="Arial" w:cs="Arial" w:eastAsia="Arial" w:hAnsi="Arial"/>
          <w:sz w:val="21"/>
          <w:szCs w:val="2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if, as a result thereof:</w:t>
      </w:r>
    </w:p>
    <w:p>
      <w:pPr>
        <w:spacing w:after="0" w:line="220" w:lineRule="exact"/>
        <w:rPr>
          <w:sz w:val="20"/>
          <w:szCs w:val="20"/>
          <w:color w:val="auto"/>
        </w:rPr>
      </w:pPr>
    </w:p>
    <w:p>
      <w:pPr>
        <w:jc w:val="both"/>
        <w:ind w:firstLine="656"/>
        <w:spacing w:after="0" w:line="278" w:lineRule="auto"/>
        <w:tabs>
          <w:tab w:leader="none" w:pos="1107"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in the case of any action specified in clause </w:t>
      </w:r>
      <w:r>
        <w:rPr>
          <w:rFonts w:ascii="Arial" w:cs="Arial" w:eastAsia="Arial" w:hAnsi="Arial"/>
          <w:sz w:val="21"/>
          <w:szCs w:val="21"/>
          <w:u w:val="single" w:color="auto"/>
          <w:color w:val="auto"/>
        </w:rPr>
        <w:t>(a)</w:t>
      </w:r>
      <w:r>
        <w:rPr>
          <w:rFonts w:ascii="Arial" w:cs="Arial" w:eastAsia="Arial" w:hAnsi="Arial"/>
          <w:sz w:val="21"/>
          <w:szCs w:val="21"/>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60" w:lineRule="exact"/>
        <w:rPr>
          <w:rFonts w:ascii="Arial" w:cs="Arial" w:eastAsia="Arial" w:hAnsi="Arial"/>
          <w:sz w:val="21"/>
          <w:szCs w:val="21"/>
          <w:color w:val="auto"/>
        </w:rPr>
      </w:pPr>
    </w:p>
    <w:p>
      <w:pPr>
        <w:ind w:right="20" w:firstLine="656"/>
        <w:spacing w:after="0" w:line="301" w:lineRule="auto"/>
        <w:tabs>
          <w:tab w:leader="none" w:pos="1269"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in the case of any action specified in clause </w:t>
      </w:r>
      <w:r>
        <w:rPr>
          <w:rFonts w:ascii="Arial" w:cs="Arial" w:eastAsia="Arial" w:hAnsi="Arial"/>
          <w:sz w:val="21"/>
          <w:szCs w:val="21"/>
          <w:u w:val="single" w:color="auto"/>
          <w:color w:val="auto"/>
        </w:rPr>
        <w:t>(b)</w:t>
      </w:r>
      <w:r>
        <w:rPr>
          <w:rFonts w:ascii="Arial" w:cs="Arial" w:eastAsia="Arial" w:hAnsi="Arial"/>
          <w:sz w:val="21"/>
          <w:szCs w:val="21"/>
          <w:color w:val="auto"/>
        </w:rPr>
        <w:t>, the entity that constituted the Weatherford Parent Company immediately prior thereto (but disregarding for this purpose any change in its jurisdiction of organization); or</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in the case of any action specified in clause </w:t>
      </w:r>
      <w:r>
        <w:rPr>
          <w:rFonts w:ascii="Arial" w:cs="Arial" w:eastAsia="Arial" w:hAnsi="Arial"/>
          <w:sz w:val="22"/>
          <w:szCs w:val="22"/>
          <w:u w:val="single" w:color="auto"/>
          <w:color w:val="auto"/>
        </w:rPr>
        <w:t>(c)</w:t>
      </w:r>
      <w:r>
        <w:rPr>
          <w:rFonts w:ascii="Arial" w:cs="Arial" w:eastAsia="Arial" w:hAnsi="Arial"/>
          <w:sz w:val="22"/>
          <w:szCs w:val="22"/>
          <w:color w:val="auto"/>
        </w:rPr>
        <w:t>, the New Weatherford Parent,</w:t>
      </w:r>
    </w:p>
    <w:p>
      <w:pPr>
        <w:spacing w:after="0" w:line="233"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(in any such case the “</w:t>
      </w:r>
      <w:r>
        <w:rPr>
          <w:rFonts w:ascii="Arial" w:cs="Arial" w:eastAsia="Arial" w:hAnsi="Arial"/>
          <w:sz w:val="19"/>
          <w:szCs w:val="19"/>
          <w:u w:val="single" w:color="auto"/>
          <w:color w:val="auto"/>
        </w:rPr>
        <w:t>Surviving Person</w:t>
      </w:r>
      <w:r>
        <w:rPr>
          <w:rFonts w:ascii="Arial" w:cs="Arial" w:eastAsia="Arial" w:hAnsi="Arial"/>
          <w:sz w:val="19"/>
          <w:szCs w:val="19"/>
          <w:color w:val="auto"/>
        </w:rPr>
        <w:t xml:space="preserve">”) is a corporation or other entity, validly incorporated or formed and existing in good standing (to the extent the concept of good standing is applicable) (1) under the laws of the State of Delaware or another State of the United States, the United Kingdom, Switzerland or The Kingdom of the Netherlands, (2) under the laws of any other member country of the European Union (but only to the extent that (x) each Lender can legally do business with,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or (3) with the consent of all of the Lenders (such consent not to be unreasonably withheld) under the laws of any other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class of Capital Stock of the Surviving Person issued and outstanding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75" w:right="239" w:bottom="1440" w:gutter="0" w:footer="0" w:header="0"/>
        </w:sectPr>
      </w:pPr>
    </w:p>
    <w:bookmarkStart w:id="76" w:name="page77"/>
    <w:bookmarkEnd w:id="76"/>
    <w:p>
      <w:pPr>
        <w:ind w:right="220"/>
        <w:spacing w:after="0" w:line="297" w:lineRule="auto"/>
        <w:rPr>
          <w:sz w:val="20"/>
          <w:szCs w:val="20"/>
          <w:color w:val="auto"/>
        </w:rPr>
      </w:pPr>
      <w:r>
        <w:rPr>
          <w:rFonts w:ascii="Arial" w:cs="Arial" w:eastAsia="Arial" w:hAnsi="Arial"/>
          <w:sz w:val="19"/>
          <w:szCs w:val="19"/>
          <w:color w:val="auto"/>
        </w:rPr>
        <w:t>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 Change of Control (disregarding the phrase “except as a result of a Redomestication” contained in clause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the definition of “Change of Control” for these purposes) result from any of the actions specified in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and (II) the Surviving Person shall have delivered to the Administrative Agent:</w:t>
      </w:r>
    </w:p>
    <w:p>
      <w:pPr>
        <w:spacing w:after="0" w:line="200" w:lineRule="exact"/>
        <w:rPr>
          <w:sz w:val="20"/>
          <w:szCs w:val="20"/>
          <w:color w:val="auto"/>
        </w:rPr>
      </w:pPr>
    </w:p>
    <w:p>
      <w:pPr>
        <w:spacing w:after="0" w:line="204" w:lineRule="exact"/>
        <w:rPr>
          <w:sz w:val="20"/>
          <w:szCs w:val="20"/>
          <w:color w:val="auto"/>
        </w:rPr>
      </w:pPr>
    </w:p>
    <w:p>
      <w:pPr>
        <w:ind w:left="1100" w:hanging="444"/>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certificate to the effect that, both before and after giving effect to such transaction, no Default or Event of Default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exists;</w:t>
      </w:r>
    </w:p>
    <w:p>
      <w:pPr>
        <w:spacing w:after="0" w:line="215" w:lineRule="exact"/>
        <w:rPr>
          <w:sz w:val="20"/>
          <w:szCs w:val="20"/>
          <w:color w:val="auto"/>
        </w:rPr>
      </w:pPr>
    </w:p>
    <w:p>
      <w:pPr>
        <w:jc w:val="both"/>
        <w:ind w:firstLine="656"/>
        <w:spacing w:after="0" w:line="260" w:lineRule="auto"/>
        <w:tabs>
          <w:tab w:leader="none" w:pos="1146"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77" w:lineRule="exact"/>
        <w:rPr>
          <w:rFonts w:ascii="Arial" w:cs="Arial" w:eastAsia="Arial" w:hAnsi="Arial"/>
          <w:sz w:val="22"/>
          <w:szCs w:val="22"/>
          <w:color w:val="auto"/>
        </w:rPr>
      </w:pPr>
    </w:p>
    <w:p>
      <w:pPr>
        <w:ind w:left="1160" w:hanging="504"/>
        <w:spacing w:after="0"/>
        <w:tabs>
          <w:tab w:leader="none" w:pos="11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if applicable, the documents required by </w:t>
      </w:r>
      <w:r>
        <w:rPr>
          <w:rFonts w:ascii="Arial" w:cs="Arial" w:eastAsia="Arial" w:hAnsi="Arial"/>
          <w:sz w:val="22"/>
          <w:szCs w:val="22"/>
          <w:u w:val="single" w:color="auto"/>
          <w:color w:val="auto"/>
        </w:rPr>
        <w:t>Section 8.02(b)</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262"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Group</w:t>
      </w:r>
      <w:r>
        <w:rPr>
          <w:rFonts w:ascii="Arial" w:cs="Arial" w:eastAsia="Arial" w:hAnsi="Arial"/>
          <w:sz w:val="19"/>
          <w:szCs w:val="19"/>
          <w:color w:val="auto"/>
        </w:rPr>
        <w:t>” means the Specified Group, the WIL-Ireland Group or the Other Subsidiaries Group, as applicable.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11.05(b)(iv)</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Board (respecting reserve requirements), as the same is from time to time in effect, and all official rulings and interpretations thereunder or thereof.</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(respecting eligible securities and margin requirements), as the same is from time to time in effect, and all official rulings and interpretations thereunder or thereof.</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(respecting margin credit extended by banks), as the same is from time to time in effect, and all official rulings and interpretations thereunder or thereof.</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(respecting borrowers who obtain margin credit), as the same is from time to time in effect, and all official rulings and interpretations thereunder or thereof.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74" w:right="239" w:bottom="1440" w:gutter="0" w:footer="0" w:header="0"/>
        </w:sectPr>
      </w:pPr>
    </w:p>
    <w:bookmarkStart w:id="77" w:name="page78"/>
    <w:bookmarkEnd w:id="7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at any time, Lenders having Revolving Credit Exposures and unused Commitments representing more than fifty percent (50%) of the sum of the Total Revolving Credit Exposure and unused Commitments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Revolving Credit Exposure of, and unused Commitment of, any Defaulting Lender shall be excluded for purposes of making a determination of Required Lenders.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with respect to any Obligor, any director, any manager, the president, the chief financial officer, the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 any dividend or other distribution (whether in cash, securities or other property) on account of any Capital Stock of WIL-Ireland or any Restricted Subsidiary, (b) any payment (whether in cash, securities or other property), including any sinking fund or similar deposit, on account of the purchase, redemption, retirement, acquisition, cancellation or termination of any Capital Stock of WIL-Ireland or any Restricted Subsidiary, (c) any voluntary Redemption of any Indebtedness prior to the stated maturity thereof or (d) any payment in violation of any subordination terms of any Indebtedness.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 Basket</w:t>
      </w:r>
      <w:r>
        <w:rPr>
          <w:rFonts w:ascii="Arial" w:cs="Arial" w:eastAsia="Arial" w:hAnsi="Arial"/>
          <w:sz w:val="22"/>
          <w:szCs w:val="22"/>
          <w:color w:val="auto"/>
        </w:rPr>
        <w:t>” means, at any time, an amount equal to 50% of the cumulative amount of Excess Cash Flow of WIL-Ireland and its Restricted Subsidiaries for each Fiscal Quarter ending on or after the Effective Date and prior to such time (taken as one accounting period), commencing with the Fiscal Quarter ending June 30, 2016.</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WIL-Ireland that is not an Unrestricted Subsidiary. For the avoidance of doubt, each Borrower and each Guarantor (other than WIL-Ireland) shall be a Restricted Subsidiary.</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means any agreement or other arrangement that prohibits, limits, restricts or imposes any condition upon (a) the ability of any Obligor or any Specified Group Member to create, incur or permit to exist any Lien upon any of its property or assets (i) in favor of the Administrative Agent and the Lenders to secure any of the Guaranteed Obligations or (ii) in favor of the Term Loan Agent and the Term Loan Secured Parties to secure any of the Term Loan Obligations or (b) the ability of any Specified Group Member to pay any dividends or other distributions with respect to its Capital Stock to, or to make or repay any loans or advances to, or to Dispose of any assets to, any Obligor or any other Specified Group Member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75" w:right="2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that is located in a Specified Jurisdiction, or, in each case, which requires the consent of any other Person in connection therewith.</w:t>
      </w:r>
    </w:p>
    <w:p>
      <w:pPr>
        <w:spacing w:after="0" w:line="2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means each of the following: (a) each date of a renewal or extension of a Letter of Credit denominated in an Alternative Currency, (b) on the first Business Day of each calendar month, and (c) such additional dates as the Administrative Agent shall reasonably determine or the Required Lenders shall reasonably require as a result of fluctuations in the relevant currency exchange rates or the occurrence and continuation of an Event of Default.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xml:space="preserve">” means, with respect to any Lender at any time, the sum of (a) the outstanding principal amount of such Lender’s Revolving Credit Loans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such Lender’s LC Exposure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such Lender’s Swingline Exposure at such time.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shall include each portion thereof comprised of Extending Lender Revolving Credit Loans and Non-Extending Lender Revolving Credit Loans.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means a promissory note made by the Borrowers in favor of a Lender evidencing the Revolving Credit Loans made by such Lender, substantially in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Group, a division of McGraw-Hill, Inc., or any successor to the ratings agency business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the subject or target of any Sanctions (at the time of this Agreement, Crimea, Cuba, Iran, North Korea, Sudan and Syria).</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Australian Department of Foreign Affairs and Trade or any other relevant sanctions authority,</w:t>
      </w:r>
    </w:p>
    <w:p>
      <w:pPr>
        <w:spacing w:after="0" w:line="3" w:lineRule="exact"/>
        <w:rPr>
          <w:sz w:val="20"/>
          <w:szCs w:val="20"/>
          <w:color w:val="auto"/>
        </w:rPr>
      </w:pPr>
    </w:p>
    <w:p>
      <w:pPr>
        <w:ind w:right="20" w:firstLine="8"/>
        <w:spacing w:after="0" w:line="246" w:lineRule="auto"/>
        <w:tabs>
          <w:tab w:leader="none" w:pos="3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Person operating, organized or resident in a Sanctioned Country or (c) any Person owned or controlled by any such Person or Persons described in the foregoing clauses (a) or (b).</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 Monetary Authority, the Australian Commonwealth Government or any other relevant sanctions authority.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or any governmental authority succeeding to the functions of said Commission.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75" w:right="239" w:bottom="1440" w:gutter="0" w:footer="0" w:header="0"/>
        </w:sectPr>
      </w:pPr>
    </w:p>
    <w:bookmarkStart w:id="79" w:name="page80"/>
    <w:bookmarkEnd w:id="79"/>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in reference to any Person as of any date, (i) the fair value of the assets of such Person, at a fair valuation, will, as of such date, exceed its debts and liabilities (subordinated, contingent or otherwise); (ii)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w:t>
      </w:r>
    </w:p>
    <w:p>
      <w:pPr>
        <w:spacing w:after="0" w:line="3" w:lineRule="exact"/>
        <w:rPr>
          <w:sz w:val="20"/>
          <w:szCs w:val="20"/>
          <w:color w:val="auto"/>
        </w:rPr>
      </w:pPr>
    </w:p>
    <w:p>
      <w:pPr>
        <w:jc w:val="both"/>
        <w:ind w:firstLine="8"/>
        <w:spacing w:after="0" w:line="244" w:lineRule="auto"/>
        <w:tabs>
          <w:tab w:leader="none" w:pos="387"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such Person will, as of such date, be able to pay its debts and liabilities (subordinated, contingent or otherwise), as such debts and liabilities become absolute and matured; and (iv) such Person will not, as of such date, have unreasonably small capital with which to conduct the business in which it is engaged as such business is now conducted and is proposed to be conducted after the Effective Date.</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Asset Coverage Ratio</w:t>
      </w:r>
      <w:r>
        <w:rPr>
          <w:rFonts w:ascii="Arial" w:cs="Arial" w:eastAsia="Arial" w:hAnsi="Arial"/>
          <w:sz w:val="22"/>
          <w:szCs w:val="22"/>
          <w:color w:val="auto"/>
        </w:rPr>
        <w:t>” means, as of any date of determination, the ratio of (a) Total Specified Asset Value as of such date to (b) Specified Senior Indebtedness as of such date.</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Asset Sale</w:t>
      </w:r>
      <w:r>
        <w:rPr>
          <w:rFonts w:ascii="Arial" w:cs="Arial" w:eastAsia="Arial" w:hAnsi="Arial"/>
          <w:sz w:val="19"/>
          <w:szCs w:val="19"/>
          <w:color w:val="auto"/>
        </w:rPr>
        <w:t xml:space="preserve">” means any Disposition of assets by WIL-Ireland or any Restricted Subsidiary other than (a) involuntary dispositions as a result of casualty or condemnation events (so long as, in the case of casualty or condemnation of property that is Term Loan Collateral and has a net book value in excess of $20,000,000, the Net Cash Proceeds received by WIL-Ireland and its Restricted Subsidiaries in connection therewith are reinvested, (i) with respect to the first $100,000,000 of such Net Cash Proceeds received by WIL-Ireland and its Restricted Subsidiaries over the term of this Agreement, in assets useful to the business of WIL-Ireland and the Restricted Subsidiaries and (ii) thereafter, in additional Term Loan Collateral, in each case, within 180 days following the receipt of such Net Cash Proceeds) and (b) Dispositions to the extent permitted by </w:t>
      </w:r>
      <w:r>
        <w:rPr>
          <w:rFonts w:ascii="Arial" w:cs="Arial" w:eastAsia="Arial" w:hAnsi="Arial"/>
          <w:sz w:val="19"/>
          <w:szCs w:val="19"/>
          <w:u w:val="single" w:color="auto"/>
          <w:color w:val="auto"/>
        </w:rPr>
        <w:t>Sections 8.05(a)</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8.05(b)</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8.05(c)</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8.05(e)</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8.05(f)</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8.05(g)</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8.05(i)</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8.05(k)</w:t>
      </w:r>
      <w:r>
        <w:rPr>
          <w:rFonts w:ascii="Arial" w:cs="Arial" w:eastAsia="Arial" w:hAnsi="Arial"/>
          <w:sz w:val="19"/>
          <w:szCs w:val="19"/>
          <w:color w:val="auto"/>
        </w:rPr>
        <w:t xml:space="preserve">, </w:t>
      </w:r>
      <w:r>
        <w:rPr>
          <w:rFonts w:ascii="Arial" w:cs="Arial" w:eastAsia="Arial" w:hAnsi="Arial"/>
          <w:sz w:val="19"/>
          <w:szCs w:val="19"/>
          <w:u w:val="single" w:color="auto"/>
          <w:color w:val="auto"/>
        </w:rPr>
        <w:t>8.05(l)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8.05(m)</w:t>
      </w:r>
      <w:r>
        <w:rPr>
          <w:rFonts w:ascii="Arial" w:cs="Arial" w:eastAsia="Arial" w:hAnsi="Arial"/>
          <w:sz w:val="19"/>
          <w:szCs w:val="19"/>
          <w:color w:val="auto"/>
        </w:rPr>
        <w:t>.</w:t>
      </w:r>
    </w:p>
    <w:p>
      <w:pPr>
        <w:spacing w:after="0" w:line="15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Consolidated Adjusted EBITDA</w:t>
      </w:r>
      <w:r>
        <w:rPr>
          <w:rFonts w:ascii="Arial" w:cs="Arial" w:eastAsia="Arial" w:hAnsi="Arial"/>
          <w:sz w:val="19"/>
          <w:szCs w:val="19"/>
          <w:color w:val="auto"/>
        </w:rPr>
        <w:t>” means, with respect to any period, the Consolidated Adjusted EBITDA of the Specified Group for such period, adjusted as necessary to exclude amounts attributable to WIL-Bermuda and WIL-Delaware.</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Event of Default</w:t>
      </w:r>
      <w:r>
        <w:rPr>
          <w:rFonts w:ascii="Arial" w:cs="Arial" w:eastAsia="Arial" w:hAnsi="Arial"/>
          <w:sz w:val="22"/>
          <w:szCs w:val="22"/>
          <w:color w:val="auto"/>
        </w:rPr>
        <w:t xml:space="preserve">” means an Event of Default pursuant to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(but only as a result of a breach of a Financial Covenant),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(j)</w:t>
      </w:r>
      <w:r>
        <w:rPr>
          <w:rFonts w:ascii="Arial" w:cs="Arial" w:eastAsia="Arial" w:hAnsi="Arial"/>
          <w:sz w:val="22"/>
          <w:szCs w:val="22"/>
          <w:color w:val="auto"/>
        </w:rPr>
        <w:t xml:space="preserve">, </w:t>
      </w:r>
      <w:r>
        <w:rPr>
          <w:rFonts w:ascii="Arial" w:cs="Arial" w:eastAsia="Arial" w:hAnsi="Arial"/>
          <w:sz w:val="22"/>
          <w:szCs w:val="22"/>
          <w:u w:val="single" w:color="auto"/>
          <w:color w:val="auto"/>
        </w:rPr>
        <w:t>(k)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(l)</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Group</w:t>
      </w:r>
      <w:r>
        <w:rPr>
          <w:rFonts w:ascii="Arial" w:cs="Arial" w:eastAsia="Arial" w:hAnsi="Arial"/>
          <w:sz w:val="22"/>
          <w:szCs w:val="22"/>
          <w:color w:val="auto"/>
        </w:rPr>
        <w:t>” mean, collectively, the Specified Obligors and their Restricted Subsidiaries.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Group Member</w:t>
      </w:r>
      <w:r>
        <w:rPr>
          <w:rFonts w:ascii="Arial" w:cs="Arial" w:eastAsia="Arial" w:hAnsi="Arial"/>
          <w:sz w:val="22"/>
          <w:szCs w:val="22"/>
          <w:color w:val="auto"/>
        </w:rPr>
        <w:t>” means any member of the Specified Group.</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Jurisdiction</w:t>
      </w:r>
      <w:r>
        <w:rPr>
          <w:rFonts w:ascii="Arial" w:cs="Arial" w:eastAsia="Arial" w:hAnsi="Arial"/>
          <w:sz w:val="19"/>
          <w:szCs w:val="19"/>
          <w:color w:val="auto"/>
        </w:rPr>
        <w:t xml:space="preserve">” means the United States of America (or any state thereof), Canada (or any province or territory thereof), the United Kingdom, Ireland, Switzerland, Luxembourg, Bermuda, the British Virgin Islands, the Netherlands, Argentina, Australia, Norway and certain other jurisdictions to be identified from time to time by the Administrative Agent in accordance with </w:t>
      </w:r>
      <w:r>
        <w:rPr>
          <w:rFonts w:ascii="Arial" w:cs="Arial" w:eastAsia="Arial" w:hAnsi="Arial"/>
          <w:sz w:val="19"/>
          <w:szCs w:val="19"/>
          <w:u w:val="single" w:color="auto"/>
          <w:color w:val="auto"/>
        </w:rPr>
        <w:t>Section 7.08(b)</w:t>
      </w:r>
      <w:r>
        <w:rPr>
          <w:rFonts w:ascii="Arial" w:cs="Arial" w:eastAsia="Arial" w:hAnsi="Arial"/>
          <w:sz w:val="19"/>
          <w:szCs w:val="19"/>
          <w:color w:val="auto"/>
        </w:rPr>
        <w:t>. In no event shall any Excluded Jurisdiction be or become a Specified Jurisdiction.</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Letter of Credit</w:t>
      </w:r>
      <w:r>
        <w:rPr>
          <w:rFonts w:ascii="Arial" w:cs="Arial" w:eastAsia="Arial" w:hAnsi="Arial"/>
          <w:sz w:val="22"/>
          <w:szCs w:val="22"/>
          <w:color w:val="auto"/>
        </w:rPr>
        <w:t>” means any standby letter of credit, bank guaranty or similar instrument that (a) has been issued for the account of any Specified Group Member or (b) with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75" w:right="2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22"/>
          <w:szCs w:val="22"/>
          <w:color w:val="auto"/>
        </w:rPr>
        <w:t>respect to which any Specified Group Member is otherwise required to reimburse the issuing institution for any amounts drawn on such letter or credit or otherwise provide any guarantee with respect to such letter of credit.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Leverage and LC Ratio</w:t>
      </w:r>
      <w:r>
        <w:rPr>
          <w:rFonts w:ascii="Arial" w:cs="Arial" w:eastAsia="Arial" w:hAnsi="Arial"/>
          <w:sz w:val="22"/>
          <w:szCs w:val="22"/>
          <w:color w:val="auto"/>
        </w:rPr>
        <w:t>” means, as of the last day of any Fiscal Quarter, the ratio of (a) the sum of (i) Specified Senior Indebtedness as of such date and (ii) the aggregate undrawn amount of all Specified Letters of Credit as of such date to (b) Specified Consolidated Adjusted EBITDA for the Testing Period ending on such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Obligor</w:t>
      </w:r>
      <w:r>
        <w:rPr>
          <w:rFonts w:ascii="Arial" w:cs="Arial" w:eastAsia="Arial" w:hAnsi="Arial"/>
          <w:sz w:val="22"/>
          <w:szCs w:val="22"/>
          <w:color w:val="auto"/>
        </w:rPr>
        <w:t>” means any Obligor other than WIL-Ireland, WIL-Bermuda and WIL-Delaware.</w:t>
      </w:r>
    </w:p>
    <w:p>
      <w:pPr>
        <w:spacing w:after="0" w:line="22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Senior Indebtedness</w:t>
      </w:r>
      <w:r>
        <w:rPr>
          <w:rFonts w:ascii="Arial" w:cs="Arial" w:eastAsia="Arial" w:hAnsi="Arial"/>
          <w:sz w:val="19"/>
          <w:szCs w:val="19"/>
          <w:color w:val="auto"/>
        </w:rPr>
        <w:t xml:space="preserve">” means, as of any date of determination, the aggregate principal amount of all Funded Indebtedness (which for purposes of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only, shall include Indebtedness of the type described in clause (c) of the definition thereof) of the Specified Group as of such date, other than Funded Indebtedness of WIL-Bermuda and WIL-Delaware (but, for the avoidance of doubt, including any Funded Indebtedness consisting of Guarantees by Specified Group Members (other than WIL-Bermuda and WIL-Delaware) of Funded Indebtedness of WIL-Bermuda and WIL-Delaware).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Senior Leverage Ratio</w:t>
      </w:r>
      <w:r>
        <w:rPr>
          <w:rFonts w:ascii="Arial" w:cs="Arial" w:eastAsia="Arial" w:hAnsi="Arial"/>
          <w:sz w:val="21"/>
          <w:szCs w:val="21"/>
          <w:color w:val="auto"/>
        </w:rPr>
        <w:t>” means, as of the last day of any Fiscal Quarter, the ratio of (a) Specified Senior Indebtedness as of such date to (b) Specified Consolidated Adjusted EBITDA for the Testing Period ending on such date.</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Swap Obligation</w:t>
      </w:r>
      <w:r>
        <w:rPr>
          <w:rFonts w:ascii="Arial" w:cs="Arial" w:eastAsia="Arial" w:hAnsi="Arial"/>
          <w:sz w:val="22"/>
          <w:szCs w:val="22"/>
          <w:color w:val="auto"/>
        </w:rPr>
        <w:t>” means, with respect to any Obligor,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w:t>
      </w:r>
      <w:r>
        <w:rPr>
          <w:rFonts w:ascii="Arial" w:cs="Arial" w:eastAsia="Arial" w:hAnsi="Arial"/>
          <w:sz w:val="21"/>
          <w:szCs w:val="21"/>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that is Subordinated.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75" w:right="239" w:bottom="1440" w:gutter="0" w:footer="0" w:header="0"/>
        </w:sectPr>
      </w:pPr>
    </w:p>
    <w:bookmarkStart w:id="81" w:name="page82"/>
    <w:bookmarkEnd w:id="81"/>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 Unless the context otherwise clearly requires, references in this Agreement to a “Subsidiary” or the “Subsidiaries” refer to a Subsidiary or the Subsidiaries of WIL-Ireland.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Person</w:t>
      </w:r>
      <w:r>
        <w:rPr>
          <w:rFonts w:ascii="Arial" w:cs="Arial" w:eastAsia="Arial" w:hAnsi="Arial"/>
          <w:sz w:val="22"/>
          <w:szCs w:val="22"/>
          <w:color w:val="auto"/>
        </w:rPr>
        <w:t>” has the meaning specified in the definition of “</w:t>
      </w:r>
      <w:r>
        <w:rPr>
          <w:rFonts w:ascii="Arial" w:cs="Arial" w:eastAsia="Arial" w:hAnsi="Arial"/>
          <w:sz w:val="22"/>
          <w:szCs w:val="22"/>
          <w:u w:val="single" w:color="auto"/>
          <w:color w:val="auto"/>
        </w:rPr>
        <w:t>Redomestication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WIL-Ireland or its Subsidiaries shall be a Swap Agreement.</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Obligations</w:t>
      </w:r>
      <w:r>
        <w:rPr>
          <w:rFonts w:ascii="Arial" w:cs="Arial" w:eastAsia="Arial" w:hAnsi="Arial"/>
          <w:sz w:val="22"/>
          <w:szCs w:val="22"/>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w:t>
      </w:r>
      <w:r>
        <w:rPr>
          <w:rFonts w:ascii="Arial" w:cs="Arial" w:eastAsia="Arial" w:hAnsi="Arial"/>
          <w:sz w:val="22"/>
          <w:szCs w:val="22"/>
          <w:color w:val="auto"/>
        </w:rPr>
        <w:t xml:space="preserve">” means a borrowing of a Swingline Loan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 Request</w:t>
      </w:r>
      <w:r>
        <w:rPr>
          <w:rFonts w:ascii="Arial" w:cs="Arial" w:eastAsia="Arial" w:hAnsi="Arial"/>
          <w:sz w:val="22"/>
          <w:szCs w:val="22"/>
          <w:color w:val="auto"/>
        </w:rPr>
        <w:t xml:space="preserve">” means a request by a Borrower for a Swingline Loan in accordance with </w:t>
      </w:r>
      <w:r>
        <w:rPr>
          <w:rFonts w:ascii="Arial" w:cs="Arial" w:eastAsia="Arial" w:hAnsi="Arial"/>
          <w:sz w:val="22"/>
          <w:szCs w:val="22"/>
          <w:u w:val="single" w:color="auto"/>
          <w:color w:val="auto"/>
        </w:rPr>
        <w:t>Section 2.03(b)</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with respect to any Lender at any time, such Lender’s Applicable Percentage of the aggregate principal amount of all Swingline Loans outstanding at such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JPMorgan, in its capacity as a provider of Swingline Loans, or any successor Swingline Lender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Note</w:t>
      </w:r>
      <w:r>
        <w:rPr>
          <w:rFonts w:ascii="Arial" w:cs="Arial" w:eastAsia="Arial" w:hAnsi="Arial"/>
          <w:sz w:val="22"/>
          <w:szCs w:val="22"/>
          <w:color w:val="auto"/>
        </w:rPr>
        <w:t xml:space="preserve">” means a promissory note made by the Borrowers in favor of a Swingline Lender evidencing the Swingline Loans made by such Swingline Lender, substantially in the form of </w:t>
      </w:r>
      <w:r>
        <w:rPr>
          <w:rFonts w:ascii="Arial" w:cs="Arial" w:eastAsia="Arial" w:hAnsi="Arial"/>
          <w:sz w:val="22"/>
          <w:szCs w:val="22"/>
          <w:u w:val="single" w:color="auto"/>
          <w:color w:val="auto"/>
        </w:rPr>
        <w:t>Exhibit D-2</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75"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Sublimit</w:t>
      </w:r>
      <w:r>
        <w:rPr>
          <w:rFonts w:ascii="Arial" w:cs="Arial" w:eastAsia="Arial" w:hAnsi="Arial"/>
          <w:sz w:val="21"/>
          <w:szCs w:val="21"/>
          <w:color w:val="auto"/>
        </w:rPr>
        <w:t>” means, with respect to each Swingline Lender at any time, an amount equal to the lesser of</w:t>
      </w:r>
    </w:p>
    <w:p>
      <w:pPr>
        <w:spacing w:after="0" w:line="33" w:lineRule="exact"/>
        <w:rPr>
          <w:sz w:val="20"/>
          <w:szCs w:val="20"/>
          <w:color w:val="auto"/>
        </w:rPr>
      </w:pPr>
    </w:p>
    <w:p>
      <w:pPr>
        <w:ind w:firstLine="8"/>
        <w:spacing w:after="0" w:line="246" w:lineRule="auto"/>
        <w:tabs>
          <w:tab w:leader="none" w:pos="2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$50,000,000 and (ii) the Aggregate Commitments at such time. The Swingline Sublimit of each Swingline Lender is part of, and not in addition to, the Aggregate Commitments at any time.</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Borrower</w:t>
      </w:r>
      <w:r>
        <w:rPr>
          <w:rFonts w:ascii="Arial" w:cs="Arial" w:eastAsia="Arial" w:hAnsi="Arial"/>
          <w:sz w:val="22"/>
          <w:szCs w:val="22"/>
          <w:color w:val="auto"/>
        </w:rPr>
        <w:t>” means any Borrower organized under the laws of Switzerland or, if different, deemed resident in Switzerland for Swiss Withholding Tax purposes.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Guarantor</w:t>
      </w:r>
      <w:r>
        <w:rPr>
          <w:rFonts w:ascii="Arial" w:cs="Arial" w:eastAsia="Arial" w:hAnsi="Arial"/>
          <w:sz w:val="22"/>
          <w:szCs w:val="22"/>
          <w:color w:val="auto"/>
        </w:rPr>
        <w:t>” means any Guarantor organized under the laws of Switzerland or, if different, deemed resident in Switzerland for Swiss Withholding Tax purposes.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Guidelines</w:t>
      </w:r>
      <w:r>
        <w:rPr>
          <w:rFonts w:ascii="Arial" w:cs="Arial" w:eastAsia="Arial" w:hAnsi="Arial"/>
          <w:sz w:val="21"/>
          <w:szCs w:val="21"/>
          <w:color w:val="auto"/>
        </w:rPr>
        <w:t>” means, together, the guidelines S-02.122.1 in relation to bonds of April 1999 as issued by the Swiss Federal Tax Administration (</w:t>
      </w:r>
      <w:r>
        <w:rPr>
          <w:rFonts w:ascii="Arial" w:cs="Arial" w:eastAsia="Arial" w:hAnsi="Arial"/>
          <w:sz w:val="21"/>
          <w:szCs w:val="21"/>
          <w:i w:val="1"/>
          <w:iCs w:val="1"/>
          <w:color w:val="auto"/>
        </w:rPr>
        <w:t>Merkblatt S-02.122.1 vom April 1999 betreffend “Obligationen”</w:t>
      </w:r>
      <w:r>
        <w:rPr>
          <w:rFonts w:ascii="Arial" w:cs="Arial" w:eastAsia="Arial" w:hAnsi="Arial"/>
          <w:sz w:val="21"/>
          <w:szCs w:val="21"/>
          <w:color w:val="auto"/>
        </w:rPr>
        <w:t>), S-02.123 in relation to interbank transactions of 22 September 1986 as issued by the Swiss Federal Tax Administration (</w:t>
      </w:r>
      <w:r>
        <w:rPr>
          <w:rFonts w:ascii="Arial" w:cs="Arial" w:eastAsia="Arial" w:hAnsi="Arial"/>
          <w:sz w:val="21"/>
          <w:szCs w:val="21"/>
          <w:i w:val="1"/>
          <w:iCs w:val="1"/>
          <w:color w:val="auto"/>
        </w:rPr>
        <w:t>Merkblatt S-02.123 vom 22 September 1986</w:t>
      </w:r>
      <w:r>
        <w:rPr>
          <w:rFonts w:ascii="Arial" w:cs="Arial" w:eastAsia="Arial" w:hAnsi="Arial"/>
          <w:sz w:val="21"/>
          <w:szCs w:val="21"/>
          <w:color w:val="auto"/>
        </w:rPr>
        <w:t xml:space="preserve"> </w:t>
      </w:r>
      <w:r>
        <w:rPr>
          <w:rFonts w:ascii="Arial" w:cs="Arial" w:eastAsia="Arial" w:hAnsi="Arial"/>
          <w:sz w:val="21"/>
          <w:szCs w:val="21"/>
          <w:i w:val="1"/>
          <w:iCs w:val="1"/>
          <w:color w:val="auto"/>
        </w:rPr>
        <w:t>betreffend Zinsen von Bankguthaben, deren Gläubiger Banken sind (Interbankguthaben)</w:t>
      </w:r>
      <w:r>
        <w:rPr>
          <w:rFonts w:ascii="Arial" w:cs="Arial" w:eastAsia="Arial" w:hAnsi="Arial"/>
          <w:sz w:val="21"/>
          <w:szCs w:val="21"/>
          <w:color w:val="auto"/>
        </w:rPr>
        <w:t>), S-02.128 in relation to syndicated credit</w:t>
      </w:r>
      <w:r>
        <w:rPr>
          <w:rFonts w:ascii="Arial" w:cs="Arial" w:eastAsia="Arial" w:hAnsi="Arial"/>
          <w:sz w:val="21"/>
          <w:szCs w:val="21"/>
          <w:i w:val="1"/>
          <w:iCs w:val="1"/>
          <w:color w:val="auto"/>
        </w:rPr>
        <w:t xml:space="preserve"> </w:t>
      </w:r>
      <w:r>
        <w:rPr>
          <w:rFonts w:ascii="Arial" w:cs="Arial" w:eastAsia="Arial" w:hAnsi="Arial"/>
          <w:sz w:val="21"/>
          <w:szCs w:val="21"/>
          <w:color w:val="auto"/>
        </w:rPr>
        <w:t>facilities of January 2000 (</w:t>
      </w:r>
      <w:r>
        <w:rPr>
          <w:rFonts w:ascii="Arial" w:cs="Arial" w:eastAsia="Arial" w:hAnsi="Arial"/>
          <w:sz w:val="21"/>
          <w:szCs w:val="21"/>
          <w:i w:val="1"/>
          <w:iCs w:val="1"/>
          <w:color w:val="auto"/>
        </w:rPr>
        <w:t>Merkblatt S-02.128 vom Januar 2000 “Steuerliche Behandlung von Konsortialdarlehen,</w:t>
      </w:r>
      <w:r>
        <w:rPr>
          <w:rFonts w:ascii="Arial" w:cs="Arial" w:eastAsia="Arial" w:hAnsi="Arial"/>
          <w:sz w:val="21"/>
          <w:szCs w:val="21"/>
          <w:color w:val="auto"/>
        </w:rPr>
        <w:t xml:space="preserve"> </w:t>
      </w:r>
      <w:r>
        <w:rPr>
          <w:rFonts w:ascii="Arial" w:cs="Arial" w:eastAsia="Arial" w:hAnsi="Arial"/>
          <w:sz w:val="21"/>
          <w:szCs w:val="21"/>
          <w:i w:val="1"/>
          <w:iCs w:val="1"/>
          <w:color w:val="auto"/>
        </w:rPr>
        <w:t>Schuldscheindarlehen, Wechseln und Unterbeteiligungen”</w:t>
      </w:r>
      <w:r>
        <w:rPr>
          <w:rFonts w:ascii="Arial" w:cs="Arial" w:eastAsia="Arial" w:hAnsi="Arial"/>
          <w:sz w:val="21"/>
          <w:szCs w:val="21"/>
          <w:color w:val="auto"/>
        </w:rPr>
        <w:t>), S-02.130.1 in relation to money market instruments and book claims of</w:t>
      </w:r>
      <w:r>
        <w:rPr>
          <w:rFonts w:ascii="Arial" w:cs="Arial" w:eastAsia="Arial" w:hAnsi="Arial"/>
          <w:sz w:val="21"/>
          <w:szCs w:val="21"/>
          <w:i w:val="1"/>
          <w:iCs w:val="1"/>
          <w:color w:val="auto"/>
        </w:rPr>
        <w:t xml:space="preserve"> </w:t>
      </w:r>
      <w:r>
        <w:rPr>
          <w:rFonts w:ascii="Arial" w:cs="Arial" w:eastAsia="Arial" w:hAnsi="Arial"/>
          <w:sz w:val="21"/>
          <w:szCs w:val="21"/>
          <w:color w:val="auto"/>
        </w:rPr>
        <w:t>April 1999 (</w:t>
      </w:r>
      <w:r>
        <w:rPr>
          <w:rFonts w:ascii="Arial" w:cs="Arial" w:eastAsia="Arial" w:hAnsi="Arial"/>
          <w:sz w:val="21"/>
          <w:szCs w:val="21"/>
          <w:i w:val="1"/>
          <w:iCs w:val="1"/>
          <w:color w:val="auto"/>
        </w:rPr>
        <w:t>Merkblatt S-02.130.1 vom April 1999 “Geldmarktpapiere und Buchforderungen inländischer Schuldner”</w:t>
      </w:r>
      <w:r>
        <w:rPr>
          <w:rFonts w:ascii="Arial" w:cs="Arial" w:eastAsia="Arial" w:hAnsi="Arial"/>
          <w:sz w:val="21"/>
          <w:szCs w:val="21"/>
          <w:color w:val="auto"/>
        </w:rPr>
        <w:t>), the circular letter No. 15 (</w:t>
      </w:r>
      <w:r>
        <w:rPr>
          <w:rFonts w:ascii="Arial" w:cs="Arial" w:eastAsia="Arial" w:hAnsi="Arial"/>
          <w:sz w:val="21"/>
          <w:szCs w:val="21"/>
          <w:i w:val="1"/>
          <w:iCs w:val="1"/>
          <w:color w:val="auto"/>
        </w:rPr>
        <w:t>1-015-DVS-2007</w:t>
      </w:r>
      <w:r>
        <w:rPr>
          <w:rFonts w:ascii="Arial" w:cs="Arial" w:eastAsia="Arial" w:hAnsi="Arial"/>
          <w:sz w:val="21"/>
          <w:szCs w:val="21"/>
          <w:color w:val="auto"/>
        </w:rPr>
        <w:t>) of 7 February 2007 in relation to bonds and derivative financial instruments as subject matter of taxation of Swiss federal income tax, Swiss withholding tax and Swiss stamp taxes (</w:t>
      </w:r>
      <w:r>
        <w:rPr>
          <w:rFonts w:ascii="Arial" w:cs="Arial" w:eastAsia="Arial" w:hAnsi="Arial"/>
          <w:sz w:val="21"/>
          <w:szCs w:val="21"/>
          <w:i w:val="1"/>
          <w:iCs w:val="1"/>
          <w:color w:val="auto"/>
        </w:rPr>
        <w:t>Kreisschreiben Nr. 15 “Obligationen und</w:t>
      </w:r>
      <w:r>
        <w:rPr>
          <w:rFonts w:ascii="Arial" w:cs="Arial" w:eastAsia="Arial" w:hAnsi="Arial"/>
          <w:sz w:val="21"/>
          <w:szCs w:val="21"/>
          <w:color w:val="auto"/>
        </w:rPr>
        <w:t xml:space="preserve"> </w:t>
      </w:r>
      <w:r>
        <w:rPr>
          <w:rFonts w:ascii="Arial" w:cs="Arial" w:eastAsia="Arial" w:hAnsi="Arial"/>
          <w:sz w:val="21"/>
          <w:szCs w:val="21"/>
          <w:i w:val="1"/>
          <w:iCs w:val="1"/>
          <w:color w:val="auto"/>
        </w:rPr>
        <w:t>derivative Finanzinstrumente als Gegenstand der direkten Bundessteuer, der Verrechnungssteuer und der Stempelabgaben” vom 7. Februar 2007</w:t>
      </w:r>
      <w:r>
        <w:rPr>
          <w:rFonts w:ascii="Arial" w:cs="Arial" w:eastAsia="Arial" w:hAnsi="Arial"/>
          <w:sz w:val="21"/>
          <w:szCs w:val="21"/>
          <w:color w:val="auto"/>
        </w:rPr>
        <w:t>) and the circular letter No. 34 of 26 July 2011 (</w:t>
      </w:r>
      <w:r>
        <w:rPr>
          <w:rFonts w:ascii="Arial" w:cs="Arial" w:eastAsia="Arial" w:hAnsi="Arial"/>
          <w:sz w:val="21"/>
          <w:szCs w:val="21"/>
          <w:i w:val="1"/>
          <w:iCs w:val="1"/>
          <w:color w:val="auto"/>
        </w:rPr>
        <w:t>1-034-V-2011</w:t>
      </w:r>
      <w:r>
        <w:rPr>
          <w:rFonts w:ascii="Arial" w:cs="Arial" w:eastAsia="Arial" w:hAnsi="Arial"/>
          <w:sz w:val="21"/>
          <w:szCs w:val="21"/>
          <w:color w:val="auto"/>
        </w:rPr>
        <w:t>) in relation to customer credit balances (</w:t>
      </w:r>
      <w:r>
        <w:rPr>
          <w:rFonts w:ascii="Arial" w:cs="Arial" w:eastAsia="Arial" w:hAnsi="Arial"/>
          <w:sz w:val="21"/>
          <w:szCs w:val="21"/>
          <w:i w:val="1"/>
          <w:iCs w:val="1"/>
          <w:color w:val="auto"/>
        </w:rPr>
        <w:t>Kreisschreiben Nr. 34 “Kundenguthaben” vom 26. Juli 2011</w:t>
      </w:r>
      <w:r>
        <w:rPr>
          <w:rFonts w:ascii="Arial" w:cs="Arial" w:eastAsia="Arial" w:hAnsi="Arial"/>
          <w:sz w:val="21"/>
          <w:szCs w:val="21"/>
          <w:color w:val="auto"/>
        </w:rPr>
        <w:t>) as issued, and as amended or replaced from time to time by the Swiss Federal Tax</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Obligor</w:t>
      </w:r>
      <w:r>
        <w:rPr>
          <w:rFonts w:ascii="Arial" w:cs="Arial" w:eastAsia="Arial" w:hAnsi="Arial"/>
          <w:sz w:val="22"/>
          <w:szCs w:val="22"/>
          <w:color w:val="auto"/>
        </w:rPr>
        <w:t>” means a Swiss Borrower or a Swiss Guarantor.</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Qualifying Lender</w:t>
      </w:r>
      <w:r>
        <w:rPr>
          <w:rFonts w:ascii="Arial" w:cs="Arial" w:eastAsia="Arial" w:hAnsi="Arial"/>
          <w:sz w:val="22"/>
          <w:szCs w:val="22"/>
          <w:color w:val="auto"/>
        </w:rPr>
        <w:t>” means (i) a bank as defined in the Swiss Federal Code for Banks and Savings Banks dated 8 November 1934 (</w:t>
      </w:r>
      <w:r>
        <w:rPr>
          <w:rFonts w:ascii="Arial" w:cs="Arial" w:eastAsia="Arial" w:hAnsi="Arial"/>
          <w:sz w:val="22"/>
          <w:szCs w:val="22"/>
          <w:i w:val="1"/>
          <w:iCs w:val="1"/>
          <w:color w:val="auto"/>
        </w:rPr>
        <w:t>Bundesgesetz über die Banken und Sparkassen</w:t>
      </w:r>
      <w:r>
        <w:rPr>
          <w:rFonts w:ascii="Arial" w:cs="Arial" w:eastAsia="Arial" w:hAnsi="Arial"/>
          <w:sz w:val="22"/>
          <w:szCs w:val="22"/>
          <w:color w:val="auto"/>
        </w:rPr>
        <w:t>) as amended from time to time or (ii)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Non-Bank Rules</w:t>
      </w:r>
      <w:r>
        <w:rPr>
          <w:rFonts w:ascii="Arial" w:cs="Arial" w:eastAsia="Arial" w:hAnsi="Arial"/>
          <w:sz w:val="21"/>
          <w:szCs w:val="21"/>
          <w:color w:val="auto"/>
        </w:rPr>
        <w:t>” means together the Swiss Twenty Non-Bank Rule and the Swiss Ten Non-Bank Rule.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Non-Qualifying Lender</w:t>
      </w:r>
      <w:r>
        <w:rPr>
          <w:rFonts w:ascii="Arial" w:cs="Arial" w:eastAsia="Arial" w:hAnsi="Arial"/>
          <w:sz w:val="22"/>
          <w:szCs w:val="22"/>
          <w:color w:val="auto"/>
        </w:rPr>
        <w:t>” means a person which does not qualify as a Swiss Qualifying Lender.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75" w:right="239" w:bottom="1440" w:gutter="0" w:footer="0" w:header="0"/>
        </w:sectPr>
      </w:pPr>
    </w:p>
    <w:bookmarkStart w:id="83" w:name="page84"/>
    <w:bookmarkEnd w:id="83"/>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Swiss Ten Non-Bank Rule</w:t>
      </w:r>
      <w:r>
        <w:rPr>
          <w:rFonts w:ascii="Arial" w:cs="Arial" w:eastAsia="Arial" w:hAnsi="Arial"/>
          <w:sz w:val="19"/>
          <w:szCs w:val="19"/>
          <w:color w:val="auto"/>
        </w:rPr>
        <w:t>” means the rule that the aggregate number of Lenders other than Swiss Qualifying Lenders of a Swiss Borrower under this Agreement must not at any time exceed ten (10); in each case in accordance with the meaning of the Swiss Guidelines or the applicable legislation or explanatory notes addressing the same issues that are in force at such time.</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Swiss Twenty Non-Bank Rule</w:t>
      </w:r>
      <w:r>
        <w:rPr>
          <w:rFonts w:ascii="Arial" w:cs="Arial" w:eastAsia="Arial" w:hAnsi="Arial"/>
          <w:sz w:val="21"/>
          <w:szCs w:val="21"/>
          <w:color w:val="auto"/>
        </w:rPr>
        <w:t>” means the rule that the aggregate number of creditors other than Swiss Qualifying Lenders of a Swiss Borrower under all its outstanding debts relevant for the classification as debentures (Kassenobligation) (within the meaning of the Swiss Guidelines), including any Loans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Withholding Tax</w:t>
      </w:r>
      <w:r>
        <w:rPr>
          <w:rFonts w:ascii="Arial" w:cs="Arial" w:eastAsia="Arial" w:hAnsi="Arial"/>
          <w:sz w:val="22"/>
          <w:szCs w:val="22"/>
          <w:color w:val="auto"/>
        </w:rPr>
        <w:t>” means any Taxes levied pursuant to the Swiss Federal Act on Withholding Tax (Bundesgesetz über die Verrechnungssteuer vom 13. Oktober 1965, SR 642.21), as amended from time to time.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imposed by any Governmental Authority.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Agreement</w:t>
      </w:r>
      <w:r>
        <w:rPr>
          <w:rFonts w:ascii="Arial" w:cs="Arial" w:eastAsia="Arial" w:hAnsi="Arial"/>
          <w:sz w:val="22"/>
          <w:szCs w:val="22"/>
          <w:color w:val="auto"/>
        </w:rPr>
        <w:t>” means that certain Term Loan Agreement, dated as of the date hereof, by and among WIL-Bermuda, the lenders from time to time party thereto and JPMorgan, as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means the Loans (as defined in the Term Loan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Collateral</w:t>
      </w:r>
      <w:r>
        <w:rPr>
          <w:rFonts w:ascii="Arial" w:cs="Arial" w:eastAsia="Arial" w:hAnsi="Arial"/>
          <w:sz w:val="22"/>
          <w:szCs w:val="22"/>
          <w:color w:val="auto"/>
        </w:rPr>
        <w:t>” means the Collateral (as defined in the Term Loan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Documents</w:t>
      </w:r>
      <w:r>
        <w:rPr>
          <w:rFonts w:ascii="Arial" w:cs="Arial" w:eastAsia="Arial" w:hAnsi="Arial"/>
          <w:sz w:val="22"/>
          <w:szCs w:val="22"/>
          <w:color w:val="auto"/>
        </w:rPr>
        <w:t>” means the Loan Documents (as defined in the Term Loan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Facility</w:t>
      </w:r>
      <w:r>
        <w:rPr>
          <w:rFonts w:ascii="Arial" w:cs="Arial" w:eastAsia="Arial" w:hAnsi="Arial"/>
          <w:sz w:val="22"/>
          <w:szCs w:val="22"/>
          <w:color w:val="auto"/>
        </w:rPr>
        <w:t>” means the senior secured term loan facility provided pursuant to the Term Loan Agreement and the other Term Loan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Maturity Date</w:t>
      </w:r>
      <w:r>
        <w:rPr>
          <w:rFonts w:ascii="Arial" w:cs="Arial" w:eastAsia="Arial" w:hAnsi="Arial"/>
          <w:sz w:val="22"/>
          <w:szCs w:val="22"/>
          <w:color w:val="auto"/>
        </w:rPr>
        <w:t>” means the Maturity Date (as defined in the Term Loan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Obligations</w:t>
      </w:r>
      <w:r>
        <w:rPr>
          <w:rFonts w:ascii="Arial" w:cs="Arial" w:eastAsia="Arial" w:hAnsi="Arial"/>
          <w:sz w:val="22"/>
          <w:szCs w:val="22"/>
          <w:color w:val="auto"/>
        </w:rPr>
        <w:t>” means the Secured Obligations (as defined in the Term Loan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means any period of four consecutive Fiscal Quarters (whether or not such quarters are all within the same Fiscal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Toronto Dominion</w:t>
      </w:r>
      <w:r>
        <w:rPr>
          <w:rFonts w:ascii="Arial" w:cs="Arial" w:eastAsia="Arial" w:hAnsi="Arial"/>
          <w:sz w:val="22"/>
          <w:szCs w:val="22"/>
          <w:color w:val="auto"/>
        </w:rPr>
        <w:t>” means The Toronto Dominion Bank, New York Branch.</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LC Exposure</w:t>
      </w:r>
      <w:r>
        <w:rPr>
          <w:rFonts w:ascii="Arial" w:cs="Arial" w:eastAsia="Arial" w:hAnsi="Arial"/>
          <w:sz w:val="22"/>
          <w:szCs w:val="22"/>
          <w:color w:val="auto"/>
        </w:rPr>
        <w:t>” means, at any time, the sum of (a) the Dollar Equivalent of the aggregate undrawn amount of all outstanding Letters of Credit at such time plus (b) the Dollar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75" w:right="2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22"/>
          <w:szCs w:val="22"/>
          <w:color w:val="auto"/>
        </w:rPr>
        <w:t>Equivalent of the aggregate amount of all LC Disbursements that have not yet been reimbursed by or on behalf of the Borrowers at such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means, as of the last day of any Fiscal Quarter, the ratio of (a) the aggregate principal amount of Funded Indebtedness of the WIL-Ireland Group as of such date to (b) the Consolidated Adjusted EBITDA of the WIL-Ireland Group for the Testing Period ending on such date.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Exposure</w:t>
      </w:r>
      <w:r>
        <w:rPr>
          <w:rFonts w:ascii="Arial" w:cs="Arial" w:eastAsia="Arial" w:hAnsi="Arial"/>
          <w:sz w:val="22"/>
          <w:szCs w:val="22"/>
          <w:color w:val="auto"/>
        </w:rPr>
        <w:t xml:space="preserve">” means at any time, the sum of (a) the aggregate outstanding principal amount of all Revolving Credit Loans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Total LC Exposure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the aggregate outstanding principal amount of all Swingline Loans at such time.</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Specified Asset Value</w:t>
      </w:r>
      <w:r>
        <w:rPr>
          <w:rFonts w:ascii="Arial" w:cs="Arial" w:eastAsia="Arial" w:hAnsi="Arial"/>
          <w:sz w:val="19"/>
          <w:szCs w:val="19"/>
          <w:color w:val="auto"/>
        </w:rPr>
        <w:t>” means, as of any date of determination, the book value of all assets of the Specified Group on a consolidated basis as of such date, adjusted as necessary to exclude amounts attributable to WIL-Bermuda and WIL-Delaware.</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transactions contemplated by the Amendment and Restatement Agreement, the Loan Documents and the Term Loan Documents.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 any Subsidiary which WIL-Ireland has designated in writing to the Administrative Agent to be an Unrestricted Subsidiary pursuant to </w:t>
      </w:r>
      <w:r>
        <w:rPr>
          <w:rFonts w:ascii="Arial" w:cs="Arial" w:eastAsia="Arial" w:hAnsi="Arial"/>
          <w:sz w:val="22"/>
          <w:szCs w:val="22"/>
          <w:u w:val="single" w:color="auto"/>
          <w:color w:val="auto"/>
        </w:rPr>
        <w:t>Section 7.09</w:t>
      </w:r>
      <w:r>
        <w:rPr>
          <w:rFonts w:ascii="Arial" w:cs="Arial" w:eastAsia="Arial" w:hAnsi="Arial"/>
          <w:sz w:val="22"/>
          <w:szCs w:val="22"/>
          <w:color w:val="auto"/>
        </w:rPr>
        <w:t xml:space="preserve"> and (b) any direct or indirect Subsidiary of any Subsidiary described in clause (a), in each case that meets the following requirements:</w:t>
      </w:r>
    </w:p>
    <w:p>
      <w:pPr>
        <w:spacing w:after="0" w:line="186" w:lineRule="exact"/>
        <w:rPr>
          <w:sz w:val="20"/>
          <w:szCs w:val="20"/>
          <w:color w:val="auto"/>
        </w:rPr>
      </w:pPr>
    </w:p>
    <w:p>
      <w:pPr>
        <w:ind w:left="1680" w:hanging="375"/>
        <w:spacing w:after="0"/>
        <w:tabs>
          <w:tab w:leader="none" w:pos="16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such Subsidiary shall have no Indebtedness with recourse to WIL-Ireland or any Restricted Subsidiary;</w:t>
      </w:r>
    </w:p>
    <w:p>
      <w:pPr>
        <w:spacing w:after="0" w:line="244" w:lineRule="exact"/>
        <w:rPr>
          <w:rFonts w:ascii="Arial" w:cs="Arial" w:eastAsia="Arial" w:hAnsi="Arial"/>
          <w:sz w:val="21"/>
          <w:szCs w:val="21"/>
          <w:color w:val="auto"/>
        </w:rPr>
      </w:pPr>
    </w:p>
    <w:p>
      <w:pPr>
        <w:ind w:left="660" w:firstLine="645"/>
        <w:spacing w:after="0" w:line="276" w:lineRule="auto"/>
        <w:tabs>
          <w:tab w:leader="none" w:pos="17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such Subsidiary is not party to any agreement, contract, arrangement or understanding with WIL-Ireland or any Restricted Subsidiary that violates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866"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such Subsidiary is a Person with respect to which neither WIL-Ireland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WIL-Ireland or any of its Restricted Subsidiaries and such Subsidiary pursuant to which such Subsidiary sells products or provides services to WIL-Ireland or such Restricted Subsidiary in the ordinary course of business are not included in this clause (B));</w:t>
      </w:r>
    </w:p>
    <w:p>
      <w:pPr>
        <w:spacing w:after="0" w:line="175" w:lineRule="exact"/>
        <w:rPr>
          <w:rFonts w:ascii="Arial" w:cs="Arial" w:eastAsia="Arial" w:hAnsi="Arial"/>
          <w:sz w:val="21"/>
          <w:szCs w:val="21"/>
          <w:color w:val="auto"/>
        </w:rPr>
      </w:pPr>
    </w:p>
    <w:p>
      <w:pPr>
        <w:jc w:val="both"/>
        <w:ind w:left="660" w:firstLine="645"/>
        <w:spacing w:after="0" w:line="260" w:lineRule="auto"/>
        <w:tabs>
          <w:tab w:leader="none" w:pos="19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such Subsidiary does not, either individually or together with other Subsidiaries that are designated as Unrestricted Subsidiaries, own or operate, directly or indirectly, all or substantially all of the assets of WIL-Ireland and its Subsidiaries;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75" w:right="239" w:bottom="1440" w:gutter="0" w:footer="0" w:header="0"/>
        </w:sectPr>
      </w:pPr>
    </w:p>
    <w:bookmarkStart w:id="85" w:name="page86"/>
    <w:bookmarkEnd w:id="85"/>
    <w:p>
      <w:pPr>
        <w:ind w:left="1840" w:hanging="535"/>
        <w:spacing w:after="0"/>
        <w:tabs>
          <w:tab w:leader="none" w:pos="18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such Subsidiary does not hold any Capital Stock in, or any Indebtedness of, WIL-Ireland or any Restricted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(including under the Financial Covenants), WIL-Ireland shall be in default of the applicable covenant.</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means, with respect to any Person, shares of any class or classes of Capital Stock in such Person entitling holders thereof (whether at all times or only so long as no senior class of stock has voting power by reason of any contingency) to vote in the election of members of the Board of Directors or other governing body of such Person.</w:t>
      </w:r>
    </w:p>
    <w:p>
      <w:pPr>
        <w:spacing w:after="0" w:line="16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Customer Services</w:t>
      </w:r>
      <w:r>
        <w:rPr>
          <w:rFonts w:ascii="Arial" w:cs="Arial" w:eastAsia="Arial" w:hAnsi="Arial"/>
          <w:sz w:val="19"/>
          <w:szCs w:val="19"/>
          <w:color w:val="auto"/>
        </w:rPr>
        <w:t>” means the provision of equipment (including the manufacturing, shipment, installation, servicing or removal thereof) and services in the oil and natural gas industry, and pipeline and specialty services.</w:t>
      </w:r>
    </w:p>
    <w:p>
      <w:pPr>
        <w:spacing w:after="0" w:line="10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Parent Company</w:t>
      </w:r>
      <w:r>
        <w:rPr>
          <w:rFonts w:ascii="Arial" w:cs="Arial" w:eastAsia="Arial" w:hAnsi="Arial"/>
          <w:sz w:val="19"/>
          <w:szCs w:val="19"/>
          <w:color w:val="auto"/>
        </w:rPr>
        <w:t>” means WIL-Ireland or, if a Redomestication has occurred subsequent to the Effective Date and prior to the event in question on the date of determination, the Surviving Person resulting from such Redomestication.</w:t>
      </w:r>
    </w:p>
    <w:p>
      <w:pPr>
        <w:spacing w:after="0" w:line="1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Wells Fargo</w:t>
      </w:r>
      <w:r>
        <w:rPr>
          <w:rFonts w:ascii="Arial" w:cs="Arial" w:eastAsia="Arial" w:hAnsi="Arial"/>
          <w:sz w:val="22"/>
          <w:szCs w:val="22"/>
          <w:color w:val="auto"/>
        </w:rPr>
        <w:t>” means Wells Fargo Bank, National Association and its successors.</w:t>
      </w:r>
    </w:p>
    <w:p>
      <w:pPr>
        <w:spacing w:after="0" w:line="220"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Subsidiary</w:t>
      </w:r>
      <w:r>
        <w:rPr>
          <w:rFonts w:ascii="Arial" w:cs="Arial" w:eastAsia="Arial" w:hAnsi="Arial"/>
          <w:sz w:val="21"/>
          <w:szCs w:val="21"/>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“Wholly-Owned Subsidiary” or the “</w:t>
      </w:r>
      <w:r>
        <w:rPr>
          <w:rFonts w:ascii="Arial" w:cs="Arial" w:eastAsia="Arial" w:hAnsi="Arial"/>
          <w:sz w:val="21"/>
          <w:szCs w:val="21"/>
          <w:u w:val="single" w:color="auto"/>
          <w:color w:val="auto"/>
        </w:rPr>
        <w:t>Wholly</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Owned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Subsidiaries</w:t>
      </w:r>
      <w:r>
        <w:rPr>
          <w:rFonts w:ascii="Arial" w:cs="Arial" w:eastAsia="Arial" w:hAnsi="Arial"/>
          <w:sz w:val="21"/>
          <w:szCs w:val="21"/>
          <w:color w:val="auto"/>
        </w:rPr>
        <w:t>” refer to a Wholly-Owned Subsidiary or Wholly-Owned Subsidiaries of WIL-Ireland.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WII</w:t>
      </w:r>
      <w:r>
        <w:rPr>
          <w:rFonts w:ascii="Arial" w:cs="Arial" w:eastAsia="Arial" w:hAnsi="Arial"/>
          <w:sz w:val="22"/>
          <w:szCs w:val="22"/>
          <w:color w:val="auto"/>
        </w:rPr>
        <w:t xml:space="preserve">” means WIL-Delaware for purposes of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w:t>
      </w:r>
      <w:r>
        <w:rPr>
          <w:rFonts w:ascii="Arial" w:cs="Arial" w:eastAsia="Arial" w:hAnsi="Arial"/>
          <w:sz w:val="22"/>
          <w:szCs w:val="22"/>
          <w:color w:val="auto"/>
        </w:rPr>
        <w:t xml:space="preserve">” means WIL-Bermuda for purposes of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WIL-Bermuda</w:t>
      </w:r>
      <w:r>
        <w:rPr>
          <w:rFonts w:ascii="Arial" w:cs="Arial" w:eastAsia="Arial" w:hAnsi="Arial"/>
          <w:sz w:val="22"/>
          <w:szCs w:val="22"/>
          <w:color w:val="auto"/>
        </w:rPr>
        <w:t>” has the meaning specified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75"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WIL-Delaware</w:t>
      </w:r>
      <w:r>
        <w:rPr>
          <w:rFonts w:ascii="Arial" w:cs="Arial" w:eastAsia="Arial" w:hAnsi="Arial"/>
          <w:sz w:val="22"/>
          <w:szCs w:val="22"/>
          <w:color w:val="auto"/>
        </w:rPr>
        <w:t>” means Weatherford International, LLC, a Delaware limited liability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WIL-Ireland</w:t>
      </w:r>
      <w:r>
        <w:rPr>
          <w:rFonts w:ascii="Arial" w:cs="Arial" w:eastAsia="Arial" w:hAnsi="Arial"/>
          <w:sz w:val="21"/>
          <w:szCs w:val="21"/>
          <w:color w:val="auto"/>
        </w:rPr>
        <w:t xml:space="preserve">” has the meaning specified in the introductory paragraph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Redomestication occurs subsequent to the Effective Date and WIL-Ireland is not the Surviving Person resulting from such Redomestication, the term “WIL-Ireland” shall refer to the Surviving Person resulting from such Redomestication.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WIL-Ireland Group</w:t>
      </w:r>
      <w:r>
        <w:rPr>
          <w:rFonts w:ascii="Arial" w:cs="Arial" w:eastAsia="Arial" w:hAnsi="Arial"/>
          <w:sz w:val="22"/>
          <w:szCs w:val="22"/>
          <w:color w:val="auto"/>
        </w:rPr>
        <w:t>” means, collectively, WIL-Ireland and its Restricted Subsidiaries.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w:t>
      </w:r>
      <w:r>
        <w:rPr>
          <w:rFonts w:ascii="Arial" w:cs="Arial" w:eastAsia="Arial" w:hAnsi="Arial"/>
          <w:sz w:val="22"/>
          <w:szCs w:val="22"/>
          <w:color w:val="auto"/>
        </w:rPr>
        <w:t>” means, at any date, the excess of current assets of WIL-Ireland and its Restricted Subsidiaries on such date over current liabilities of WIL-Ireland and its Restricted Subsidiaries on such date, all determined on a consolidated basis in accordance with GAAP.</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Types of Borrowings</w:t>
      </w:r>
      <w:r>
        <w:rPr>
          <w:rFonts w:ascii="Arial" w:cs="Arial" w:eastAsia="Arial" w:hAnsi="Arial"/>
          <w:sz w:val="19"/>
          <w:szCs w:val="19"/>
          <w:color w:val="auto"/>
        </w:rPr>
        <w:t>. Borrowings hereunder are distinguished by “Type”. The “Type” of a Loan refers to the determination whether such Loan is a part of a Loan bearing interest at the Adjusted LIBO Rate or at the Alternate Base Rate.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Accounting Terms; Changes in GAAP</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9" w:lineRule="auto"/>
        <w:tabs>
          <w:tab w:leader="none" w:pos="2185"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WIL-Ireland notifies the Administrative Agent that WIL-Ireland requests an amendment to any provision hereof to eliminate the effect of any change occurring after the Effective Date in GAAP or in the application thereof on the operation of such provision (or if the Administrative Agent notifies WIL-Ireland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8" w:lineRule="exact"/>
        <w:rPr>
          <w:rFonts w:ascii="Arial" w:cs="Arial" w:eastAsia="Arial" w:hAnsi="Arial"/>
          <w:sz w:val="19"/>
          <w:szCs w:val="19"/>
          <w:color w:val="auto"/>
        </w:rPr>
      </w:pPr>
    </w:p>
    <w:p>
      <w:pPr>
        <w:jc w:val="both"/>
        <w:ind w:firstLine="1305"/>
        <w:spacing w:after="0" w:line="250" w:lineRule="auto"/>
        <w:tabs>
          <w:tab w:leader="none" w:pos="2197"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75" w:right="2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22"/>
          <w:szCs w:val="22"/>
          <w:color w:val="auto"/>
        </w:rPr>
        <w:t>December 31, 2015 in a manner consistent with the treatment of such leases under generally accepted accounting principles in the United States of America as in effect on December 31, 2015, notwithstanding any modifications or interpretive changes thereto that may occur thereafter.</w:t>
      </w:r>
    </w:p>
    <w:p>
      <w:pPr>
        <w:spacing w:after="0" w:line="226" w:lineRule="exact"/>
        <w:rPr>
          <w:sz w:val="20"/>
          <w:szCs w:val="20"/>
          <w:color w:val="auto"/>
        </w:rPr>
      </w:pPr>
    </w:p>
    <w:p>
      <w:pPr>
        <w:jc w:val="both"/>
        <w:ind w:firstLine="1305"/>
        <w:spacing w:after="0" w:line="290" w:lineRule="auto"/>
        <w:tabs>
          <w:tab w:leader="none" w:pos="2185"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WIL-Ireland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7" w:lineRule="exact"/>
        <w:rPr>
          <w:rFonts w:ascii="Arial" w:cs="Arial" w:eastAsia="Arial" w:hAnsi="Arial"/>
          <w:sz w:val="19"/>
          <w:szCs w:val="19"/>
          <w:color w:val="auto"/>
        </w:rPr>
      </w:pPr>
    </w:p>
    <w:p>
      <w:pPr>
        <w:jc w:val="both"/>
        <w:ind w:firstLine="1305"/>
        <w:spacing w:after="0" w:line="286" w:lineRule="auto"/>
        <w:tabs>
          <w:tab w:leader="none" w:pos="2197"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pro forma computations required to be made hereunder giving effect to any acquisition or Disposition</w:t>
      </w:r>
      <w:r>
        <w:rPr>
          <w:rFonts w:ascii="Arial" w:cs="Arial" w:eastAsia="Arial" w:hAnsi="Arial"/>
          <w:sz w:val="19"/>
          <w:szCs w:val="19"/>
          <w:color w:val="002060"/>
        </w:rPr>
        <w:t>,</w:t>
      </w:r>
      <w:r>
        <w:rPr>
          <w:rFonts w:ascii="Arial" w:cs="Arial" w:eastAsia="Arial" w:hAnsi="Arial"/>
          <w:sz w:val="19"/>
          <w:szCs w:val="19"/>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(including under the Existing Credit Agreement),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Interpretation</w:t>
      </w:r>
      <w:r>
        <w:rPr>
          <w:rFonts w:ascii="Arial" w:cs="Arial" w:eastAsia="Arial" w:hAnsi="Arial"/>
          <w:sz w:val="22"/>
          <w:szCs w:val="22"/>
          <w:color w:val="auto"/>
        </w:rPr>
        <w:t>.</w:t>
      </w:r>
    </w:p>
    <w:p>
      <w:pPr>
        <w:spacing w:after="0" w:line="260" w:lineRule="exact"/>
        <w:rPr>
          <w:sz w:val="20"/>
          <w:szCs w:val="20"/>
          <w:color w:val="auto"/>
        </w:rPr>
      </w:pPr>
    </w:p>
    <w:p>
      <w:pPr>
        <w:ind w:left="2200" w:hanging="895"/>
        <w:spacing w:after="0"/>
        <w:tabs>
          <w:tab w:leader="none" w:pos="22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this Agreement unless the context indicates otherwise:</w:t>
      </w:r>
    </w:p>
    <w:p>
      <w:pPr>
        <w:spacing w:after="0" w:line="260" w:lineRule="exact"/>
        <w:rPr>
          <w:rFonts w:ascii="Arial" w:cs="Arial" w:eastAsia="Arial" w:hAnsi="Arial"/>
          <w:sz w:val="22"/>
          <w:szCs w:val="22"/>
          <w:color w:val="auto"/>
        </w:rPr>
      </w:pPr>
    </w:p>
    <w:p>
      <w:pPr>
        <w:ind w:left="2800" w:hanging="847"/>
        <w:spacing w:after="0"/>
        <w:tabs>
          <w:tab w:leader="none" w:pos="28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defined;</w:t>
      </w:r>
    </w:p>
    <w:p>
      <w:pPr>
        <w:spacing w:after="0" w:line="242" w:lineRule="exact"/>
        <w:rPr>
          <w:rFonts w:ascii="Arial" w:cs="Arial" w:eastAsia="Arial" w:hAnsi="Arial"/>
          <w:sz w:val="19"/>
          <w:szCs w:val="19"/>
          <w:color w:val="auto"/>
        </w:rPr>
      </w:pPr>
    </w:p>
    <w:p>
      <w:pPr>
        <w:ind w:left="2860" w:hanging="907"/>
        <w:spacing w:after="0"/>
        <w:tabs>
          <w:tab w:leader="none" w:pos="28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pronoun shall include the corresponding masculine, feminine and neuter forms;</w:t>
      </w:r>
    </w:p>
    <w:p>
      <w:pPr>
        <w:spacing w:after="0" w:line="260" w:lineRule="exact"/>
        <w:rPr>
          <w:rFonts w:ascii="Arial" w:cs="Arial" w:eastAsia="Arial" w:hAnsi="Arial"/>
          <w:sz w:val="22"/>
          <w:szCs w:val="22"/>
          <w:color w:val="auto"/>
        </w:rPr>
      </w:pPr>
    </w:p>
    <w:p>
      <w:pPr>
        <w:ind w:left="660" w:firstLine="1293"/>
        <w:spacing w:after="0" w:line="263" w:lineRule="auto"/>
        <w:tabs>
          <w:tab w:leader="none" w:pos="2929"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Agreement in its entirety and not to any particular Article, Section or other subdivision 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75" w:right="239" w:bottom="1440" w:gutter="0" w:footer="0" w:header="0"/>
        </w:sectPr>
      </w:pPr>
    </w:p>
    <w:bookmarkStart w:id="88" w:name="page89"/>
    <w:bookmarkEnd w:id="88"/>
    <w:p>
      <w:pPr>
        <w:jc w:val="both"/>
        <w:ind w:left="660" w:firstLine="1293"/>
        <w:spacing w:after="0" w:line="250" w:lineRule="auto"/>
        <w:tabs>
          <w:tab w:leader="none" w:pos="2917"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any reference to any Person includes such Person’s successors and assigns, including any Person that becomes a successor to WIL-Ireland as a result of a Redomestication, and reference to a Person in a particular capacity excludes such Person in any other capacity or individually,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clause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is intended to authorize any assignment not otherwise permitted by this Agreement;</w:t>
      </w:r>
    </w:p>
    <w:p>
      <w:pPr>
        <w:spacing w:after="0" w:line="228" w:lineRule="exact"/>
        <w:rPr>
          <w:rFonts w:ascii="Arial" w:cs="Arial" w:eastAsia="Arial" w:hAnsi="Arial"/>
          <w:sz w:val="22"/>
          <w:szCs w:val="22"/>
          <w:color w:val="auto"/>
        </w:rPr>
      </w:pPr>
    </w:p>
    <w:p>
      <w:pPr>
        <w:jc w:val="both"/>
        <w:ind w:left="660" w:firstLine="1293"/>
        <w:spacing w:after="0" w:line="297" w:lineRule="auto"/>
        <w:tabs>
          <w:tab w:leader="none" w:pos="2857" w:val="left"/>
        </w:tabs>
        <w:numPr>
          <w:ilvl w:val="1"/>
          <w:numId w:val="56"/>
        </w:numPr>
        <w:rPr>
          <w:rFonts w:ascii="Arial" w:cs="Arial" w:eastAsia="Arial" w:hAnsi="Arial"/>
          <w:sz w:val="19"/>
          <w:szCs w:val="19"/>
          <w:color w:val="auto"/>
        </w:rPr>
      </w:pPr>
      <w:r>
        <w:rPr>
          <w:rFonts w:ascii="Arial" w:cs="Arial" w:eastAsia="Arial" w:hAnsi="Arial"/>
          <w:sz w:val="19"/>
          <w:szCs w:val="19"/>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 and any reference to any Note or other note includes any note issued pursuant hereto in extension or renewal thereof and in substitution or replacement therefor;</w:t>
      </w:r>
    </w:p>
    <w:p>
      <w:pPr>
        <w:spacing w:after="0" w:line="187" w:lineRule="exact"/>
        <w:rPr>
          <w:rFonts w:ascii="Arial" w:cs="Arial" w:eastAsia="Arial" w:hAnsi="Arial"/>
          <w:sz w:val="19"/>
          <w:szCs w:val="19"/>
          <w:color w:val="auto"/>
        </w:rPr>
      </w:pPr>
    </w:p>
    <w:p>
      <w:pPr>
        <w:ind w:left="660" w:firstLine="1293"/>
        <w:spacing w:after="0" w:line="263" w:lineRule="auto"/>
        <w:tabs>
          <w:tab w:leader="none" w:pos="2917"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reference to any Article, Section, page, Schedule or Exhibit means such Article, Section or page hereof or such Schedule or Exhibit hereto;</w:t>
      </w:r>
    </w:p>
    <w:p>
      <w:pPr>
        <w:spacing w:after="0" w:line="215" w:lineRule="exact"/>
        <w:rPr>
          <w:rFonts w:ascii="Arial" w:cs="Arial" w:eastAsia="Arial" w:hAnsi="Arial"/>
          <w:sz w:val="22"/>
          <w:szCs w:val="22"/>
          <w:color w:val="auto"/>
        </w:rPr>
      </w:pPr>
    </w:p>
    <w:p>
      <w:pPr>
        <w:ind w:left="660" w:firstLine="1293"/>
        <w:spacing w:after="0" w:line="263" w:lineRule="auto"/>
        <w:tabs>
          <w:tab w:leader="none" w:pos="297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words “including”, “include” and “includes” shall be deemed to be followed by the phrase “without limitation” and the term “or” is not exclusive;</w:t>
      </w:r>
    </w:p>
    <w:p>
      <w:pPr>
        <w:spacing w:after="0" w:line="215" w:lineRule="exact"/>
        <w:rPr>
          <w:rFonts w:ascii="Arial" w:cs="Arial" w:eastAsia="Arial" w:hAnsi="Arial"/>
          <w:sz w:val="22"/>
          <w:szCs w:val="22"/>
          <w:color w:val="auto"/>
        </w:rPr>
      </w:pPr>
    </w:p>
    <w:p>
      <w:pPr>
        <w:ind w:left="660" w:right="20" w:firstLine="1293"/>
        <w:spacing w:after="0" w:line="263" w:lineRule="auto"/>
        <w:tabs>
          <w:tab w:leader="none" w:pos="3037" w:val="left"/>
        </w:tabs>
        <w:numPr>
          <w:ilvl w:val="1"/>
          <w:numId w:val="56"/>
        </w:numPr>
        <w:rPr>
          <w:rFonts w:ascii="Arial" w:cs="Arial" w:eastAsia="Arial" w:hAnsi="Arial"/>
          <w:sz w:val="22"/>
          <w:szCs w:val="22"/>
          <w:color w:val="auto"/>
        </w:rPr>
      </w:pPr>
      <w:r>
        <w:rPr>
          <w:rFonts w:ascii="Arial" w:cs="Arial" w:eastAsia="Arial" w:hAnsi="Arial"/>
          <w:sz w:val="22"/>
          <w:szCs w:val="22"/>
          <w:color w:val="auto"/>
        </w:rPr>
        <w:t>with respect to the determination of any period of time, except as expressly provided to the contrary, the word “from” means “from and including” and the word “to” means “to but excluding”;</w:t>
      </w:r>
    </w:p>
    <w:p>
      <w:pPr>
        <w:spacing w:after="0" w:line="215" w:lineRule="exact"/>
        <w:rPr>
          <w:rFonts w:ascii="Arial" w:cs="Arial" w:eastAsia="Arial" w:hAnsi="Arial"/>
          <w:sz w:val="22"/>
          <w:szCs w:val="22"/>
          <w:color w:val="auto"/>
        </w:rPr>
      </w:pPr>
    </w:p>
    <w:p>
      <w:pPr>
        <w:ind w:left="2920" w:hanging="967"/>
        <w:spacing w:after="0"/>
        <w:tabs>
          <w:tab w:leader="none" w:pos="29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the word “will” shall be construed to have the same meaning and effect as the word “shall”;</w:t>
      </w:r>
    </w:p>
    <w:p>
      <w:pPr>
        <w:spacing w:after="0" w:line="271" w:lineRule="exact"/>
        <w:rPr>
          <w:rFonts w:ascii="Arial" w:cs="Arial" w:eastAsia="Arial" w:hAnsi="Arial"/>
          <w:sz w:val="21"/>
          <w:szCs w:val="21"/>
          <w:color w:val="auto"/>
        </w:rPr>
      </w:pPr>
    </w:p>
    <w:p>
      <w:pPr>
        <w:ind w:left="660" w:firstLine="1293"/>
        <w:spacing w:after="0" w:line="263" w:lineRule="auto"/>
        <w:tabs>
          <w:tab w:leader="none" w:pos="2857"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reference to any law, rule or regulation means such as amended, modified, codified or reenacted, in whole or in part, and in effect from time to time; and</w:t>
      </w:r>
    </w:p>
    <w:p>
      <w:pPr>
        <w:spacing w:after="0" w:line="215" w:lineRule="exact"/>
        <w:rPr>
          <w:rFonts w:ascii="Arial" w:cs="Arial" w:eastAsia="Arial" w:hAnsi="Arial"/>
          <w:sz w:val="22"/>
          <w:szCs w:val="22"/>
          <w:color w:val="auto"/>
        </w:rPr>
      </w:pPr>
    </w:p>
    <w:p>
      <w:pPr>
        <w:ind w:left="660" w:right="20" w:firstLine="1293"/>
        <w:spacing w:after="0" w:line="343" w:lineRule="auto"/>
        <w:tabs>
          <w:tab w:leader="none" w:pos="2917"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145" w:lineRule="exact"/>
        <w:rPr>
          <w:rFonts w:ascii="Arial" w:cs="Arial" w:eastAsia="Arial" w:hAnsi="Arial"/>
          <w:sz w:val="19"/>
          <w:szCs w:val="19"/>
          <w:color w:val="auto"/>
        </w:rPr>
      </w:pPr>
    </w:p>
    <w:p>
      <w:pPr>
        <w:ind w:firstLine="1305"/>
        <w:spacing w:after="0" w:line="263" w:lineRule="auto"/>
        <w:tabs>
          <w:tab w:leader="none" w:pos="219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Article and Section headings herein and in the Table of Contents are for convenience only and shall not affect the construction hereof.</w:t>
      </w:r>
    </w:p>
    <w:p>
      <w:pPr>
        <w:spacing w:after="0" w:line="215" w:lineRule="exact"/>
        <w:rPr>
          <w:rFonts w:ascii="Arial" w:cs="Arial" w:eastAsia="Arial" w:hAnsi="Arial"/>
          <w:sz w:val="22"/>
          <w:szCs w:val="22"/>
          <w:color w:val="auto"/>
        </w:rPr>
      </w:pPr>
    </w:p>
    <w:p>
      <w:pPr>
        <w:ind w:right="20" w:firstLine="1305"/>
        <w:spacing w:after="0" w:line="263" w:lineRule="auto"/>
        <w:tabs>
          <w:tab w:leader="none" w:pos="2185"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 provision of this Agreement shall be interpreted or construed against any Person solely because that Person or its legal representative drafted such provision.</w:t>
      </w:r>
    </w:p>
    <w:p>
      <w:pPr>
        <w:spacing w:after="0" w:line="215" w:lineRule="exact"/>
        <w:rPr>
          <w:rFonts w:ascii="Arial" w:cs="Arial" w:eastAsia="Arial" w:hAnsi="Arial"/>
          <w:sz w:val="22"/>
          <w:szCs w:val="22"/>
          <w:color w:val="auto"/>
        </w:rPr>
      </w:pPr>
    </w:p>
    <w:p>
      <w:pPr>
        <w:jc w:val="both"/>
        <w:ind w:right="20" w:firstLine="1305"/>
        <w:spacing w:after="0" w:line="312" w:lineRule="auto"/>
        <w:tabs>
          <w:tab w:leader="none" w:pos="2197" w:val="left"/>
        </w:tabs>
        <w:numPr>
          <w:ilvl w:val="0"/>
          <w:numId w:val="57"/>
        </w:numPr>
        <w:rPr>
          <w:rFonts w:ascii="Arial" w:cs="Arial" w:eastAsia="Arial" w:hAnsi="Arial"/>
          <w:sz w:val="19"/>
          <w:szCs w:val="19"/>
          <w:color w:val="auto"/>
        </w:rPr>
      </w:pPr>
      <w:r>
        <w:rPr>
          <w:rFonts w:ascii="Arial" w:cs="Arial" w:eastAsia="Arial" w:hAnsi="Arial"/>
          <w:sz w:val="19"/>
          <w:szCs w:val="19"/>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31" w:right="239" w:bottom="1440" w:gutter="0" w:footer="0" w:header="0"/>
        </w:sectPr>
      </w:pPr>
    </w:p>
    <w:bookmarkStart w:id="89" w:name="page90"/>
    <w:bookmarkEnd w:id="89"/>
    <w:p>
      <w:pPr>
        <w:jc w:val="both"/>
        <w:ind w:firstLine="648"/>
        <w:spacing w:after="0" w:line="248"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Amendment and Restatement of Existing Credit Agreement</w:t>
      </w:r>
      <w:r>
        <w:rPr>
          <w:rFonts w:ascii="Arial" w:cs="Arial" w:eastAsia="Arial" w:hAnsi="Arial"/>
          <w:sz w:val="22"/>
          <w:szCs w:val="22"/>
          <w:color w:val="auto"/>
        </w:rPr>
        <w:t>. This Agreement amends and restates the Existing Credit Agreement as more specifically set forth in the Amendment and Restatement Agreement. The execution and delivery of the Amendment and Restatement Agreement by the parties thereto operates to bind each of the parties to this Agreement. Accordingly, each reference herein to the execution and delivery of this Agreement shall mean by operation of the execution and delivery of the Amendment and Restatement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COMMITMENTS; LOANS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Revolving Credit Loans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47" w:lineRule="auto"/>
        <w:tabs>
          <w:tab w:leader="none" w:pos="1787"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each Lender agrees to make loans to the Borrowers (each such loan, a “</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denominated in Dollars, from time to time during the Availability Period applicable to such Lender in an aggregate principal amount that shall not result in (i) such Lender’s Revolving Credit Exposure exceeding such Lender’s Commitment or (ii) the Total Revolving Credit Exposure exceeding the Aggregate Commitments. Within the foregoing limits and subject to the terms and conditions set forth herein, the Borrowers may borrow, prepay and reborrow Revolving Credit Loans.</w:t>
      </w:r>
    </w:p>
    <w:p>
      <w:pPr>
        <w:spacing w:after="0" w:line="234" w:lineRule="exact"/>
        <w:rPr>
          <w:rFonts w:ascii="Arial" w:cs="Arial" w:eastAsia="Arial" w:hAnsi="Arial"/>
          <w:sz w:val="22"/>
          <w:szCs w:val="22"/>
          <w:color w:val="auto"/>
        </w:rPr>
      </w:pPr>
    </w:p>
    <w:p>
      <w:pPr>
        <w:jc w:val="both"/>
        <w:ind w:firstLine="1305"/>
        <w:spacing w:after="0" w:line="288" w:lineRule="auto"/>
        <w:tabs>
          <w:tab w:leader="none" w:pos="1785"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Each Revolving Credit Loan shall be made as part of a Borrowing consisting of Revolving Credit Loans made by the Lenders ratably in accordance with their respective Commitments. The failure of any Lender to make any Revolving Credit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no Lender shall be responsible for any other Lender’s failure to make Revolving Credit Loans as required. Prior to the Existing Maturity Date, Revolving Credit Loans shall be made by both Extending Lenders and Non-Extending Lenders in accordance with their respective Applicable Percentages. Revolving Credit Loans made on or after the Existing Maturity Date shall be made by Extending Lenders in accordance with their respective Applicable Percentages (after giving effect to the termination of the Non-Extended Commitments (and, if applicable, Extended Commitments), and to the repayment of any Revolving Credit Loans and the reallocation of participation interests in Letter of Credit Exposure and Swingline Loans in the manner contemplated by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on such date).</w:t>
      </w:r>
    </w:p>
    <w:p>
      <w:pPr>
        <w:spacing w:after="0" w:line="200" w:lineRule="exact"/>
        <w:rPr>
          <w:rFonts w:ascii="Arial" w:cs="Arial" w:eastAsia="Arial" w:hAnsi="Arial"/>
          <w:sz w:val="19"/>
          <w:szCs w:val="19"/>
          <w:color w:val="auto"/>
        </w:rPr>
      </w:pPr>
    </w:p>
    <w:p>
      <w:pPr>
        <w:jc w:val="both"/>
        <w:ind w:firstLine="1305"/>
        <w:spacing w:after="0" w:line="261" w:lineRule="auto"/>
        <w:tabs>
          <w:tab w:leader="none" w:pos="1788"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each Borrowing (other than any Swingline Borrowing) shall be comprised entirely of ABR Loans or Eurodollar Loans as a Borrower may request in accordance herewith. Each Lender at its option may make any Eurodollar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joint and several obligation of the Borrowers to repay such Loan in accordance with the terms of this Agreement. Revolving Loans made by both Extending Lenders and Non-Extending Lenders shall be deemed to constitute a single Borrowing having the same Interest Period.</w:t>
      </w:r>
    </w:p>
    <w:p>
      <w:pPr>
        <w:spacing w:after="0" w:line="220" w:lineRule="exact"/>
        <w:rPr>
          <w:rFonts w:ascii="Arial" w:cs="Arial" w:eastAsia="Arial" w:hAnsi="Arial"/>
          <w:sz w:val="21"/>
          <w:szCs w:val="21"/>
          <w:color w:val="auto"/>
        </w:rPr>
      </w:pPr>
    </w:p>
    <w:p>
      <w:pPr>
        <w:ind w:right="20" w:firstLine="1305"/>
        <w:spacing w:after="0" w:line="263" w:lineRule="auto"/>
        <w:tabs>
          <w:tab w:leader="none" w:pos="1823" w:val="left"/>
        </w:tabs>
        <w:numPr>
          <w:ilvl w:val="0"/>
          <w:numId w:val="58"/>
        </w:numPr>
        <w:rPr>
          <w:rFonts w:ascii="Arial" w:cs="Arial" w:eastAsia="Arial" w:hAnsi="Arial"/>
          <w:sz w:val="22"/>
          <w:szCs w:val="22"/>
          <w:color w:val="auto"/>
        </w:rPr>
      </w:pPr>
      <w:r>
        <w:rPr>
          <w:rFonts w:ascii="Arial" w:cs="Arial" w:eastAsia="Arial" w:hAnsi="Arial"/>
          <w:sz w:val="22"/>
          <w:szCs w:val="22"/>
          <w:color w:val="auto"/>
        </w:rPr>
        <w:t>At the commencement of each Interest Period for any Eurodollar Borrowing, such Borrowing shall be in an aggregate amount that is an integral multiple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75" w:right="239" w:bottom="1440" w:gutter="0" w:footer="0" w:header="0"/>
        </w:sectPr>
      </w:pPr>
    </w:p>
    <w:bookmarkStart w:id="90" w:name="page91"/>
    <w:bookmarkEnd w:id="90"/>
    <w:p>
      <w:pPr>
        <w:jc w:val="both"/>
        <w:spacing w:after="0" w:line="297" w:lineRule="auto"/>
        <w:rPr>
          <w:sz w:val="20"/>
          <w:szCs w:val="20"/>
          <w:color w:val="auto"/>
        </w:rPr>
      </w:pPr>
      <w:r>
        <w:rPr>
          <w:rFonts w:ascii="Arial" w:cs="Arial" w:eastAsia="Arial" w:hAnsi="Arial"/>
          <w:sz w:val="19"/>
          <w:szCs w:val="19"/>
          <w:color w:val="auto"/>
        </w:rPr>
        <w:t xml:space="preserve">$1,000,000 and not less than $2,000,000. At the time that each ABR Borrowing is made, such ABR Borrowing shall be in an aggregate amount that is an integral multiple of $500,000 and not less than $1,000,000;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Borrowing may be in an aggregate amount that is equal to the entire unused balance of the Aggregate Commitments or that is required to finance the reimbursement of an LC Disbursement as contemplated by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Borrowings of more than one Type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ten Eurodollar Borrowings outstanding.</w:t>
      </w:r>
    </w:p>
    <w:p>
      <w:pPr>
        <w:spacing w:after="0" w:line="188" w:lineRule="exact"/>
        <w:rPr>
          <w:sz w:val="20"/>
          <w:szCs w:val="20"/>
          <w:color w:val="auto"/>
        </w:rPr>
      </w:pPr>
    </w:p>
    <w:p>
      <w:pPr>
        <w:jc w:val="both"/>
        <w:ind w:firstLine="1305"/>
        <w:spacing w:after="0" w:line="253" w:lineRule="auto"/>
        <w:tabs>
          <w:tab w:leader="none" w:pos="1778"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no Borrower shall be entitled to request, or to elect to convert or continue, any Borrowing if the Interest Period requested with respect thereto would end after the Extended Maturity Date.</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Requests for Borrowings of Revolving Credit Loans</w:t>
      </w:r>
      <w:r>
        <w:rPr>
          <w:rFonts w:ascii="Arial" w:cs="Arial" w:eastAsia="Arial" w:hAnsi="Arial"/>
          <w:sz w:val="19"/>
          <w:szCs w:val="19"/>
          <w:color w:val="auto"/>
        </w:rPr>
        <w:t xml:space="preserve">. To request a Borrowing of Revolving Credit Loans, a Borrower shall notify the Administrative Agent (and the Administrative Agent shall promptly thereafter notify the Lenders) of such request by telephone (a) in the case of a Eurodollar Borrowing, not later than 11:00 a.m., New York City time, three Business Days before the date of the proposed Borrowing or (b) in the case of an ABR Borrowing, not later than 11:30 a.m., New York City time, on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of an ABR Borrowing to finance the reimbursement of an LC Disbursement as contemplated by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may be given not later than 10:00 a.m., New York City time, on the date of the proposed Borrowing. Each such telephonic Borrowing Request shall be irrevocable and shall be confirmed promptly by hand delivery or by facsimile transmission or electronic transmission (in .pdf format) to the Administrative Agent of a written Borrowing Request signed by the Borrower requesting the Borrowing. Each such telephonic and written Borrowing Request shall specify the following information in compliance with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201" w:lineRule="exact"/>
        <w:rPr>
          <w:sz w:val="20"/>
          <w:szCs w:val="20"/>
          <w:color w:val="auto"/>
        </w:rPr>
      </w:pPr>
    </w:p>
    <w:p>
      <w:pPr>
        <w:ind w:left="2800" w:hanging="847"/>
        <w:spacing w:after="0"/>
        <w:tabs>
          <w:tab w:leader="none" w:pos="28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aggregate principal amount of the requested Borrowing;</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60" w:lineRule="exact"/>
        <w:rPr>
          <w:rFonts w:ascii="Arial" w:cs="Arial" w:eastAsia="Arial" w:hAnsi="Arial"/>
          <w:sz w:val="22"/>
          <w:szCs w:val="22"/>
          <w:color w:val="auto"/>
        </w:rPr>
      </w:pPr>
    </w:p>
    <w:p>
      <w:pPr>
        <w:ind w:left="2920" w:hanging="967"/>
        <w:spacing w:after="0"/>
        <w:tabs>
          <w:tab w:leader="none" w:pos="29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Eurodollar Borrowing;</w:t>
      </w:r>
    </w:p>
    <w:p>
      <w:pPr>
        <w:spacing w:after="0" w:line="260" w:lineRule="exact"/>
        <w:rPr>
          <w:rFonts w:ascii="Arial" w:cs="Arial" w:eastAsia="Arial" w:hAnsi="Arial"/>
          <w:sz w:val="22"/>
          <w:szCs w:val="22"/>
          <w:color w:val="auto"/>
        </w:rPr>
      </w:pPr>
    </w:p>
    <w:p>
      <w:pPr>
        <w:ind w:left="660" w:right="20" w:firstLine="1293"/>
        <w:spacing w:after="0" w:line="263" w:lineRule="auto"/>
        <w:tabs>
          <w:tab w:leader="none" w:pos="2917"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 and</w:t>
      </w:r>
    </w:p>
    <w:p>
      <w:pPr>
        <w:spacing w:after="0" w:line="215" w:lineRule="exact"/>
        <w:rPr>
          <w:rFonts w:ascii="Arial" w:cs="Arial" w:eastAsia="Arial" w:hAnsi="Arial"/>
          <w:sz w:val="22"/>
          <w:szCs w:val="22"/>
          <w:color w:val="auto"/>
        </w:rPr>
      </w:pPr>
    </w:p>
    <w:p>
      <w:pPr>
        <w:ind w:left="660" w:firstLine="1293"/>
        <w:spacing w:after="0" w:line="263" w:lineRule="auto"/>
        <w:tabs>
          <w:tab w:leader="none" w:pos="285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location and number of the account of the requesting Borrower to which funds are to be disbursed, which shall comply with the requirements of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requesting Borrower shall be deemed to have selected an Interest Period of one month’s duration. Promptly following receipt of a Borrowing Request in accordance with this Section, the Administrative Agent shall advise each Lender of the details thereof and of the amount of such Lender’s Revolving Credit Loan to be made as part of the requested Borrowing.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75"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6" w:lineRule="auto"/>
        <w:tabs>
          <w:tab w:leader="none" w:pos="1752"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any Swingline Lender may in its sole discretion, in reliance upon the agreements of the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make loans (each such loan, a “</w:t>
      </w:r>
      <w:r>
        <w:rPr>
          <w:rFonts w:ascii="Arial" w:cs="Arial" w:eastAsia="Arial" w:hAnsi="Arial"/>
          <w:sz w:val="19"/>
          <w:szCs w:val="19"/>
          <w:u w:val="single" w:color="auto"/>
          <w:color w:val="auto"/>
        </w:rPr>
        <w:t>Swingline Loan</w:t>
      </w:r>
      <w:r>
        <w:rPr>
          <w:rFonts w:ascii="Arial" w:cs="Arial" w:eastAsia="Arial" w:hAnsi="Arial"/>
          <w:sz w:val="19"/>
          <w:szCs w:val="19"/>
          <w:color w:val="auto"/>
        </w:rPr>
        <w:t xml:space="preserve">”), denominated in Dollars, to the Borrowers from time to time on any Business Day during the Availability Period applicable to Extending Lenders in an aggregate principal amount not to exceed at any time outstanding the amount of such Swingline Lender’s Swingline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Swingline Loan, (i) such Swingline Loan, when aggregated with the Revolving Credit Exposure of the Lender acting as such Swingline Lender, shall not exceed such Lender’s Commitment, (ii) the aggregate principal amount of all outstanding Swingline Loans shall not exceed $50,000,000 and (iii) the Total Revolving Credit Exposure shall not exceed the Aggregate Commitments;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Borrower shall not use the proceeds of any Swingline Loan to refinance any outstanding Swingline Loan. Within the foregoing limits and subject to the terms and conditions set forth herein, the Borrowers may borrow, prepay and reborrow Swingline Loans. Subject to </w:t>
      </w:r>
      <w:r>
        <w:rPr>
          <w:rFonts w:ascii="Arial" w:cs="Arial" w:eastAsia="Arial" w:hAnsi="Arial"/>
          <w:sz w:val="19"/>
          <w:szCs w:val="19"/>
          <w:u w:val="single" w:color="auto"/>
          <w:color w:val="auto"/>
        </w:rPr>
        <w:t>Section 2.03(c)(ii)</w:t>
      </w:r>
      <w:r>
        <w:rPr>
          <w:rFonts w:ascii="Arial" w:cs="Arial" w:eastAsia="Arial" w:hAnsi="Arial"/>
          <w:sz w:val="19"/>
          <w:szCs w:val="19"/>
          <w:color w:val="auto"/>
        </w:rPr>
        <w:t>, each Swingline Loan shall bear interest at a rate that is mutually agreeable to the applicable Swingline Lender and the applicable Borrower at the time such Borrower delivers a Swingline Borrowing Request for a Swingline Loan to such Swingline Lender (the “</w:t>
      </w:r>
      <w:r>
        <w:rPr>
          <w:rFonts w:ascii="Arial" w:cs="Arial" w:eastAsia="Arial" w:hAnsi="Arial"/>
          <w:sz w:val="19"/>
          <w:szCs w:val="19"/>
          <w:u w:val="single" w:color="auto"/>
          <w:color w:val="auto"/>
        </w:rPr>
        <w:t>Agreed Swingline Rate</w:t>
      </w:r>
      <w:r>
        <w:rPr>
          <w:rFonts w:ascii="Arial" w:cs="Arial" w:eastAsia="Arial" w:hAnsi="Arial"/>
          <w:sz w:val="19"/>
          <w:szCs w:val="19"/>
          <w:color w:val="auto"/>
        </w:rPr>
        <w:t xml:space="preserve">”). Immediately upon the making of a Swingline Loan, each Lender shall be deemed to, and hereby irrevocably and unconditionally agrees to, purchase from the applicable Swingline Lender a risk participation in such Swingline Loan in an amount equal to the product of such Lender’s Applicable Percentage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amount of such Swingline Loan.</w:t>
      </w:r>
    </w:p>
    <w:p>
      <w:pPr>
        <w:spacing w:after="0" w:line="200" w:lineRule="exact"/>
        <w:rPr>
          <w:rFonts w:ascii="Arial" w:cs="Arial" w:eastAsia="Arial" w:hAnsi="Arial"/>
          <w:sz w:val="19"/>
          <w:szCs w:val="19"/>
          <w:color w:val="auto"/>
        </w:rPr>
      </w:pPr>
    </w:p>
    <w:p>
      <w:pPr>
        <w:jc w:val="both"/>
        <w:ind w:firstLine="1305"/>
        <w:spacing w:after="0" w:line="286" w:lineRule="auto"/>
        <w:tabs>
          <w:tab w:leader="none" w:pos="198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To request a Swingline Borrowing, a Borrower shall notify the applicable Swingline Lender and the Administrative Agent of such request by telephone not later than 2:00 p.m., New York City time, on the day of a proposed Swingline Borrowing. Each such telephonic Swingline Borrowing Request shall be irrevocable and shall be confirmed promptly by hand delivery or by facsimile transmission or electronic transmission (in .pdf format) to the applicable Swingline Lender and the Administrative Agent of a written Swingline Borrowing Request signed by the Borrower requesting the Swingline Borrowing. Each such telephonic and written Swingline Borrowing Request shall specify (i) the requested date of such Swingline Borrowing (which shall be a Business Day) and (ii) the amount of the requested Swingline Borrowing, which shall be an integral multiple of $500,000 and not less than $1,000,000. Upon receiving a Swingline Borrowing Request, the applicable Swingline Lender may, in its sole discretion, either reject such request or agree to make such Swingline Loan, it being understood that no Swingline Lender shall be under any obligation to make any Swingline Loan to any Borrower at any time. If a Swingline Lender agrees to make a Swingline Loan to any Borrower, it shall make such Swingline Loan available to such Borrower by means of a credit (if JPMorgan is the applicable Swingline Lender) to the general deposit account of such Borrower with the Administrative Agent (or, in the case of a Swingline Loan made to finance the reimbursement of an LC Disbursement as provided in </w:t>
      </w:r>
      <w:r>
        <w:rPr>
          <w:rFonts w:ascii="Arial" w:cs="Arial" w:eastAsia="Arial" w:hAnsi="Arial"/>
          <w:sz w:val="19"/>
          <w:szCs w:val="19"/>
          <w:u w:val="single" w:color="auto"/>
          <w:color w:val="auto"/>
        </w:rPr>
        <w:t>Section 3.01(e)</w:t>
      </w:r>
      <w:r>
        <w:rPr>
          <w:rFonts w:ascii="Arial" w:cs="Arial" w:eastAsia="Arial" w:hAnsi="Arial"/>
          <w:sz w:val="19"/>
          <w:szCs w:val="19"/>
          <w:color w:val="auto"/>
        </w:rPr>
        <w:t>, by remittance to the applicable Issuing Bank) by 3:00 p.m., New York City time, on the requested date of such Swingline Borrowing.</w:t>
      </w:r>
    </w:p>
    <w:p>
      <w:pPr>
        <w:spacing w:after="0" w:line="203" w:lineRule="exact"/>
        <w:rPr>
          <w:rFonts w:ascii="Arial" w:cs="Arial" w:eastAsia="Arial" w:hAnsi="Arial"/>
          <w:sz w:val="19"/>
          <w:szCs w:val="19"/>
          <w:color w:val="auto"/>
        </w:rPr>
      </w:pPr>
    </w:p>
    <w:p>
      <w:pPr>
        <w:jc w:val="both"/>
        <w:ind w:left="820" w:firstLine="647"/>
        <w:spacing w:after="0" w:line="260" w:lineRule="auto"/>
        <w:tabs>
          <w:tab w:leader="none" w:pos="2019" w:val="left"/>
        </w:tabs>
        <w:numPr>
          <w:ilvl w:val="1"/>
          <w:numId w:val="61"/>
        </w:numPr>
        <w:rPr>
          <w:rFonts w:ascii="Arial" w:cs="Arial" w:eastAsia="Arial" w:hAnsi="Arial"/>
          <w:sz w:val="22"/>
          <w:szCs w:val="22"/>
          <w:color w:val="auto"/>
        </w:rPr>
      </w:pPr>
      <w:r>
        <w:rPr>
          <w:rFonts w:ascii="Arial" w:cs="Arial" w:eastAsia="Arial" w:hAnsi="Arial"/>
          <w:sz w:val="22"/>
          <w:szCs w:val="22"/>
          <w:color w:val="auto"/>
        </w:rPr>
        <w:t>(i) Any Swingline Lender at any time in its sole and absolute discretion may request, on behalf of the Borrowers (which hereby irrevocably authorize such Swingline Lender to so request on their behalf), that each Lender make an ABR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87" w:lineRule="auto"/>
        <w:rPr>
          <w:sz w:val="20"/>
          <w:szCs w:val="20"/>
          <w:color w:val="auto"/>
        </w:rPr>
      </w:pPr>
      <w:r>
        <w:rPr>
          <w:rFonts w:ascii="Arial" w:cs="Arial" w:eastAsia="Arial" w:hAnsi="Arial"/>
          <w:sz w:val="19"/>
          <w:szCs w:val="19"/>
          <w:color w:val="auto"/>
        </w:rPr>
        <w:t xml:space="preserve">Loan in an amount equal to such Lender’s Applicable Percentage of the amount of Swingline Loans made by such Swingline Lender then outstanding. Any such request shall be made in writing (which written request shall be deemed to be a Borrowing Request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for the principal amount of ABR Borrowings)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The applicable Swingline Lender shall furnish the Borrowers with a copy of the applicable Borrowing Request promptly after delivering such notice to the Administrative Agent. Each Lender shall make an amount equal to its Applicable Percentage of the amount specified in such Borrowing Request available to the Administrative Agent, for the account of the applicable Swingline Lender, by wire transfer of immediately available funds, by 1:00 p.m., New York City time, on the day specified in such Borrowing Request, to the account of the Administrative Agent most recently designated by it for such purpose by notice to the Lenders, whereupon, subject to </w:t>
      </w:r>
      <w:r>
        <w:rPr>
          <w:rFonts w:ascii="Arial" w:cs="Arial" w:eastAsia="Arial" w:hAnsi="Arial"/>
          <w:sz w:val="19"/>
          <w:szCs w:val="19"/>
          <w:u w:val="single" w:color="auto"/>
          <w:color w:val="auto"/>
        </w:rPr>
        <w:t>Section 2.03(c)(ii)</w:t>
      </w:r>
      <w:r>
        <w:rPr>
          <w:rFonts w:ascii="Arial" w:cs="Arial" w:eastAsia="Arial" w:hAnsi="Arial"/>
          <w:sz w:val="19"/>
          <w:szCs w:val="19"/>
          <w:color w:val="auto"/>
        </w:rPr>
        <w:t>, each Lender that so makes funds available shall be deemed to have made an ABR Loan to the applicable Borrower in such amount. The Administrative Agent shall remit the funds so received to the applicable Swingline Lender.</w:t>
      </w:r>
    </w:p>
    <w:p>
      <w:pPr>
        <w:spacing w:after="0" w:line="201" w:lineRule="exact"/>
        <w:rPr>
          <w:sz w:val="20"/>
          <w:szCs w:val="20"/>
          <w:color w:val="auto"/>
        </w:rPr>
      </w:pPr>
    </w:p>
    <w:p>
      <w:pPr>
        <w:jc w:val="both"/>
        <w:ind w:firstLine="1295"/>
        <w:spacing w:after="0" w:line="289" w:lineRule="auto"/>
        <w:tabs>
          <w:tab w:leader="none" w:pos="189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for any reason any Swingline Loan cannot be refinanced by a Borrowing of Revolving Credit Loans in accordance with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the request for ABR Loans submitted by a Swingline Lender as set forth in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shall be deemed to be a request by such Swingline Lender that each of the Lenders fund its risk participation in the relevant Swingline Loan and each such Lender’s payment to the Administrative Agent for the account of such Swingline Lender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shall be deemed payment in respect of such participation. From and after the date when the Lenders are required to make funds available to the Administrative Agent for the account of the applicable Swingline Lender for the purpose of funding the Lenders’ risk participations in any Swingline Loans made by such Swingline Lender, such Swingline Loans shall bear interest at the rate applicable to ABR Revolving Credit Borrowings as provided in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rather than the applicable Agreed Swingline Rate.</w:t>
      </w:r>
    </w:p>
    <w:p>
      <w:pPr>
        <w:spacing w:after="0" w:line="198" w:lineRule="exact"/>
        <w:rPr>
          <w:rFonts w:ascii="Arial" w:cs="Arial" w:eastAsia="Arial" w:hAnsi="Arial"/>
          <w:sz w:val="19"/>
          <w:szCs w:val="19"/>
          <w:color w:val="auto"/>
        </w:rPr>
      </w:pPr>
    </w:p>
    <w:p>
      <w:pPr>
        <w:jc w:val="both"/>
        <w:ind w:firstLine="1295"/>
        <w:spacing w:after="0" w:line="288" w:lineRule="auto"/>
        <w:tabs>
          <w:tab w:leader="none" w:pos="188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any Swingline Lender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w:t>
      </w:r>
      <w:r>
        <w:rPr>
          <w:rFonts w:ascii="Arial" w:cs="Arial" w:eastAsia="Arial" w:hAnsi="Arial"/>
          <w:sz w:val="19"/>
          <w:szCs w:val="19"/>
          <w:color w:val="auto"/>
        </w:rPr>
        <w:t>, then such Swingline Lender shall be entitled to recover from such Lender (acting through the Administrative Agent), on demand, such amount with interest thereon for the period from the date such payment is required to the date on which such payment is immediately available to such Swingline Lender at a rate per annum equal to the greater of the Federal Funds Effective Rate and a rate determined by such Swingline Lender in accordance with banking industry rules on interbank compensation, plus any administrative, processing or similar fees customarily charged by such Swingline Lender in connection with the foregoing. If such Lender pays such amount, the amount so paid (excluding the interest and fees referred to in the immediately preceding sentence) shall constitute such Lender’s Loan included in the relevant Borrowing or funded participation in the relevant Swingline Loan, as the case may be. A certificate of the applicable Swingline Lender submitted to any Lender (through the Administrative Agent), with</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600"/>
          </w:cols>
          <w:pgMar w:left="1060" w:top="375" w:right="239" w:bottom="1440" w:gutter="0" w:footer="0" w:header="0"/>
        </w:sectPr>
      </w:pPr>
    </w:p>
    <w:bookmarkStart w:id="93" w:name="page94"/>
    <w:bookmarkEnd w:id="93"/>
    <w:p>
      <w:pPr>
        <w:ind w:left="820"/>
        <w:spacing w:after="0"/>
        <w:rPr>
          <w:sz w:val="20"/>
          <w:szCs w:val="20"/>
          <w:color w:val="auto"/>
        </w:rPr>
      </w:pPr>
      <w:r>
        <w:rPr>
          <w:rFonts w:ascii="Arial" w:cs="Arial" w:eastAsia="Arial" w:hAnsi="Arial"/>
          <w:sz w:val="22"/>
          <w:szCs w:val="22"/>
          <w:color w:val="auto"/>
        </w:rPr>
        <w:t xml:space="preserve">respect to any amounts owing under this </w:t>
      </w:r>
      <w:r>
        <w:rPr>
          <w:rFonts w:ascii="Arial" w:cs="Arial" w:eastAsia="Arial" w:hAnsi="Arial"/>
          <w:sz w:val="22"/>
          <w:szCs w:val="22"/>
          <w:u w:val="single" w:color="auto"/>
          <w:color w:val="auto"/>
        </w:rPr>
        <w:t>Section 2.03(c)(iii)</w:t>
      </w:r>
      <w:r>
        <w:rPr>
          <w:rFonts w:ascii="Arial" w:cs="Arial" w:eastAsia="Arial" w:hAnsi="Arial"/>
          <w:sz w:val="22"/>
          <w:szCs w:val="22"/>
          <w:color w:val="auto"/>
        </w:rPr>
        <w:t xml:space="preserve"> shall be conclusive absent manifest error.</w:t>
      </w:r>
    </w:p>
    <w:p>
      <w:pPr>
        <w:spacing w:after="0" w:line="260" w:lineRule="exact"/>
        <w:rPr>
          <w:sz w:val="20"/>
          <w:szCs w:val="20"/>
          <w:color w:val="auto"/>
        </w:rPr>
      </w:pPr>
    </w:p>
    <w:p>
      <w:pPr>
        <w:jc w:val="both"/>
        <w:ind w:left="820" w:firstLine="1295"/>
        <w:spacing w:after="0" w:line="259" w:lineRule="auto"/>
        <w:tabs>
          <w:tab w:leader="none" w:pos="2648"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Each Lender’s obligation to make Revolving Credit Loans or to purchase and fund risk participations in Swingline Loans pursuant to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Lender may have against the applicable Swingline Lender, the applicable Borrower or any other Person for any reason whatsoever, (B) the occurrence or continuance of a Default, or (C) any other occurrence, event or condition, whether or not similar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Lender’s obligation to make Revolving Credit Loans (but not fund risk participations) pursuant to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is subject to the conditions set forth in </w:t>
      </w:r>
      <w:r>
        <w:rPr>
          <w:rFonts w:ascii="Arial" w:cs="Arial" w:eastAsia="Arial" w:hAnsi="Arial"/>
          <w:sz w:val="21"/>
          <w:szCs w:val="21"/>
          <w:u w:val="single" w:color="auto"/>
          <w:color w:val="auto"/>
        </w:rPr>
        <w:t>Section 5.02</w:t>
      </w:r>
      <w:r>
        <w:rPr>
          <w:rFonts w:ascii="Arial" w:cs="Arial" w:eastAsia="Arial" w:hAnsi="Arial"/>
          <w:sz w:val="21"/>
          <w:szCs w:val="21"/>
          <w:color w:val="auto"/>
        </w:rPr>
        <w:t>. Funding of risk participations in accordance with this Section shall not relieve or otherwise impair the obligation of any Borrower to repay Swingline Loans made to it, together with interest as provided herein.</w:t>
      </w:r>
    </w:p>
    <w:p>
      <w:pPr>
        <w:spacing w:after="0" w:line="220" w:lineRule="exact"/>
        <w:rPr>
          <w:rFonts w:ascii="Arial" w:cs="Arial" w:eastAsia="Arial" w:hAnsi="Arial"/>
          <w:sz w:val="21"/>
          <w:szCs w:val="21"/>
          <w:color w:val="auto"/>
        </w:rPr>
      </w:pPr>
    </w:p>
    <w:p>
      <w:pPr>
        <w:ind w:left="820" w:firstLine="1295"/>
        <w:spacing w:after="0" w:line="263" w:lineRule="auto"/>
        <w:tabs>
          <w:tab w:leader="none" w:pos="2737" w:val="left"/>
        </w:tabs>
        <w:numPr>
          <w:ilvl w:val="0"/>
          <w:numId w:val="63"/>
        </w:numPr>
        <w:rPr>
          <w:rFonts w:ascii="Arial" w:cs="Arial" w:eastAsia="Arial" w:hAnsi="Arial"/>
          <w:sz w:val="22"/>
          <w:szCs w:val="22"/>
          <w:color w:val="auto"/>
        </w:rPr>
      </w:pPr>
      <w:r>
        <w:rPr>
          <w:rFonts w:ascii="Arial" w:cs="Arial" w:eastAsia="Arial" w:hAnsi="Arial"/>
          <w:sz w:val="22"/>
          <w:szCs w:val="22"/>
          <w:color w:val="auto"/>
        </w:rPr>
        <w:t>For the avoidance of doubt no Non-Extending Lender shall have any Swingline Exposure with respect to any Swingline Loan made on or after the Existing Maturity Date.</w:t>
      </w:r>
    </w:p>
    <w:p>
      <w:pPr>
        <w:spacing w:after="0" w:line="215" w:lineRule="exact"/>
        <w:rPr>
          <w:sz w:val="20"/>
          <w:szCs w:val="20"/>
          <w:color w:val="auto"/>
        </w:rPr>
      </w:pPr>
    </w:p>
    <w:p>
      <w:pPr>
        <w:jc w:val="both"/>
        <w:ind w:left="820" w:firstLine="809"/>
        <w:spacing w:after="0" w:line="312" w:lineRule="auto"/>
        <w:tabs>
          <w:tab w:leader="none" w:pos="2102"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At any time after any Lender has purchased and funded a risk participation in a Swingline Loan, if the applicable Swingline Lender receives any payment on account of such Swingline Loan, such Swingline Lender will distribute to such Lender its Applicable Percentage thereof in the same funds as those received by such Swingline Lender.</w:t>
      </w:r>
    </w:p>
    <w:p>
      <w:pPr>
        <w:spacing w:after="0" w:line="174" w:lineRule="exact"/>
        <w:rPr>
          <w:sz w:val="20"/>
          <w:szCs w:val="20"/>
          <w:color w:val="auto"/>
        </w:rPr>
      </w:pPr>
    </w:p>
    <w:p>
      <w:pPr>
        <w:jc w:val="both"/>
        <w:ind w:left="820" w:firstLine="809"/>
        <w:spacing w:after="0" w:line="246" w:lineRule="auto"/>
        <w:tabs>
          <w:tab w:leader="none" w:pos="2226"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If any payment received by the applicable Swingline Lender in respect of principal or interest on any Swingline Loan is required to be returned by such Swingline Lender under any of the circumstances described in </w:t>
      </w:r>
      <w:r>
        <w:rPr>
          <w:rFonts w:ascii="Arial" w:cs="Arial" w:eastAsia="Arial" w:hAnsi="Arial"/>
          <w:sz w:val="22"/>
          <w:szCs w:val="22"/>
          <w:u w:val="single" w:color="auto"/>
          <w:color w:val="auto"/>
        </w:rPr>
        <w:t>Section 11.19</w:t>
      </w:r>
      <w:r>
        <w:rPr>
          <w:rFonts w:ascii="Arial" w:cs="Arial" w:eastAsia="Arial" w:hAnsi="Arial"/>
          <w:sz w:val="22"/>
          <w:szCs w:val="22"/>
          <w:color w:val="auto"/>
        </w:rPr>
        <w:t xml:space="preserve"> (including pursuant to any settlement entered into by such Swingline Lender in its discretion), each Lender shall pay to such Swingline Lender its Applicable Percentage thereof on demand of the Administrative Agent, plus interest thereon from the date of such demand to the date such amount is returned, at a rate per annum equal to the Federal Funds Effective Rate. The Administrative Agent will make such demand upon the request of the applicable Swingline Lender. The obligations of the Lenders under this clause shall survive the payment in full of the Obligations and the termination of this Agreement.</w:t>
      </w:r>
    </w:p>
    <w:p>
      <w:pPr>
        <w:spacing w:after="0" w:line="235" w:lineRule="exact"/>
        <w:rPr>
          <w:rFonts w:ascii="Arial" w:cs="Arial" w:eastAsia="Arial" w:hAnsi="Arial"/>
          <w:sz w:val="22"/>
          <w:szCs w:val="22"/>
          <w:color w:val="auto"/>
        </w:rPr>
      </w:pPr>
    </w:p>
    <w:p>
      <w:pPr>
        <w:jc w:val="both"/>
        <w:ind w:firstLine="1305"/>
        <w:spacing w:after="0" w:line="250" w:lineRule="auto"/>
        <w:tabs>
          <w:tab w:leader="none" w:pos="1761"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Each Swingline Lender shall be responsible for invoicing the applicable Borrower for interest on the Swingline Loans made by such Swingline Lender to such Borrower. Until each Lender funds its ABR Loan or risk participation pursuant to this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with respect to any Swingline Loan, interest in respect of such Applicable Percentage shall be solely for the account of the applicable Swingline Lender.</w:t>
      </w:r>
    </w:p>
    <w:p>
      <w:pPr>
        <w:spacing w:after="0" w:line="228" w:lineRule="exact"/>
        <w:rPr>
          <w:rFonts w:ascii="Arial" w:cs="Arial" w:eastAsia="Arial" w:hAnsi="Arial"/>
          <w:sz w:val="22"/>
          <w:szCs w:val="22"/>
          <w:color w:val="auto"/>
        </w:rPr>
      </w:pPr>
    </w:p>
    <w:p>
      <w:pPr>
        <w:ind w:firstLine="1305"/>
        <w:spacing w:after="0" w:line="263" w:lineRule="auto"/>
        <w:tabs>
          <w:tab w:leader="none" w:pos="17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Each Borrower shall make all payments of principal and interest in respect of each Swingline Loan made to it by any Swingline Lender directly to such Swingline Lender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75"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1" w:lineRule="auto"/>
        <w:tabs>
          <w:tab w:leader="none" w:pos="1768" w:val="left"/>
        </w:tabs>
        <w:numPr>
          <w:ilvl w:val="2"/>
          <w:numId w:val="67"/>
        </w:numPr>
        <w:rPr>
          <w:rFonts w:ascii="Arial" w:cs="Arial" w:eastAsia="Arial" w:hAnsi="Arial"/>
          <w:sz w:val="19"/>
          <w:szCs w:val="19"/>
          <w:color w:val="auto"/>
        </w:rPr>
      </w:pPr>
      <w:r>
        <w:rPr>
          <w:rFonts w:ascii="Arial" w:cs="Arial" w:eastAsia="Arial" w:hAnsi="Arial"/>
          <w:sz w:val="19"/>
          <w:szCs w:val="19"/>
          <w:color w:val="auto"/>
        </w:rPr>
        <w:t>Each Lender shall make each Loan to be made by it hereunder on the proposed date thereof by wire transfer of immediately available funds (i) by 12:00 noon, New York City time, in the case of a Borrowing consisting of Eurodollar Loans and</w:t>
      </w:r>
    </w:p>
    <w:p>
      <w:pPr>
        <w:spacing w:after="0" w:line="1" w:lineRule="exact"/>
        <w:rPr>
          <w:rFonts w:ascii="Arial" w:cs="Arial" w:eastAsia="Arial" w:hAnsi="Arial"/>
          <w:sz w:val="19"/>
          <w:szCs w:val="19"/>
          <w:color w:val="auto"/>
        </w:rPr>
      </w:pPr>
    </w:p>
    <w:p>
      <w:pPr>
        <w:jc w:val="both"/>
        <w:ind w:firstLine="8"/>
        <w:spacing w:after="0" w:line="290" w:lineRule="auto"/>
        <w:tabs>
          <w:tab w:leader="none" w:pos="33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by 1:30 p.m., New York City time, in the case of a Borrowing consisting of ABR Loans,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 Administrative Agent shall make such Loans available to the requesting Borrower by promptly crediting the amounts so received in like funds to an account of such Borrower designated by such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Borrowing made to finance the reimbursement of an LC Disbursement as provided in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shall be remitted by the Administrative Agent to the applicable Issuing Bank.</w:t>
      </w:r>
    </w:p>
    <w:p>
      <w:pPr>
        <w:spacing w:after="0" w:line="194" w:lineRule="exact"/>
        <w:rPr>
          <w:rFonts w:ascii="Arial" w:cs="Arial" w:eastAsia="Arial" w:hAnsi="Arial"/>
          <w:sz w:val="19"/>
          <w:szCs w:val="19"/>
          <w:color w:val="auto"/>
        </w:rPr>
      </w:pPr>
    </w:p>
    <w:p>
      <w:pPr>
        <w:jc w:val="both"/>
        <w:ind w:firstLine="1305"/>
        <w:spacing w:after="0" w:line="284" w:lineRule="auto"/>
        <w:tabs>
          <w:tab w:leader="none" w:pos="1831" w:val="left"/>
        </w:tabs>
        <w:numPr>
          <w:ilvl w:val="2"/>
          <w:numId w:val="68"/>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of Eurodollar Loans (or, in the case of any Borrowing of ABR Loans, prior to 12:30 p.m., New York City time, on the date of such Borrowing) that such Lender shall not make available to the Administrative Agent such Lender’s ratable portion of such Borrowing, the Administrative Agent may assume that such Lender has made such ratable portion available on such date in accordance with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and may, in reliance upon such assumption, make available to the requesting Borrower a corresponding amount. In such event, if a Lender has not in fact made its share of the applicable Borrowing available to the Administrative Agent, then the Borrowers, jointly and severally, and the applicable Lender severally agree to pay to the Administrative Agent forthwith on demand such corresponding amount with interest thereon, for each day from and including the date such amount is made available to the requesting Borrower to but excluding the date of payment to the Administrative Agent, at</w:t>
      </w:r>
    </w:p>
    <w:p>
      <w:pPr>
        <w:jc w:val="both"/>
        <w:ind w:firstLine="8"/>
        <w:spacing w:after="0" w:line="244" w:lineRule="auto"/>
        <w:tabs>
          <w:tab w:leader="none" w:pos="266"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the case of such Lender, the greater of (A) the Federal Funds Effective Rate and (B) a rate determined by the Administrative Agent in accordance with banking industry rules on interbank compensation or (ii) in the case of the Borrowers, the interest rate applicable to the Loans comprising such Borrowing. If such Lender pays such amount to the Administrative Agent, then such amount shall constitute such Lender’s Loan included in such Borrowing.</w:t>
      </w:r>
    </w:p>
    <w:p>
      <w:pPr>
        <w:spacing w:after="0" w:line="236" w:lineRule="exact"/>
        <w:rPr>
          <w:rFonts w:ascii="Arial" w:cs="Arial" w:eastAsia="Arial" w:hAnsi="Arial"/>
          <w:sz w:val="22"/>
          <w:szCs w:val="22"/>
          <w:color w:val="auto"/>
        </w:rPr>
      </w:pPr>
    </w:p>
    <w:p>
      <w:pPr>
        <w:jc w:val="both"/>
        <w:ind w:firstLine="1305"/>
        <w:spacing w:after="0" w:line="297" w:lineRule="auto"/>
        <w:tabs>
          <w:tab w:leader="none" w:pos="1797" w:val="left"/>
        </w:tabs>
        <w:numPr>
          <w:ilvl w:val="2"/>
          <w:numId w:val="69"/>
        </w:numPr>
        <w:rPr>
          <w:rFonts w:ascii="Arial" w:cs="Arial" w:eastAsia="Arial" w:hAnsi="Arial"/>
          <w:sz w:val="19"/>
          <w:szCs w:val="19"/>
          <w:color w:val="auto"/>
        </w:rPr>
      </w:pPr>
      <w:r>
        <w:rPr>
          <w:rFonts w:ascii="Arial" w:cs="Arial" w:eastAsia="Arial" w:hAnsi="Arial"/>
          <w:sz w:val="19"/>
          <w:szCs w:val="19"/>
          <w:color w:val="auto"/>
        </w:rPr>
        <w:t xml:space="preserve">(i) With respect to any Borrower that is not organized under the laws of any jurisdiction of the United States, any Lender may, with notice to the Administrative Agent and WIL-Ireland, fulfill its Commitment by causing an Affiliate of such Lender to act as the Lender in respect of such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joint and several obligation of the Borrowers to repay the Loans made to such Borrower and to reimburse LC Disbursements made under Letters of Credit issued for the account of such Borrower in accordance with the terms of this Agreement.</w:t>
      </w:r>
    </w:p>
    <w:p>
      <w:pPr>
        <w:spacing w:after="0" w:line="187" w:lineRule="exact"/>
        <w:rPr>
          <w:rFonts w:ascii="Arial" w:cs="Arial" w:eastAsia="Arial" w:hAnsi="Arial"/>
          <w:sz w:val="19"/>
          <w:szCs w:val="19"/>
          <w:color w:val="auto"/>
        </w:rPr>
      </w:pPr>
    </w:p>
    <w:p>
      <w:pPr>
        <w:jc w:val="both"/>
        <w:ind w:left="580" w:firstLine="644"/>
        <w:spacing w:after="0" w:line="251" w:lineRule="auto"/>
        <w:tabs>
          <w:tab w:leader="none" w:pos="1753"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As a condition to any Lender being permitted to fulfill its Commitment by causing an Affiliate of such Lender to act as the Lender in respect of any Borrower under </w:t>
      </w:r>
      <w:r>
        <w:rPr>
          <w:rFonts w:ascii="Arial" w:cs="Arial" w:eastAsia="Arial" w:hAnsi="Arial"/>
          <w:sz w:val="22"/>
          <w:szCs w:val="22"/>
          <w:u w:val="single" w:color="auto"/>
          <w:color w:val="auto"/>
        </w:rPr>
        <w:t>Section 2.04(c)(i)</w:t>
      </w:r>
      <w:r>
        <w:rPr>
          <w:rFonts w:ascii="Arial" w:cs="Arial" w:eastAsia="Arial" w:hAnsi="Arial"/>
          <w:sz w:val="22"/>
          <w:szCs w:val="22"/>
          <w:color w:val="auto"/>
        </w:rPr>
        <w:t xml:space="preserve">, such Affiliate must comply with </w:t>
      </w:r>
      <w:r>
        <w:rPr>
          <w:rFonts w:ascii="Arial" w:cs="Arial" w:eastAsia="Arial" w:hAnsi="Arial"/>
          <w:sz w:val="22"/>
          <w:szCs w:val="22"/>
          <w:u w:val="single" w:color="auto"/>
          <w:color w:val="auto"/>
        </w:rPr>
        <w:t>Sections 4.02(c)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4.02(e)</w:t>
      </w:r>
      <w:r>
        <w:rPr>
          <w:rFonts w:ascii="Arial" w:cs="Arial" w:eastAsia="Arial" w:hAnsi="Arial"/>
          <w:sz w:val="22"/>
          <w:szCs w:val="22"/>
          <w:color w:val="auto"/>
        </w:rPr>
        <w:t xml:space="preserve"> as if it were a Lender that became a party to this Agreement pursuant to an Assignment and Assumption executed on the first date on which such Commitment is being fulfilled by such Affiliate. Additionally, in applying the provisions of </w:t>
      </w:r>
      <w:r>
        <w:rPr>
          <w:rFonts w:ascii="Arial" w:cs="Arial" w:eastAsia="Arial" w:hAnsi="Arial"/>
          <w:sz w:val="22"/>
          <w:szCs w:val="22"/>
          <w:u w:val="single" w:color="auto"/>
          <w:color w:val="auto"/>
        </w:rPr>
        <w:t>Section 4.02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75" w:right="239" w:bottom="1440" w:gutter="0" w:footer="0" w:header="0"/>
        </w:sectPr>
      </w:pPr>
    </w:p>
    <w:bookmarkStart w:id="95" w:name="page96"/>
    <w:bookmarkEnd w:id="95"/>
    <w:p>
      <w:pPr>
        <w:jc w:val="both"/>
        <w:ind w:left="580"/>
        <w:spacing w:after="0" w:line="258" w:lineRule="auto"/>
        <w:rPr>
          <w:sz w:val="20"/>
          <w:szCs w:val="20"/>
          <w:color w:val="auto"/>
        </w:rPr>
      </w:pPr>
      <w:r>
        <w:rPr>
          <w:rFonts w:ascii="Arial" w:cs="Arial" w:eastAsia="Arial" w:hAnsi="Arial"/>
          <w:sz w:val="21"/>
          <w:szCs w:val="21"/>
          <w:color w:val="auto"/>
        </w:rPr>
        <w:t xml:space="preserve">and the definition of “Excluded Taxes”, such Affiliate shall be treated as a Lender that executed an Assignment and Assumption on the first date on which such Commitment is fulfilled by such Affiliate. Notwithstanding anything in this Agreement to the contrary, an Affiliate acting as a Lender under </w:t>
      </w:r>
      <w:r>
        <w:rPr>
          <w:rFonts w:ascii="Arial" w:cs="Arial" w:eastAsia="Arial" w:hAnsi="Arial"/>
          <w:sz w:val="21"/>
          <w:szCs w:val="21"/>
          <w:u w:val="single" w:color="auto"/>
          <w:color w:val="auto"/>
        </w:rPr>
        <w:t>Section 2.04(c)(i)</w:t>
      </w:r>
      <w:r>
        <w:rPr>
          <w:rFonts w:ascii="Arial" w:cs="Arial" w:eastAsia="Arial" w:hAnsi="Arial"/>
          <w:sz w:val="21"/>
          <w:szCs w:val="21"/>
          <w:color w:val="auto"/>
        </w:rPr>
        <w:t xml:space="preserve"> shall not be entitled to any greater gross-up or indemnity under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than that to which the applicable Lender would have been entitled had such Affiliate not acted as a Lender under </w:t>
      </w:r>
      <w:r>
        <w:rPr>
          <w:rFonts w:ascii="Arial" w:cs="Arial" w:eastAsia="Arial" w:hAnsi="Arial"/>
          <w:sz w:val="21"/>
          <w:szCs w:val="21"/>
          <w:u w:val="single" w:color="auto"/>
          <w:color w:val="auto"/>
        </w:rPr>
        <w:t>Section 2.04(c)(i)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if an Affiliate is acting as a Lender pursuant to </w:t>
      </w:r>
      <w:r>
        <w:rPr>
          <w:rFonts w:ascii="Arial" w:cs="Arial" w:eastAsia="Arial" w:hAnsi="Arial"/>
          <w:sz w:val="21"/>
          <w:szCs w:val="21"/>
          <w:u w:val="single" w:color="auto"/>
          <w:color w:val="auto"/>
        </w:rPr>
        <w:t>Section 2.04(c)(i)</w:t>
      </w:r>
      <w:r>
        <w:rPr>
          <w:rFonts w:ascii="Arial" w:cs="Arial" w:eastAsia="Arial" w:hAnsi="Arial"/>
          <w:sz w:val="21"/>
          <w:szCs w:val="21"/>
          <w:color w:val="auto"/>
        </w:rPr>
        <w:t xml:space="preserve"> solely as a result of a Lender being unable to fulfill its Commitment to any applicable Borrower due to a Requirement of Law, such Affiliate shall be entitled to a gross-up or indemnification to the same extent that would have resulted had such Lender made an assignment to such Affiliate under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Moreover, nothing in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shall be construed as making an Affiliate of any Lender a beneficial owner of payments received as a result of such Affiliate’s fulfillment of such Lender’s Commitment to the extent the arrangement between such Lender and such Affiliate is one whereby such Affiliate is merely acting as an agent for such Lender.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765"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Each Borrowing initially shall be of the Type specified in the applicable Borrowing Request and, in the case of a Eurodollar Borrowing, shall have an initial Interest Period as specified in such Borrowing Request or as otherwise provided pursuant to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Thereafter, a Borrower may, at any time and from time to time, elect to convert such Borrowing to a different Type or to continue such Borrowing and, in the case of a Eurodollar Borrowing, may elect Interest Periods therefor, all as provided in this Section;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connection with any such election, such Borrower shall be subject to all applicable payment obligations set forth in </w:t>
      </w:r>
      <w:r>
        <w:rPr>
          <w:rFonts w:ascii="Arial" w:cs="Arial" w:eastAsia="Arial" w:hAnsi="Arial"/>
          <w:sz w:val="21"/>
          <w:szCs w:val="21"/>
          <w:u w:val="single" w:color="auto"/>
          <w:color w:val="auto"/>
        </w:rPr>
        <w:t>Section 2.13</w:t>
      </w:r>
      <w:r>
        <w:rPr>
          <w:rFonts w:ascii="Arial" w:cs="Arial" w:eastAsia="Arial" w:hAnsi="Arial"/>
          <w:sz w:val="21"/>
          <w:szCs w:val="21"/>
          <w:color w:val="auto"/>
        </w:rPr>
        <w:t>.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20" w:lineRule="exact"/>
        <w:rPr>
          <w:rFonts w:ascii="Arial" w:cs="Arial" w:eastAsia="Arial" w:hAnsi="Arial"/>
          <w:sz w:val="21"/>
          <w:szCs w:val="21"/>
          <w:color w:val="auto"/>
        </w:rPr>
      </w:pPr>
    </w:p>
    <w:p>
      <w:pPr>
        <w:jc w:val="both"/>
        <w:ind w:firstLine="1305"/>
        <w:spacing w:after="0" w:line="285" w:lineRule="auto"/>
        <w:tabs>
          <w:tab w:leader="none" w:pos="17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a Borrower shall notify the Administrative Agent of such election by telephone by the time that a Borrowing Request would be required under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or by facsimile transmission or electronic transmission (in .pdf form) to the Administrative Agent of a written Interest Election Request signed by such Borrower.</w:t>
      </w:r>
    </w:p>
    <w:p>
      <w:pPr>
        <w:spacing w:after="0" w:line="3" w:lineRule="exact"/>
        <w:rPr>
          <w:rFonts w:ascii="Arial" w:cs="Arial" w:eastAsia="Arial" w:hAnsi="Arial"/>
          <w:sz w:val="19"/>
          <w:szCs w:val="19"/>
          <w:color w:val="auto"/>
        </w:rPr>
      </w:pPr>
    </w:p>
    <w:p>
      <w:pPr>
        <w:ind w:left="1840" w:hanging="535"/>
        <w:spacing w:after="0"/>
        <w:tabs>
          <w:tab w:leader="none" w:pos="18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42" w:lineRule="exact"/>
        <w:rPr>
          <w:sz w:val="20"/>
          <w:szCs w:val="20"/>
          <w:color w:val="auto"/>
        </w:rPr>
      </w:pPr>
    </w:p>
    <w:p>
      <w:pPr>
        <w:jc w:val="both"/>
        <w:ind w:left="660" w:firstLine="1293"/>
        <w:spacing w:after="0" w:line="312" w:lineRule="auto"/>
        <w:tabs>
          <w:tab w:leader="none" w:pos="238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75" w:right="239" w:bottom="1440" w:gutter="0" w:footer="0" w:header="0"/>
        </w:sectPr>
      </w:pPr>
    </w:p>
    <w:bookmarkStart w:id="96" w:name="page97"/>
    <w:bookmarkEnd w:id="96"/>
    <w:p>
      <w:pPr>
        <w:ind w:left="2540" w:hanging="587"/>
        <w:spacing w:after="0"/>
        <w:tabs>
          <w:tab w:leader="none" w:pos="2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Business Day;</w:t>
      </w:r>
    </w:p>
    <w:p>
      <w:pPr>
        <w:spacing w:after="0" w:line="242" w:lineRule="exact"/>
        <w:rPr>
          <w:sz w:val="20"/>
          <w:szCs w:val="20"/>
          <w:color w:val="auto"/>
        </w:rPr>
      </w:pPr>
    </w:p>
    <w:p>
      <w:pPr>
        <w:ind w:left="2500" w:hanging="547"/>
        <w:spacing w:after="0"/>
        <w:tabs>
          <w:tab w:leader="none" w:pos="25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Eurodollar Borrowing; and</w:t>
      </w:r>
    </w:p>
    <w:p>
      <w:pPr>
        <w:spacing w:after="0" w:line="260" w:lineRule="exact"/>
        <w:rPr>
          <w:rFonts w:ascii="Arial" w:cs="Arial" w:eastAsia="Arial" w:hAnsi="Arial"/>
          <w:sz w:val="22"/>
          <w:szCs w:val="22"/>
          <w:color w:val="auto"/>
        </w:rPr>
      </w:pPr>
    </w:p>
    <w:p>
      <w:pPr>
        <w:ind w:left="660" w:firstLine="1293"/>
        <w:spacing w:after="0" w:line="343" w:lineRule="auto"/>
        <w:tabs>
          <w:tab w:leader="none" w:pos="2516"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4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If any such Interest Election Request requests a Eurodollar Borrowing but does not specify an Interest Period, then the Borrower making such Interest Election Request shall be deemed to have selected an Interest Period of one month’s duration.</w:t>
      </w:r>
    </w:p>
    <w:p>
      <w:pPr>
        <w:spacing w:after="0" w:line="105" w:lineRule="exact"/>
        <w:rPr>
          <w:sz w:val="20"/>
          <w:szCs w:val="20"/>
          <w:color w:val="auto"/>
        </w:rPr>
      </w:pPr>
    </w:p>
    <w:p>
      <w:pPr>
        <w:ind w:firstLine="1305"/>
        <w:spacing w:after="0" w:line="263" w:lineRule="auto"/>
        <w:tabs>
          <w:tab w:leader="none" w:pos="1786" w:val="left"/>
        </w:tabs>
        <w:numPr>
          <w:ilvl w:val="0"/>
          <w:numId w:val="74"/>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215" w:lineRule="exact"/>
        <w:rPr>
          <w:rFonts w:ascii="Arial" w:cs="Arial" w:eastAsia="Arial" w:hAnsi="Arial"/>
          <w:sz w:val="22"/>
          <w:szCs w:val="22"/>
          <w:color w:val="auto"/>
        </w:rPr>
      </w:pPr>
    </w:p>
    <w:p>
      <w:pPr>
        <w:jc w:val="both"/>
        <w:ind w:firstLine="1305"/>
        <w:spacing w:after="0" w:line="246" w:lineRule="auto"/>
        <w:tabs>
          <w:tab w:leader="none" w:pos="1762"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a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Borrowers, then, so long as an Event of Default is continuing, (1) no outstanding Borrowing may be converted to or continued as a Eurodollar Borrowing and (2) unless repaid, each Eurodollar Borrowing shall be converted to an ABR Borrowing at the end of the Interest Period applicable thereto.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Termination and Reduction of Commitments</w:t>
      </w:r>
      <w:r>
        <w:rPr>
          <w:rFonts w:ascii="Arial" w:cs="Arial" w:eastAsia="Arial" w:hAnsi="Arial"/>
          <w:sz w:val="22"/>
          <w:szCs w:val="22"/>
          <w:color w:val="auto"/>
        </w:rPr>
        <w:t>.</w:t>
      </w:r>
    </w:p>
    <w:p>
      <w:pPr>
        <w:spacing w:after="0" w:line="260" w:lineRule="exact"/>
        <w:rPr>
          <w:sz w:val="20"/>
          <w:szCs w:val="20"/>
          <w:color w:val="auto"/>
        </w:rPr>
      </w:pPr>
    </w:p>
    <w:p>
      <w:pPr>
        <w:ind w:left="1760" w:hanging="455"/>
        <w:spacing w:after="0"/>
        <w:tabs>
          <w:tab w:leader="none" w:pos="17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 of Non-Extended Commitments on the Existing Maturity Date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48" w:lineRule="auto"/>
        <w:tabs>
          <w:tab w:leader="none" w:pos="2559"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On the Existing Maturity Date, (if the Commitments have not been terminated in full earlier in accordance with the terms hereof), (x) the Borrowers shall pay to each Non-Extending Lender all amounts then payable to such Non-Extending Lender under this Agreement (including any amounts required by </w:t>
      </w:r>
      <w:r>
        <w:rPr>
          <w:rFonts w:ascii="Arial" w:cs="Arial" w:eastAsia="Arial" w:hAnsi="Arial"/>
          <w:sz w:val="22"/>
          <w:szCs w:val="22"/>
          <w:u w:val="single" w:color="auto"/>
          <w:color w:val="auto"/>
        </w:rPr>
        <w:t>Section 2.13</w:t>
      </w:r>
      <w:r>
        <w:rPr>
          <w:rFonts w:ascii="Arial" w:cs="Arial" w:eastAsia="Arial" w:hAnsi="Arial"/>
          <w:sz w:val="22"/>
          <w:szCs w:val="22"/>
          <w:color w:val="auto"/>
        </w:rPr>
        <w:t>) and (y) such Non-Extending Lender’s Non-Extended Commitment (and, in the case of a Non-Extending Lender that is an Issuing Bank, such Issuing Bank’s LC Commitment) shall automatically terminate.</w:t>
      </w:r>
    </w:p>
    <w:p>
      <w:pPr>
        <w:spacing w:after="0" w:line="232" w:lineRule="exact"/>
        <w:rPr>
          <w:rFonts w:ascii="Arial" w:cs="Arial" w:eastAsia="Arial" w:hAnsi="Arial"/>
          <w:sz w:val="22"/>
          <w:szCs w:val="22"/>
          <w:color w:val="auto"/>
        </w:rPr>
      </w:pPr>
    </w:p>
    <w:p>
      <w:pPr>
        <w:jc w:val="both"/>
        <w:ind w:left="660" w:firstLine="1293"/>
        <w:spacing w:after="0" w:line="297" w:lineRule="auto"/>
        <w:tabs>
          <w:tab w:leader="none" w:pos="2448"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On the Existing Maturity Date, immediately after giving effect to </w:t>
      </w:r>
      <w:r>
        <w:rPr>
          <w:rFonts w:ascii="Arial" w:cs="Arial" w:eastAsia="Arial" w:hAnsi="Arial"/>
          <w:sz w:val="19"/>
          <w:szCs w:val="19"/>
          <w:u w:val="single" w:color="auto"/>
          <w:color w:val="auto"/>
        </w:rPr>
        <w:t>Section 2.06(a)(i)</w:t>
      </w:r>
      <w:r>
        <w:rPr>
          <w:rFonts w:ascii="Arial" w:cs="Arial" w:eastAsia="Arial" w:hAnsi="Arial"/>
          <w:sz w:val="19"/>
          <w:szCs w:val="19"/>
          <w:color w:val="auto"/>
        </w:rPr>
        <w:t>, the Administrative Agent shall administer the reallocation of Applicable Percentages of the Aggregate Commitments and any obligation to participate in Swingline Loans and any Carry-Over LC Exposure ratably among the Extending Lenders, provided that such reallocation shall only be made to the extent such reallocation does not result in an Extending Lender’s Revolving Credit Exposure exceeding such Extending Lender’s Commitment (and, if such reallocation cannot, or can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75" w:right="239" w:bottom="1440" w:gutter="0" w:footer="0" w:header="0"/>
        </w:sectPr>
      </w:pPr>
    </w:p>
    <w:bookmarkStart w:id="97" w:name="page98"/>
    <w:bookmarkEnd w:id="97"/>
    <w:p>
      <w:pPr>
        <w:jc w:val="both"/>
        <w:ind w:left="660"/>
        <w:spacing w:after="0" w:line="292" w:lineRule="auto"/>
        <w:rPr>
          <w:sz w:val="20"/>
          <w:szCs w:val="20"/>
          <w:color w:val="auto"/>
        </w:rPr>
      </w:pPr>
      <w:r>
        <w:rPr>
          <w:rFonts w:ascii="Arial" w:cs="Arial" w:eastAsia="Arial" w:hAnsi="Arial"/>
          <w:sz w:val="19"/>
          <w:szCs w:val="19"/>
          <w:color w:val="auto"/>
        </w:rPr>
        <w:t xml:space="preserve">only partially, be effected, the Borrowers shall, on the Existing Maturity Date, cash collateralize, for the benefit of the applicable Issuing Banks, the Borrowers’ obligations corresponding to the Carry-Over LC Exposure associated with each Carry-Over Letter of Credit (after giving effect to any partial reallocation) in accordance with the procedures set forth in </w:t>
      </w:r>
      <w:r>
        <w:rPr>
          <w:rFonts w:ascii="Arial" w:cs="Arial" w:eastAsia="Arial" w:hAnsi="Arial"/>
          <w:sz w:val="19"/>
          <w:szCs w:val="19"/>
          <w:u w:val="single" w:color="auto"/>
          <w:color w:val="auto"/>
        </w:rPr>
        <w:t>Section 3.01(j)(i)</w:t>
      </w:r>
      <w:r>
        <w:rPr>
          <w:rFonts w:ascii="Arial" w:cs="Arial" w:eastAsia="Arial" w:hAnsi="Arial"/>
          <w:sz w:val="19"/>
          <w:szCs w:val="19"/>
          <w:color w:val="auto"/>
        </w:rPr>
        <w:t xml:space="preserve"> (and the cash so deposited shall be held, invested and applied by such Issuing Bank in a manner consistent with the investment and other procedures described in </w:t>
      </w:r>
      <w:r>
        <w:rPr>
          <w:rFonts w:ascii="Arial" w:cs="Arial" w:eastAsia="Arial" w:hAnsi="Arial"/>
          <w:sz w:val="19"/>
          <w:szCs w:val="19"/>
          <w:u w:val="single" w:color="auto"/>
          <w:color w:val="auto"/>
        </w:rPr>
        <w:t>Section 3.01(j)</w:t>
      </w:r>
      <w:r>
        <w:rPr>
          <w:rFonts w:ascii="Arial" w:cs="Arial" w:eastAsia="Arial" w:hAnsi="Arial"/>
          <w:sz w:val="19"/>
          <w:szCs w:val="19"/>
          <w:color w:val="auto"/>
        </w:rPr>
        <w:t>)) until the earlier of (1) the expiration and termination of such Carry-Over Letter of Credit or (2) the first Business Day after the Existing Maturity Date on which all Carry-Over LC Exposure in connection with such Carry-Over Letter of Credit shall have been fully reallocated.</w:t>
      </w:r>
    </w:p>
    <w:p>
      <w:pPr>
        <w:spacing w:after="0" w:line="192" w:lineRule="exact"/>
        <w:rPr>
          <w:sz w:val="20"/>
          <w:szCs w:val="20"/>
          <w:color w:val="auto"/>
        </w:rPr>
      </w:pPr>
    </w:p>
    <w:p>
      <w:pPr>
        <w:jc w:val="both"/>
        <w:ind w:left="660" w:firstLine="1293"/>
        <w:spacing w:after="0" w:line="253" w:lineRule="auto"/>
        <w:tabs>
          <w:tab w:leader="none" w:pos="2508"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The Borrowers hereby agree to compensate the Lenders for all losses, expenses and liabilities incurred by any Lender (if any) in connection with the sale or assignment of any Eurodollar Loan resulting from such reallocation on the terms and in the manner set forth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90" w:lineRule="auto"/>
        <w:tabs>
          <w:tab w:leader="none" w:pos="176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Reduction of Extended Commitments</w:t>
      </w:r>
      <w:r>
        <w:rPr>
          <w:rFonts w:ascii="Arial" w:cs="Arial" w:eastAsia="Arial" w:hAnsi="Arial"/>
          <w:sz w:val="19"/>
          <w:szCs w:val="19"/>
          <w:color w:val="auto"/>
        </w:rPr>
        <w:t xml:space="preserve">. Until the Aggregate Commitments have been permanently reduced (and only to the extent necessary to cause the Aggregate Commitments to be permanently reduced) to $1,000,000,000, the Extending Lenders’ Commitments shall be permanently reduced ratably among the Extending Lenders in accordance with their respective Extended Commitments (i) on the Existing Maturity Date (after giving effect to the termination of the Non-Extending Lenders’ Commitments pursuant to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and the accompanying repayments of Obligations) by an aggregate amount equal to $57,550,000.00 and (ii) on July 13, 2018 by an aggregate amount equal to $115,100,000.00;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date of any reduction of the Extending Lenders’ Commitments pursuant to this </w:t>
      </w:r>
      <w:r>
        <w:rPr>
          <w:rFonts w:ascii="Arial" w:cs="Arial" w:eastAsia="Arial" w:hAnsi="Arial"/>
          <w:sz w:val="19"/>
          <w:szCs w:val="19"/>
          <w:u w:val="single" w:color="auto"/>
          <w:color w:val="auto"/>
        </w:rPr>
        <w:t>Section 2.06(b)</w:t>
      </w:r>
      <w:r>
        <w:rPr>
          <w:rFonts w:ascii="Arial" w:cs="Arial" w:eastAsia="Arial" w:hAnsi="Arial"/>
          <w:sz w:val="19"/>
          <w:szCs w:val="19"/>
          <w:color w:val="auto"/>
        </w:rPr>
        <w:t xml:space="preserve"> the Borrowers shall first be required to prepay the Extending Lenders’ Revolving Credit Loans in accordance with </w:t>
      </w:r>
      <w:r>
        <w:rPr>
          <w:rFonts w:ascii="Arial" w:cs="Arial" w:eastAsia="Arial" w:hAnsi="Arial"/>
          <w:sz w:val="19"/>
          <w:szCs w:val="19"/>
          <w:u w:val="single" w:color="auto"/>
          <w:color w:val="auto"/>
        </w:rPr>
        <w:t>Section 2.08(d)</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firstLine="1305"/>
        <w:spacing w:after="0" w:line="258" w:lineRule="auto"/>
        <w:tabs>
          <w:tab w:leader="none" w:pos="2022"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Reduction of Aggregate Commitments in connection with Certain Asset Sales</w:t>
      </w:r>
      <w:r>
        <w:rPr>
          <w:rFonts w:ascii="Arial" w:cs="Arial" w:eastAsia="Arial" w:hAnsi="Arial"/>
          <w:sz w:val="21"/>
          <w:szCs w:val="21"/>
          <w:color w:val="auto"/>
        </w:rPr>
        <w:t xml:space="preserve">. Until the Aggregate Commitments have been permanently reduced (and only to the extent necessary to cause the Aggregate Commitments to be permanently reduced) to $1,000,000,000, the Lenders’ Commitments shall be permanently reduced ratably among the Lenders in accordance with their respective Commitments immediately upon the receipt of Net Proceeds by WIL-Ireland or any of its Restricted Subsidiaries in connection with a Specified Asset Sale by an aggregate amount equal to (i) with respect to the Land Rig Sale, 100% of the Net Cash Proceeds received by WIL-Ireland and its Restricted Subsidiaries from such sale and (ii) with respect to any Specified Asset Sale other than the Land Rig Sale (A) consummated prior to the Existing Maturity Date, 75% of the Net Cash Proceeds received by WIL-Ireland and its Restricted Subsidiaries from such sale and (B) consummated on or after the Existing Maturity Date, 75% of the Net Proceeds received by WIL-Ireland and its Restricted Subsidiaries from such sale;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any calendar year, the Lenders’ Commitments shall be reduced pursuant to this </w:t>
      </w:r>
      <w:r>
        <w:rPr>
          <w:rFonts w:ascii="Arial" w:cs="Arial" w:eastAsia="Arial" w:hAnsi="Arial"/>
          <w:sz w:val="21"/>
          <w:szCs w:val="21"/>
          <w:u w:val="single" w:color="auto"/>
          <w:color w:val="auto"/>
        </w:rPr>
        <w:t>Section 2.06(c)(ii)</w:t>
      </w:r>
      <w:r>
        <w:rPr>
          <w:rFonts w:ascii="Arial" w:cs="Arial" w:eastAsia="Arial" w:hAnsi="Arial"/>
          <w:sz w:val="21"/>
          <w:szCs w:val="21"/>
          <w:color w:val="auto"/>
        </w:rPr>
        <w:t xml:space="preserve"> only to the extent that the Net Cash Proceeds received by WIL-Ireland and its Restricted Subsidiaries from the consummation of Specified Asset Sales in such calendar year exceeds $20,000,000.</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75" w:right="239" w:bottom="1440" w:gutter="0" w:footer="0" w:header="0"/>
        </w:sectPr>
      </w:pPr>
    </w:p>
    <w:bookmarkStart w:id="98" w:name="page99"/>
    <w:bookmarkEnd w:id="98"/>
    <w:p>
      <w:pPr>
        <w:ind w:firstLine="1305"/>
        <w:spacing w:after="0" w:line="263" w:lineRule="auto"/>
        <w:tabs>
          <w:tab w:leader="none" w:pos="1765"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Termination of Extended Commitments on the Extended Maturity Date</w:t>
      </w:r>
      <w:r>
        <w:rPr>
          <w:rFonts w:ascii="Arial" w:cs="Arial" w:eastAsia="Arial" w:hAnsi="Arial"/>
          <w:sz w:val="22"/>
          <w:szCs w:val="22"/>
          <w:color w:val="auto"/>
        </w:rPr>
        <w:t>. Unless previously terminated pursuant to the terms hereof, the Extended Commitments shall terminate on the Extended Maturity Date.</w:t>
      </w:r>
    </w:p>
    <w:p>
      <w:pPr>
        <w:spacing w:after="0" w:line="215" w:lineRule="exact"/>
        <w:rPr>
          <w:rFonts w:ascii="Arial" w:cs="Arial" w:eastAsia="Arial" w:hAnsi="Arial"/>
          <w:sz w:val="22"/>
          <w:szCs w:val="22"/>
          <w:color w:val="auto"/>
        </w:rPr>
      </w:pPr>
    </w:p>
    <w:p>
      <w:pPr>
        <w:ind w:left="1760" w:hanging="455"/>
        <w:spacing w:after="0"/>
        <w:tabs>
          <w:tab w:leader="none" w:pos="17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Voluntary Reduction of Commitments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48" w:lineRule="auto"/>
        <w:tabs>
          <w:tab w:leader="none" w:pos="2619"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At their option, the Borrowers may at any time terminate, or from time to time reduce,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each reduction of the Commitments shall be in an amount that is an integral multiple of $1,000,000 and not less than $5,000,000 and (B) the Borrowers shall not terminate or reduce the Commitments if, after giving effect to any concurrent prepayment of the Loans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 the Total Revolving Credit Exposure would exceed the Aggregate Commitments.</w:t>
      </w:r>
    </w:p>
    <w:p>
      <w:pPr>
        <w:spacing w:after="0" w:line="232" w:lineRule="exact"/>
        <w:rPr>
          <w:rFonts w:ascii="Arial" w:cs="Arial" w:eastAsia="Arial" w:hAnsi="Arial"/>
          <w:sz w:val="22"/>
          <w:szCs w:val="22"/>
          <w:color w:val="auto"/>
        </w:rPr>
      </w:pPr>
    </w:p>
    <w:p>
      <w:pPr>
        <w:jc w:val="both"/>
        <w:ind w:left="660" w:firstLine="1293"/>
        <w:spacing w:after="0" w:line="288" w:lineRule="auto"/>
        <w:tabs>
          <w:tab w:leader="none" w:pos="2607"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The Borrowers shall notify the Administrative Agent of any election to terminate or reduce the Commitments under </w:t>
      </w:r>
      <w:r>
        <w:rPr>
          <w:rFonts w:ascii="Arial" w:cs="Arial" w:eastAsia="Arial" w:hAnsi="Arial"/>
          <w:sz w:val="19"/>
          <w:szCs w:val="19"/>
          <w:u w:val="single" w:color="auto"/>
          <w:color w:val="auto"/>
        </w:rPr>
        <w:t>Section 2.06(e)(i)</w:t>
      </w:r>
      <w:r>
        <w:rPr>
          <w:rFonts w:ascii="Arial" w:cs="Arial" w:eastAsia="Arial" w:hAnsi="Arial"/>
          <w:sz w:val="19"/>
          <w:szCs w:val="19"/>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20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5" w:lineRule="auto"/>
        <w:tabs>
          <w:tab w:leader="none" w:pos="17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Borrowers hereby jointly and severally and unconditionally promise to pay (i) to the Administrative Agent for the account of each Non-Extending Lender the then unpaid principal amount of each Revolving Credit Loan of such Lender on the Existing Maturity Date and (ii) to the Administrative Agent for the account of each Extending Lender the then unpaid principal amount of each Revolving Credit Loan of such Lender on the Extended Maturity Date.</w:t>
      </w:r>
    </w:p>
    <w:p>
      <w:pPr>
        <w:spacing w:after="0" w:line="216" w:lineRule="exact"/>
        <w:rPr>
          <w:rFonts w:ascii="Arial" w:cs="Arial" w:eastAsia="Arial" w:hAnsi="Arial"/>
          <w:sz w:val="21"/>
          <w:szCs w:val="21"/>
          <w:color w:val="auto"/>
        </w:rPr>
      </w:pPr>
    </w:p>
    <w:p>
      <w:pPr>
        <w:jc w:val="both"/>
        <w:ind w:firstLine="1305"/>
        <w:spacing w:after="0" w:line="294" w:lineRule="auto"/>
        <w:tabs>
          <w:tab w:leader="none" w:pos="179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Borrowers hereby jointly and severally and unconditionally promise to pay to each Swingline Lender the then unpaid principal amount of each Swingline Loan made by such Swingline Lender on the earlier of the Extended Maturity Date and the first date after such Swingline Loan is made that is the 15th or last day of a calendar month and is at least two Business Days after such Swingline Loan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on each date that a Borrowing of Revolving Credit Loans is made, the Borrowers shall repay all Swingline Loans then outstanding and (ii) notwithstanding the foregoing, the then unpaid principal amount of all Swingline Loans shall be repaid in full on the Existing Maturity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75" w:right="239" w:bottom="1440" w:gutter="0" w:footer="0" w:header="0"/>
        </w:sectPr>
      </w:pPr>
    </w:p>
    <w:bookmarkStart w:id="99" w:name="page100"/>
    <w:bookmarkEnd w:id="99"/>
    <w:p>
      <w:pPr>
        <w:jc w:val="both"/>
        <w:ind w:firstLine="1305"/>
        <w:spacing w:after="0" w:line="253" w:lineRule="auto"/>
        <w:tabs>
          <w:tab w:leader="none" w:pos="1909"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226" w:lineRule="exact"/>
        <w:rPr>
          <w:rFonts w:ascii="Arial" w:cs="Arial" w:eastAsia="Arial" w:hAnsi="Arial"/>
          <w:sz w:val="22"/>
          <w:szCs w:val="22"/>
          <w:color w:val="auto"/>
        </w:rPr>
      </w:pPr>
    </w:p>
    <w:p>
      <w:pPr>
        <w:jc w:val="both"/>
        <w:ind w:firstLine="1305"/>
        <w:spacing w:after="0" w:line="265" w:lineRule="auto"/>
        <w:tabs>
          <w:tab w:leader="none" w:pos="1812"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216" w:lineRule="exact"/>
        <w:rPr>
          <w:rFonts w:ascii="Arial" w:cs="Arial" w:eastAsia="Arial" w:hAnsi="Arial"/>
          <w:sz w:val="21"/>
          <w:szCs w:val="21"/>
          <w:color w:val="auto"/>
        </w:rPr>
      </w:pPr>
    </w:p>
    <w:p>
      <w:pPr>
        <w:jc w:val="both"/>
        <w:ind w:firstLine="1305"/>
        <w:spacing w:after="0" w:line="302" w:lineRule="auto"/>
        <w:tabs>
          <w:tab w:leader="none" w:pos="175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w:t>
      </w:r>
      <w:r>
        <w:rPr>
          <w:rFonts w:ascii="Arial" w:cs="Arial" w:eastAsia="Arial" w:hAnsi="Arial"/>
          <w:sz w:val="19"/>
          <w:szCs w:val="19"/>
          <w:u w:val="single" w:color="auto"/>
          <w:color w:val="auto"/>
        </w:rPr>
        <w:t>Section 2.07(c)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2.07(d)</w:t>
      </w:r>
      <w:r>
        <w:rPr>
          <w:rFonts w:ascii="Arial" w:cs="Arial" w:eastAsia="Arial" w:hAnsi="Arial"/>
          <w:sz w:val="19"/>
          <w:szCs w:val="19"/>
          <w:color w:val="auto"/>
        </w:rPr>
        <w:t xml:space="preserve"> of this Section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the Borrowers, jointly and severally, to repay the Loans in accordance with the terms of this Agreement.</w:t>
      </w:r>
    </w:p>
    <w:p>
      <w:pPr>
        <w:spacing w:after="0" w:line="183" w:lineRule="exact"/>
        <w:rPr>
          <w:rFonts w:ascii="Arial" w:cs="Arial" w:eastAsia="Arial" w:hAnsi="Arial"/>
          <w:sz w:val="19"/>
          <w:szCs w:val="19"/>
          <w:color w:val="auto"/>
        </w:rPr>
      </w:pPr>
    </w:p>
    <w:p>
      <w:pPr>
        <w:jc w:val="both"/>
        <w:ind w:firstLine="1305"/>
        <w:spacing w:after="0" w:line="247" w:lineRule="auto"/>
        <w:tabs>
          <w:tab w:leader="none" w:pos="1807"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After the Effective Date, any Lender by written notice to the Borrowers (with a copy to the Administrative Agent) may request that Loans made by it be evidenced by a Note. In such event, the Borrowers shall prepare, execute and deliver to such Lender a Revolving Credit Note or Swingline Note, as applicable, payable, jointly and severally, to the order of such Lender and its permitted assigns. Thereafter, the Loans evidenced by such Note and interest thereon shall at all times (including after assignment pursuant to </w:t>
      </w:r>
      <w:r>
        <w:rPr>
          <w:rFonts w:ascii="Arial" w:cs="Arial" w:eastAsia="Arial" w:hAnsi="Arial"/>
          <w:sz w:val="22"/>
          <w:szCs w:val="22"/>
          <w:u w:val="single" w:color="auto"/>
          <w:color w:val="auto"/>
        </w:rPr>
        <w:t>Section 11.05</w:t>
      </w:r>
      <w:r>
        <w:rPr>
          <w:rFonts w:ascii="Arial" w:cs="Arial" w:eastAsia="Arial" w:hAnsi="Arial"/>
          <w:sz w:val="22"/>
          <w:szCs w:val="22"/>
          <w:color w:val="auto"/>
        </w:rPr>
        <w:t>) be represented by one or more Notes payable to the order of such Lender and its permitted assigns.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792"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Subject to prior notice in accordance with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the Borrowers shall have the right at any time and from time to time to prepay any Borrowing in whole or in part, without premium or penalty (but subject to any amounts payable under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58" w:lineRule="auto"/>
        <w:tabs>
          <w:tab w:leader="none" w:pos="1825"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A Borrower shall notify the Administrative Agent (and, in the case of prepayment of a Swingline Loan, the applicable Swingline Lender) by telephone (promptly confirmed by hand delivery, facsimile or electronic transmission (in .pdf format)) of any prepayment hereunder (i) in the case of prepayment of a Eurodollar Borrowing, not later than 11:30 a.m., New York City time, one Business Day before the date of prepayment, (ii) in the case of prepayment of an ABR Borrowing, not later than 11:00 a.m., New York City time, on the same Business Day as the date of prepayment, or (iii) in the case of prepayment of a Swingline Loan, not later than 2:00 p.m., New York City time, on the same Business Day as the date of prepayment. Each such notice shall be irrevocable and shall specify the prepayment date and the principal amount of each Borrowing or portion thereof to be prepaid;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prepayment delivered by the Borrowers may state that such notice is conditioned upon the effectiveness of other credit facilities or the closing of a securities offering (or any combination thereof), in which case such notice may be revoked by the Borrowers (by notice to the Administrative Agent on or prior to the specified prepayment date) if such condition is not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75" w:right="239" w:bottom="1440" w:gutter="0" w:footer="0" w:header="0"/>
        </w:sectPr>
      </w:pPr>
    </w:p>
    <w:bookmarkStart w:id="100" w:name="page101"/>
    <w:bookmarkEnd w:id="100"/>
    <w:p>
      <w:pPr>
        <w:jc w:val="both"/>
        <w:spacing w:after="0" w:line="246" w:lineRule="auto"/>
        <w:rPr>
          <w:sz w:val="20"/>
          <w:szCs w:val="20"/>
          <w:color w:val="auto"/>
        </w:rPr>
      </w:pPr>
      <w:r>
        <w:rPr>
          <w:rFonts w:ascii="Arial" w:cs="Arial" w:eastAsia="Arial" w:hAnsi="Arial"/>
          <w:sz w:val="22"/>
          <w:szCs w:val="22"/>
          <w:color w:val="auto"/>
        </w:rPr>
        <w:t xml:space="preserve">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or in the case of an advance of a Swingline Borrowing as provided in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as applicable. Each prepayment of a Borrowing shall be applied ratably to the Loans included in the prepaid Borrowing. Prepayments shall be accompanied by accrued interest to the extent required by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All prepayments under, and each failure to make a prepayment specified in any prepayment notice delivered pursuant to, this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shall be 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38" w:lineRule="exact"/>
        <w:rPr>
          <w:sz w:val="20"/>
          <w:szCs w:val="20"/>
          <w:color w:val="auto"/>
        </w:rPr>
      </w:pPr>
    </w:p>
    <w:p>
      <w:pPr>
        <w:jc w:val="both"/>
        <w:ind w:firstLine="1305"/>
        <w:spacing w:after="0" w:line="271" w:lineRule="auto"/>
        <w:tabs>
          <w:tab w:leader="none" w:pos="1796"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On the date that a Change of Control occurs, the Commitments shall terminate and the Borrowers jointly and severally shall (i) prepay the principal amount of the Loans and all accrued and unpaid interest thereon in immediately available funds and (ii) deposit in the LC Collateral Account an amount in cash required by </w:t>
      </w:r>
      <w:r>
        <w:rPr>
          <w:rFonts w:ascii="Arial" w:cs="Arial" w:eastAsia="Arial" w:hAnsi="Arial"/>
          <w:sz w:val="21"/>
          <w:szCs w:val="21"/>
          <w:u w:val="single" w:color="auto"/>
          <w:color w:val="auto"/>
        </w:rPr>
        <w:t>Section 3.01(j)(i)</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jc w:val="both"/>
        <w:ind w:firstLine="1305"/>
        <w:spacing w:after="0" w:line="292" w:lineRule="auto"/>
        <w:tabs>
          <w:tab w:leader="none" w:pos="181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If after giving effect to any reduction of the Extending Lenders’ Extended Commitments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2.06(b)</w:t>
      </w:r>
      <w:r>
        <w:rPr>
          <w:rFonts w:ascii="Arial" w:cs="Arial" w:eastAsia="Arial" w:hAnsi="Arial"/>
          <w:sz w:val="19"/>
          <w:szCs w:val="19"/>
          <w:color w:val="auto"/>
        </w:rPr>
        <w:t xml:space="preserve"> the Total Revolving Credit Exposure exceeds the Aggregate Commitments, the Borrowers jointly and severally shall immediately (i) prepay the principal amount of the Extending Lenders’ Revolving Credit Loans ratably among the Extending Lenders in accordance with their respective Extended Commitments in an aggregate principal amount sufficient to cause the Total Revolving Credit Exposure to be less than or equal to the Aggregate Commitments and (ii) if any excess remains after prepaying all of the Lenders’ Revolving Credit Loans as a result of LC Exposures, cash collateralize LC Exposures in accordance with the procedures set forth in </w:t>
      </w:r>
      <w:r>
        <w:rPr>
          <w:rFonts w:ascii="Arial" w:cs="Arial" w:eastAsia="Arial" w:hAnsi="Arial"/>
          <w:sz w:val="19"/>
          <w:szCs w:val="19"/>
          <w:u w:val="single" w:color="auto"/>
          <w:color w:val="auto"/>
        </w:rPr>
        <w:t>Section 3.01(j)(i)</w:t>
      </w:r>
      <w:r>
        <w:rPr>
          <w:rFonts w:ascii="Arial" w:cs="Arial" w:eastAsia="Arial" w:hAnsi="Arial"/>
          <w:sz w:val="19"/>
          <w:szCs w:val="19"/>
          <w:color w:val="auto"/>
        </w:rPr>
        <w:t xml:space="preserve"> in an amount equal to such excess.</w:t>
      </w:r>
    </w:p>
    <w:p>
      <w:pPr>
        <w:spacing w:after="0" w:line="192" w:lineRule="exact"/>
        <w:rPr>
          <w:rFonts w:ascii="Arial" w:cs="Arial" w:eastAsia="Arial" w:hAnsi="Arial"/>
          <w:sz w:val="19"/>
          <w:szCs w:val="19"/>
          <w:color w:val="auto"/>
        </w:rPr>
      </w:pPr>
    </w:p>
    <w:p>
      <w:pPr>
        <w:jc w:val="both"/>
        <w:ind w:firstLine="1305"/>
        <w:spacing w:after="0" w:line="246" w:lineRule="auto"/>
        <w:tabs>
          <w:tab w:leader="none" w:pos="187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If after giving effect to any reduction of the Lenders’ Commitments pursuant to </w:t>
      </w:r>
      <w:r>
        <w:rPr>
          <w:rFonts w:ascii="Arial" w:cs="Arial" w:eastAsia="Arial" w:hAnsi="Arial"/>
          <w:sz w:val="22"/>
          <w:szCs w:val="22"/>
          <w:u w:val="single" w:color="auto"/>
          <w:color w:val="auto"/>
        </w:rPr>
        <w:t>Section 2.06(c)</w:t>
      </w:r>
      <w:r>
        <w:rPr>
          <w:rFonts w:ascii="Arial" w:cs="Arial" w:eastAsia="Arial" w:hAnsi="Arial"/>
          <w:sz w:val="22"/>
          <w:szCs w:val="22"/>
          <w:color w:val="auto"/>
        </w:rPr>
        <w:t xml:space="preserve"> the Total Revolving Credit Exposure exceeds the Aggregate Commitments, the Borrowers jointly and severally shall immediately (i) prepay the principal amount of the Lenders’ Revolving Credit Loans ratably among the Lenders in accordance with their respective Commitments in an aggregate principal amount sufficient to cause the Total Revolving Credit Exposure to be less than or equal to the Aggregate Commitments and (ii) if any excess remains after prepaying all of the Lenders’ Revolving Credit Loans as a result of LC Exposures, cash collateralize LC Exposures in accordance with the procedures set forth in </w:t>
      </w:r>
      <w:r>
        <w:rPr>
          <w:rFonts w:ascii="Arial" w:cs="Arial" w:eastAsia="Arial" w:hAnsi="Arial"/>
          <w:sz w:val="22"/>
          <w:szCs w:val="22"/>
          <w:u w:val="single" w:color="auto"/>
          <w:color w:val="auto"/>
        </w:rPr>
        <w:t>Section 3.01(j)(i)</w:t>
      </w:r>
      <w:r>
        <w:rPr>
          <w:rFonts w:ascii="Arial" w:cs="Arial" w:eastAsia="Arial" w:hAnsi="Arial"/>
          <w:sz w:val="22"/>
          <w:szCs w:val="22"/>
          <w:color w:val="auto"/>
        </w:rPr>
        <w:t xml:space="preserve"> in an amount equal to such excess.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751"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Borrowers, jointly and severally, agree to pay to the Administrative Agent for the account of each Lender a facility fee, which shall accrue (i) during the period from and including the Effective Date to but excluding the date on which such Lender’s Commitment terminates, at the Facility Fee Rate on the average daily amount of the Commitment of such Lender (whether used or unused), and (ii) to the extent any Lender has any Revolving Credit Exposure after its Commitment terminates, at the Facility Fee Rate on the Revolving Credit Exposure of such Lender during the period from and including the date on which its Commitment terminates to but excluding the date on which such Lender ceases to have any Revolving Credit Exposure. Accrued facility fees shall be payable in arrears on the last day of March, June, September and December of each year, on the Existing Maturity Date (in the case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75" w:right="239" w:bottom="1440" w:gutter="0" w:footer="0" w:header="0"/>
        </w:sectPr>
      </w:pPr>
    </w:p>
    <w:bookmarkStart w:id="101" w:name="page102"/>
    <w:bookmarkEnd w:id="101"/>
    <w:p>
      <w:pPr>
        <w:jc w:val="both"/>
        <w:spacing w:after="0" w:line="248" w:lineRule="auto"/>
        <w:rPr>
          <w:sz w:val="20"/>
          <w:szCs w:val="20"/>
          <w:color w:val="auto"/>
        </w:rPr>
      </w:pPr>
      <w:r>
        <w:rPr>
          <w:rFonts w:ascii="Arial" w:cs="Arial" w:eastAsia="Arial" w:hAnsi="Arial"/>
          <w:sz w:val="22"/>
          <w:szCs w:val="22"/>
          <w:color w:val="auto"/>
        </w:rPr>
        <w:t xml:space="preserve">of Non-Extending Lenders), on the Extended Maturity Date (in the case of Extending Lenders) and on the date on which the aggregate Commitments terminate, commencing on the first such date to occur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facility fees accruing after the date on which the aggregate Commitments terminate shall be payable on demand. All facility fees shall be computed on the basis of a year of 365 or 366 days, as applicable, and shall be payable for the actual number of days elapsed (including the first day but excluding the last day).</w:t>
      </w:r>
    </w:p>
    <w:p>
      <w:pPr>
        <w:spacing w:after="0" w:line="233" w:lineRule="exact"/>
        <w:rPr>
          <w:sz w:val="20"/>
          <w:szCs w:val="20"/>
          <w:color w:val="auto"/>
        </w:rPr>
      </w:pPr>
    </w:p>
    <w:p>
      <w:pPr>
        <w:ind w:left="1760" w:hanging="455"/>
        <w:spacing w:after="0"/>
        <w:tabs>
          <w:tab w:leader="none" w:pos="17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Borrowers, jointly and severally, agree to pay:</w:t>
      </w:r>
    </w:p>
    <w:p>
      <w:pPr>
        <w:spacing w:after="0" w:line="260" w:lineRule="exact"/>
        <w:rPr>
          <w:rFonts w:ascii="Arial" w:cs="Arial" w:eastAsia="Arial" w:hAnsi="Arial"/>
          <w:sz w:val="22"/>
          <w:szCs w:val="22"/>
          <w:color w:val="auto"/>
        </w:rPr>
      </w:pPr>
    </w:p>
    <w:p>
      <w:pPr>
        <w:jc w:val="both"/>
        <w:ind w:left="660" w:firstLine="1293"/>
        <w:spacing w:after="0" w:line="288" w:lineRule="auto"/>
        <w:tabs>
          <w:tab w:leader="none" w:pos="2581" w:val="left"/>
        </w:tabs>
        <w:numPr>
          <w:ilvl w:val="1"/>
          <w:numId w:val="84"/>
        </w:numPr>
        <w:rPr>
          <w:rFonts w:ascii="Arial" w:cs="Arial" w:eastAsia="Arial" w:hAnsi="Arial"/>
          <w:sz w:val="19"/>
          <w:szCs w:val="19"/>
          <w:color w:val="auto"/>
        </w:rPr>
      </w:pPr>
      <w:r>
        <w:rPr>
          <w:rFonts w:ascii="Arial" w:cs="Arial" w:eastAsia="Arial" w:hAnsi="Arial"/>
          <w:sz w:val="19"/>
          <w:szCs w:val="19"/>
          <w:color w:val="auto"/>
        </w:rPr>
        <w:t>to the Administrative Agent, for the account of each Lender in accordance with its Applicable Percentage, a participation fee with respect to the Lenders’ participations in Letters of Credit, which shall accrue (A) in the case of each Performance Standby Letter of Credit, at the Performance Standby LC Participation Fee Rate on the average daily Dollar Equivalent amount available to be drawn under such Performance Standby Letter of Credit during the period from and including the date of issuance of such Letter of Credit to but excluding the earlier of (1) the date on which such Letter of Credit expires or terminates and (2) the Existing Maturity Date (in the case of Non-Extending Lender) or the Extended Maturity Date (in the case of Extending Lenders), and (B) in the case of each Financial Standby Letter of Credit, at the Financial Standby LC Participation Fee Rate on the average daily Dollar Equivalent amount available to be drawn under such Financial Standby Letter of Credit during the period from and including the date of issuance of such Letter of Credit to but excluding the earlier of (1) the date on which such Letter of Credit expires or terminates and (2) the Existing Maturity Date (in the case of Non-Extending Lender) or the Extended Maturity Date (in the case of Extending Lenders);</w:t>
      </w:r>
    </w:p>
    <w:p>
      <w:pPr>
        <w:spacing w:after="0" w:line="195" w:lineRule="exact"/>
        <w:rPr>
          <w:rFonts w:ascii="Arial" w:cs="Arial" w:eastAsia="Arial" w:hAnsi="Arial"/>
          <w:sz w:val="19"/>
          <w:szCs w:val="19"/>
          <w:color w:val="auto"/>
        </w:rPr>
      </w:pPr>
    </w:p>
    <w:p>
      <w:pPr>
        <w:jc w:val="both"/>
        <w:ind w:left="660" w:firstLine="1293"/>
        <w:spacing w:after="0" w:line="247" w:lineRule="auto"/>
        <w:tabs>
          <w:tab w:leader="none" w:pos="2453" w:val="left"/>
        </w:tabs>
        <w:numPr>
          <w:ilvl w:val="1"/>
          <w:numId w:val="84"/>
        </w:numPr>
        <w:rPr>
          <w:rFonts w:ascii="Arial" w:cs="Arial" w:eastAsia="Arial" w:hAnsi="Arial"/>
          <w:sz w:val="22"/>
          <w:szCs w:val="22"/>
          <w:color w:val="auto"/>
        </w:rPr>
      </w:pPr>
      <w:r>
        <w:rPr>
          <w:rFonts w:ascii="Arial" w:cs="Arial" w:eastAsia="Arial" w:hAnsi="Arial"/>
          <w:sz w:val="22"/>
          <w:szCs w:val="22"/>
          <w:color w:val="auto"/>
        </w:rPr>
        <w:t>to each Issuing Bank, for its own account, a fronting fee with respect to each Letter of Credit issued by such Issuing Bank, which shall accrue at the rate of 0.200%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Participation fees and fronting fees accrued through and including the last day of March, June, September and December of each year shall be payable in arrears in Dollars on the third Business Day after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to the Non-Extending Lenders on the Existing Maturity Date, to the Extending Lenders on the Extended Maturity Date and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365 or 366 days, as applicable, and shall be payable for the actual number of days elapsed (including the first day but excluding the last day). The amount of participation and fronting fees payable hereunder shall be set forth in a written invoice or other notice delivered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75"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to the Borrowers by the Administrative Agent or, in the case of fronting fees, by the applicable Issuing Bank.</w:t>
      </w:r>
    </w:p>
    <w:p>
      <w:pPr>
        <w:spacing w:after="0" w:line="220" w:lineRule="exact"/>
        <w:rPr>
          <w:sz w:val="20"/>
          <w:szCs w:val="20"/>
          <w:color w:val="auto"/>
        </w:rPr>
      </w:pPr>
    </w:p>
    <w:p>
      <w:pPr>
        <w:ind w:left="80" w:firstLine="1306"/>
        <w:spacing w:after="0" w:line="343" w:lineRule="auto"/>
        <w:tabs>
          <w:tab w:leader="none" w:pos="1939"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Borrowers, jointly and severally, agree to pay to the Administrative Agent, for its own account, fees payable in the amounts and at the times separately agreed upon between WIL-Bermuda and the Administrative Agent.</w:t>
      </w:r>
    </w:p>
    <w:p>
      <w:pPr>
        <w:spacing w:after="0" w:line="145" w:lineRule="exact"/>
        <w:rPr>
          <w:rFonts w:ascii="Arial" w:cs="Arial" w:eastAsia="Arial" w:hAnsi="Arial"/>
          <w:sz w:val="19"/>
          <w:szCs w:val="19"/>
          <w:color w:val="auto"/>
        </w:rPr>
      </w:pPr>
    </w:p>
    <w:p>
      <w:pPr>
        <w:jc w:val="both"/>
        <w:ind w:firstLine="1305"/>
        <w:spacing w:after="0" w:line="248" w:lineRule="auto"/>
        <w:tabs>
          <w:tab w:leader="none" w:pos="1755"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All fees payable hereunder shall be paid on the dates due, in immediately available funds, to the Administrative Agent (or to any Issuing Bank, in the case of fees payable to it) for ratable distribution, in the case of facility fees, utilization fees and participation fees to the extent described in this </w:t>
      </w:r>
      <w:r>
        <w:rPr>
          <w:rFonts w:ascii="Arial" w:cs="Arial" w:eastAsia="Arial" w:hAnsi="Arial"/>
          <w:sz w:val="22"/>
          <w:szCs w:val="22"/>
          <w:u w:val="single" w:color="auto"/>
          <w:color w:val="auto"/>
        </w:rPr>
        <w:t>Section 2.09</w:t>
      </w:r>
      <w:r>
        <w:rPr>
          <w:rFonts w:ascii="Arial" w:cs="Arial" w:eastAsia="Arial" w:hAnsi="Arial"/>
          <w:sz w:val="22"/>
          <w:szCs w:val="22"/>
          <w:color w:val="auto"/>
        </w:rPr>
        <w:t>, to the applicable Lenders. Fees paid shall not be refundable under any circumstances (unless otherwise agreed by the Administrative Agent with respect to fees payable to the Administrative Agent for its own account).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63" w:lineRule="auto"/>
        <w:tabs>
          <w:tab w:leader="none" w:pos="18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Loans comprising each ABR Revolving Credit Borrowing shall bear interest at the Alternate Base Rate plus the Applicable Margin.</w:t>
      </w:r>
    </w:p>
    <w:p>
      <w:pPr>
        <w:spacing w:after="0" w:line="215" w:lineRule="exact"/>
        <w:rPr>
          <w:rFonts w:ascii="Arial" w:cs="Arial" w:eastAsia="Arial" w:hAnsi="Arial"/>
          <w:sz w:val="22"/>
          <w:szCs w:val="22"/>
          <w:color w:val="auto"/>
        </w:rPr>
      </w:pPr>
    </w:p>
    <w:p>
      <w:pPr>
        <w:ind w:right="20" w:firstLine="1305"/>
        <w:spacing w:after="0" w:line="263" w:lineRule="auto"/>
        <w:tabs>
          <w:tab w:leader="none" w:pos="1812"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Loans comprising each Eurodollar Revolving Credit Borrowing shall bear interest at the Adjusted LIBO Rate for the Interest Period in effect for such Borrowing plus the Applicable Margin.</w:t>
      </w:r>
    </w:p>
    <w:p>
      <w:pPr>
        <w:spacing w:after="0" w:line="215" w:lineRule="exact"/>
        <w:rPr>
          <w:rFonts w:ascii="Arial" w:cs="Arial" w:eastAsia="Arial" w:hAnsi="Arial"/>
          <w:sz w:val="22"/>
          <w:szCs w:val="22"/>
          <w:color w:val="auto"/>
        </w:rPr>
      </w:pPr>
    </w:p>
    <w:p>
      <w:pPr>
        <w:ind w:left="1760" w:hanging="455"/>
        <w:spacing w:after="0"/>
        <w:tabs>
          <w:tab w:leader="none" w:pos="17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Swingline Loans shall bear interest at the rates specified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97" w:lineRule="auto"/>
        <w:tabs>
          <w:tab w:leader="none" w:pos="1799"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2.000% plus the rate otherwise applicable to such Loan as provided in </w:t>
      </w:r>
      <w:r>
        <w:rPr>
          <w:rFonts w:ascii="Arial" w:cs="Arial" w:eastAsia="Arial" w:hAnsi="Arial"/>
          <w:sz w:val="19"/>
          <w:szCs w:val="19"/>
          <w:u w:val="single" w:color="auto"/>
          <w:color w:val="auto"/>
        </w:rPr>
        <w:t>Sections 2.10(a)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2.10(c)</w:t>
      </w:r>
      <w:r>
        <w:rPr>
          <w:rFonts w:ascii="Arial" w:cs="Arial" w:eastAsia="Arial" w:hAnsi="Arial"/>
          <w:sz w:val="19"/>
          <w:szCs w:val="19"/>
          <w:color w:val="auto"/>
        </w:rPr>
        <w:t xml:space="preserve"> or (ii) in the case of any other amount, 2.000% plus the rate applicable to ABR Revolving Credit Borrowings as provided in </w:t>
      </w:r>
      <w:r>
        <w:rPr>
          <w:rFonts w:ascii="Arial" w:cs="Arial" w:eastAsia="Arial" w:hAnsi="Arial"/>
          <w:sz w:val="19"/>
          <w:szCs w:val="19"/>
          <w:u w:val="single" w:color="auto"/>
          <w:color w:val="auto"/>
        </w:rPr>
        <w:t>Section 2.10(a)</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firstLine="1305"/>
        <w:spacing w:after="0" w:line="291" w:lineRule="auto"/>
        <w:tabs>
          <w:tab w:leader="none" w:pos="1814"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shall be payable on demand,</w:t>
      </w:r>
    </w:p>
    <w:p>
      <w:pPr>
        <w:spacing w:after="0" w:line="1" w:lineRule="exact"/>
        <w:rPr>
          <w:rFonts w:ascii="Arial" w:cs="Arial" w:eastAsia="Arial" w:hAnsi="Arial"/>
          <w:sz w:val="19"/>
          <w:szCs w:val="19"/>
          <w:color w:val="auto"/>
        </w:rPr>
      </w:pPr>
    </w:p>
    <w:p>
      <w:pPr>
        <w:jc w:val="both"/>
        <w:ind w:firstLine="8"/>
        <w:spacing w:after="0" w:line="244" w:lineRule="auto"/>
        <w:tabs>
          <w:tab w:leader="none" w:pos="339"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the event of any repayment or prepayment of any Loan (other than a prepayment of an ABR Revolving Credit Loan to a Lender prior to the end of the Availability Period applicable to such Lender),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235" w:lineRule="exact"/>
        <w:rPr>
          <w:rFonts w:ascii="Arial" w:cs="Arial" w:eastAsia="Arial" w:hAnsi="Arial"/>
          <w:sz w:val="22"/>
          <w:szCs w:val="22"/>
          <w:color w:val="auto"/>
        </w:rPr>
      </w:pPr>
    </w:p>
    <w:p>
      <w:pPr>
        <w:jc w:val="both"/>
        <w:ind w:firstLine="1305"/>
        <w:spacing w:after="0" w:line="265" w:lineRule="auto"/>
        <w:tabs>
          <w:tab w:leader="none" w:pos="1771" w:val="left"/>
        </w:tabs>
        <w:numPr>
          <w:ilvl w:val="1"/>
          <w:numId w:val="88"/>
        </w:numPr>
        <w:rPr>
          <w:rFonts w:ascii="Arial" w:cs="Arial" w:eastAsia="Arial" w:hAnsi="Arial"/>
          <w:sz w:val="21"/>
          <w:szCs w:val="21"/>
          <w:color w:val="auto"/>
        </w:rPr>
      </w:pPr>
      <w:r>
        <w:rPr>
          <w:rFonts w:ascii="Arial" w:cs="Arial" w:eastAsia="Arial" w:hAnsi="Arial"/>
          <w:sz w:val="21"/>
          <w:szCs w:val="21"/>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75" w:right="239" w:bottom="1440" w:gutter="0" w:footer="0" w:header="0"/>
        </w:sectPr>
      </w:pPr>
    </w:p>
    <w:bookmarkStart w:id="103" w:name="page104"/>
    <w:bookmarkEnd w:id="103"/>
    <w:p>
      <w:pPr>
        <w:spacing w:after="0" w:line="263" w:lineRule="auto"/>
        <w:rPr>
          <w:sz w:val="20"/>
          <w:szCs w:val="20"/>
          <w:color w:val="auto"/>
        </w:rPr>
      </w:pPr>
      <w:r>
        <w:rPr>
          <w:rFonts w:ascii="Arial" w:cs="Arial" w:eastAsia="Arial" w:hAnsi="Arial"/>
          <w:sz w:val="22"/>
          <w:szCs w:val="22"/>
          <w:color w:val="auto"/>
        </w:rPr>
        <w:t>Rate, Adjusted LIBO Rate or LIBO Rate shall be determined by the Administrative Agent in accordance with the terms hereof, and such determination shall be presumed correct absent manifest error.</w:t>
      </w:r>
    </w:p>
    <w:p>
      <w:pPr>
        <w:spacing w:after="0" w:line="215" w:lineRule="exact"/>
        <w:rPr>
          <w:sz w:val="20"/>
          <w:szCs w:val="20"/>
          <w:color w:val="auto"/>
        </w:rPr>
      </w:pPr>
    </w:p>
    <w:p>
      <w:pPr>
        <w:jc w:val="both"/>
        <w:ind w:firstLine="1305"/>
        <w:spacing w:after="0" w:line="286" w:lineRule="auto"/>
        <w:tabs>
          <w:tab w:leader="none" w:pos="185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interest rates provided for in this Agreement with respect to any Swiss Obligor, including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are minimum interest rates. When entering into this Agreement, the parties have assumed that the interest payable at the rates set out in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Arial" w:cs="Arial" w:eastAsia="Arial" w:hAnsi="Arial"/>
          <w:sz w:val="19"/>
          <w:szCs w:val="19"/>
          <w:u w:val="single" w:color="auto"/>
          <w:color w:val="auto"/>
        </w:rPr>
        <w:t>Section 4.02</w:t>
      </w:r>
      <w:r>
        <w:rPr>
          <w:rFonts w:ascii="Arial" w:cs="Arial" w:eastAsia="Arial" w:hAnsi="Arial"/>
          <w:sz w:val="19"/>
          <w:szCs w:val="19"/>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If prior to the commencement of any Interest Period for a Eurodollar Borrowing:</w:t>
      </w:r>
    </w:p>
    <w:p>
      <w:pPr>
        <w:spacing w:after="0" w:line="295" w:lineRule="exact"/>
        <w:rPr>
          <w:sz w:val="20"/>
          <w:szCs w:val="20"/>
          <w:color w:val="auto"/>
        </w:rPr>
      </w:pPr>
    </w:p>
    <w:p>
      <w:pPr>
        <w:jc w:val="both"/>
        <w:ind w:firstLine="1305"/>
        <w:spacing w:after="0" w:line="253" w:lineRule="auto"/>
        <w:tabs>
          <w:tab w:leader="none" w:pos="19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Administrative Agent reasonably determines (which determination shall be presumed correct absent manifest error) that adequate and reasonable means do not exist for ascertaining the Adjusted LIBO Rate or the LIBO Rate, as applicable, for such Interest Period; or</w:t>
      </w:r>
    </w:p>
    <w:p>
      <w:pPr>
        <w:spacing w:after="0" w:line="226" w:lineRule="exact"/>
        <w:rPr>
          <w:rFonts w:ascii="Arial" w:cs="Arial" w:eastAsia="Arial" w:hAnsi="Arial"/>
          <w:sz w:val="22"/>
          <w:szCs w:val="22"/>
          <w:color w:val="auto"/>
        </w:rPr>
      </w:pPr>
    </w:p>
    <w:p>
      <w:pPr>
        <w:jc w:val="both"/>
        <w:ind w:right="20" w:firstLine="1305"/>
        <w:spacing w:after="0" w:line="253" w:lineRule="auto"/>
        <w:tabs>
          <w:tab w:leader="none" w:pos="180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Eurodollar Borrowing for such Interest Period;</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(i) any Interest Election Request that requests the conversion of any ABR Borrowing to, or continuation of any Eurodollar Borrowing as, a Eurodollar Borrowing shall be ineffective, and, in the case of any request for the continuation of a Eurodollar Borrowing, such Eurodollar Borrowing shall on the last day of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75" w:right="2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then current Interest Period applicable thereto be converted to an ABR Borrowing and (ii) if any Borrowing Request requests a Eurodollar Borrowing, such Borrowing shall be made as an ABR Borrowing.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60" w:lineRule="exact"/>
        <w:rPr>
          <w:sz w:val="20"/>
          <w:szCs w:val="20"/>
          <w:color w:val="auto"/>
        </w:rPr>
      </w:pPr>
    </w:p>
    <w:p>
      <w:pPr>
        <w:ind w:left="1760" w:hanging="455"/>
        <w:spacing w:after="0"/>
        <w:tabs>
          <w:tab w:leader="none" w:pos="17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60" w:lineRule="exact"/>
        <w:rPr>
          <w:rFonts w:ascii="Arial" w:cs="Arial" w:eastAsia="Arial" w:hAnsi="Arial"/>
          <w:sz w:val="22"/>
          <w:szCs w:val="22"/>
          <w:color w:val="auto"/>
        </w:rPr>
      </w:pPr>
    </w:p>
    <w:p>
      <w:pPr>
        <w:jc w:val="both"/>
        <w:ind w:left="660" w:firstLine="1293"/>
        <w:spacing w:after="0" w:line="250" w:lineRule="auto"/>
        <w:tabs>
          <w:tab w:leader="none" w:pos="2559" w:val="left"/>
        </w:tabs>
        <w:numPr>
          <w:ilvl w:val="2"/>
          <w:numId w:val="91"/>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228" w:lineRule="exact"/>
        <w:rPr>
          <w:rFonts w:ascii="Arial" w:cs="Arial" w:eastAsia="Arial" w:hAnsi="Arial"/>
          <w:sz w:val="22"/>
          <w:szCs w:val="22"/>
          <w:color w:val="auto"/>
        </w:rPr>
      </w:pPr>
    </w:p>
    <w:p>
      <w:pPr>
        <w:jc w:val="both"/>
        <w:ind w:left="660" w:firstLine="1293"/>
        <w:spacing w:after="0" w:line="253" w:lineRule="auto"/>
        <w:tabs>
          <w:tab w:leader="none" w:pos="2444" w:val="left"/>
        </w:tabs>
        <w:numPr>
          <w:ilvl w:val="2"/>
          <w:numId w:val="91"/>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Eurodollar Loans made by such Lender or any Letter of Credit or participation therein; or</w:t>
      </w:r>
    </w:p>
    <w:p>
      <w:pPr>
        <w:spacing w:after="0" w:line="226" w:lineRule="exact"/>
        <w:rPr>
          <w:rFonts w:ascii="Arial" w:cs="Arial" w:eastAsia="Arial" w:hAnsi="Arial"/>
          <w:sz w:val="22"/>
          <w:szCs w:val="22"/>
          <w:color w:val="auto"/>
        </w:rPr>
      </w:pPr>
    </w:p>
    <w:p>
      <w:pPr>
        <w:ind w:left="2520" w:hanging="567"/>
        <w:spacing w:after="0"/>
        <w:tabs>
          <w:tab w:leader="none" w:pos="2520" w:val="left"/>
        </w:tabs>
        <w:numPr>
          <w:ilvl w:val="2"/>
          <w:numId w:val="91"/>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w:t>
      </w:r>
    </w:p>
    <w:p>
      <w:pPr>
        <w:spacing w:after="0" w:line="56" w:lineRule="exact"/>
        <w:rPr>
          <w:rFonts w:ascii="Arial" w:cs="Arial" w:eastAsia="Arial" w:hAnsi="Arial"/>
          <w:sz w:val="19"/>
          <w:szCs w:val="19"/>
          <w:color w:val="auto"/>
        </w:rPr>
      </w:pPr>
    </w:p>
    <w:p>
      <w:pPr>
        <w:jc w:val="both"/>
        <w:ind w:left="660" w:hanging="4"/>
        <w:spacing w:after="0" w:line="245" w:lineRule="auto"/>
        <w:tabs>
          <w:tab w:leader="none" w:pos="9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through (g) of the definition of Excluded Taxes, (C) Connection Income Taxes, and (D) Other Taxes) on its loans, loan principal, letters of credit, commitments, or other obligations, or its deposits, reserves, other liabilities or capital attributable thereto;</w:t>
      </w:r>
    </w:p>
    <w:p>
      <w:pPr>
        <w:spacing w:after="0" w:line="23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continuing, converting into or maintaining any Loan (or of maintaining its obligation to make any such Loan)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jointly and severally, shall pay to such Person such additional amount or amounts as shall compensate such Recipient for such additional costs incurred or reduction suffered.</w:t>
      </w:r>
    </w:p>
    <w:p>
      <w:pPr>
        <w:spacing w:after="0" w:line="150" w:lineRule="exact"/>
        <w:rPr>
          <w:sz w:val="20"/>
          <w:szCs w:val="20"/>
          <w:color w:val="auto"/>
        </w:rPr>
      </w:pPr>
    </w:p>
    <w:p>
      <w:pPr>
        <w:jc w:val="both"/>
        <w:ind w:firstLine="1305"/>
        <w:spacing w:after="0" w:line="289" w:lineRule="auto"/>
        <w:tabs>
          <w:tab w:leader="none" w:pos="1882"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jointly and severally, shall pay to such Lender or such Issuing Bank, as the case may be, such additional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5" w:right="239" w:bottom="1440" w:gutter="0" w:footer="0" w:header="0"/>
        </w:sectPr>
      </w:pPr>
    </w:p>
    <w:bookmarkStart w:id="105" w:name="page106"/>
    <w:bookmarkEnd w:id="105"/>
    <w:p>
      <w:pPr>
        <w:spacing w:after="0" w:line="263" w:lineRule="auto"/>
        <w:rPr>
          <w:sz w:val="20"/>
          <w:szCs w:val="20"/>
          <w:color w:val="auto"/>
        </w:rPr>
      </w:pPr>
      <w:r>
        <w:rPr>
          <w:rFonts w:ascii="Arial" w:cs="Arial" w:eastAsia="Arial" w:hAnsi="Arial"/>
          <w:sz w:val="22"/>
          <w:szCs w:val="22"/>
          <w:color w:val="auto"/>
        </w:rPr>
        <w:t>amount or amounts as shall compensate such Lender or such Issuing Bank or such Lender’s or such Issuing Bank’s holding company for any such reduction suffered.</w:t>
      </w:r>
    </w:p>
    <w:p>
      <w:pPr>
        <w:spacing w:after="0" w:line="215" w:lineRule="exact"/>
        <w:rPr>
          <w:sz w:val="20"/>
          <w:szCs w:val="20"/>
          <w:color w:val="auto"/>
        </w:rPr>
      </w:pPr>
    </w:p>
    <w:p>
      <w:pPr>
        <w:jc w:val="both"/>
        <w:ind w:firstLine="1305"/>
        <w:spacing w:after="0" w:line="258" w:lineRule="auto"/>
        <w:tabs>
          <w:tab w:leader="none" w:pos="1755"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2.12(b)</w:t>
      </w:r>
      <w:r>
        <w:rPr>
          <w:rFonts w:ascii="Arial" w:cs="Arial" w:eastAsia="Arial" w:hAnsi="Arial"/>
          <w:sz w:val="21"/>
          <w:szCs w:val="21"/>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2.12(b)</w:t>
      </w:r>
      <w:r>
        <w:rPr>
          <w:rFonts w:ascii="Arial" w:cs="Arial" w:eastAsia="Arial" w:hAnsi="Arial"/>
          <w:sz w:val="21"/>
          <w:szCs w:val="21"/>
          <w:color w:val="auto"/>
        </w:rPr>
        <w:t>, as applicable, after consideration of such factors as such Person then reasonably determines to be relevant. The Borrowers, jointly and severally, shall pay such Lender or such Issuing Bank, as the case may be, the correct amount shown as due on any such certificate within 10 days after receipt thereof.</w:t>
      </w:r>
    </w:p>
    <w:p>
      <w:pPr>
        <w:spacing w:after="0" w:line="226" w:lineRule="exact"/>
        <w:rPr>
          <w:rFonts w:ascii="Arial" w:cs="Arial" w:eastAsia="Arial" w:hAnsi="Arial"/>
          <w:sz w:val="21"/>
          <w:szCs w:val="21"/>
          <w:color w:val="auto"/>
        </w:rPr>
      </w:pPr>
    </w:p>
    <w:p>
      <w:pPr>
        <w:jc w:val="both"/>
        <w:ind w:firstLine="1305"/>
        <w:spacing w:after="0" w:line="246" w:lineRule="auto"/>
        <w:tabs>
          <w:tab w:leader="none" w:pos="1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235" w:lineRule="exact"/>
        <w:rPr>
          <w:rFonts w:ascii="Arial" w:cs="Arial" w:eastAsia="Arial" w:hAnsi="Arial"/>
          <w:sz w:val="22"/>
          <w:szCs w:val="22"/>
          <w:color w:val="auto"/>
        </w:rPr>
      </w:pPr>
    </w:p>
    <w:p>
      <w:pPr>
        <w:ind w:left="1760" w:hanging="455"/>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Each Lender requesting compensation under this Section shall comply with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Eurodollar Loan other than on the last day of an Interest Period applicable thereto (including as a result of an Event of Default or as a result of any prepayment or reallocation of Revolving Credit Exposures pursuant to or as a result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(b) the conversion of any Eurodollar Loan other than on the last day of the Interest Period applicable thereto, (c) the failure (for a reason other than the failure of a Lender to fund a Loan or a portion thereof required to be funded hereunder) to borrow, convert, continue or prepay any Eurodollar Loan on the date specified in any notice delivered pursuant hereto (regardless of whether such notice may be revoked under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and is revoked in accordance therewith), or (d) the assignment of any Eurodollar Loan other than on the last day of the Interest Period applicable thereto as a result of an assignment required by the Borrowers pursuant to </w:t>
      </w:r>
      <w:r>
        <w:rPr>
          <w:rFonts w:ascii="Arial" w:cs="Arial" w:eastAsia="Arial" w:hAnsi="Arial"/>
          <w:sz w:val="19"/>
          <w:szCs w:val="19"/>
          <w:u w:val="single" w:color="auto"/>
          <w:color w:val="auto"/>
        </w:rPr>
        <w:t>Section 4.03(b)</w:t>
      </w:r>
      <w:r>
        <w:rPr>
          <w:rFonts w:ascii="Arial" w:cs="Arial" w:eastAsia="Arial" w:hAnsi="Arial"/>
          <w:sz w:val="19"/>
          <w:szCs w:val="19"/>
          <w:color w:val="auto"/>
        </w:rPr>
        <w:t>, then, in any such event, upon written demand by a Lender (with a copy to the Administrative Agent) the Borrowers, jointly and severally, shall compensate each Lender for the loss, cost and expense attributable to such event. In the case of a Eurodollar Loan, such loss, cost or expense to any Lender shall be deemed to include an amount reasonably determined by such Lender to be the excess, if any, of (i) the amount of interest which would have accrued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75" w:right="239" w:bottom="1440" w:gutter="0" w:footer="0" w:header="0"/>
        </w:sectPr>
      </w:pPr>
    </w:p>
    <w:bookmarkStart w:id="106" w:name="page107"/>
    <w:bookmarkEnd w:id="106"/>
    <w:p>
      <w:pPr>
        <w:jc w:val="both"/>
        <w:spacing w:after="0" w:line="288" w:lineRule="auto"/>
        <w:rPr>
          <w:sz w:val="20"/>
          <w:szCs w:val="20"/>
          <w:color w:val="auto"/>
        </w:rPr>
      </w:pPr>
      <w:r>
        <w:rPr>
          <w:rFonts w:ascii="Arial" w:cs="Arial" w:eastAsia="Arial" w:hAnsi="Arial"/>
          <w:sz w:val="19"/>
          <w:szCs w:val="19"/>
          <w:color w:val="auto"/>
        </w:rPr>
        <w:t>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market. A certificate of any Lender setting forth in reasonable detail any amount or amounts that such Lender is entitled to receive pursuant to this Section shall be delivered to the Borrowers (with a copy to the Administrative Agent) and shall be presumed correct absent manifest error, and shall set forth a calculation of such amounts and such other information as any Borrower may reasonably request. The Borrowers, jointly and severally, shall pay such Lender the amount shown as due on any such certificate within 10 days after receipt thereof.</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Agreement to Defer Exercise of Right of Contribution, Etc.</w:t>
      </w:r>
      <w:r>
        <w:rPr>
          <w:rFonts w:ascii="Arial" w:cs="Arial" w:eastAsia="Arial" w:hAnsi="Arial"/>
          <w:sz w:val="19"/>
          <w:szCs w:val="19"/>
          <w:color w:val="auto"/>
        </w:rPr>
        <w:t xml:space="preserve"> Notwithstanding any payment or payments made by a Borrower (a “</w:t>
      </w:r>
      <w:r>
        <w:rPr>
          <w:rFonts w:ascii="Arial" w:cs="Arial" w:eastAsia="Arial" w:hAnsi="Arial"/>
          <w:sz w:val="19"/>
          <w:szCs w:val="19"/>
          <w:u w:val="single" w:color="auto"/>
          <w:color w:val="auto"/>
        </w:rPr>
        <w:t>Paying Borrower</w:t>
      </w:r>
      <w:r>
        <w:rPr>
          <w:rFonts w:ascii="Arial" w:cs="Arial" w:eastAsia="Arial" w:hAnsi="Arial"/>
          <w:sz w:val="19"/>
          <w:szCs w:val="19"/>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Arial" w:cs="Arial" w:eastAsia="Arial" w:hAnsi="Arial"/>
          <w:sz w:val="19"/>
          <w:szCs w:val="19"/>
          <w:i w:val="1"/>
          <w:iCs w:val="1"/>
          <w:color w:val="auto"/>
        </w:rPr>
        <w:t>pro tanto</w:t>
      </w:r>
      <w:r>
        <w:rPr>
          <w:rFonts w:ascii="Arial" w:cs="Arial" w:eastAsia="Arial" w:hAnsi="Arial"/>
          <w:sz w:val="19"/>
          <w:szCs w:val="19"/>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2.15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Determination of Exchange Rates; Prepayment of Loans as a Result of Currency Fluctuations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0" w:lineRule="auto"/>
        <w:tabs>
          <w:tab w:leader="none" w:pos="176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75"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any amounts between the applicable Alternative Currencies until the next Revaluation Date to occur.</w:t>
      </w:r>
    </w:p>
    <w:p>
      <w:pPr>
        <w:spacing w:after="0" w:line="260" w:lineRule="exact"/>
        <w:rPr>
          <w:sz w:val="20"/>
          <w:szCs w:val="20"/>
          <w:color w:val="auto"/>
        </w:rPr>
      </w:pPr>
    </w:p>
    <w:p>
      <w:pPr>
        <w:jc w:val="both"/>
        <w:ind w:firstLine="1305"/>
        <w:spacing w:after="0" w:line="260" w:lineRule="auto"/>
        <w:tabs>
          <w:tab w:leader="none" w:pos="1842" w:val="left"/>
        </w:tabs>
        <w:numPr>
          <w:ilvl w:val="0"/>
          <w:numId w:val="96"/>
        </w:numPr>
        <w:rPr>
          <w:rFonts w:ascii="Arial" w:cs="Arial" w:eastAsia="Arial" w:hAnsi="Arial"/>
          <w:sz w:val="21"/>
          <w:szCs w:val="21"/>
          <w:color w:val="auto"/>
        </w:rPr>
      </w:pPr>
      <w:r>
        <w:rPr>
          <w:rFonts w:ascii="Arial" w:cs="Arial" w:eastAsia="Arial" w:hAnsi="Arial"/>
          <w:sz w:val="21"/>
          <w:szCs w:val="21"/>
          <w:color w:val="auto"/>
        </w:rPr>
        <w:t>If as a result of fluctuations in Exchange Rates (which shall be calculated in accordance with the definition thereof by the Administrative Agent on each Revaluation Date), the Administrative Agent notifies the Borrowers in writing that the Total Revolving Credit Exposure exceeds 100% of the aggregate Commitments, the Borrowers shall, within three Business Days following receipt of such notice, prepay outstanding Loans in an amount equal to such excess or, if such excess is greater than the amount of all outstanding Loans, the Borrowers shall, within three Business Days following receipt of such notice, prepay all outstanding Loans and deliver to the Administrative Agent cash collateral in an amount equal to the remaining excess after giving effect to such prepayment.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60" w:lineRule="exact"/>
        <w:rPr>
          <w:sz w:val="20"/>
          <w:szCs w:val="20"/>
          <w:color w:val="auto"/>
        </w:rPr>
      </w:pPr>
    </w:p>
    <w:p>
      <w:pPr>
        <w:ind w:right="420" w:firstLine="1305"/>
        <w:spacing w:after="0" w:line="263" w:lineRule="auto"/>
        <w:tabs>
          <w:tab w:leader="none" w:pos="1752"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Notwithstanding any provision of any Loan Document to the contrary, if any Lender becomes a Defaulting Lender, then the following provisions shall apply for so long as such Lender is a Defaulting Lender:</w:t>
      </w:r>
    </w:p>
    <w:p>
      <w:pPr>
        <w:spacing w:after="0" w:line="215" w:lineRule="exact"/>
        <w:rPr>
          <w:rFonts w:ascii="Arial" w:cs="Arial" w:eastAsia="Arial" w:hAnsi="Arial"/>
          <w:sz w:val="22"/>
          <w:szCs w:val="22"/>
          <w:color w:val="auto"/>
        </w:rPr>
      </w:pPr>
    </w:p>
    <w:p>
      <w:pPr>
        <w:ind w:left="660" w:firstLine="1293"/>
        <w:spacing w:after="0" w:line="263" w:lineRule="auto"/>
        <w:tabs>
          <w:tab w:leader="none" w:pos="251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facility fees shall cease to accrue on the unfunded portion of the Commitment of such Defaulting Lender pursuant to </w:t>
      </w:r>
      <w:r>
        <w:rPr>
          <w:rFonts w:ascii="Arial" w:cs="Arial" w:eastAsia="Arial" w:hAnsi="Arial"/>
          <w:sz w:val="22"/>
          <w:szCs w:val="22"/>
          <w:u w:val="single" w:color="auto"/>
          <w:color w:val="auto"/>
        </w:rPr>
        <w:t>Section 2.09(a);</w:t>
      </w:r>
    </w:p>
    <w:p>
      <w:pPr>
        <w:spacing w:after="0" w:line="215" w:lineRule="exact"/>
        <w:rPr>
          <w:rFonts w:ascii="Arial" w:cs="Arial" w:eastAsia="Arial" w:hAnsi="Arial"/>
          <w:sz w:val="22"/>
          <w:szCs w:val="22"/>
          <w:color w:val="auto"/>
        </w:rPr>
      </w:pPr>
    </w:p>
    <w:p>
      <w:pPr>
        <w:jc w:val="both"/>
        <w:ind w:left="660" w:firstLine="1293"/>
        <w:spacing w:after="0" w:line="263" w:lineRule="auto"/>
        <w:tabs>
          <w:tab w:leader="none" w:pos="2512"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provisions of this clause (ii) shall not apply to the vote of a Defaulting Lender in the case of an amendment, waiver or other modification described in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for which such Defaulting Lender’s consent is expressly required;</w:t>
      </w:r>
    </w:p>
    <w:p>
      <w:pPr>
        <w:spacing w:after="0" w:line="216" w:lineRule="exact"/>
        <w:rPr>
          <w:rFonts w:ascii="Arial" w:cs="Arial" w:eastAsia="Arial" w:hAnsi="Arial"/>
          <w:sz w:val="21"/>
          <w:szCs w:val="21"/>
          <w:color w:val="auto"/>
        </w:rPr>
      </w:pPr>
    </w:p>
    <w:p>
      <w:pPr>
        <w:ind w:left="2620" w:hanging="667"/>
        <w:spacing w:after="0"/>
        <w:tabs>
          <w:tab w:leader="none" w:pos="26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such Lender becomes a Defaulting</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 then:</w:t>
      </w:r>
    </w:p>
    <w:p>
      <w:pPr>
        <w:spacing w:after="0" w:line="242" w:lineRule="exact"/>
        <w:rPr>
          <w:sz w:val="20"/>
          <w:szCs w:val="20"/>
          <w:color w:val="auto"/>
        </w:rPr>
      </w:pPr>
    </w:p>
    <w:p>
      <w:pPr>
        <w:jc w:val="both"/>
        <w:ind w:left="1300" w:firstLine="653"/>
        <w:spacing w:after="0" w:line="285" w:lineRule="auto"/>
        <w:tabs>
          <w:tab w:leader="none" w:pos="2618" w:val="left"/>
        </w:tabs>
        <w:numPr>
          <w:ilvl w:val="1"/>
          <w:numId w:val="98"/>
        </w:numPr>
        <w:rPr>
          <w:rFonts w:ascii="Arial" w:cs="Arial" w:eastAsia="Arial" w:hAnsi="Arial"/>
          <w:sz w:val="19"/>
          <w:szCs w:val="19"/>
          <w:color w:val="auto"/>
        </w:rPr>
      </w:pPr>
      <w:r>
        <w:rPr>
          <w:rFonts w:ascii="Arial" w:cs="Arial" w:eastAsia="Arial" w:hAnsi="Arial"/>
          <w:sz w:val="19"/>
          <w:szCs w:val="19"/>
          <w:color w:val="auto"/>
        </w:rPr>
        <w:t>all or any part of the Swingline Exposure and LC Exposure of such Defaulting Lender shall be automatically reallocated (effective as of the date such Lender becomes a Defaulting Lender) among the non-Defaulting Lenders in accordance with their respective Applicable Percentages, but only to the extent that (x) each non-Defaulting Lender’s Revolving Credit Exposure does not exceed the Commitment of such non-Defaulting Lender, (y) the sum of all non-Defaulting Lenders’ Revolving Credit Exposures plus such Defaulting Lender’s Swingline Exposure and LC Exposure does not exceed the total of all non-Defaulting Lenders’ Commitments and</w:t>
      </w:r>
    </w:p>
    <w:p>
      <w:pPr>
        <w:ind w:left="1600" w:hanging="295"/>
        <w:spacing w:after="0"/>
        <w:tabs>
          <w:tab w:leader="none" w:pos="16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w:t>
      </w:r>
    </w:p>
    <w:p>
      <w:pPr>
        <w:spacing w:after="0" w:line="242" w:lineRule="exact"/>
        <w:rPr>
          <w:rFonts w:ascii="Arial" w:cs="Arial" w:eastAsia="Arial" w:hAnsi="Arial"/>
          <w:sz w:val="22"/>
          <w:szCs w:val="22"/>
          <w:color w:val="auto"/>
        </w:rPr>
      </w:pPr>
    </w:p>
    <w:p>
      <w:pPr>
        <w:jc w:val="both"/>
        <w:ind w:left="1300" w:firstLine="653"/>
        <w:spacing w:after="0" w:line="271" w:lineRule="auto"/>
        <w:tabs>
          <w:tab w:leader="none" w:pos="2641" w:val="left"/>
        </w:tabs>
        <w:numPr>
          <w:ilvl w:val="1"/>
          <w:numId w:val="99"/>
        </w:numPr>
        <w:rPr>
          <w:rFonts w:ascii="Arial" w:cs="Arial" w:eastAsia="Arial" w:hAnsi="Arial"/>
          <w:sz w:val="21"/>
          <w:szCs w:val="21"/>
          <w:color w:val="auto"/>
        </w:rPr>
      </w:pPr>
      <w:r>
        <w:rPr>
          <w:rFonts w:ascii="Arial" w:cs="Arial" w:eastAsia="Arial" w:hAnsi="Arial"/>
          <w:sz w:val="21"/>
          <w:szCs w:val="21"/>
          <w:color w:val="auto"/>
        </w:rPr>
        <w:t xml:space="preserve">if the reallocation described in clause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above cannot, or can only partially, be effected, the Borrowers shall, within three Business Days following the Borrowers’ receipt of written notice from the Administrative Agent, (x) first, prepay such Swingline Exposure and (y) second, cash collateralize, for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75" w:right="239" w:bottom="1440" w:gutter="0" w:footer="0" w:header="0"/>
        </w:sectPr>
      </w:pPr>
    </w:p>
    <w:bookmarkStart w:id="108" w:name="page109"/>
    <w:bookmarkEnd w:id="108"/>
    <w:p>
      <w:pPr>
        <w:jc w:val="both"/>
        <w:ind w:left="1300"/>
        <w:spacing w:after="0" w:line="248" w:lineRule="auto"/>
        <w:rPr>
          <w:sz w:val="20"/>
          <w:szCs w:val="20"/>
          <w:color w:val="auto"/>
        </w:rPr>
      </w:pPr>
      <w:r>
        <w:rPr>
          <w:rFonts w:ascii="Arial" w:cs="Arial" w:eastAsia="Arial" w:hAnsi="Arial"/>
          <w:sz w:val="22"/>
          <w:szCs w:val="22"/>
          <w:color w:val="auto"/>
        </w:rPr>
        <w:t xml:space="preserve">the benefit of the applicable Issuing Banks, the Borrowers’ obligations corresponding to such Defaulting Lender’s LC Exposure (after giving effect to any partial reallocation pursuant to clause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above) in accordance with the procedures set forth in </w:t>
      </w:r>
      <w:r>
        <w:rPr>
          <w:rFonts w:ascii="Arial" w:cs="Arial" w:eastAsia="Arial" w:hAnsi="Arial"/>
          <w:sz w:val="22"/>
          <w:szCs w:val="22"/>
          <w:u w:val="single" w:color="auto"/>
          <w:color w:val="auto"/>
        </w:rPr>
        <w:t>Section 3.01(j)(i)</w:t>
      </w:r>
      <w:r>
        <w:rPr>
          <w:rFonts w:ascii="Arial" w:cs="Arial" w:eastAsia="Arial" w:hAnsi="Arial"/>
          <w:sz w:val="22"/>
          <w:szCs w:val="22"/>
          <w:color w:val="auto"/>
        </w:rPr>
        <w:t xml:space="preserve"> (and the cash so deposited shall be held, invested and applied by such Issuing Bank in a manner consistent with the investment and other procedures described in </w:t>
      </w:r>
      <w:r>
        <w:rPr>
          <w:rFonts w:ascii="Arial" w:cs="Arial" w:eastAsia="Arial" w:hAnsi="Arial"/>
          <w:sz w:val="22"/>
          <w:szCs w:val="22"/>
          <w:u w:val="single" w:color="auto"/>
          <w:color w:val="auto"/>
        </w:rPr>
        <w:t>Section 3.01(j)</w:t>
      </w:r>
      <w:r>
        <w:rPr>
          <w:rFonts w:ascii="Arial" w:cs="Arial" w:eastAsia="Arial" w:hAnsi="Arial"/>
          <w:sz w:val="22"/>
          <w:szCs w:val="22"/>
          <w:color w:val="auto"/>
        </w:rPr>
        <w:t>) for so long as such LC Exposure is outstanding;</w:t>
      </w:r>
    </w:p>
    <w:p>
      <w:pPr>
        <w:spacing w:after="0" w:line="233" w:lineRule="exact"/>
        <w:rPr>
          <w:sz w:val="20"/>
          <w:szCs w:val="20"/>
          <w:color w:val="auto"/>
        </w:rPr>
      </w:pPr>
    </w:p>
    <w:p>
      <w:pPr>
        <w:jc w:val="both"/>
        <w:ind w:left="1300" w:firstLine="653"/>
        <w:spacing w:after="0" w:line="250" w:lineRule="auto"/>
        <w:tabs>
          <w:tab w:leader="none" w:pos="250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if the Borrowers cash collateralize any portion of such Defaulting Lender’s LC Exposure pursuant to clause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the Borrowers shall not be required to pay any fees to such Defaulting Lender pursuant to </w:t>
      </w:r>
      <w:r>
        <w:rPr>
          <w:rFonts w:ascii="Arial" w:cs="Arial" w:eastAsia="Arial" w:hAnsi="Arial"/>
          <w:sz w:val="22"/>
          <w:szCs w:val="22"/>
          <w:u w:val="single" w:color="auto"/>
          <w:color w:val="auto"/>
        </w:rPr>
        <w:t>Section 2.09(b)(i)</w:t>
      </w:r>
      <w:r>
        <w:rPr>
          <w:rFonts w:ascii="Arial" w:cs="Arial" w:eastAsia="Arial" w:hAnsi="Arial"/>
          <w:sz w:val="22"/>
          <w:szCs w:val="22"/>
          <w:color w:val="auto"/>
        </w:rPr>
        <w:t xml:space="preserve"> with respect to such Defaulting Lender’s LC Exposure during the period such Defaulting Lender’s LC Exposure is cash collateralized;</w:t>
      </w:r>
    </w:p>
    <w:p>
      <w:pPr>
        <w:spacing w:after="0" w:line="228" w:lineRule="exact"/>
        <w:rPr>
          <w:rFonts w:ascii="Arial" w:cs="Arial" w:eastAsia="Arial" w:hAnsi="Arial"/>
          <w:sz w:val="22"/>
          <w:szCs w:val="22"/>
          <w:color w:val="auto"/>
        </w:rPr>
      </w:pPr>
    </w:p>
    <w:p>
      <w:pPr>
        <w:jc w:val="both"/>
        <w:ind w:left="1300" w:firstLine="653"/>
        <w:spacing w:after="0" w:line="312" w:lineRule="auto"/>
        <w:tabs>
          <w:tab w:leader="none" w:pos="24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if the LC Exposure of the non-Defaulting Lenders is reallocated pursuant to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above, then the Letter of Credit participation fees payable to the Lenders pursuant to </w:t>
      </w:r>
      <w:r>
        <w:rPr>
          <w:rFonts w:ascii="Arial" w:cs="Arial" w:eastAsia="Arial" w:hAnsi="Arial"/>
          <w:sz w:val="19"/>
          <w:szCs w:val="19"/>
          <w:u w:val="single" w:color="auto"/>
          <w:color w:val="auto"/>
        </w:rPr>
        <w:t>Section 2.09(b)(i)</w:t>
      </w:r>
      <w:r>
        <w:rPr>
          <w:rFonts w:ascii="Arial" w:cs="Arial" w:eastAsia="Arial" w:hAnsi="Arial"/>
          <w:sz w:val="19"/>
          <w:szCs w:val="19"/>
          <w:color w:val="auto"/>
        </w:rPr>
        <w:t xml:space="preserve"> shall be adjusted in accordance with such non-Defaulting Lenders’ Applicable Percentages after giving effect to such reallocation; and</w:t>
      </w:r>
    </w:p>
    <w:p>
      <w:pPr>
        <w:spacing w:after="0" w:line="174" w:lineRule="exact"/>
        <w:rPr>
          <w:rFonts w:ascii="Arial" w:cs="Arial" w:eastAsia="Arial" w:hAnsi="Arial"/>
          <w:sz w:val="19"/>
          <w:szCs w:val="19"/>
          <w:color w:val="auto"/>
        </w:rPr>
      </w:pPr>
    </w:p>
    <w:p>
      <w:pPr>
        <w:jc w:val="both"/>
        <w:ind w:left="1300" w:firstLine="653"/>
        <w:spacing w:after="0" w:line="290" w:lineRule="auto"/>
        <w:tabs>
          <w:tab w:leader="none" w:pos="26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if all or any portion of such Defaulting Lender’s LC Exposure is neither reallocated nor cash collateralized pursuant to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then, without prejudice to any rights or remedies of any Issuing Bank or any other Lender hereunder, all facility fees that otherwise would have been payable to such Defaulting Lender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Arial" w:cs="Arial" w:eastAsia="Arial" w:hAnsi="Arial"/>
          <w:sz w:val="19"/>
          <w:szCs w:val="19"/>
          <w:u w:val="single" w:color="auto"/>
          <w:color w:val="auto"/>
        </w:rPr>
        <w:t>Section 2.09(b)(i)</w:t>
      </w:r>
      <w:r>
        <w:rPr>
          <w:rFonts w:ascii="Arial" w:cs="Arial" w:eastAsia="Arial" w:hAnsi="Arial"/>
          <w:sz w:val="19"/>
          <w:szCs w:val="19"/>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w:t>
      </w:r>
    </w:p>
    <w:p>
      <w:pPr>
        <w:spacing w:after="0" w:line="197" w:lineRule="exact"/>
        <w:rPr>
          <w:sz w:val="20"/>
          <w:szCs w:val="20"/>
          <w:color w:val="auto"/>
        </w:rPr>
      </w:pPr>
    </w:p>
    <w:p>
      <w:pPr>
        <w:jc w:val="both"/>
        <w:ind w:left="660" w:firstLine="1293"/>
        <w:spacing w:after="0" w:line="260" w:lineRule="auto"/>
        <w:tabs>
          <w:tab w:leader="none" w:pos="2598"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so long as any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Arial" w:cs="Arial" w:eastAsia="Arial" w:hAnsi="Arial"/>
          <w:sz w:val="21"/>
          <w:szCs w:val="21"/>
          <w:u w:val="single" w:color="auto"/>
          <w:color w:val="auto"/>
        </w:rPr>
        <w:t>Section 2.17(a)(iii)(B)</w:t>
      </w:r>
      <w:r>
        <w:rPr>
          <w:rFonts w:ascii="Arial" w:cs="Arial" w:eastAsia="Arial" w:hAnsi="Arial"/>
          <w:sz w:val="21"/>
          <w:szCs w:val="21"/>
          <w:color w:val="auto"/>
        </w:rPr>
        <w:t xml:space="preserve">, and participating interests in any newly made Swingline Loan or any newly issued or increased Letter of Credit shall be allocated among non-Defaulting Lenders in a manner consistent with </w:t>
      </w:r>
      <w:r>
        <w:rPr>
          <w:rFonts w:ascii="Arial" w:cs="Arial" w:eastAsia="Arial" w:hAnsi="Arial"/>
          <w:sz w:val="21"/>
          <w:szCs w:val="21"/>
          <w:u w:val="single" w:color="auto"/>
          <w:color w:val="auto"/>
        </w:rPr>
        <w:t>Section 2.17(a)(iii)(A)</w:t>
      </w:r>
      <w:r>
        <w:rPr>
          <w:rFonts w:ascii="Arial" w:cs="Arial" w:eastAsia="Arial" w:hAnsi="Arial"/>
          <w:sz w:val="21"/>
          <w:szCs w:val="21"/>
          <w:color w:val="auto"/>
        </w:rPr>
        <w:t xml:space="preserve"> (and such Defaulting Lender shall not participate therein);</w:t>
      </w:r>
    </w:p>
    <w:p>
      <w:pPr>
        <w:spacing w:after="0" w:line="221" w:lineRule="exact"/>
        <w:rPr>
          <w:rFonts w:ascii="Arial" w:cs="Arial" w:eastAsia="Arial" w:hAnsi="Arial"/>
          <w:sz w:val="21"/>
          <w:szCs w:val="21"/>
          <w:color w:val="auto"/>
        </w:rPr>
      </w:pPr>
    </w:p>
    <w:p>
      <w:pPr>
        <w:jc w:val="both"/>
        <w:ind w:firstLine="1305"/>
        <w:spacing w:after="0" w:line="253" w:lineRule="auto"/>
        <w:tabs>
          <w:tab w:leader="none" w:pos="18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The rights and remedies against, and with respect to, a Defaulting Lender under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are in addition to, and cumulative and not in limitation of, all other rights and remedies that the Administrative Agent and each Lender, Issuing Bank, Swingline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75"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Borrower or any other Obligor may at any time have against, or with respect to, such Defaulting Lender.</w:t>
      </w:r>
    </w:p>
    <w:p>
      <w:pPr>
        <w:spacing w:after="0" w:line="260" w:lineRule="exact"/>
        <w:rPr>
          <w:sz w:val="20"/>
          <w:szCs w:val="20"/>
          <w:color w:val="auto"/>
        </w:rPr>
      </w:pPr>
    </w:p>
    <w:p>
      <w:pPr>
        <w:jc w:val="both"/>
        <w:ind w:firstLine="1305"/>
        <w:spacing w:after="0" w:line="247" w:lineRule="auto"/>
        <w:tabs>
          <w:tab w:leader="none" w:pos="175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event that the Administrative Agent, the Borrowers, the Swingline Lender and the Issuing Banks agree in writing that a Defaulting Lender has adequately remedied all matters that caused such Lender to be a Defaulting Lender, then the Swingline Exposures and LC Exposures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LETTERS OF CREDIT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8" w:lineRule="auto"/>
        <w:tabs>
          <w:tab w:leader="none" w:pos="1766"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any Borrower may request that any Issuing Bank issue Letters of Credit, denominated in Dollars or any Alternative Currency, for such Borrower’s account, in a form reasonably acceptable to the Administrative Agent and such Issuing Bank, at any time and from time to time during (i) in the event such Issuing Bank is also a Non-Extending Lender, the Availability Period applicable to Non-Extending Lenders and (ii) in the event such Issuing Bank is also an Extending Lender, the Availability Period applicable to Extending Lenders. Notwithstanding the foregoing, the letters of credit identified on </w:t>
      </w:r>
      <w:r>
        <w:rPr>
          <w:rFonts w:ascii="Arial" w:cs="Arial" w:eastAsia="Arial" w:hAnsi="Arial"/>
          <w:sz w:val="21"/>
          <w:szCs w:val="21"/>
          <w:u w:val="single" w:color="auto"/>
          <w:color w:val="auto"/>
        </w:rPr>
        <w:t>Schedule 3.01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Existing Letters of Credit</w:t>
      </w:r>
      <w:r>
        <w:rPr>
          <w:rFonts w:ascii="Arial" w:cs="Arial" w:eastAsia="Arial" w:hAnsi="Arial"/>
          <w:sz w:val="21"/>
          <w:szCs w:val="21"/>
          <w:color w:val="auto"/>
        </w:rPr>
        <w:t xml:space="preserve">”) shall be deemed to be “Letters of Credit” issued on the Effective Date for all purposes of the Loan Documents. In the event of any inconsistency between the terms and conditions of this Agreement and the terms and conditions of any form of letter of credit application or other agreement submitted by any Borrower to, or entered into by any Borrower with, any Issuing Bank relating to any Letter of Credit, the terms and conditions of this Agreement shall control. Nothing contained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is intended to limit or restrict the rights of any Borrower or any Restricted Subsidiary to obtain letters of credit otherwise permitted by this Agreement from any Person, regardless of whether such Person is a party hereto.</w:t>
      </w:r>
    </w:p>
    <w:p>
      <w:pPr>
        <w:spacing w:after="0" w:line="220" w:lineRule="exact"/>
        <w:rPr>
          <w:rFonts w:ascii="Arial" w:cs="Arial" w:eastAsia="Arial" w:hAnsi="Arial"/>
          <w:sz w:val="21"/>
          <w:szCs w:val="21"/>
          <w:color w:val="auto"/>
        </w:rPr>
      </w:pPr>
    </w:p>
    <w:p>
      <w:pPr>
        <w:jc w:val="both"/>
        <w:ind w:firstLine="1305"/>
        <w:spacing w:after="0" w:line="288" w:lineRule="auto"/>
        <w:tabs>
          <w:tab w:leader="none" w:pos="180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by any Issuing Bank (or the amendment, renewal or extension of an outstanding Letter of Credit issued by any Issuing Bank), a Borrower shall hand deliver or transmit by facsimile (or transmit by electronic communication, if arrangements for doing so have been approved by such Issuing Bank) to such Issuing Bank and the Administrative Agent not later than 11:00 a.m., New York City time, (i) three Business Days before the proposed date such Letter of Credit is to be issued and (ii) one Business Day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Section 3.01(c)</w:t>
      </w:r>
      <w:r>
        <w:rPr>
          <w:rFonts w:ascii="Arial" w:cs="Arial" w:eastAsia="Arial" w:hAnsi="Arial"/>
          <w:sz w:val="19"/>
          <w:szCs w:val="19"/>
          <w:color w:val="auto"/>
        </w:rPr>
        <w:t>), the amount of such Letter of Credit, the name and address of the beneficiary thereof and such other information as shall be necessary to prepare, amend, renew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75" w:right="239" w:bottom="1440" w:gutter="0" w:footer="0" w:header="0"/>
        </w:sectPr>
      </w:pPr>
    </w:p>
    <w:bookmarkStart w:id="110" w:name="page111"/>
    <w:bookmarkEnd w:id="110"/>
    <w:p>
      <w:pPr>
        <w:jc w:val="both"/>
        <w:spacing w:after="0" w:line="286" w:lineRule="auto"/>
        <w:rPr>
          <w:sz w:val="20"/>
          <w:szCs w:val="20"/>
          <w:color w:val="auto"/>
        </w:rPr>
      </w:pPr>
      <w:r>
        <w:rPr>
          <w:rFonts w:ascii="Arial" w:cs="Arial" w:eastAsia="Arial" w:hAnsi="Arial"/>
          <w:sz w:val="19"/>
          <w:szCs w:val="19"/>
          <w:color w:val="auto"/>
        </w:rPr>
        <w:t xml:space="preserve">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LC Sublimit, (ii) the Total Revolving Credit Exposure shall not exceed the Aggregate Commitments, and (iii) the portion of the Total LC Exposure attributable to Letters of Credit issued by such Issuing Bank will not, unless such Issuing Bank shall so agree, exceed the LC Commitment of such Issuing Bank.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shall not then be satisfied, then, subject to the terms and conditions hereof, such Issuing Bank shall, on the requested date, issue, amend, renew or extend, as applicable, such Letter of Credit. Upon the date of issuance, amendment, renewal or extension of any Letter of Credit by the applicable Issuing Bank, such Issuing Bank shall promptly notify the Administrative Agent of such issuance, amendment, renewal or extension of such Letter of Credit, the amount available for drawing thereunder as of such date, and the expiry date thereof.</w:t>
      </w:r>
    </w:p>
    <w:p>
      <w:pPr>
        <w:spacing w:after="0" w:line="200" w:lineRule="exact"/>
        <w:rPr>
          <w:sz w:val="20"/>
          <w:szCs w:val="20"/>
          <w:color w:val="auto"/>
        </w:rPr>
      </w:pPr>
    </w:p>
    <w:p>
      <w:pPr>
        <w:spacing w:after="0" w:line="260" w:lineRule="exact"/>
        <w:rPr>
          <w:sz w:val="20"/>
          <w:szCs w:val="20"/>
          <w:color w:val="auto"/>
        </w:rPr>
      </w:pPr>
    </w:p>
    <w:p>
      <w:pPr>
        <w:jc w:val="both"/>
        <w:ind w:firstLine="1305"/>
        <w:spacing w:after="0" w:line="253" w:lineRule="auto"/>
        <w:tabs>
          <w:tab w:leader="none" w:pos="175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Each Letter of Credit shall expire on or prior to the date that is three Business Days prior to (i) with respect to each Issuing Bank that is also a Non-Extending Lender, the Existing Maturity Date and (ii) with respect to each Issuing Bank that is also an Extending Lender, the Extended Maturity Date.</w:t>
      </w:r>
    </w:p>
    <w:p>
      <w:pPr>
        <w:spacing w:after="0" w:line="226" w:lineRule="exact"/>
        <w:rPr>
          <w:rFonts w:ascii="Arial" w:cs="Arial" w:eastAsia="Arial" w:hAnsi="Arial"/>
          <w:sz w:val="22"/>
          <w:szCs w:val="22"/>
          <w:color w:val="auto"/>
        </w:rPr>
      </w:pPr>
    </w:p>
    <w:p>
      <w:pPr>
        <w:jc w:val="both"/>
        <w:ind w:firstLine="1305"/>
        <w:spacing w:after="0" w:line="286" w:lineRule="auto"/>
        <w:tabs>
          <w:tab w:leader="none" w:pos="185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the Dollar Equivalent Amount of each LC Disbursement made by such Issuing Bank and not reimbursed by the Borrowers on the date due as provided in </w:t>
      </w:r>
      <w:r>
        <w:rPr>
          <w:rFonts w:ascii="Arial" w:cs="Arial" w:eastAsia="Arial" w:hAnsi="Arial"/>
          <w:sz w:val="19"/>
          <w:szCs w:val="19"/>
          <w:u w:val="single" w:color="auto"/>
          <w:color w:val="auto"/>
        </w:rPr>
        <w:t>Section 3.01(e)</w:t>
      </w:r>
      <w:r>
        <w:rPr>
          <w:rFonts w:ascii="Arial" w:cs="Arial" w:eastAsia="Arial" w:hAnsi="Arial"/>
          <w:sz w:val="19"/>
          <w:szCs w:val="19"/>
          <w:color w:val="auto"/>
        </w:rPr>
        <w:t>,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For the avoidance of doubt, no Non-Extending Lender shall have any obligation to participate in any Letter of Credit issued on or after the Existing Maturity Date.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75" w:right="239" w:bottom="1440" w:gutter="0" w:footer="0" w:header="0"/>
        </w:sectPr>
      </w:pPr>
    </w:p>
    <w:bookmarkStart w:id="111" w:name="page112"/>
    <w:bookmarkEnd w:id="111"/>
    <w:p>
      <w:pPr>
        <w:jc w:val="both"/>
        <w:ind w:firstLine="1305"/>
        <w:spacing w:after="0" w:line="284" w:lineRule="auto"/>
        <w:tabs>
          <w:tab w:leader="none" w:pos="1847"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any Issuing Bank shall make any LC Disbursement in respect of a Letter of Credit, the Borrowers, jointly and severally, shall reimburse such LC Disbursement by paying to the Administrative Agent an amount equal to such LC Disbursement in the same currency as the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the minimum amount for an ABR Borrowing or a Swingline Loan as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as applicable, any Borrower may, at its election and subject to the conditions to borrowing set forth herein, request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as applicable, that such payment be financed with an ABR Borrowing or a Swingline Loan in the Dollar Equivalent amount thereof and, to the extent so financed, the Borrowers’ obligation to make such payment shall be discharged and replaced by the resulting ABR Borrowing or Swingline Loan. If the Borrowers fail to make such payment when due, the Administrative Agent shall notify each Lender of the applicable LC Disbursement, the payment then due from the Borrowers in respect thereof and such Lender’s Applicable Percentage of the Dollar Equivalent thereof. Promptly following receipt of such notice, each Lender shall pay to the Administrative Agent its Applicable Percentage of the Dollar Equivalent of the payment then due from the Borrowers, in the same manner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with respect to Revolving Credit Loans made by such Lender (and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applicable Issuing Bank the amounts so received by it from the Lenders. Promptly following receipt by the Administrative Agent of any payment from a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Borrowings or a Swingline Loan as contemplated above) shall not constitute a Loan and shall not relieve any Borrower of its obligation to reimburse such LC Disbursement. Notwithstanding anything to the contrary contained herein, the Non-Extending Lenders shall not have any obligation to reimburse any Issuing Bank for any LC Disbursement made under any Carry-Over Letter of Credit that occurs on or after the Extended Maturity Date or in any Letter of Credit Issued on or after the Existing Maturity Date.</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1305"/>
        <w:spacing w:after="0" w:line="285" w:lineRule="auto"/>
        <w:tabs>
          <w:tab w:leader="none" w:pos="1931"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joint and several obligations to reimburse LC Disbursements as provided in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w:t>
      </w:r>
    </w:p>
    <w:p>
      <w:pPr>
        <w:spacing w:after="0" w:line="3" w:lineRule="exact"/>
        <w:rPr>
          <w:rFonts w:ascii="Arial" w:cs="Arial" w:eastAsia="Arial" w:hAnsi="Arial"/>
          <w:sz w:val="19"/>
          <w:szCs w:val="19"/>
          <w:color w:val="auto"/>
        </w:rPr>
      </w:pPr>
    </w:p>
    <w:p>
      <w:pPr>
        <w:jc w:val="both"/>
        <w:ind w:firstLine="8"/>
        <w:spacing w:after="0" w:line="244" w:lineRule="auto"/>
        <w:tabs>
          <w:tab w:leader="none" w:pos="39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75" w:right="239" w:bottom="1440" w:gutter="0" w:footer="0" w:header="0"/>
        </w:sectPr>
      </w:pPr>
    </w:p>
    <w:bookmarkStart w:id="112" w:name="page113"/>
    <w:bookmarkEnd w:id="112"/>
    <w:p>
      <w:pPr>
        <w:jc w:val="both"/>
        <w:spacing w:after="0" w:line="285" w:lineRule="auto"/>
        <w:rPr>
          <w:sz w:val="20"/>
          <w:szCs w:val="20"/>
          <w:color w:val="auto"/>
        </w:rPr>
      </w:pPr>
      <w:r>
        <w:rPr>
          <w:rFonts w:ascii="Arial" w:cs="Arial" w:eastAsia="Arial" w:hAnsi="Arial"/>
          <w:sz w:val="19"/>
          <w:szCs w:val="19"/>
          <w:color w:val="auto"/>
        </w:rPr>
        <w:t xml:space="preserve">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sz w:val="20"/>
          <w:szCs w:val="20"/>
          <w:color w:val="auto"/>
        </w:rPr>
      </w:pPr>
    </w:p>
    <w:p>
      <w:pPr>
        <w:jc w:val="both"/>
        <w:ind w:firstLine="1305"/>
        <w:spacing w:after="0" w:line="294" w:lineRule="auto"/>
        <w:tabs>
          <w:tab w:leader="none" w:pos="1954"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issued by such Issuing Bank. Such Issuing Bank shall promptly notify the Administrative Agent and the Borrower for whose account the Letter of Credit was issued by telephone (confirmed by facsimile) of such demand for payment and whether such Issuing Bank has made or shall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Borrowers of their obligation to reimburse such Issuing Bank and the Lenders with respect to any such LC Disbursement.</w:t>
      </w:r>
    </w:p>
    <w:p>
      <w:pPr>
        <w:spacing w:after="0" w:line="190" w:lineRule="exact"/>
        <w:rPr>
          <w:rFonts w:ascii="Arial" w:cs="Arial" w:eastAsia="Arial" w:hAnsi="Arial"/>
          <w:sz w:val="19"/>
          <w:szCs w:val="19"/>
          <w:color w:val="auto"/>
        </w:rPr>
      </w:pPr>
    </w:p>
    <w:p>
      <w:pPr>
        <w:jc w:val="both"/>
        <w:ind w:firstLine="1305"/>
        <w:spacing w:after="0" w:line="292" w:lineRule="auto"/>
        <w:tabs>
          <w:tab w:leader="none" w:pos="180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rate per annum then applicable to ABR Borrowings;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fail to reimburse such LC Disbursement when due pursuant to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2.10(d)(ii)</w:t>
      </w:r>
      <w:r>
        <w:rPr>
          <w:rFonts w:ascii="Arial" w:cs="Arial" w:eastAsia="Arial" w:hAnsi="Arial"/>
          <w:sz w:val="19"/>
          <w:szCs w:val="19"/>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9"/>
          <w:szCs w:val="19"/>
          <w:u w:val="single" w:color="auto"/>
          <w:color w:val="auto"/>
        </w:rPr>
        <w:t>Section 3.01(d)</w:t>
      </w:r>
      <w:r>
        <w:rPr>
          <w:rFonts w:ascii="Arial" w:cs="Arial" w:eastAsia="Arial" w:hAnsi="Arial"/>
          <w:sz w:val="19"/>
          <w:szCs w:val="19"/>
          <w:color w:val="auto"/>
        </w:rPr>
        <w:t xml:space="preserve"> to reimburse such Issuing Bank shall be for the account of such Lender to the extent of such payment.</w:t>
      </w:r>
    </w:p>
    <w:p>
      <w:pPr>
        <w:spacing w:after="0" w:line="192" w:lineRule="exact"/>
        <w:rPr>
          <w:rFonts w:ascii="Arial" w:cs="Arial" w:eastAsia="Arial" w:hAnsi="Arial"/>
          <w:sz w:val="19"/>
          <w:szCs w:val="19"/>
          <w:color w:val="auto"/>
        </w:rPr>
      </w:pPr>
    </w:p>
    <w:p>
      <w:pPr>
        <w:ind w:left="1720" w:hanging="415"/>
        <w:spacing w:after="0"/>
        <w:tabs>
          <w:tab w:leader="none" w:pos="172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Modification and Termination of LC Commitments of Issuing Banks</w:t>
      </w:r>
      <w:r>
        <w:rPr>
          <w:rFonts w:ascii="Arial" w:cs="Arial" w:eastAsia="Arial" w:hAnsi="Arial"/>
          <w:sz w:val="22"/>
          <w:szCs w:val="2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75" w:right="239" w:bottom="1440" w:gutter="0" w:footer="0" w:header="0"/>
        </w:sectPr>
      </w:pPr>
    </w:p>
    <w:bookmarkStart w:id="113" w:name="page114"/>
    <w:bookmarkEnd w:id="113"/>
    <w:p>
      <w:pPr>
        <w:jc w:val="both"/>
        <w:ind w:left="4" w:firstLine="1293"/>
        <w:spacing w:after="0" w:line="292" w:lineRule="auto"/>
        <w:tabs>
          <w:tab w:leader="none" w:pos="1832" w:val="left"/>
        </w:tabs>
        <w:numPr>
          <w:ilvl w:val="2"/>
          <w:numId w:val="109"/>
        </w:numPr>
        <w:rPr>
          <w:rFonts w:ascii="Arial" w:cs="Arial" w:eastAsia="Arial" w:hAnsi="Arial"/>
          <w:sz w:val="19"/>
          <w:szCs w:val="19"/>
          <w:color w:val="auto"/>
        </w:rPr>
      </w:pPr>
      <w:r>
        <w:rPr>
          <w:rFonts w:ascii="Arial" w:cs="Arial" w:eastAsia="Arial" w:hAnsi="Arial"/>
          <w:sz w:val="19"/>
          <w:szCs w:val="19"/>
          <w:color w:val="auto"/>
        </w:rPr>
        <w:t xml:space="preserve">The LC Commitment of any Issuing Bank may be terminated at any time by written notice by the Borrowers to the Administrative Agent and such Issuing Bank.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to remove such Issuing Bank from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left="4" w:firstLine="1293"/>
        <w:spacing w:after="0" w:line="283" w:lineRule="auto"/>
        <w:tabs>
          <w:tab w:leader="none" w:pos="1798" w:val="left"/>
        </w:tabs>
        <w:numPr>
          <w:ilvl w:val="2"/>
          <w:numId w:val="109"/>
        </w:numPr>
        <w:rPr>
          <w:rFonts w:ascii="Arial" w:cs="Arial" w:eastAsia="Arial" w:hAnsi="Arial"/>
          <w:sz w:val="19"/>
          <w:szCs w:val="19"/>
          <w:color w:val="auto"/>
        </w:rPr>
      </w:pPr>
      <w:r>
        <w:rPr>
          <w:rFonts w:ascii="Arial" w:cs="Arial" w:eastAsia="Arial" w:hAnsi="Arial"/>
          <w:sz w:val="19"/>
          <w:szCs w:val="19"/>
          <w:color w:val="auto"/>
        </w:rPr>
        <w:t xml:space="preserve">By written notice to the Borrowers, each Issuing Bank may from time to time request that such Issuing Bank’s LC Commitment be increased, decreased or terminated. Within ten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 Following receipt by the Administrative Agent of the Borrowers’ acceptance of such modification or termination, the Administrative Agent shall amend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to either</w:t>
      </w:r>
    </w:p>
    <w:p>
      <w:pPr>
        <w:spacing w:after="0" w:line="7" w:lineRule="exact"/>
        <w:rPr>
          <w:rFonts w:ascii="Arial" w:cs="Arial" w:eastAsia="Arial" w:hAnsi="Arial"/>
          <w:sz w:val="19"/>
          <w:szCs w:val="19"/>
          <w:color w:val="auto"/>
        </w:rPr>
      </w:pPr>
    </w:p>
    <w:p>
      <w:pPr>
        <w:ind w:left="4" w:right="20" w:hanging="4"/>
        <w:spacing w:after="0" w:line="246" w:lineRule="auto"/>
        <w:tabs>
          <w:tab w:leader="none" w:pos="31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reflect the amount of such Issuing Bank’s modified LC Commitment or (b) in the event of a termination, remove such Issuing Bank from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4" w:hanging="415"/>
        <w:spacing w:after="0"/>
        <w:tabs>
          <w:tab w:leader="none" w:pos="1064"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Cash Collateralization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4" w:firstLine="1293"/>
        <w:spacing w:after="0" w:line="257" w:lineRule="auto"/>
        <w:tabs>
          <w:tab w:leader="none" w:pos="1823" w:val="left"/>
        </w:tabs>
        <w:numPr>
          <w:ilvl w:val="2"/>
          <w:numId w:val="110"/>
        </w:numPr>
        <w:rPr>
          <w:rFonts w:ascii="Arial" w:cs="Arial" w:eastAsia="Arial" w:hAnsi="Arial"/>
          <w:sz w:val="21"/>
          <w:szCs w:val="21"/>
          <w:color w:val="auto"/>
        </w:rPr>
      </w:pPr>
      <w:r>
        <w:rPr>
          <w:rFonts w:ascii="Arial" w:cs="Arial" w:eastAsia="Arial" w:hAnsi="Arial"/>
          <w:sz w:val="21"/>
          <w:szCs w:val="21"/>
          <w:color w:val="auto"/>
        </w:rPr>
        <w:t xml:space="preserve">If (A) any Event of Default shall occur and be continuing, on the Business Day that the Borrowers receive notice from the Administrative Agent or the Required Lenders (or, if the maturity of the Loans has been accelerated, Lenders with LC Exposures representing greater than 50% of the Total LC Exposure) demanding the deposit of cash collateral pursuant to this paragraph, (B) on the Existing Maturity Date any portion of the Carry-Over LC Exposure required by </w:t>
      </w:r>
      <w:r>
        <w:rPr>
          <w:rFonts w:ascii="Arial" w:cs="Arial" w:eastAsia="Arial" w:hAnsi="Arial"/>
          <w:sz w:val="21"/>
          <w:szCs w:val="21"/>
          <w:u w:val="single" w:color="auto"/>
          <w:color w:val="auto"/>
        </w:rPr>
        <w:t>Section 2.06(a)(iii)</w:t>
      </w:r>
      <w:r>
        <w:rPr>
          <w:rFonts w:ascii="Arial" w:cs="Arial" w:eastAsia="Arial" w:hAnsi="Arial"/>
          <w:sz w:val="21"/>
          <w:szCs w:val="21"/>
          <w:color w:val="auto"/>
        </w:rPr>
        <w:t xml:space="preserve"> or (C) the Borrowers are required to cash collateralize LC Exposure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the Borrowers shall deposit in an account maintained with the Administrative Agent, in the name of the Administrative Agent and for the benefit of the Issuing Banks and the Lenders (the “</w:t>
      </w:r>
      <w:r>
        <w:rPr>
          <w:rFonts w:ascii="Arial" w:cs="Arial" w:eastAsia="Arial" w:hAnsi="Arial"/>
          <w:sz w:val="21"/>
          <w:szCs w:val="21"/>
          <w:u w:val="single" w:color="auto"/>
          <w:color w:val="auto"/>
        </w:rPr>
        <w:t>LC Collateral Account</w:t>
      </w:r>
      <w:r>
        <w:rPr>
          <w:rFonts w:ascii="Arial" w:cs="Arial" w:eastAsia="Arial" w:hAnsi="Arial"/>
          <w:sz w:val="21"/>
          <w:szCs w:val="21"/>
          <w:color w:val="auto"/>
        </w:rPr>
        <w:t xml:space="preserve">”), an amount in cash equal to (x) in the case of clause (A) immediately above, 105% of the Total LC Exposure as of such date plus any accrued and unpaid interest thereon;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joint and several obligation of the Borrowers to deposit such cash collateral shall become effective immediately, and such deposit shall become immediately due and payable, without demand or other notice of any kind, upon the occurrence of any Event of Default with respect to a Borrower described in clause </w:t>
      </w:r>
      <w:r>
        <w:rPr>
          <w:rFonts w:ascii="Arial" w:cs="Arial" w:eastAsia="Arial" w:hAnsi="Arial"/>
          <w:sz w:val="21"/>
          <w:szCs w:val="21"/>
          <w:u w:val="single" w:color="auto"/>
          <w:color w:val="auto"/>
        </w:rPr>
        <w:t>(g)</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(h)</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or (y) in the case of clause (B) immediately above, 105% of the aggregate amount of Carry-Over LC Exposure that could not be</w:t>
      </w:r>
    </w:p>
    <w:p>
      <w:pPr>
        <w:spacing w:after="0" w:line="200" w:lineRule="exact"/>
        <w:rPr>
          <w:sz w:val="20"/>
          <w:szCs w:val="20"/>
          <w:color w:val="auto"/>
        </w:rPr>
      </w:pPr>
    </w:p>
    <w:p>
      <w:pPr>
        <w:spacing w:after="0" w:line="2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64"/>
          </w:cols>
          <w:pgMar w:left="896" w:top="631" w:right="239" w:bottom="1440" w:gutter="0" w:footer="0" w:header="0"/>
        </w:sectPr>
      </w:pPr>
    </w:p>
    <w:bookmarkStart w:id="114" w:name="page115"/>
    <w:bookmarkEnd w:id="114"/>
    <w:p>
      <w:pPr>
        <w:jc w:val="both"/>
        <w:ind w:left="660"/>
        <w:spacing w:after="0" w:line="284" w:lineRule="auto"/>
        <w:rPr>
          <w:sz w:val="20"/>
          <w:szCs w:val="20"/>
          <w:color w:val="auto"/>
        </w:rPr>
      </w:pPr>
      <w:r>
        <w:rPr>
          <w:rFonts w:ascii="Arial" w:cs="Arial" w:eastAsia="Arial" w:hAnsi="Arial"/>
          <w:sz w:val="19"/>
          <w:szCs w:val="19"/>
          <w:color w:val="auto"/>
        </w:rPr>
        <w:t xml:space="preserve">reallocated to the Extending Lenders issued by such Issuing Bank or (z) in the case of clause (C) immediately above, an amount necessary to satisfy the requirements of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Any such deposits pursuant to this </w:t>
      </w:r>
      <w:r>
        <w:rPr>
          <w:rFonts w:ascii="Arial" w:cs="Arial" w:eastAsia="Arial" w:hAnsi="Arial"/>
          <w:sz w:val="19"/>
          <w:szCs w:val="19"/>
          <w:u w:val="single" w:color="auto"/>
          <w:color w:val="auto"/>
        </w:rPr>
        <w:t>Section 3.01(j)(i)</w:t>
      </w:r>
      <w:r>
        <w:rPr>
          <w:rFonts w:ascii="Arial" w:cs="Arial" w:eastAsia="Arial" w:hAnsi="Arial"/>
          <w:sz w:val="19"/>
          <w:szCs w:val="19"/>
          <w:color w:val="auto"/>
        </w:rPr>
        <w:t xml:space="preserve"> shall be held by the Administrative Agent as collateral for the payment and performance of the obligations of the Borrowers under this Agreement. The Administrative Agent shall have exclusive dominion and control, as defined in the Uniform Commercial Code of the State of New York, including the exclusive right of withdrawal, over the LC Collateral Account. The Administrative Agent shall have no obligation to pay interest on the investment of such deposits, but the Administrative Agent shall invest such deposits in a manner consistent with the Administrative Agent’s management of its own overnight cash investments, which investments shall be made at the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joint and several reimbursement obligations of the Borrowers pursuant to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or, if the maturity of the Loans has been accelerated (but subject to the consent of Lenders with LC Exposures representing greater than 50% of the Total LC Exposure),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Arial" w:cs="Arial" w:eastAsia="Arial" w:hAnsi="Arial"/>
          <w:sz w:val="19"/>
          <w:szCs w:val="19"/>
          <w:u w:val="single" w:color="auto"/>
          <w:color w:val="auto"/>
        </w:rPr>
        <w:t>Section 3.01(j)(i)</w:t>
      </w:r>
      <w:r>
        <w:rPr>
          <w:rFonts w:ascii="Arial" w:cs="Arial" w:eastAsia="Arial" w:hAnsi="Arial"/>
          <w:sz w:val="19"/>
          <w:szCs w:val="19"/>
          <w:color w:val="auto"/>
        </w:rPr>
        <w:t xml:space="preserve">) shall be returned to the Borrowers within three Business Days after all Events of Default have been cured or waived, (2) as a result of Carry-Over LC Exposure that has not been reallocated to the Extending Lenders, such cash collateral (to the extent not applied as provided in this </w:t>
      </w:r>
      <w:r>
        <w:rPr>
          <w:rFonts w:ascii="Arial" w:cs="Arial" w:eastAsia="Arial" w:hAnsi="Arial"/>
          <w:sz w:val="19"/>
          <w:szCs w:val="19"/>
          <w:u w:val="single" w:color="auto"/>
          <w:color w:val="auto"/>
        </w:rPr>
        <w:t>Section 3.01(j)(i)</w:t>
      </w:r>
      <w:r>
        <w:rPr>
          <w:rFonts w:ascii="Arial" w:cs="Arial" w:eastAsia="Arial" w:hAnsi="Arial"/>
          <w:sz w:val="19"/>
          <w:szCs w:val="19"/>
          <w:color w:val="auto"/>
        </w:rPr>
        <w:t xml:space="preserve">) shall be returned to the Borrowers within three Business Days after the date described in </w:t>
      </w:r>
      <w:r>
        <w:rPr>
          <w:rFonts w:ascii="Arial" w:cs="Arial" w:eastAsia="Arial" w:hAnsi="Arial"/>
          <w:sz w:val="19"/>
          <w:szCs w:val="19"/>
          <w:u w:val="single" w:color="auto"/>
          <w:color w:val="auto"/>
        </w:rPr>
        <w:t>Section 2.06(a)(iii)</w:t>
      </w:r>
      <w:r>
        <w:rPr>
          <w:rFonts w:ascii="Arial" w:cs="Arial" w:eastAsia="Arial" w:hAnsi="Arial"/>
          <w:sz w:val="19"/>
          <w:szCs w:val="19"/>
          <w:color w:val="auto"/>
        </w:rPr>
        <w:t xml:space="preserve"> or (3)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the Total Revolving Credit Exposure is subsequently reduced to an amount less than the Aggregate Commitments, such cash collateral (to the extent not applied as provided in this </w:t>
      </w:r>
      <w:r>
        <w:rPr>
          <w:rFonts w:ascii="Arial" w:cs="Arial" w:eastAsia="Arial" w:hAnsi="Arial"/>
          <w:sz w:val="19"/>
          <w:szCs w:val="19"/>
          <w:u w:val="single" w:color="auto"/>
          <w:color w:val="auto"/>
        </w:rPr>
        <w:t>Section 3.01(j)(i)</w:t>
      </w:r>
      <w:r>
        <w:rPr>
          <w:rFonts w:ascii="Arial" w:cs="Arial" w:eastAsia="Arial" w:hAnsi="Arial"/>
          <w:sz w:val="19"/>
          <w:szCs w:val="19"/>
          <w:color w:val="auto"/>
        </w:rPr>
        <w:t>) or a portion thereof shall be promptly returned to the Borrowers to the extent that the amount of the Total Revolving Credit Exposure is less than the amount of the Aggregate Commitments.</w:t>
      </w:r>
    </w:p>
    <w:p>
      <w:pPr>
        <w:spacing w:after="0" w:line="200" w:lineRule="exact"/>
        <w:rPr>
          <w:sz w:val="20"/>
          <w:szCs w:val="20"/>
          <w:color w:val="auto"/>
        </w:rPr>
      </w:pPr>
    </w:p>
    <w:p>
      <w:pPr>
        <w:spacing w:after="0" w:line="270" w:lineRule="exact"/>
        <w:rPr>
          <w:sz w:val="20"/>
          <w:szCs w:val="20"/>
          <w:color w:val="auto"/>
        </w:rPr>
      </w:pPr>
    </w:p>
    <w:p>
      <w:pPr>
        <w:jc w:val="both"/>
        <w:ind w:left="660" w:firstLine="1293"/>
        <w:spacing w:after="0" w:line="253" w:lineRule="auto"/>
        <w:tabs>
          <w:tab w:leader="none" w:pos="260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The obligations of each of the Borrowers under this Agreement and the other Loan Documents regarding Letters of Credit, including obligations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shall survive after the Extended Maturity Date and termination of this Agreement for so long as any LC Exposure exists.</w:t>
      </w:r>
    </w:p>
    <w:p>
      <w:pPr>
        <w:spacing w:after="0" w:line="226" w:lineRule="exact"/>
        <w:rPr>
          <w:rFonts w:ascii="Arial" w:cs="Arial" w:eastAsia="Arial" w:hAnsi="Arial"/>
          <w:sz w:val="22"/>
          <w:szCs w:val="22"/>
          <w:color w:val="auto"/>
        </w:rPr>
      </w:pPr>
    </w:p>
    <w:p>
      <w:pPr>
        <w:jc w:val="both"/>
        <w:ind w:firstLine="1305"/>
        <w:spacing w:after="0" w:line="259" w:lineRule="auto"/>
        <w:tabs>
          <w:tab w:leader="none" w:pos="2035"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Designation of Additional Issuing Banks</w:t>
      </w:r>
      <w:r>
        <w:rPr>
          <w:rFonts w:ascii="Arial" w:cs="Arial" w:eastAsia="Arial" w:hAnsi="Arial"/>
          <w:sz w:val="21"/>
          <w:szCs w:val="21"/>
          <w:color w:val="auto"/>
        </w:rPr>
        <w:t>. From time to time, the Borrowers may by notice to the Administrative Agent and the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21"/>
          <w:szCs w:val="21"/>
          <w:u w:val="single" w:color="auto"/>
          <w:color w:val="auto"/>
        </w:rPr>
        <w:t>Issuing Bank Agreement</w:t>
      </w:r>
      <w:r>
        <w:rPr>
          <w:rFonts w:ascii="Arial" w:cs="Arial" w:eastAsia="Arial" w:hAnsi="Arial"/>
          <w:sz w:val="21"/>
          <w:szCs w:val="21"/>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75" w:right="239" w:bottom="1440" w:gutter="0" w:footer="0" w:header="0"/>
        </w:sectPr>
      </w:pPr>
    </w:p>
    <w:bookmarkStart w:id="115" w:name="page116"/>
    <w:bookmarkEnd w:id="115"/>
    <w:p>
      <w:pPr>
        <w:jc w:val="both"/>
        <w:spacing w:after="0" w:line="271" w:lineRule="auto"/>
        <w:rPr>
          <w:sz w:val="20"/>
          <w:szCs w:val="20"/>
          <w:color w:val="auto"/>
        </w:rPr>
      </w:pPr>
      <w:r>
        <w:rPr>
          <w:rFonts w:ascii="Arial" w:cs="Arial" w:eastAsia="Arial" w:hAnsi="Arial"/>
          <w:sz w:val="21"/>
          <w:szCs w:val="21"/>
          <w:color w:val="auto"/>
        </w:rPr>
        <w:t xml:space="preserve">deemed to include such Lender in its capacity as an Issuing Bank. Following designation of an additional Issuing Bank in accordance with this </w:t>
      </w:r>
      <w:r>
        <w:rPr>
          <w:rFonts w:ascii="Arial" w:cs="Arial" w:eastAsia="Arial" w:hAnsi="Arial"/>
          <w:sz w:val="21"/>
          <w:szCs w:val="21"/>
          <w:u w:val="single" w:color="auto"/>
          <w:color w:val="auto"/>
        </w:rPr>
        <w:t>Section 3.01(k)</w:t>
      </w:r>
      <w:r>
        <w:rPr>
          <w:rFonts w:ascii="Arial" w:cs="Arial" w:eastAsia="Arial" w:hAnsi="Arial"/>
          <w:sz w:val="21"/>
          <w:szCs w:val="21"/>
          <w:color w:val="auto"/>
        </w:rPr>
        <w:t xml:space="preserve">, the Administrative Agent shall amend </w:t>
      </w:r>
      <w:r>
        <w:rPr>
          <w:rFonts w:ascii="Arial" w:cs="Arial" w:eastAsia="Arial" w:hAnsi="Arial"/>
          <w:sz w:val="21"/>
          <w:szCs w:val="21"/>
          <w:u w:val="single" w:color="auto"/>
          <w:color w:val="auto"/>
        </w:rPr>
        <w:t>Schedule 1.01B</w:t>
      </w:r>
      <w:r>
        <w:rPr>
          <w:rFonts w:ascii="Arial" w:cs="Arial" w:eastAsia="Arial" w:hAnsi="Arial"/>
          <w:sz w:val="21"/>
          <w:szCs w:val="21"/>
          <w:color w:val="auto"/>
        </w:rPr>
        <w:t xml:space="preserve"> to reflect the addition of such Issuing Bank and such Issuing Bank’s LC Commitment as provided in such Issuing Bank’s Issuing Bank Agreement.</w:t>
      </w:r>
    </w:p>
    <w:p>
      <w:pPr>
        <w:spacing w:after="0" w:line="208" w:lineRule="exact"/>
        <w:rPr>
          <w:sz w:val="20"/>
          <w:szCs w:val="20"/>
          <w:color w:val="auto"/>
        </w:rPr>
      </w:pPr>
    </w:p>
    <w:p>
      <w:pPr>
        <w:jc w:val="both"/>
        <w:ind w:firstLine="1305"/>
        <w:spacing w:after="0" w:line="261" w:lineRule="auto"/>
        <w:tabs>
          <w:tab w:leader="none" w:pos="1716"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Classification of Letters of Credit</w:t>
      </w:r>
      <w:r>
        <w:rPr>
          <w:rFonts w:ascii="Arial" w:cs="Arial" w:eastAsia="Arial" w:hAnsi="Arial"/>
          <w:sz w:val="21"/>
          <w:szCs w:val="21"/>
          <w:color w:val="auto"/>
        </w:rPr>
        <w:t>. Notwithstanding anything to the contrary contained herein, the determination of whether a Letter of Credit shall be classified as a Financial Standby Letter of Credit or a Performance Standby Letter of Credit for purposes hereof shall be made by the Issuing Bank that has issued such Letter of Credit, and such determination shall be presumed correct, absent manifest error. Upon the issuance of a Letter or Credit by an Issuing Bank, such Issuing Bank shall notify the Administrative Agent as to whether such Letter of Credit shall be classified a Financial Standby Letter of Credit or a Performance Standby Letter of Credit for purposes 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 PRO RATA TREATMENT; TAXES</w:t>
      </w:r>
    </w:p>
    <w:p>
      <w:pPr>
        <w:spacing w:after="0" w:line="24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5" w:lineRule="auto"/>
        <w:tabs>
          <w:tab w:leader="none" w:pos="181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Each Borrower shall make each payment required to be made by it hereunder (whether of principal, interest, fees or reimbursement of LC Disbursements, or of amounts payable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payments to be made directly to an Issuing Bank or a Swingline Lender as expressly provided herein shall be made directly to such Issuing Bank or such Swingline Lender, as applicable, and (ii) payments pursuant to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of any breakage indemnity in respect of any Loan) shall be made in Dollars; all other payments hereunder (except in connection with reimbursement of LC Disbursements, as specifically provided in </w:t>
      </w:r>
      <w:r>
        <w:rPr>
          <w:rFonts w:ascii="Arial" w:cs="Arial" w:eastAsia="Arial" w:hAnsi="Arial"/>
          <w:sz w:val="19"/>
          <w:szCs w:val="19"/>
          <w:u w:val="single" w:color="auto"/>
          <w:color w:val="auto"/>
        </w:rPr>
        <w:t>Section 3.01(e)</w:t>
      </w:r>
      <w:r>
        <w:rPr>
          <w:rFonts w:ascii="Arial" w:cs="Arial" w:eastAsia="Arial" w:hAnsi="Arial"/>
          <w:sz w:val="19"/>
          <w:szCs w:val="19"/>
          <w:color w:val="auto"/>
        </w:rPr>
        <w:t>)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for any reason the relevant Borrower is not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75" w:right="239" w:bottom="1440" w:gutter="0" w:footer="0" w:header="0"/>
        </w:sectPr>
      </w:pPr>
    </w:p>
    <w:bookmarkStart w:id="116" w:name="page117"/>
    <w:bookmarkEnd w:id="116"/>
    <w:p>
      <w:pPr>
        <w:jc w:val="both"/>
        <w:spacing w:after="0" w:line="290" w:lineRule="auto"/>
        <w:rPr>
          <w:sz w:val="20"/>
          <w:szCs w:val="20"/>
          <w:color w:val="auto"/>
        </w:rPr>
      </w:pPr>
      <w:r>
        <w:rPr>
          <w:rFonts w:ascii="Arial" w:cs="Arial" w:eastAsia="Arial" w:hAnsi="Arial"/>
          <w:sz w:val="19"/>
          <w:szCs w:val="19"/>
          <w:color w:val="auto"/>
        </w:rPr>
        <w:t xml:space="preserve">able to make payment to the Issuing Bank in such original currency, or the terms of this Agreement require the conversion of such Letter of Credit or the related Letter of Credit Exposure into Dollars (including as required by </w:t>
      </w:r>
      <w:r>
        <w:rPr>
          <w:rFonts w:ascii="Arial" w:cs="Arial" w:eastAsia="Arial" w:hAnsi="Arial"/>
          <w:sz w:val="19"/>
          <w:szCs w:val="19"/>
          <w:u w:val="single" w:color="auto"/>
          <w:color w:val="auto"/>
        </w:rPr>
        <w:t>Sections 3.01(c)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3.01(d)</w:t>
      </w:r>
      <w:r>
        <w:rPr>
          <w:rFonts w:ascii="Arial" w:cs="Arial" w:eastAsia="Arial" w:hAnsi="Arial"/>
          <w:sz w:val="19"/>
          <w:szCs w:val="19"/>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Letter of Credit denominated in an Alternative Currency that is not repaid to the Issuing Banks, the Administrative Agent or the Lenders, as the case may be, in the original currency.</w:t>
      </w:r>
    </w:p>
    <w:p>
      <w:pPr>
        <w:spacing w:after="0" w:line="197" w:lineRule="exact"/>
        <w:rPr>
          <w:sz w:val="20"/>
          <w:szCs w:val="20"/>
          <w:color w:val="auto"/>
        </w:rPr>
      </w:pPr>
    </w:p>
    <w:p>
      <w:pPr>
        <w:jc w:val="both"/>
        <w:ind w:firstLine="1305"/>
        <w:spacing w:after="0" w:line="247" w:lineRule="auto"/>
        <w:tabs>
          <w:tab w:leader="none" w:pos="186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22"/>
          <w:szCs w:val="22"/>
          <w:i w:val="1"/>
          <w:iCs w:val="1"/>
          <w:color w:val="auto"/>
        </w:rPr>
        <w:t>first</w:t>
      </w:r>
      <w:r>
        <w:rPr>
          <w:rFonts w:ascii="Arial" w:cs="Arial" w:eastAsia="Arial" w:hAnsi="Arial"/>
          <w:sz w:val="22"/>
          <w:szCs w:val="22"/>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2"/>
          <w:szCs w:val="22"/>
          <w:i w:val="1"/>
          <w:iCs w:val="1"/>
          <w:color w:val="auto"/>
        </w:rPr>
        <w:t>second</w:t>
      </w:r>
      <w:r>
        <w:rPr>
          <w:rFonts w:ascii="Arial" w:cs="Arial" w:eastAsia="Arial" w:hAnsi="Arial"/>
          <w:sz w:val="22"/>
          <w:szCs w:val="22"/>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234" w:lineRule="exact"/>
        <w:rPr>
          <w:rFonts w:ascii="Arial" w:cs="Arial" w:eastAsia="Arial" w:hAnsi="Arial"/>
          <w:sz w:val="22"/>
          <w:szCs w:val="22"/>
          <w:color w:val="auto"/>
        </w:rPr>
      </w:pPr>
    </w:p>
    <w:p>
      <w:pPr>
        <w:jc w:val="both"/>
        <w:ind w:firstLine="1305"/>
        <w:spacing w:after="0" w:line="285" w:lineRule="auto"/>
        <w:tabs>
          <w:tab w:leader="none" w:pos="178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firstLine="1305"/>
        <w:spacing w:after="0" w:line="263" w:lineRule="auto"/>
        <w:tabs>
          <w:tab w:leader="none" w:pos="183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a Borrower prior to the date on which any payment is due to the Administrative Agent for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75" w:right="239" w:bottom="1440" w:gutter="0" w:footer="0" w:header="0"/>
        </w:sectPr>
      </w:pPr>
    </w:p>
    <w:bookmarkStart w:id="117" w:name="page118"/>
    <w:bookmarkEnd w:id="117"/>
    <w:p>
      <w:pPr>
        <w:jc w:val="both"/>
        <w:spacing w:after="0" w:line="290" w:lineRule="auto"/>
        <w:rPr>
          <w:sz w:val="20"/>
          <w:szCs w:val="20"/>
          <w:color w:val="auto"/>
        </w:rPr>
      </w:pPr>
      <w:r>
        <w:rPr>
          <w:rFonts w:ascii="Arial" w:cs="Arial" w:eastAsia="Arial" w:hAnsi="Arial"/>
          <w:sz w:val="19"/>
          <w:szCs w:val="19"/>
          <w:color w:val="auto"/>
        </w:rPr>
        <w:t>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7" w:lineRule="exact"/>
        <w:rPr>
          <w:sz w:val="20"/>
          <w:szCs w:val="20"/>
          <w:color w:val="auto"/>
        </w:rPr>
      </w:pPr>
    </w:p>
    <w:p>
      <w:pPr>
        <w:jc w:val="both"/>
        <w:ind w:firstLine="1305"/>
        <w:spacing w:after="0" w:line="290" w:lineRule="auto"/>
        <w:tabs>
          <w:tab w:leader="none" w:pos="19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11.04(b)</w:t>
      </w:r>
      <w:r>
        <w:rPr>
          <w:rFonts w:ascii="Arial" w:cs="Arial" w:eastAsia="Arial" w:hAnsi="Arial"/>
          <w:sz w:val="19"/>
          <w:szCs w:val="19"/>
          <w:color w:val="auto"/>
        </w:rPr>
        <w:t>, then the Administrative Agent may, in its discretion and notwithstanding any contrary provision hereof, (i) apply any amounts thereafter received by the Administrative Agent for the account of such Lender for the benefit of the Administrative Agent, any Swingline Lender or any Issuing Bank to satisfy such Lender’s obligations to the Administrative Agent, such Swingline Lender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in any order as determined by the Administrative Agent in its discretion.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Taxes/Additional Payments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2" w:lineRule="auto"/>
        <w:tabs>
          <w:tab w:leader="none" w:pos="179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the Borrowers hereunder shall be made free and clear of and without deduction for any Indemnified Taxes or Other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192" w:lineRule="exact"/>
        <w:rPr>
          <w:rFonts w:ascii="Arial" w:cs="Arial" w:eastAsia="Arial" w:hAnsi="Arial"/>
          <w:sz w:val="19"/>
          <w:szCs w:val="19"/>
          <w:color w:val="auto"/>
        </w:rPr>
      </w:pPr>
    </w:p>
    <w:p>
      <w:pPr>
        <w:jc w:val="both"/>
        <w:ind w:firstLine="1305"/>
        <w:spacing w:after="0" w:line="290" w:lineRule="auto"/>
        <w:tabs>
          <w:tab w:leader="none" w:pos="178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The Borrowers, jointly and severally,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liable for any penalties, interest or expenses that result from the failure of the Administrative Agent, a Lender or an Issuing Bank to notify the Borrowers of the Indemnified Taxes or Other Taxes within 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75" w:right="239" w:bottom="1440" w:gutter="0" w:footer="0" w:header="0"/>
        </w:sectPr>
      </w:pPr>
    </w:p>
    <w:bookmarkStart w:id="118" w:name="page119"/>
    <w:bookmarkEnd w:id="118"/>
    <w:p>
      <w:pPr>
        <w:jc w:val="both"/>
        <w:spacing w:after="0" w:line="253" w:lineRule="auto"/>
        <w:rPr>
          <w:sz w:val="20"/>
          <w:szCs w:val="20"/>
          <w:color w:val="auto"/>
        </w:rPr>
      </w:pPr>
      <w:r>
        <w:rPr>
          <w:rFonts w:ascii="Arial" w:cs="Arial" w:eastAsia="Arial" w:hAnsi="Arial"/>
          <w:sz w:val="22"/>
          <w:szCs w:val="22"/>
          <w:color w:val="auto"/>
        </w:rPr>
        <w:t>reasonable period of time after becoming aware of such Indemnified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226" w:lineRule="exact"/>
        <w:rPr>
          <w:sz w:val="20"/>
          <w:szCs w:val="20"/>
          <w:color w:val="auto"/>
        </w:rPr>
      </w:pPr>
    </w:p>
    <w:p>
      <w:pPr>
        <w:jc w:val="both"/>
        <w:ind w:firstLine="1305"/>
        <w:spacing w:after="0" w:line="247" w:lineRule="auto"/>
        <w:tabs>
          <w:tab w:leader="none" w:pos="190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w:t>
      </w:r>
    </w:p>
    <w:p>
      <w:pPr>
        <w:spacing w:after="0" w:line="234" w:lineRule="exact"/>
        <w:rPr>
          <w:rFonts w:ascii="Arial" w:cs="Arial" w:eastAsia="Arial" w:hAnsi="Arial"/>
          <w:sz w:val="22"/>
          <w:szCs w:val="22"/>
          <w:color w:val="auto"/>
        </w:rPr>
      </w:pPr>
    </w:p>
    <w:p>
      <w:pPr>
        <w:jc w:val="both"/>
        <w:ind w:firstLine="1305"/>
        <w:spacing w:after="0" w:line="286" w:lineRule="auto"/>
        <w:tabs>
          <w:tab w:leader="none" w:pos="180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If the Administrative Agent or a Lender determines, in its sole discretion, that it has received a refund of any Taxes paid by a Borrower or with respect to which a Borrower has paid additional amounts pursuant to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it shall pay over such refund to such Borrower (but only to the extent of indemnity payments made, or additional amounts paid, by such Borrower under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Borrower, upon the request of the Administrative Agent or such Lender, agrees to repay promptly the amount paid over to such Borrower (plus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rFonts w:ascii="Arial" w:cs="Arial" w:eastAsia="Arial" w:hAnsi="Arial"/>
          <w:sz w:val="19"/>
          <w:szCs w:val="19"/>
          <w:color w:val="auto"/>
        </w:rPr>
      </w:pPr>
    </w:p>
    <w:p>
      <w:pPr>
        <w:jc w:val="both"/>
        <w:ind w:firstLine="1305"/>
        <w:spacing w:after="0" w:line="259" w:lineRule="exact"/>
        <w:tabs>
          <w:tab w:leader="none" w:pos="196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Arial" w:cs="Arial" w:eastAsia="Arial" w:hAnsi="Arial"/>
          <w:sz w:val="22"/>
          <w:szCs w:val="22"/>
          <w:u w:val="single" w:color="auto"/>
          <w:color w:val="auto"/>
        </w:rPr>
        <w:t>Section 9.01(a)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9.01(h)</w:t>
      </w:r>
      <w:r>
        <w:rPr>
          <w:rFonts w:ascii="Arial" w:cs="Arial" w:eastAsia="Arial" w:hAnsi="Arial"/>
          <w:sz w:val="22"/>
          <w:szCs w:val="22"/>
          <w:color w:val="auto"/>
        </w:rPr>
        <w:t xml:space="preserve"> has occurred and is continuing on the effective date of such Assignment and Assumption) (i) two duly completed copies of United States Internal Revenue Service Form W-8ECI, W</w:t>
      </w:r>
      <w:r>
        <w:rPr>
          <w:rFonts w:ascii="MS PGothic" w:cs="MS PGothic" w:eastAsia="MS PGothic" w:hAnsi="MS PGothic"/>
          <w:sz w:val="22"/>
          <w:szCs w:val="22"/>
          <w:color w:val="auto"/>
        </w:rPr>
        <w:t>‑</w:t>
      </w:r>
      <w:r>
        <w:rPr>
          <w:rFonts w:ascii="Arial" w:cs="Arial" w:eastAsia="Arial" w:hAnsi="Arial"/>
          <w:sz w:val="22"/>
          <w:szCs w:val="22"/>
          <w:color w:val="auto"/>
        </w:rPr>
        <w:t>8BEN, W-8BEN-E, W-8EXP, W-8IMY or W-9, or other applicable governmental form, as the case may be, certifying in each case that such Lender is entitled to receive payments under this Agreement and the Notes payable to it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75" w:right="239" w:bottom="1440" w:gutter="0" w:footer="0" w:header="0"/>
        </w:sectPr>
      </w:pPr>
    </w:p>
    <w:bookmarkStart w:id="119" w:name="page120"/>
    <w:bookmarkEnd w:id="119"/>
    <w:p>
      <w:pPr>
        <w:jc w:val="both"/>
        <w:spacing w:after="0" w:line="260" w:lineRule="exact"/>
        <w:rPr>
          <w:sz w:val="20"/>
          <w:szCs w:val="20"/>
          <w:color w:val="auto"/>
        </w:rPr>
      </w:pPr>
      <w:r>
        <w:rPr>
          <w:rFonts w:ascii="Arial" w:cs="Arial" w:eastAsia="Arial" w:hAnsi="Arial"/>
          <w:sz w:val="19"/>
          <w:szCs w:val="19"/>
          <w:color w:val="auto"/>
        </w:rPr>
        <w:t>an applicable Tax treaty or otherwise by law to eliminate any withholding Tax or which have been reasonably requested by the Borrowers. Each Lender which delivers to the Borrowers and the Administrative Agent a Form W-8ECI, W-8BEN, W-8BEN-E, W</w:t>
      </w:r>
      <w:r>
        <w:rPr>
          <w:rFonts w:ascii="MS PGothic" w:cs="MS PGothic" w:eastAsia="MS PGothic" w:hAnsi="MS PGothic"/>
          <w:sz w:val="19"/>
          <w:szCs w:val="19"/>
          <w:color w:val="auto"/>
        </w:rPr>
        <w:t>‑</w:t>
      </w:r>
      <w:r>
        <w:rPr>
          <w:rFonts w:ascii="Arial" w:cs="Arial" w:eastAsia="Arial" w:hAnsi="Arial"/>
          <w:sz w:val="19"/>
          <w:szCs w:val="19"/>
          <w:color w:val="auto"/>
        </w:rPr>
        <w:t>8EXP, W-8IMY or W-9, or other applicable governmental form pursuant to the preceding sentence further undertakes to deliver to the Borrowers and the Administrative Agent two further copies of such form on or before the date that any such form expires (currently, three successive calendar years for Form W-8BEN, W-8BEN-E or Form W-8ECI) or becomes obsolete or after the occurrence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200" w:lineRule="exact"/>
        <w:rPr>
          <w:sz w:val="20"/>
          <w:szCs w:val="20"/>
          <w:color w:val="auto"/>
        </w:rPr>
      </w:pPr>
    </w:p>
    <w:p>
      <w:pPr>
        <w:spacing w:after="0" w:line="256" w:lineRule="exact"/>
        <w:rPr>
          <w:sz w:val="20"/>
          <w:szCs w:val="20"/>
          <w:color w:val="auto"/>
        </w:rPr>
      </w:pPr>
    </w:p>
    <w:p>
      <w:pPr>
        <w:jc w:val="both"/>
        <w:ind w:firstLine="1305"/>
        <w:spacing w:after="0" w:line="248" w:lineRule="auto"/>
        <w:tabs>
          <w:tab w:leader="none" w:pos="197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Borrowers, jointly and severally, will remit to the appropriate Governmental Authority, prior to delinquency, all Indemnified Taxes and Other Taxes payable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177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the Agreement, the Borrowers and the Administrative Agent shall treat (and the Lenders hereby authorize the Administrative Agent to treat) the Loan Agreement as not qualifying as a “grandfathered obligation” within the meaning of Treasury Regulation Section 1.1471-2(b)(2)(i).</w:t>
      </w:r>
    </w:p>
    <w:p>
      <w:pPr>
        <w:spacing w:after="0" w:line="228" w:lineRule="exact"/>
        <w:rPr>
          <w:rFonts w:ascii="Arial" w:cs="Arial" w:eastAsia="Arial" w:hAnsi="Arial"/>
          <w:sz w:val="22"/>
          <w:szCs w:val="22"/>
          <w:color w:val="auto"/>
        </w:rPr>
      </w:pPr>
    </w:p>
    <w:p>
      <w:pPr>
        <w:jc w:val="both"/>
        <w:ind w:firstLine="1305"/>
        <w:spacing w:after="0" w:line="312" w:lineRule="auto"/>
        <w:tabs>
          <w:tab w:leader="none" w:pos="179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within 10 days after demand therefor, for (i) any Indemnified Taxes attributable to such Lender (but only to the extent that the Borrowers has not already indemnified the Administrative Agent for such Indemnified Taxes and without limiting the obligation of the Borrowers to do so), (ii)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75" w:right="2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21"/>
          <w:szCs w:val="21"/>
          <w:color w:val="auto"/>
        </w:rPr>
        <w:t xml:space="preserve">Taxes attributable to such Lender’s failure to comply with the provisions of </w:t>
      </w:r>
      <w:r>
        <w:rPr>
          <w:rFonts w:ascii="Arial" w:cs="Arial" w:eastAsia="Arial" w:hAnsi="Arial"/>
          <w:sz w:val="21"/>
          <w:szCs w:val="21"/>
          <w:u w:val="single" w:color="auto"/>
          <w:color w:val="auto"/>
        </w:rPr>
        <w:t>Section 11.05(c)</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225" w:lineRule="exact"/>
        <w:rPr>
          <w:sz w:val="20"/>
          <w:szCs w:val="20"/>
          <w:color w:val="auto"/>
        </w:rPr>
      </w:pPr>
    </w:p>
    <w:p>
      <w:pPr>
        <w:jc w:val="both"/>
        <w:ind w:firstLine="1305"/>
        <w:spacing w:after="0" w:line="287" w:lineRule="auto"/>
        <w:tabs>
          <w:tab w:leader="none" w:pos="178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(including </w:t>
      </w:r>
      <w:r>
        <w:rPr>
          <w:rFonts w:ascii="Arial" w:cs="Arial" w:eastAsia="Arial" w:hAnsi="Arial"/>
          <w:sz w:val="19"/>
          <w:szCs w:val="19"/>
          <w:u w:val="single" w:color="auto"/>
          <w:color w:val="auto"/>
        </w:rPr>
        <w:t>Section 2.10(g)</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0" w:lineRule="auto"/>
        <w:tabs>
          <w:tab w:leader="none" w:pos="179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Borrowers hereby, jointly and severally, agree to pay all reasonable costs and expenses incurred by any Lender in connection with any such designation or assignment.</w:t>
      </w:r>
    </w:p>
    <w:p>
      <w:pPr>
        <w:spacing w:after="0" w:line="197" w:lineRule="exact"/>
        <w:rPr>
          <w:rFonts w:ascii="Arial" w:cs="Arial" w:eastAsia="Arial" w:hAnsi="Arial"/>
          <w:sz w:val="19"/>
          <w:szCs w:val="19"/>
          <w:color w:val="auto"/>
        </w:rPr>
      </w:pPr>
    </w:p>
    <w:p>
      <w:pPr>
        <w:ind w:left="1800" w:hanging="495"/>
        <w:spacing w:after="0"/>
        <w:tabs>
          <w:tab w:leader="none" w:pos="180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(including for Taxes under </w:t>
      </w:r>
      <w:r>
        <w:rPr>
          <w:rFonts w:ascii="Arial" w:cs="Arial" w:eastAsia="Arial" w:hAnsi="Arial"/>
          <w:sz w:val="19"/>
          <w:szCs w:val="19"/>
          <w:u w:val="single" w:color="auto"/>
          <w:color w:val="auto"/>
        </w:rPr>
        <w:t>Section 2.12(a)(iii)</w:t>
      </w:r>
      <w:r>
        <w:rPr>
          <w:rFonts w:ascii="Arial" w:cs="Arial" w:eastAsia="Arial" w:hAnsi="Arial"/>
          <w:sz w:val="19"/>
          <w:szCs w:val="19"/>
          <w:color w:val="auto"/>
        </w:rPr>
        <w:t>), or</w:t>
      </w:r>
    </w:p>
    <w:p>
      <w:pPr>
        <w:spacing w:after="0" w:line="56" w:lineRule="exact"/>
        <w:rPr>
          <w:rFonts w:ascii="Arial" w:cs="Arial" w:eastAsia="Arial" w:hAnsi="Arial"/>
          <w:sz w:val="19"/>
          <w:szCs w:val="19"/>
          <w:color w:val="auto"/>
        </w:rPr>
      </w:pPr>
    </w:p>
    <w:p>
      <w:pPr>
        <w:ind w:right="20" w:firstLine="8"/>
        <w:spacing w:after="0" w:line="246" w:lineRule="auto"/>
        <w:tabs>
          <w:tab w:leader="none" w:pos="33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Borrower is required to pay any Indemnified Taxes or additional amounts to any Lender or any Governmental Authority for the account of any Lender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75" w:right="239" w:bottom="1440" w:gutter="0" w:footer="0" w:header="0"/>
        </w:sectPr>
      </w:pPr>
    </w:p>
    <w:bookmarkStart w:id="121" w:name="page122"/>
    <w:bookmarkEnd w:id="121"/>
    <w:p>
      <w:pPr>
        <w:jc w:val="both"/>
        <w:spacing w:after="0" w:line="284"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the United Kingdom,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if it does not execute and deliver an Assignment and Assumption to the Administrative Agent within one Business Day after having received a written request therefor.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Financial Assistance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8" w:lineRule="auto"/>
        <w:tabs>
          <w:tab w:leader="none" w:pos="1759"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and to the extent that a payment in fulfilling a liability of any Swiss Obligor under this Agreement other than such Swiss Obligor’s own liabilities or liabilities of one of its Wholly-Owned Subsidiaries would, at the time payment is due, under Swiss law and practice (inter alia, prohibiting capital repayments or restricting profit distributions) not be permitted (such obligations, “</w:t>
      </w:r>
      <w:r>
        <w:rPr>
          <w:rFonts w:ascii="Arial" w:cs="Arial" w:eastAsia="Arial" w:hAnsi="Arial"/>
          <w:sz w:val="21"/>
          <w:szCs w:val="21"/>
          <w:u w:val="single" w:color="auto"/>
          <w:color w:val="auto"/>
        </w:rPr>
        <w:t>Restricted Obligations</w:t>
      </w:r>
      <w:r>
        <w:rPr>
          <w:rFonts w:ascii="Arial" w:cs="Arial" w:eastAsia="Arial" w:hAnsi="Arial"/>
          <w:sz w:val="21"/>
          <w:szCs w:val="21"/>
          <w:color w:val="auto"/>
        </w:rPr>
        <w:t xml:space="preserve">”), then such obligations and payment amount shall from time to time be limited to the amount permitted to be paid;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limited amount shall at no time be less than such Swiss Obligor’s profits and reserves available for distribution as dividends (being the balance sheet profits and any reserves available for this purpose, in each case in accordance with Article 798 of the Swiss Federal Code of Obligations) at the time or times the relevant payment is requested from such Swiss Obligor;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limitation (as may apply from time to time or not) shall not (generally or definitively) free such Swiss Obligor from payment obligations hereunder in excess thereof, but merely postpone the payment date therefor until such times as payment is again permitted notwithstanding such limitation. Any and all indemnities and guarantees contained in the Loan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75" w:right="239" w:bottom="1440" w:gutter="0" w:footer="0" w:header="0"/>
        </w:sectPr>
      </w:pPr>
    </w:p>
    <w:bookmarkStart w:id="122" w:name="page123"/>
    <w:bookmarkEnd w:id="122"/>
    <w:p>
      <w:pPr>
        <w:ind w:right="20"/>
        <w:spacing w:after="0" w:line="263" w:lineRule="auto"/>
        <w:rPr>
          <w:sz w:val="20"/>
          <w:szCs w:val="20"/>
          <w:color w:val="auto"/>
        </w:rPr>
      </w:pPr>
      <w:r>
        <w:rPr>
          <w:rFonts w:ascii="Arial" w:cs="Arial" w:eastAsia="Arial" w:hAnsi="Arial"/>
          <w:sz w:val="22"/>
          <w:szCs w:val="22"/>
          <w:color w:val="auto"/>
        </w:rPr>
        <w:t xml:space="preserve">Documents including, in particular, </w:t>
      </w:r>
      <w:r>
        <w:rPr>
          <w:rFonts w:ascii="Arial" w:cs="Arial" w:eastAsia="Arial" w:hAnsi="Arial"/>
          <w:sz w:val="22"/>
          <w:szCs w:val="22"/>
          <w:u w:val="single" w:color="auto"/>
          <w:color w:val="auto"/>
        </w:rPr>
        <w:t>Sections 4.02(b)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9.02</w:t>
      </w:r>
      <w:r>
        <w:rPr>
          <w:rFonts w:ascii="Arial" w:cs="Arial" w:eastAsia="Arial" w:hAnsi="Arial"/>
          <w:sz w:val="22"/>
          <w:szCs w:val="22"/>
          <w:color w:val="auto"/>
        </w:rPr>
        <w:t xml:space="preserve"> shall be construed in a manner consistent with the provisions herein contained.</w:t>
      </w:r>
    </w:p>
    <w:p>
      <w:pPr>
        <w:spacing w:after="0" w:line="215" w:lineRule="exact"/>
        <w:rPr>
          <w:sz w:val="20"/>
          <w:szCs w:val="20"/>
          <w:color w:val="auto"/>
        </w:rPr>
      </w:pPr>
    </w:p>
    <w:p>
      <w:pPr>
        <w:ind w:left="1780" w:hanging="475"/>
        <w:spacing w:after="0"/>
        <w:tabs>
          <w:tab w:leader="none" w:pos="17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 respect of Restricted Obligations, each Swiss Obligor shall:</w:t>
      </w:r>
    </w:p>
    <w:p>
      <w:pPr>
        <w:spacing w:after="0" w:line="260" w:lineRule="exact"/>
        <w:rPr>
          <w:rFonts w:ascii="Arial" w:cs="Arial" w:eastAsia="Arial" w:hAnsi="Arial"/>
          <w:sz w:val="22"/>
          <w:szCs w:val="22"/>
          <w:color w:val="auto"/>
        </w:rPr>
      </w:pPr>
    </w:p>
    <w:p>
      <w:pPr>
        <w:ind w:left="2380" w:hanging="427"/>
        <w:spacing w:after="0"/>
        <w:tabs>
          <w:tab w:leader="none" w:pos="23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if and to the extent required by applicable law in force at the relevant time:</w:t>
      </w:r>
    </w:p>
    <w:p>
      <w:pPr>
        <w:spacing w:after="0" w:line="260" w:lineRule="exact"/>
        <w:rPr>
          <w:rFonts w:ascii="Arial" w:cs="Arial" w:eastAsia="Arial" w:hAnsi="Arial"/>
          <w:sz w:val="22"/>
          <w:szCs w:val="22"/>
          <w:color w:val="auto"/>
        </w:rPr>
      </w:pPr>
    </w:p>
    <w:p>
      <w:pPr>
        <w:jc w:val="both"/>
        <w:ind w:left="1960" w:firstLine="641"/>
        <w:spacing w:after="0" w:line="260" w:lineRule="auto"/>
        <w:tabs>
          <w:tab w:leader="none" w:pos="3655" w:val="left"/>
        </w:tabs>
        <w:numPr>
          <w:ilvl w:val="2"/>
          <w:numId w:val="124"/>
        </w:numPr>
        <w:rPr>
          <w:rFonts w:ascii="Arial" w:cs="Arial" w:eastAsia="Arial" w:hAnsi="Arial"/>
          <w:sz w:val="22"/>
          <w:szCs w:val="22"/>
          <w:color w:val="auto"/>
        </w:rPr>
      </w:pPr>
      <w:r>
        <w:rPr>
          <w:rFonts w:ascii="Arial" w:cs="Arial" w:eastAsia="Arial" w:hAnsi="Arial"/>
          <w:sz w:val="22"/>
          <w:szCs w:val="22"/>
          <w:color w:val="auto"/>
        </w:rPr>
        <w:t>subject to any applicable double taxation treaty, deduct Swiss anticipatory tax (</w:t>
      </w:r>
      <w:r>
        <w:rPr>
          <w:rFonts w:ascii="Arial" w:cs="Arial" w:eastAsia="Arial" w:hAnsi="Arial"/>
          <w:sz w:val="22"/>
          <w:szCs w:val="22"/>
          <w:i w:val="1"/>
          <w:iCs w:val="1"/>
          <w:color w:val="auto"/>
        </w:rPr>
        <w:t>Verrechnungssteuer</w:t>
      </w:r>
      <w:r>
        <w:rPr>
          <w:rFonts w:ascii="Arial" w:cs="Arial" w:eastAsia="Arial" w:hAnsi="Arial"/>
          <w:sz w:val="22"/>
          <w:szCs w:val="22"/>
          <w:color w:val="auto"/>
        </w:rPr>
        <w:t>) at the rate of 35% (or such other rate as in force from time to time) from any payment made by it in respect of Restricted Obligations;</w:t>
      </w:r>
    </w:p>
    <w:p>
      <w:pPr>
        <w:spacing w:after="0" w:line="177" w:lineRule="exact"/>
        <w:rPr>
          <w:rFonts w:ascii="Arial" w:cs="Arial" w:eastAsia="Arial" w:hAnsi="Arial"/>
          <w:sz w:val="22"/>
          <w:szCs w:val="22"/>
          <w:color w:val="auto"/>
        </w:rPr>
      </w:pPr>
    </w:p>
    <w:p>
      <w:pPr>
        <w:ind w:left="3120" w:hanging="519"/>
        <w:spacing w:after="0"/>
        <w:tabs>
          <w:tab w:leader="none" w:pos="3120" w:val="left"/>
        </w:tabs>
        <w:numPr>
          <w:ilvl w:val="2"/>
          <w:numId w:val="124"/>
        </w:numPr>
        <w:rPr>
          <w:rFonts w:ascii="Arial" w:cs="Arial" w:eastAsia="Arial" w:hAnsi="Arial"/>
          <w:sz w:val="22"/>
          <w:szCs w:val="22"/>
          <w:color w:val="auto"/>
        </w:rPr>
      </w:pPr>
      <w:r>
        <w:rPr>
          <w:rFonts w:ascii="Arial" w:cs="Arial" w:eastAsia="Arial" w:hAnsi="Arial"/>
          <w:sz w:val="22"/>
          <w:szCs w:val="22"/>
          <w:color w:val="auto"/>
        </w:rPr>
        <w:t>pay any such deduction to the Swiss Federal Tax Administration; and</w:t>
      </w:r>
    </w:p>
    <w:p>
      <w:pPr>
        <w:spacing w:after="0" w:line="233" w:lineRule="exact"/>
        <w:rPr>
          <w:rFonts w:ascii="Arial" w:cs="Arial" w:eastAsia="Arial" w:hAnsi="Arial"/>
          <w:sz w:val="22"/>
          <w:szCs w:val="22"/>
          <w:color w:val="auto"/>
        </w:rPr>
      </w:pPr>
    </w:p>
    <w:p>
      <w:pPr>
        <w:jc w:val="both"/>
        <w:ind w:left="1960" w:firstLine="641"/>
        <w:spacing w:after="0" w:line="260" w:lineRule="auto"/>
        <w:tabs>
          <w:tab w:leader="none" w:pos="3373" w:val="left"/>
        </w:tabs>
        <w:numPr>
          <w:ilvl w:val="2"/>
          <w:numId w:val="124"/>
        </w:numPr>
        <w:rPr>
          <w:rFonts w:ascii="Arial" w:cs="Arial" w:eastAsia="Arial" w:hAnsi="Arial"/>
          <w:sz w:val="22"/>
          <w:szCs w:val="22"/>
          <w:color w:val="auto"/>
        </w:rPr>
      </w:pPr>
      <w:r>
        <w:rPr>
          <w:rFonts w:ascii="Arial" w:cs="Arial" w:eastAsia="Arial" w:hAnsi="Arial"/>
          <w:sz w:val="22"/>
          <w:szCs w:val="22"/>
          <w:color w:val="auto"/>
        </w:rPr>
        <w:t xml:space="preserve">notify the Administrative Agent that such a deduction has been made and provide the Administrative Agent with evidence that such a deduction has been paid to the Swiss Federal Tax Administration, all in accordance with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4.02(f)</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jc w:val="both"/>
        <w:ind w:left="660" w:firstLine="1293"/>
        <w:spacing w:after="0" w:line="250" w:lineRule="auto"/>
        <w:tabs>
          <w:tab w:leader="none" w:pos="2511"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xml:space="preserve">to the extent such a deduction is made, not be obliged to either gross-up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4.02(a)</w:t>
      </w:r>
      <w:r>
        <w:rPr>
          <w:rFonts w:ascii="Arial" w:cs="Arial" w:eastAsia="Arial" w:hAnsi="Arial"/>
          <w:sz w:val="22"/>
          <w:szCs w:val="22"/>
          <w:color w:val="auto"/>
        </w:rPr>
        <w:t xml:space="preserve"> or indemnify the Administrative Agent, each Lender and each Issuing Bank in accordance with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in relation to any such payment made by it in respect of Restricted Obligations unless grossing-up is permitted under the laws of Switzerland then in force.</w:t>
      </w:r>
    </w:p>
    <w:p>
      <w:pPr>
        <w:spacing w:after="0" w:line="228" w:lineRule="exact"/>
        <w:rPr>
          <w:rFonts w:ascii="Arial" w:cs="Arial" w:eastAsia="Arial" w:hAnsi="Arial"/>
          <w:sz w:val="22"/>
          <w:szCs w:val="22"/>
          <w:color w:val="auto"/>
        </w:rPr>
      </w:pPr>
    </w:p>
    <w:p>
      <w:pPr>
        <w:jc w:val="both"/>
        <w:ind w:firstLine="1305"/>
        <w:spacing w:after="0" w:line="263" w:lineRule="auto"/>
        <w:tabs>
          <w:tab w:leader="none" w:pos="182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If and to the extent requested by the Administrative Agent and if and to the extent this is from time to time required under Swiss law (restricting profit distributions), in order to allow the Administrative Agent, each Lender and each Issuing Bank to obtain a maximum benefit from the relevant Swiss Obligor’s liabilities under this Agreement, each Swiss Obligor undertakes to promptly implement all such measures and/or to promptly obtain the fulfillment of all prerequisites allowing it to promptly make the requested payment(s) hereunder from time to time, including the following:</w:t>
      </w:r>
    </w:p>
    <w:p>
      <w:pPr>
        <w:spacing w:after="0" w:line="216" w:lineRule="exact"/>
        <w:rPr>
          <w:rFonts w:ascii="Arial" w:cs="Arial" w:eastAsia="Arial" w:hAnsi="Arial"/>
          <w:sz w:val="21"/>
          <w:szCs w:val="21"/>
          <w:color w:val="auto"/>
        </w:rPr>
      </w:pPr>
    </w:p>
    <w:p>
      <w:pPr>
        <w:ind w:left="2380" w:hanging="427"/>
        <w:spacing w:after="0"/>
        <w:tabs>
          <w:tab w:leader="none" w:pos="23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preparation of an up-to-date audited balance sheet of such Swiss Obligor;</w:t>
      </w:r>
    </w:p>
    <w:p>
      <w:pPr>
        <w:spacing w:after="0" w:line="260" w:lineRule="exact"/>
        <w:rPr>
          <w:rFonts w:ascii="Arial" w:cs="Arial" w:eastAsia="Arial" w:hAnsi="Arial"/>
          <w:sz w:val="22"/>
          <w:szCs w:val="22"/>
          <w:color w:val="auto"/>
        </w:rPr>
      </w:pPr>
    </w:p>
    <w:p>
      <w:pPr>
        <w:ind w:left="660" w:firstLine="1293"/>
        <w:spacing w:after="0" w:line="263" w:lineRule="auto"/>
        <w:tabs>
          <w:tab w:leader="none" w:pos="249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confirmation of the auditors of such Swiss Obligor that the relevant amount represents the maximum freely distributable profits;</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approval by a quotaholders’ meeting of the relevant Swiss Obligor of the resulting profit distribution;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42" w:lineRule="exact"/>
        <w:rPr>
          <w:rFonts w:ascii="Arial" w:cs="Arial" w:eastAsia="Arial" w:hAnsi="Arial"/>
          <w:sz w:val="19"/>
          <w:szCs w:val="19"/>
          <w:color w:val="auto"/>
        </w:rPr>
      </w:pPr>
    </w:p>
    <w:p>
      <w:pPr>
        <w:jc w:val="both"/>
        <w:ind w:left="660" w:firstLine="1293"/>
        <w:spacing w:after="0" w:line="312" w:lineRule="auto"/>
        <w:tabs>
          <w:tab w:leader="none" w:pos="251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to the extent permitted by applicable law, write up any of the assets of the relevant Swiss Obligor that are shown in its balance sheet with a book value that is significantly lower than the market value of the assets and provided that such write up would not have materially adverse tax consequences for such Swiss Obligor or any of its Affiliates.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7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Conditions Precedent to the Effective Date</w:t>
      </w:r>
      <w:r>
        <w:rPr>
          <w:rFonts w:ascii="Arial" w:cs="Arial" w:eastAsia="Arial" w:hAnsi="Arial"/>
          <w:sz w:val="22"/>
          <w:szCs w:val="22"/>
          <w:color w:val="auto"/>
        </w:rPr>
        <w:t>. The obligation of each Lender to make any Loan on or after Effective Date and the obligation of each Issuing Bank to issue any Letter of Credit on or after the Effective Date for the account of any Borrower is subject to satisfaction of the following conditions:</w:t>
      </w:r>
    </w:p>
    <w:p>
      <w:pPr>
        <w:spacing w:after="0" w:line="226" w:lineRule="exact"/>
        <w:rPr>
          <w:sz w:val="20"/>
          <w:szCs w:val="20"/>
          <w:color w:val="auto"/>
        </w:rPr>
      </w:pPr>
    </w:p>
    <w:p>
      <w:pPr>
        <w:ind w:firstLine="1305"/>
        <w:spacing w:after="0" w:line="263" w:lineRule="auto"/>
        <w:tabs>
          <w:tab w:leader="none" w:pos="178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in form and substance reasonably satisfactory to the Administrative Agent:</w:t>
      </w:r>
    </w:p>
    <w:p>
      <w:pPr>
        <w:spacing w:after="0" w:line="215" w:lineRule="exact"/>
        <w:rPr>
          <w:rFonts w:ascii="Arial" w:cs="Arial" w:eastAsia="Arial" w:hAnsi="Arial"/>
          <w:sz w:val="22"/>
          <w:szCs w:val="22"/>
          <w:color w:val="auto"/>
        </w:rPr>
      </w:pPr>
    </w:p>
    <w:p>
      <w:pPr>
        <w:ind w:left="2480" w:hanging="527"/>
        <w:spacing w:after="0"/>
        <w:tabs>
          <w:tab w:leader="none" w:pos="248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Amendment and Restatement Agreement executed by each Person listed on the signature pages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42" w:lineRule="exact"/>
        <w:rPr>
          <w:rFonts w:ascii="Arial" w:cs="Arial" w:eastAsia="Arial" w:hAnsi="Arial"/>
          <w:sz w:val="19"/>
          <w:szCs w:val="19"/>
          <w:color w:val="auto"/>
        </w:rPr>
      </w:pPr>
    </w:p>
    <w:p>
      <w:pPr>
        <w:ind w:left="2440" w:hanging="487"/>
        <w:spacing w:after="0"/>
        <w:tabs>
          <w:tab w:leader="none" w:pos="244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Affiliate Guaranty executed by each Guarantor existing as of Effective Date;</w:t>
      </w:r>
    </w:p>
    <w:p>
      <w:pPr>
        <w:spacing w:after="0" w:line="260" w:lineRule="exact"/>
        <w:rPr>
          <w:rFonts w:ascii="Arial" w:cs="Arial" w:eastAsia="Arial" w:hAnsi="Arial"/>
          <w:sz w:val="22"/>
          <w:szCs w:val="22"/>
          <w:color w:val="auto"/>
        </w:rPr>
      </w:pPr>
    </w:p>
    <w:p>
      <w:pPr>
        <w:ind w:left="660" w:firstLine="1293"/>
        <w:spacing w:after="0" w:line="343" w:lineRule="auto"/>
        <w:tabs>
          <w:tab w:leader="none" w:pos="2602" w:val="left"/>
        </w:tabs>
        <w:numPr>
          <w:ilvl w:val="1"/>
          <w:numId w:val="125"/>
        </w:numPr>
        <w:rPr>
          <w:rFonts w:ascii="Arial" w:cs="Arial" w:eastAsia="Arial" w:hAnsi="Arial"/>
          <w:sz w:val="19"/>
          <w:szCs w:val="19"/>
          <w:color w:val="auto"/>
        </w:rPr>
      </w:pPr>
      <w:r>
        <w:rPr>
          <w:rFonts w:ascii="Arial" w:cs="Arial" w:eastAsia="Arial" w:hAnsi="Arial"/>
          <w:sz w:val="19"/>
          <w:szCs w:val="19"/>
          <w:color w:val="auto"/>
        </w:rPr>
        <w:t>Revolving Credit Notes payable to each Lender requesting (at least one Business Day prior to the Effective Date) a Revolving Credit Note, duly completed and executed by the Borrowers and dated the Effective Date;</w:t>
      </w:r>
    </w:p>
    <w:p>
      <w:pPr>
        <w:spacing w:after="0" w:line="145" w:lineRule="exact"/>
        <w:rPr>
          <w:rFonts w:ascii="Arial" w:cs="Arial" w:eastAsia="Arial" w:hAnsi="Arial"/>
          <w:sz w:val="19"/>
          <w:szCs w:val="19"/>
          <w:color w:val="auto"/>
        </w:rPr>
      </w:pPr>
    </w:p>
    <w:p>
      <w:pPr>
        <w:ind w:left="660" w:firstLine="1293"/>
        <w:spacing w:after="0" w:line="263" w:lineRule="auto"/>
        <w:tabs>
          <w:tab w:leader="none" w:pos="256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Swingline Notes payable to each Swingline Lender, duly completed and executed by the Borrowers and dated the Effective Date;</w:t>
      </w:r>
    </w:p>
    <w:p>
      <w:pPr>
        <w:spacing w:after="0" w:line="215" w:lineRule="exact"/>
        <w:rPr>
          <w:rFonts w:ascii="Arial" w:cs="Arial" w:eastAsia="Arial" w:hAnsi="Arial"/>
          <w:sz w:val="22"/>
          <w:szCs w:val="22"/>
          <w:color w:val="auto"/>
        </w:rPr>
      </w:pPr>
    </w:p>
    <w:p>
      <w:pPr>
        <w:jc w:val="both"/>
        <w:ind w:left="660" w:firstLine="1293"/>
        <w:spacing w:after="0" w:line="246" w:lineRule="auto"/>
        <w:tabs>
          <w:tab w:leader="none" w:pos="247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 certificate of a Responsible Officer of WIL-Ireland,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and (B) as to the absence of the occurrence and continuance of any Default or Event of Default;</w:t>
      </w:r>
    </w:p>
    <w:p>
      <w:pPr>
        <w:spacing w:after="0" w:line="237" w:lineRule="exact"/>
        <w:rPr>
          <w:rFonts w:ascii="Arial" w:cs="Arial" w:eastAsia="Arial" w:hAnsi="Arial"/>
          <w:sz w:val="22"/>
          <w:szCs w:val="22"/>
          <w:color w:val="auto"/>
        </w:rPr>
      </w:pPr>
    </w:p>
    <w:p>
      <w:pPr>
        <w:jc w:val="both"/>
        <w:ind w:left="660" w:firstLine="1293"/>
        <w:spacing w:after="0" w:line="288" w:lineRule="auto"/>
        <w:tabs>
          <w:tab w:leader="none" w:pos="257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other Responsible Officer of each Obligor, dated the Effective Date and certifying (A) true and complete copies of the constitution or memorandum of association and bye-laws, the certificate of incorporation and bylaws or the other organizational documents, each as amended and in effect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Effective Date, of such Obligor, (B) the resolutions adopted by the Board of Directors of such Obligor</w:t>
      </w:r>
    </w:p>
    <w:p>
      <w:pPr>
        <w:spacing w:after="0" w:line="4" w:lineRule="exact"/>
        <w:rPr>
          <w:sz w:val="20"/>
          <w:szCs w:val="20"/>
          <w:color w:val="auto"/>
        </w:rPr>
      </w:pPr>
    </w:p>
    <w:p>
      <w:pPr>
        <w:jc w:val="both"/>
        <w:ind w:left="660" w:hanging="4"/>
        <w:spacing w:after="0" w:line="295" w:lineRule="auto"/>
        <w:tabs>
          <w:tab w:leader="none" w:pos="97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authorizing the execution, delivery and performance by such Obligor of the Loan Documents to which it is or shall be a party and, in the case of a Borrower, the borrowing of Loans by such Borrower and the issuance of Letters of Credit for the account of such Borrower hereunder and (2) authorizing officers or other representatives of such Obligor to execute and deliver the Loan Documents to which it is or shall be a party and any related documents, including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88" w:right="239" w:bottom="1440" w:gutter="0" w:footer="0" w:header="0"/>
        </w:sectPr>
      </w:pPr>
    </w:p>
    <w:bookmarkStart w:id="124" w:name="page125"/>
    <w:bookmarkEnd w:id="124"/>
    <w:p>
      <w:pPr>
        <w:jc w:val="both"/>
        <w:ind w:left="4"/>
        <w:spacing w:after="0" w:line="253" w:lineRule="auto"/>
        <w:rPr>
          <w:sz w:val="20"/>
          <w:szCs w:val="20"/>
          <w:color w:val="auto"/>
        </w:rPr>
      </w:pPr>
      <w:r>
        <w:rPr>
          <w:rFonts w:ascii="Arial" w:cs="Arial" w:eastAsia="Arial" w:hAnsi="Arial"/>
          <w:sz w:val="22"/>
          <w:szCs w:val="22"/>
          <w:color w:val="auto"/>
        </w:rPr>
        <w:t>any agreement contemplated by this Agreement, (C) the absence of any proceedings for the dissolution, liquidation or winding up of such Obligor and (D) the incumbency and specimen signatures of the officers or other authorized representatives of such Obligor executing any documents on its behalf;</w:t>
      </w:r>
    </w:p>
    <w:p>
      <w:pPr>
        <w:spacing w:after="0" w:line="226" w:lineRule="exact"/>
        <w:rPr>
          <w:sz w:val="20"/>
          <w:szCs w:val="20"/>
          <w:color w:val="auto"/>
        </w:rPr>
      </w:pPr>
    </w:p>
    <w:p>
      <w:pPr>
        <w:jc w:val="both"/>
        <w:ind w:left="4" w:firstLine="1293"/>
        <w:spacing w:after="0" w:line="257" w:lineRule="auto"/>
        <w:tabs>
          <w:tab w:leader="none" w:pos="1911" w:val="left"/>
        </w:tabs>
        <w:numPr>
          <w:ilvl w:val="1"/>
          <w:numId w:val="127"/>
        </w:numPr>
        <w:rPr>
          <w:rFonts w:ascii="Arial" w:cs="Arial" w:eastAsia="Arial" w:hAnsi="Arial"/>
          <w:sz w:val="21"/>
          <w:szCs w:val="21"/>
          <w:color w:val="auto"/>
        </w:rPr>
      </w:pPr>
      <w:r>
        <w:rPr>
          <w:rFonts w:ascii="Arial" w:cs="Arial" w:eastAsia="Arial" w:hAnsi="Arial"/>
          <w:sz w:val="21"/>
          <w:szCs w:val="21"/>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WIL-Bermuda, (C) Baker &amp; McKenzie LLP, special Swiss counsel to certain of the Obligors, (D) Matheson, special Irish counsel to certain of the Obligors, (E) Dentons, special Canadian counsel to certain of the Obligors, (F) Baker &amp; McKenzie LLP, special Luxembourg counsel to certain of the Obligors, (G) Arendt &amp; Medernach SA, special Luxembourg counsel to the Administrative Agent, (H) Conyers Dill &amp; Pearman Limited, special British Virgin Islands counsel to certain of the Obligors, (I) Sidley Austin LLP, special English counsel to the Administrative Agent, (J) Jones Walker LLP, special Louisiana counsel to Weatherford U.S., L.P., (K) Allens, special Australian counsel to the Administrative Agent, (L) Selmer, special Norwegian counsel to the Administrative Agent, (M) Baker &amp; McKenzie Amersterdam N.V., special Dutch counsel to certain of the Obligors and (N) Szakaly Law Firm, special Hungarian counsel to Weatherford Capital Management Services Limited Liability Company, in each case, given upon the express instruction of the applicable Obligor(s), as applicable;</w:t>
      </w:r>
    </w:p>
    <w:p>
      <w:pPr>
        <w:spacing w:after="0" w:line="230" w:lineRule="exact"/>
        <w:rPr>
          <w:rFonts w:ascii="Arial" w:cs="Arial" w:eastAsia="Arial" w:hAnsi="Arial"/>
          <w:sz w:val="21"/>
          <w:szCs w:val="21"/>
          <w:color w:val="auto"/>
        </w:rPr>
      </w:pPr>
    </w:p>
    <w:p>
      <w:pPr>
        <w:jc w:val="both"/>
        <w:ind w:left="4" w:firstLine="1293"/>
        <w:spacing w:after="0" w:line="265" w:lineRule="auto"/>
        <w:tabs>
          <w:tab w:leader="none" w:pos="1986"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 a certificate of a Principal Financial Officer of WIL-Ireland certifying that, after giving effect to the Transactions, WIL-Ireland and its Subsidiaries on a consolidated basis are Solvent as of the Effective Date and (B) a certificate of a Principal Financial Officer of WIL-Bermuda certifying that, after giving effect to the Transactions, WIL-Bermuda and its Subsidiaries on a consolidated basis are Solvent as of the Effective Date;</w:t>
      </w:r>
    </w:p>
    <w:p>
      <w:pPr>
        <w:spacing w:after="0" w:line="216" w:lineRule="exact"/>
        <w:rPr>
          <w:rFonts w:ascii="Arial" w:cs="Arial" w:eastAsia="Arial" w:hAnsi="Arial"/>
          <w:sz w:val="21"/>
          <w:szCs w:val="21"/>
          <w:color w:val="auto"/>
        </w:rPr>
      </w:pPr>
    </w:p>
    <w:p>
      <w:pPr>
        <w:jc w:val="both"/>
        <w:ind w:left="4" w:firstLine="1293"/>
        <w:spacing w:after="0" w:line="343" w:lineRule="auto"/>
        <w:tabs>
          <w:tab w:leader="none" w:pos="1897"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 certificate of a Principal Financial Officer of WIL-Ireland demonstrating, after giving effect to the Transactions, that WIL-Ireland is in compliance on a pro forma basis with the Financial Covenants as of the Effective Date;</w:t>
      </w:r>
    </w:p>
    <w:p>
      <w:pPr>
        <w:spacing w:after="0" w:line="145" w:lineRule="exact"/>
        <w:rPr>
          <w:rFonts w:ascii="Arial" w:cs="Arial" w:eastAsia="Arial" w:hAnsi="Arial"/>
          <w:sz w:val="19"/>
          <w:szCs w:val="19"/>
          <w:color w:val="auto"/>
        </w:rPr>
      </w:pPr>
    </w:p>
    <w:p>
      <w:pPr>
        <w:ind w:left="1764" w:hanging="467"/>
        <w:spacing w:after="0"/>
        <w:tabs>
          <w:tab w:leader="none" w:pos="176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 certificate of a Principal Financial Officer of WIL-Ireland with supporting information certifying as to</w:t>
      </w:r>
    </w:p>
    <w:p>
      <w:pPr>
        <w:spacing w:after="0" w:line="56" w:lineRule="exact"/>
        <w:rPr>
          <w:rFonts w:ascii="Arial" w:cs="Arial" w:eastAsia="Arial" w:hAnsi="Arial"/>
          <w:sz w:val="19"/>
          <w:szCs w:val="19"/>
          <w:color w:val="auto"/>
        </w:rPr>
      </w:pPr>
    </w:p>
    <w:p>
      <w:pPr>
        <w:jc w:val="both"/>
        <w:ind w:left="4" w:hanging="4"/>
        <w:spacing w:after="0" w:line="290" w:lineRule="auto"/>
        <w:tabs>
          <w:tab w:leader="none" w:pos="36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calculation of WIL-Bermuda’s Consolidated Net Worth (as defined in each of the Existing Senior Notes Indentures and in each of the Citi Credit Documents) as of March 31, 2016 in accordance with each of the Senior Notes Indentures and each of the Citi Credit Documents and (B) WIL-Bermuda’s ability to incur indebtedness under the Term Loan Facility on the Effective Date and to secure such indebtedness and other obligations in respect thereof without having to share the Liens on the collateral securing the Term Loan Facility equally and ratably with any series of the issued and outstanding Existing Senior Notes or any of the obligations under the Citi Credit Documents; and</w:t>
      </w:r>
    </w:p>
    <w:p>
      <w:pPr>
        <w:spacing w:after="0" w:line="194" w:lineRule="exact"/>
        <w:rPr>
          <w:rFonts w:ascii="Arial" w:cs="Arial" w:eastAsia="Arial" w:hAnsi="Arial"/>
          <w:sz w:val="19"/>
          <w:szCs w:val="19"/>
          <w:color w:val="auto"/>
        </w:rPr>
      </w:pPr>
    </w:p>
    <w:p>
      <w:pPr>
        <w:ind w:left="4" w:firstLine="1293"/>
        <w:spacing w:after="0" w:line="263" w:lineRule="auto"/>
        <w:tabs>
          <w:tab w:leader="none" w:pos="186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to the extent available in the applicable jurisdiction(s), (A) copies of the memorandum of association, articles or certificates of incorporation or other</w:t>
      </w:r>
    </w:p>
    <w:p>
      <w:pPr>
        <w:spacing w:after="0" w:line="200" w:lineRule="exact"/>
        <w:rPr>
          <w:sz w:val="20"/>
          <w:szCs w:val="20"/>
          <w:color w:val="auto"/>
        </w:rPr>
      </w:pPr>
    </w:p>
    <w:p>
      <w:pPr>
        <w:spacing w:after="0" w:line="25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64"/>
          </w:cols>
          <w:pgMar w:left="896" w:top="375" w:right="239" w:bottom="1440" w:gutter="0" w:footer="0" w:header="0"/>
        </w:sectPr>
      </w:pPr>
    </w:p>
    <w:bookmarkStart w:id="125" w:name="page126"/>
    <w:bookmarkEnd w:id="125"/>
    <w:p>
      <w:pPr>
        <w:jc w:val="both"/>
        <w:ind w:left="660"/>
        <w:spacing w:after="0" w:line="288" w:lineRule="auto"/>
        <w:rPr>
          <w:sz w:val="20"/>
          <w:szCs w:val="20"/>
          <w:color w:val="auto"/>
        </w:rPr>
      </w:pPr>
      <w:r>
        <w:rPr>
          <w:rFonts w:ascii="Arial" w:cs="Arial" w:eastAsia="Arial" w:hAnsi="Arial"/>
          <w:sz w:val="19"/>
          <w:szCs w:val="19"/>
          <w:color w:val="auto"/>
        </w:rPr>
        <w:t>similar organizational documents of each Obligor (other than WIL-Bermuda) certified as of a recent date prior to the Effective Date by the appropriate Governmental Authority or by a Responsible Officer with respect to Obligors organized under the laws of the British Virgin Islands,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and (C) to the extent not covered by clauses (A) and (B) immediately above, and only with respect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w:t>
      </w:r>
    </w:p>
    <w:p>
      <w:pPr>
        <w:spacing w:after="0" w:line="201" w:lineRule="exact"/>
        <w:rPr>
          <w:sz w:val="20"/>
          <w:szCs w:val="20"/>
          <w:color w:val="auto"/>
        </w:rPr>
      </w:pPr>
    </w:p>
    <w:p>
      <w:pPr>
        <w:jc w:val="both"/>
        <w:ind w:firstLine="1305"/>
        <w:spacing w:after="0" w:line="250" w:lineRule="auto"/>
        <w:tabs>
          <w:tab w:leader="none" w:pos="1806"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reasonably satisfactory to it that all material consents of each Governmental Authority and of each other Person, if any, required to be received by the Obligors in connection with (i) the Loans, (ii) the Letters of Credit and (iii) the execution, delivery and performance of this Agreement and the other Loan Documents to which any Obligor is a party have been satisfactorily obtained.</w:t>
      </w:r>
    </w:p>
    <w:p>
      <w:pPr>
        <w:spacing w:after="0" w:line="228" w:lineRule="exact"/>
        <w:rPr>
          <w:rFonts w:ascii="Arial" w:cs="Arial" w:eastAsia="Arial" w:hAnsi="Arial"/>
          <w:sz w:val="22"/>
          <w:szCs w:val="22"/>
          <w:color w:val="auto"/>
        </w:rPr>
      </w:pPr>
    </w:p>
    <w:p>
      <w:pPr>
        <w:jc w:val="both"/>
        <w:ind w:firstLine="1305"/>
        <w:spacing w:after="0" w:line="288" w:lineRule="auto"/>
        <w:tabs>
          <w:tab w:leader="none" w:pos="184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Lenders shall have received (i) audited consolidated financial statements of WIL-Ireland for the Fiscal Year ended December 31, 2015, including condensed consolidating financial information with respect to the Guarantors to the extent required to be presented in the periodic reports of WIL-Ireland filed with the SEC pursuant to the Exchange Act and</w:t>
      </w:r>
    </w:p>
    <w:p>
      <w:pPr>
        <w:spacing w:after="0" w:line="1" w:lineRule="exact"/>
        <w:rPr>
          <w:rFonts w:ascii="Arial" w:cs="Arial" w:eastAsia="Arial" w:hAnsi="Arial"/>
          <w:sz w:val="19"/>
          <w:szCs w:val="19"/>
          <w:color w:val="auto"/>
        </w:rPr>
      </w:pPr>
    </w:p>
    <w:p>
      <w:pPr>
        <w:jc w:val="both"/>
        <w:ind w:firstLine="8"/>
        <w:spacing w:after="0" w:line="244" w:lineRule="auto"/>
        <w:tabs>
          <w:tab w:leader="none" w:pos="40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unaudited interim consolidated financial statements of WIL-Ireland for each quarterly period ended subsequent to December 31, 2015 to the extent such financial statements are available, including condensed consolidating financial information with respect to the Guarantors to the extent required to be presented in the periodic reports of WIL-Ireland filed with the SEC pursuant to the Exchange Act.</w:t>
      </w:r>
    </w:p>
    <w:p>
      <w:pPr>
        <w:spacing w:after="0" w:line="236" w:lineRule="exact"/>
        <w:rPr>
          <w:rFonts w:ascii="Arial" w:cs="Arial" w:eastAsia="Arial" w:hAnsi="Arial"/>
          <w:sz w:val="22"/>
          <w:szCs w:val="22"/>
          <w:color w:val="auto"/>
        </w:rPr>
      </w:pPr>
    </w:p>
    <w:p>
      <w:pPr>
        <w:jc w:val="both"/>
        <w:ind w:firstLine="1305"/>
        <w:spacing w:after="0" w:line="302" w:lineRule="auto"/>
        <w:tabs>
          <w:tab w:leader="none" w:pos="1915"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The Borrowers shall have paid (i) to the Administrative Agent, the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 pocket expenses required to be reimbursed or paid by the Borrowers pursuant to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or any other Loan Document.</w:t>
      </w:r>
    </w:p>
    <w:p>
      <w:pPr>
        <w:spacing w:after="0" w:line="183" w:lineRule="exact"/>
        <w:rPr>
          <w:rFonts w:ascii="Arial" w:cs="Arial" w:eastAsia="Arial" w:hAnsi="Arial"/>
          <w:sz w:val="19"/>
          <w:szCs w:val="19"/>
          <w:color w:val="auto"/>
        </w:rPr>
      </w:pPr>
    </w:p>
    <w:p>
      <w:pPr>
        <w:jc w:val="both"/>
        <w:ind w:firstLine="1305"/>
        <w:spacing w:after="0" w:line="250" w:lineRule="auto"/>
        <w:tabs>
          <w:tab w:leader="none" w:pos="177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Term Loan Facility shall be closed and effective, the Specified Prepayment (as defined in the Amendment and Restatement Agreement) and Commitment Reduction (as defined in the Amendment and Restatement Agreement) shall have occurred, and there shall be Extending Lenders representing Extended Commitments and commitments under the Term Loan Facility of at least $1,600,000,000 in the aggregate.</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1858" w:val="left"/>
        </w:tabs>
        <w:numPr>
          <w:ilvl w:val="1"/>
          <w:numId w:val="130"/>
        </w:numPr>
        <w:rPr>
          <w:rFonts w:ascii="Arial" w:cs="Arial" w:eastAsia="Arial" w:hAnsi="Arial"/>
          <w:sz w:val="22"/>
          <w:szCs w:val="22"/>
          <w:color w:val="auto"/>
        </w:rPr>
      </w:pPr>
      <w:r>
        <w:rPr>
          <w:rFonts w:ascii="Arial" w:cs="Arial" w:eastAsia="Arial" w:hAnsi="Arial"/>
          <w:sz w:val="22"/>
          <w:szCs w:val="22"/>
          <w:color w:val="auto"/>
        </w:rPr>
        <w:t>Each Obligor shall have provided to the Administrative Agent and the Lenders if requested at least three Business Days prior to the Effective Date, the documentation and other information requested by the Administrative Agent or any Lender in order to comply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75" w:right="2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with requirements of the PATRIOT Act and applicable “know your customer” and anti-money laundering rules and regulations.</w:t>
      </w:r>
    </w:p>
    <w:p>
      <w:pPr>
        <w:spacing w:after="0" w:line="295" w:lineRule="exact"/>
        <w:rPr>
          <w:sz w:val="20"/>
          <w:szCs w:val="20"/>
          <w:color w:val="auto"/>
        </w:rPr>
      </w:pPr>
    </w:p>
    <w:p>
      <w:pPr>
        <w:ind w:firstLine="1305"/>
        <w:spacing w:after="0" w:line="263" w:lineRule="auto"/>
        <w:tabs>
          <w:tab w:leader="none" w:pos="188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Administrative Agent and the Lenders are satisfied with the description and scope of the Designated Assets as described in writing to the Administrative Agent and the Lenders prior to the Effective Date.</w:t>
      </w:r>
    </w:p>
    <w:p>
      <w:pPr>
        <w:spacing w:after="0" w:line="215" w:lineRule="exact"/>
        <w:rPr>
          <w:rFonts w:ascii="Arial" w:cs="Arial" w:eastAsia="Arial" w:hAnsi="Arial"/>
          <w:sz w:val="22"/>
          <w:szCs w:val="22"/>
          <w:color w:val="auto"/>
        </w:rPr>
      </w:pPr>
    </w:p>
    <w:p>
      <w:pPr>
        <w:ind w:firstLine="1305"/>
        <w:spacing w:after="0" w:line="343" w:lineRule="auto"/>
        <w:tabs>
          <w:tab w:leader="none" w:pos="204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Each Obligor shall have provided the Administrative Agent such other information and supporting documentation regarding the WIL-Bermuda recapitalization transaction as the Administrative Agent shall reasonably request.</w:t>
      </w:r>
    </w:p>
    <w:p>
      <w:pPr>
        <w:spacing w:after="0" w:line="14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Each Lender, by delivering its signature page to the Amendment and Restatement Agreement,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Conditions Precedent to All Credit Events</w:t>
      </w:r>
      <w:r>
        <w:rPr>
          <w:rFonts w:ascii="Arial" w:cs="Arial" w:eastAsia="Arial" w:hAnsi="Arial"/>
          <w:sz w:val="22"/>
          <w:szCs w:val="22"/>
          <w:color w:val="auto"/>
        </w:rPr>
        <w:t>. The obligation of the Lenders to make any Loan on the occasion of any Borrowing on or after the Effective Date and of any Issuing Bank to issue, amend, renew or extend any Letter of Credit on or after the Effective Date is subject to the further conditions precedent that, on the date such Loan is made or Letter of Credit is issued, amended, renewed or extended:</w:t>
      </w:r>
    </w:p>
    <w:p>
      <w:pPr>
        <w:spacing w:after="0" w:line="229" w:lineRule="exact"/>
        <w:rPr>
          <w:sz w:val="20"/>
          <w:szCs w:val="20"/>
          <w:color w:val="auto"/>
        </w:rPr>
      </w:pPr>
    </w:p>
    <w:p>
      <w:pPr>
        <w:jc w:val="both"/>
        <w:ind w:firstLine="1305"/>
        <w:spacing w:after="0" w:line="259" w:lineRule="auto"/>
        <w:tabs>
          <w:tab w:leader="none" w:pos="194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220" w:lineRule="exact"/>
        <w:rPr>
          <w:rFonts w:ascii="Arial" w:cs="Arial" w:eastAsia="Arial" w:hAnsi="Arial"/>
          <w:sz w:val="21"/>
          <w:szCs w:val="21"/>
          <w:color w:val="auto"/>
        </w:rPr>
      </w:pPr>
    </w:p>
    <w:p>
      <w:pPr>
        <w:jc w:val="both"/>
        <w:ind w:firstLine="1305"/>
        <w:spacing w:after="0" w:line="247" w:lineRule="auto"/>
        <w:tabs>
          <w:tab w:leader="none" w:pos="18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Administrative Agent and, if applicable, the applicable Swingline Lender or the applicable Issuing Bank, shall have received (i) in the case of a Borrowing, a Borrowing Request by the time and on the Business Day specified in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(ii) in the case of a Swingline Borrowing, a Swingline Borrowing Request as required by </w:t>
      </w:r>
      <w:r>
        <w:rPr>
          <w:rFonts w:ascii="Arial" w:cs="Arial" w:eastAsia="Arial" w:hAnsi="Arial"/>
          <w:sz w:val="22"/>
          <w:szCs w:val="22"/>
          <w:u w:val="single" w:color="auto"/>
          <w:color w:val="auto"/>
        </w:rPr>
        <w:t>Section 2.03(b)</w:t>
      </w:r>
      <w:r>
        <w:rPr>
          <w:rFonts w:ascii="Arial" w:cs="Arial" w:eastAsia="Arial" w:hAnsi="Arial"/>
          <w:sz w:val="22"/>
          <w:szCs w:val="22"/>
          <w:color w:val="auto"/>
        </w:rPr>
        <w:t xml:space="preserve"> by the time and on the Business Day specified in </w:t>
      </w:r>
      <w:r>
        <w:rPr>
          <w:rFonts w:ascii="Arial" w:cs="Arial" w:eastAsia="Arial" w:hAnsi="Arial"/>
          <w:sz w:val="22"/>
          <w:szCs w:val="22"/>
          <w:u w:val="single" w:color="auto"/>
          <w:color w:val="auto"/>
        </w:rPr>
        <w:t>Section 2.03(b)</w:t>
      </w:r>
      <w:r>
        <w:rPr>
          <w:rFonts w:ascii="Arial" w:cs="Arial" w:eastAsia="Arial" w:hAnsi="Arial"/>
          <w:sz w:val="22"/>
          <w:szCs w:val="22"/>
          <w:color w:val="auto"/>
        </w:rPr>
        <w:t xml:space="preserve"> and (iii) in the case of an issuance, amendment, renewal or extension of a Letter of Credit, a Letter of Credit Request as required by </w:t>
      </w:r>
      <w:r>
        <w:rPr>
          <w:rFonts w:ascii="Arial" w:cs="Arial" w:eastAsia="Arial" w:hAnsi="Arial"/>
          <w:sz w:val="22"/>
          <w:szCs w:val="22"/>
          <w:u w:val="single" w:color="auto"/>
          <w:color w:val="auto"/>
        </w:rPr>
        <w:t>Section 3.01(b)</w:t>
      </w:r>
      <w:r>
        <w:rPr>
          <w:rFonts w:ascii="Arial" w:cs="Arial" w:eastAsia="Arial" w:hAnsi="Arial"/>
          <w:sz w:val="22"/>
          <w:szCs w:val="22"/>
          <w:color w:val="auto"/>
        </w:rPr>
        <w:t xml:space="preserve"> by the time and on the Business Day specified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ind w:firstLine="1305"/>
        <w:spacing w:after="0" w:line="263" w:lineRule="auto"/>
        <w:tabs>
          <w:tab w:leader="none" w:pos="176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result from the making of such Loan or the issuance, amendment, renewal or extension of such Letter of Credit.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75" w:right="239" w:bottom="1440" w:gutter="0" w:footer="0" w:header="0"/>
        </w:sectPr>
      </w:pPr>
    </w:p>
    <w:bookmarkStart w:id="127" w:name="page128"/>
    <w:bookmarkEnd w:id="127"/>
    <w:p>
      <w:pPr>
        <w:jc w:val="both"/>
        <w:spacing w:after="0" w:line="287" w:lineRule="auto"/>
        <w:rPr>
          <w:sz w:val="20"/>
          <w:szCs w:val="20"/>
          <w:color w:val="auto"/>
        </w:rPr>
      </w:pPr>
      <w:r>
        <w:rPr>
          <w:rFonts w:ascii="Arial" w:cs="Arial" w:eastAsia="Arial" w:hAnsi="Arial"/>
          <w:sz w:val="21"/>
          <w:szCs w:val="21"/>
          <w:color w:val="auto"/>
        </w:rPr>
        <w:t xml:space="preserve">The acceptance of the benefits of each Credit Event shall constitute a representation and warranty by each of the Obligors to each of the Lenders that all of the conditions specified in </w:t>
      </w:r>
      <w:r>
        <w:rPr>
          <w:rFonts w:ascii="Arial" w:cs="Arial" w:eastAsia="Arial" w:hAnsi="Arial"/>
          <w:sz w:val="21"/>
          <w:szCs w:val="21"/>
          <w:u w:val="single" w:color="auto"/>
          <w:color w:val="auto"/>
        </w:rPr>
        <w:t>Section 5.02(a)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5.02(c)</w:t>
      </w:r>
      <w:r>
        <w:rPr>
          <w:rFonts w:ascii="Arial" w:cs="Arial" w:eastAsia="Arial" w:hAnsi="Arial"/>
          <w:sz w:val="21"/>
          <w:szCs w:val="21"/>
          <w:color w:val="auto"/>
        </w:rPr>
        <w:t xml:space="preserve"> have been satisfied as of that time.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Obligor Party represents and warrants to the Lenders, the Issuing Banks and the Administrative Agent as follows:</w:t>
      </w:r>
    </w:p>
    <w:p>
      <w:pPr>
        <w:spacing w:after="0" w:line="2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Each Obligor and each Restricted Subsidiary (a) is a company, corporation, partnership or entity having limited liability that is duly organized or formed, validly existing and in good standing under the laws of the jurisdiction of its incorporation or formation, (b) has the corporate, partnership or other power and authority to own its property and to carry on its business as now conducted and (c) is duly qualified as a foreign corporation or other foreign entity to do business and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Authorization, Validity, Etc.</w:t>
      </w:r>
      <w:r>
        <w:rPr>
          <w:rFonts w:ascii="Arial" w:cs="Arial" w:eastAsia="Arial" w:hAnsi="Arial"/>
          <w:sz w:val="19"/>
          <w:szCs w:val="19"/>
          <w:color w:val="auto"/>
        </w:rPr>
        <w:t xml:space="preserve"> Each Obligor has the corporate or other power and authority to execute, deliver and perform its obligations hereunder and under the other Loan Documents to which it is a party and to obtain the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Governmental Consents, Etc.</w:t>
      </w:r>
      <w:r>
        <w:rPr>
          <w:rFonts w:ascii="Arial" w:cs="Arial" w:eastAsia="Arial" w:hAnsi="Arial"/>
          <w:sz w:val="21"/>
          <w:szCs w:val="21"/>
          <w:color w:val="auto"/>
        </w:rPr>
        <w:t xml:space="preserve">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and such matters relating to performance as would ordinarily be done in the ordinary course of business after the Effective Date.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No Breach or Violation of Law or Agreements</w:t>
      </w:r>
      <w:r>
        <w:rPr>
          <w:rFonts w:ascii="Arial" w:cs="Arial" w:eastAsia="Arial" w:hAnsi="Arial"/>
          <w:sz w:val="22"/>
          <w:szCs w:val="22"/>
          <w:color w:val="auto"/>
        </w:rPr>
        <w:t>. Neither the execution, delivery and performance by any Obligor of the Loan Documents to which it is a party, nor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75" w:right="239" w:bottom="1440" w:gutter="0" w:footer="0" w:header="0"/>
        </w:sectPr>
      </w:pPr>
    </w:p>
    <w:bookmarkStart w:id="128" w:name="page129"/>
    <w:bookmarkEnd w:id="128"/>
    <w:p>
      <w:pPr>
        <w:jc w:val="both"/>
        <w:spacing w:after="0" w:line="290" w:lineRule="auto"/>
        <w:rPr>
          <w:sz w:val="20"/>
          <w:szCs w:val="20"/>
          <w:color w:val="auto"/>
        </w:rPr>
      </w:pPr>
      <w:r>
        <w:rPr>
          <w:rFonts w:ascii="Arial" w:cs="Arial" w:eastAsia="Arial" w:hAnsi="Arial"/>
          <w:sz w:val="19"/>
          <w:szCs w:val="19"/>
          <w:color w:val="auto"/>
        </w:rPr>
        <w:t>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Existing Senior Notes, any Existing Senior Notes Indenture or any Citi Credit Document or (ii)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that collectively for the Obligors would not have a Material Adverse Effect, or (c) will violate any provision of the organizational documents or by-laws of any Obligor.</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6.05</w:t>
      </w:r>
      <w:r>
        <w:rPr>
          <w:rFonts w:ascii="Arial" w:cs="Arial" w:eastAsia="Arial" w:hAnsi="Arial"/>
          <w:sz w:val="22"/>
          <w:szCs w:val="22"/>
          <w:color w:val="auto"/>
        </w:rPr>
        <w:t>, (a) there are no actions, suits or proceedings pending or, to the best knowledge of WIL-Ireland, threatened in writing against any Obligor or against any of their respective properties or assets that are reasonably likely to have (individually or collectively) a Material Adverse Effect and (b) to the best knowledge of WIL-Ireland, there are no actions, suits or proceedings pending or threatened that purport to affect or pertain to the Loan Documents or any transactions contemplated thereby.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Information; No Material Adverse Change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9" w:lineRule="auto"/>
        <w:tabs>
          <w:tab w:leader="none" w:pos="18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All written information heretofore furnished by the Obligors to the Administrative Agent or any Lender in connection with this Agreement or any of the other Loan Documents (including the information contained in the Confidential Information Memorandum dated April 2016 delivered in connection with Transactions, the facility evidenced hereby and the Term Loan Facility),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98" w:lineRule="exact"/>
        <w:rPr>
          <w:rFonts w:ascii="Arial" w:cs="Arial" w:eastAsia="Arial" w:hAnsi="Arial"/>
          <w:sz w:val="19"/>
          <w:szCs w:val="19"/>
          <w:color w:val="auto"/>
        </w:rPr>
      </w:pPr>
    </w:p>
    <w:p>
      <w:pPr>
        <w:jc w:val="both"/>
        <w:ind w:firstLine="1305"/>
        <w:spacing w:after="0" w:line="248" w:lineRule="auto"/>
        <w:tabs>
          <w:tab w:leader="none" w:pos="180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WIL-Ireland has heretofore furnished to the Lenders its consolidated balance sheet and statements of income, stockholders equity and cash flows (i) as of and for the Fiscal Year ended December 31, 2015 reported on by KPMG LLP, independent public accountants. Such financial statements present fairly, in all material respects, the financial position and results of operations and cash flows of WIL-Ireland and its consolidated Subsidiaries as of such dates and for such periods in accordance with GAAP.</w:t>
      </w:r>
    </w:p>
    <w:p>
      <w:pPr>
        <w:spacing w:after="0" w:line="232" w:lineRule="exact"/>
        <w:rPr>
          <w:rFonts w:ascii="Arial" w:cs="Arial" w:eastAsia="Arial" w:hAnsi="Arial"/>
          <w:sz w:val="22"/>
          <w:szCs w:val="22"/>
          <w:color w:val="auto"/>
        </w:rPr>
      </w:pPr>
    </w:p>
    <w:p>
      <w:pPr>
        <w:ind w:firstLine="1305"/>
        <w:spacing w:after="0" w:line="263" w:lineRule="auto"/>
        <w:tabs>
          <w:tab w:leader="none" w:pos="175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There has been no material adverse change since December 31, 2015 in the financial condition, business, assets or operations of WIL-Ireland and its Restricted Subsidiaries, taken as a whole.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75" w:right="239" w:bottom="1440" w:gutter="0" w:footer="0" w:header="0"/>
        </w:sectPr>
      </w:pPr>
    </w:p>
    <w:bookmarkStart w:id="129" w:name="page130"/>
    <w:bookmarkEnd w:id="129"/>
    <w:p>
      <w:pPr>
        <w:ind w:left="130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87" w:lineRule="auto"/>
        <w:tabs>
          <w:tab w:leader="none" w:pos="1804" w:val="left"/>
        </w:tabs>
        <w:numPr>
          <w:ilvl w:val="1"/>
          <w:numId w:val="134"/>
        </w:numPr>
        <w:rPr>
          <w:rFonts w:ascii="Arial" w:cs="Arial" w:eastAsia="Arial" w:hAnsi="Arial"/>
          <w:sz w:val="21"/>
          <w:szCs w:val="21"/>
          <w:color w:val="auto"/>
        </w:rPr>
      </w:pPr>
      <w:r>
        <w:rPr>
          <w:rFonts w:ascii="Arial" w:cs="Arial" w:eastAsia="Arial" w:hAnsi="Arial"/>
          <w:sz w:val="21"/>
          <w:szCs w:val="21"/>
          <w:color w:val="auto"/>
        </w:rPr>
        <w:t>Neither any Obligor nor any of its Restricted Subsidiaries is, or is regulated as, an “investment company,” as such term is defined in the Investment Company Act of 1940 (as adopted in the United States), as amended.</w:t>
      </w:r>
    </w:p>
    <w:p>
      <w:pPr>
        <w:spacing w:after="0" w:line="192" w:lineRule="exact"/>
        <w:rPr>
          <w:rFonts w:ascii="Arial" w:cs="Arial" w:eastAsia="Arial" w:hAnsi="Arial"/>
          <w:sz w:val="21"/>
          <w:szCs w:val="21"/>
          <w:color w:val="auto"/>
        </w:rPr>
      </w:pPr>
    </w:p>
    <w:p>
      <w:pPr>
        <w:jc w:val="both"/>
        <w:ind w:firstLine="1305"/>
        <w:spacing w:after="0" w:line="259" w:lineRule="exact"/>
        <w:tabs>
          <w:tab w:leader="none" w:pos="184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the Loans made to the Borrowers will be used to purchase or carry any such margin stock or to extend credit to others for the purpose of purchasing or carrying any such margin stock (except that WIL-Ireland and any of its Restricted Subsidiaries may purchase the common stock of WIL</w:t>
      </w:r>
      <w:r>
        <w:rPr>
          <w:rFonts w:ascii="MS PGothic" w:cs="MS PGothic" w:eastAsia="MS PGothic" w:hAnsi="MS PGothic"/>
          <w:sz w:val="19"/>
          <w:szCs w:val="19"/>
          <w:color w:val="auto"/>
        </w:rPr>
        <w:t>‑</w:t>
      </w:r>
      <w:r>
        <w:rPr>
          <w:rFonts w:ascii="Arial" w:cs="Arial" w:eastAsia="Arial" w:hAnsi="Arial"/>
          <w:sz w:val="19"/>
          <w:szCs w:val="19"/>
          <w:color w:val="auto"/>
        </w:rPr>
        <w:t>Ireland, subject to compliance with applicable law and provided that following the application of the proceeds of each Borrowing, not more than 25% of the value of the assets (either of the applicable Borrower only or of WIL-Ireland and its Subsidiaries on a consolidated basis) subject to any restriction contained in any Loan Document is comprised of “margin stock” as defined in Regulation U, including such purchased common stock of WIL-Ireland) or for any purpose that violates, or is inconsistent with, the provisions of Regulation T, U or X.</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ERISA</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84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Each Obligor and each ERISA Affiliate has maintained and administered each Plan in compliance with all applicable laws, except for such instances of noncompliance as have not resulted in and would not reasonably be expected to have a Material Adverse Effect.</w:t>
      </w:r>
    </w:p>
    <w:p>
      <w:pPr>
        <w:spacing w:after="0" w:line="226" w:lineRule="exact"/>
        <w:rPr>
          <w:rFonts w:ascii="Arial" w:cs="Arial" w:eastAsia="Arial" w:hAnsi="Arial"/>
          <w:sz w:val="22"/>
          <w:szCs w:val="22"/>
          <w:color w:val="auto"/>
        </w:rPr>
      </w:pPr>
    </w:p>
    <w:p>
      <w:pPr>
        <w:ind w:firstLine="1305"/>
        <w:spacing w:after="0" w:line="343" w:lineRule="auto"/>
        <w:tabs>
          <w:tab w:leader="none" w:pos="178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No ERISA Event has occurred or is reasonably expected to occur that, when taken together with all other such ERISA Events for which liability is reasonably expected to occur, could reasonably be expected to have a Material Adverse Effect.</w:t>
      </w:r>
    </w:p>
    <w:p>
      <w:pPr>
        <w:spacing w:after="0" w:line="14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Tax Returns and Payments</w:t>
      </w:r>
      <w:r>
        <w:rPr>
          <w:rFonts w:ascii="Arial" w:cs="Arial" w:eastAsia="Arial" w:hAnsi="Arial"/>
          <w:sz w:val="19"/>
          <w:szCs w:val="19"/>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Requirements of Law</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65" w:lineRule="auto"/>
        <w:tabs>
          <w:tab w:leader="none" w:pos="189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75" w:right="239" w:bottom="1440" w:gutter="0" w:footer="0" w:header="0"/>
        </w:sectPr>
      </w:pPr>
    </w:p>
    <w:bookmarkStart w:id="130" w:name="page131"/>
    <w:bookmarkEnd w:id="130"/>
    <w:p>
      <w:pPr>
        <w:jc w:val="both"/>
        <w:ind w:firstLine="1305"/>
        <w:spacing w:after="0" w:line="247" w:lineRule="auto"/>
        <w:tabs>
          <w:tab w:leader="none" w:pos="181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could not reasonably be expected to result in a Material Adverse Effect, neither WIL-Ireland nor any of its Subsidiaries (i) has failed to comply with any Environmental Law or to obtain, maintain or comply with any permit, license or other approval required for the conduct of WIL-Ireland’s or any of its Subsidiaries’ business under any Environmental Law, (ii) is liable for any Environmental Liability, (iii) has received notice of any claim with respect to any Environmental Liability or (iv) has knowledge of any facts or circumstances that would give rise to any Environmental Liability.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has occurred and is continuing.</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Anti-Corruption Laws and Sanctions</w:t>
      </w:r>
      <w:r>
        <w:rPr>
          <w:rFonts w:ascii="Arial" w:cs="Arial" w:eastAsia="Arial" w:hAnsi="Arial"/>
          <w:sz w:val="21"/>
          <w:szCs w:val="21"/>
          <w:color w:val="auto"/>
        </w:rPr>
        <w:t>. Each Obligor Party has implemented and maintains in effect policies and procedures designed to ensure compliance by such Obligor Party, its Subsidiaries and their respective directors, officers, employees and agents with Anti-Corruption Laws and applicable Sanctions, and such Obligor Party, its Subsidiaries and their respective officers and employees and, to the knowledge of such Obligor Party, its directors and agents, are in compliance with Anti-Corruption Laws and applicable Sanctions in all material respects. None of (a) each Obligor Party, any Subsidiary of such Obligor Party or any of their respective directors, officers or employees, or (b) to the knowledge of each Obligor Party, any agent of such Obligor Party or any Subsidiary of such Obligor Party that will act in any capacity in connection with or benefit from the credit facility established hereby, is a Sanctioned Person. No Borrowing, nor the use of proceeds of the Loans or any other transaction contemplated by the Credit Agreement will violate any Anti-Corruption Laws or any Sanctions applicable to any party hereto.</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312" w:lineRule="auto"/>
        <w:tabs>
          <w:tab w:leader="none" w:pos="177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Each of WIL-Ireland and its Restricted Subsidiaries has good title to, or valid leasehold interests in, all its real and personal property material to its business, except for (i) Liens permitted by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(ii) minor defects in title that do not interfere with its ability to conduct its business as currently conducted or to utilize such properties for their intended purposes.</w:t>
      </w:r>
    </w:p>
    <w:p>
      <w:pPr>
        <w:spacing w:after="0" w:line="174" w:lineRule="exact"/>
        <w:rPr>
          <w:rFonts w:ascii="Arial" w:cs="Arial" w:eastAsia="Arial" w:hAnsi="Arial"/>
          <w:sz w:val="19"/>
          <w:szCs w:val="19"/>
          <w:color w:val="auto"/>
        </w:rPr>
      </w:pPr>
    </w:p>
    <w:p>
      <w:pPr>
        <w:jc w:val="both"/>
        <w:ind w:firstLine="1305"/>
        <w:spacing w:after="0" w:line="265" w:lineRule="auto"/>
        <w:tabs>
          <w:tab w:leader="none" w:pos="184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Each of WIL-Ireland and its Restricted Subsidiaries owns, or is licensed to use, all trademarks, tradenames, copyrights, patents and other intellectual property material to its business, and the use thereof by WIL- Ireland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21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No Restrictive Agreements</w:t>
      </w:r>
      <w:r>
        <w:rPr>
          <w:rFonts w:ascii="Arial" w:cs="Arial" w:eastAsia="Arial" w:hAnsi="Arial"/>
          <w:sz w:val="22"/>
          <w:szCs w:val="22"/>
          <w:color w:val="auto"/>
        </w:rPr>
        <w:t xml:space="preserve">. WIL-Ireland and its Restricted Subsidiaries are not subject to any Restrictive Agreements other than Restrictive Agreements permitted by </w:t>
      </w:r>
      <w:r>
        <w:rPr>
          <w:rFonts w:ascii="Arial" w:cs="Arial" w:eastAsia="Arial" w:hAnsi="Arial"/>
          <w:sz w:val="22"/>
          <w:szCs w:val="22"/>
          <w:u w:val="single" w:color="auto"/>
          <w:color w:val="auto"/>
        </w:rPr>
        <w:t>Section 8.11</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75" w:right="239" w:bottom="1440" w:gutter="0" w:footer="0" w:header="0"/>
        </w:sectPr>
      </w:pPr>
    </w:p>
    <w:bookmarkStart w:id="131" w:name="page132"/>
    <w:bookmarkEnd w:id="131"/>
    <w:p>
      <w:pPr>
        <w:ind w:firstLine="1305"/>
        <w:spacing w:after="0" w:line="263" w:lineRule="auto"/>
        <w:tabs>
          <w:tab w:leader="none" w:pos="181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Immediately after the consummation of the Transactions to occur on the Effective Date, WIL-Ireland and its Subsidiaries, taken as a whole, are and will be Solvent.</w:t>
      </w:r>
    </w:p>
    <w:p>
      <w:pPr>
        <w:spacing w:after="0" w:line="215" w:lineRule="exact"/>
        <w:rPr>
          <w:rFonts w:ascii="Arial" w:cs="Arial" w:eastAsia="Arial" w:hAnsi="Arial"/>
          <w:sz w:val="22"/>
          <w:szCs w:val="22"/>
          <w:color w:val="auto"/>
        </w:rPr>
      </w:pPr>
    </w:p>
    <w:p>
      <w:pPr>
        <w:ind w:right="20" w:firstLine="1305"/>
        <w:spacing w:after="0" w:line="263" w:lineRule="auto"/>
        <w:tabs>
          <w:tab w:leader="none" w:pos="178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Immediately after the consummation of the Transactions to occur on the Effective Date, WIL-Bermuda and its Subsidiaries, taken as a whole, are and will be Solvent.</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1803"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WIL-Bermuda does not intend to, nor will permit its Restricted Subsidiaries (taken as a whole) to, and WIL-Ireland does not believe that it or its Restricted Subsidiaries (taken as a whole) will, incur debts beyond its or their ability to pay such debts as such debts mature, taking into account the timing of and amounts of cash to be received by it or any such Restricted Subsidiary and the timing of the amounts of cash to be payable on or in respect of its Indebtedness or the Indebtedness of any such Restricted Subsidiary.</w:t>
      </w:r>
    </w:p>
    <w:p>
      <w:pPr>
        <w:spacing w:after="0" w:line="233"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Insurance</w:t>
      </w:r>
      <w:r>
        <w:rPr>
          <w:rFonts w:ascii="Arial" w:cs="Arial" w:eastAsia="Arial" w:hAnsi="Arial"/>
          <w:sz w:val="22"/>
          <w:szCs w:val="22"/>
          <w:color w:val="auto"/>
        </w:rPr>
        <w:t>. WIL-Ireland and its Subsidiaries maintain, including through self</w:t>
      </w:r>
      <w:r>
        <w:rPr>
          <w:rFonts w:ascii="MS PGothic" w:cs="MS PGothic" w:eastAsia="MS PGothic" w:hAnsi="MS PGothic"/>
          <w:sz w:val="22"/>
          <w:szCs w:val="22"/>
          <w:color w:val="auto"/>
        </w:rPr>
        <w:t>‑</w:t>
      </w:r>
      <w:r>
        <w:rPr>
          <w:rFonts w:ascii="Arial" w:cs="Arial" w:eastAsia="Arial" w:hAnsi="Arial"/>
          <w:sz w:val="22"/>
          <w:szCs w:val="22"/>
          <w:color w:val="auto"/>
        </w:rPr>
        <w:t>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w:t>
      </w:r>
    </w:p>
    <w:p>
      <w:pPr>
        <w:spacing w:after="0" w:line="2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Rank of Obligations</w:t>
      </w:r>
      <w:r>
        <w:rPr>
          <w:rFonts w:ascii="Arial" w:cs="Arial" w:eastAsia="Arial" w:hAnsi="Arial"/>
          <w:sz w:val="19"/>
          <w:szCs w:val="19"/>
          <w:color w:val="auto"/>
        </w:rPr>
        <w:t>. The obligations of each Obligor under the Loan Documents to which it is a party rank at least equally with all of the unsecured and unsubordinated Indebtedness of such Obligor, except Indebtedness mandatorily (and not consensually) preferred by applicable law, and ahead of all subordinated Indebtedness, if any, of such Obligor.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EEA Financial Institutions</w:t>
      </w:r>
      <w:r>
        <w:rPr>
          <w:rFonts w:ascii="Arial" w:cs="Arial" w:eastAsia="Arial" w:hAnsi="Arial"/>
          <w:sz w:val="22"/>
          <w:szCs w:val="22"/>
          <w:color w:val="auto"/>
        </w:rPr>
        <w:t>. No Obligor is an EEA Financial Institution.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Compliance with the Swiss Non-Bank Rules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76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Each Swiss Obligor is in compliance with the Swiss Non-Bank Rules;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Swiss Obligor shall not be in breach of this representation if the permitted number of Swiss Non-Qualifying Lenders is exceeded solely by reason of:</w:t>
      </w:r>
    </w:p>
    <w:p>
      <w:pPr>
        <w:spacing w:after="0" w:line="226" w:lineRule="exact"/>
        <w:rPr>
          <w:rFonts w:ascii="Arial" w:cs="Arial" w:eastAsia="Arial" w:hAnsi="Arial"/>
          <w:sz w:val="22"/>
          <w:szCs w:val="22"/>
          <w:color w:val="auto"/>
        </w:rPr>
      </w:pPr>
    </w:p>
    <w:p>
      <w:pPr>
        <w:ind w:left="2380" w:hanging="427"/>
        <w:spacing w:after="0"/>
        <w:tabs>
          <w:tab w:leader="none" w:pos="23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a failure by one or more Lenders or Participants to comply with their obligations under </w:t>
      </w:r>
      <w:r>
        <w:rPr>
          <w:rFonts w:ascii="Arial" w:cs="Arial" w:eastAsia="Arial" w:hAnsi="Arial"/>
          <w:sz w:val="19"/>
          <w:szCs w:val="19"/>
          <w:u w:val="single" w:color="auto"/>
          <w:color w:val="auto"/>
        </w:rPr>
        <w:t>Section 11.05</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ind w:left="2480" w:hanging="527"/>
        <w:spacing w:after="0"/>
        <w:tabs>
          <w:tab w:leader="none" w:pos="24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a confirmation made by a one or more Lenders or Participants to be one single Swiss Non-Qualifying</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 is incorrect;</w:t>
      </w:r>
    </w:p>
    <w:p>
      <w:pPr>
        <w:spacing w:after="0" w:line="242" w:lineRule="exact"/>
        <w:rPr>
          <w:rFonts w:ascii="Arial" w:cs="Arial" w:eastAsia="Arial" w:hAnsi="Arial"/>
          <w:sz w:val="19"/>
          <w:szCs w:val="19"/>
          <w:color w:val="auto"/>
        </w:rPr>
      </w:pPr>
    </w:p>
    <w:p>
      <w:pPr>
        <w:jc w:val="both"/>
        <w:ind w:left="660" w:right="20" w:firstLine="1293"/>
        <w:spacing w:after="0" w:line="253" w:lineRule="auto"/>
        <w:tabs>
          <w:tab w:leader="none" w:pos="2621" w:val="left"/>
        </w:tabs>
        <w:numPr>
          <w:ilvl w:val="1"/>
          <w:numId w:val="140"/>
        </w:numPr>
        <w:rPr>
          <w:rFonts w:ascii="Arial" w:cs="Arial" w:eastAsia="Arial" w:hAnsi="Arial"/>
          <w:sz w:val="22"/>
          <w:szCs w:val="22"/>
          <w:color w:val="auto"/>
        </w:rPr>
      </w:pPr>
      <w:r>
        <w:rPr>
          <w:rFonts w:ascii="Arial" w:cs="Arial" w:eastAsia="Arial" w:hAnsi="Arial"/>
          <w:sz w:val="22"/>
          <w:szCs w:val="22"/>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226" w:lineRule="exact"/>
        <w:rPr>
          <w:rFonts w:ascii="Arial" w:cs="Arial" w:eastAsia="Arial" w:hAnsi="Arial"/>
          <w:sz w:val="22"/>
          <w:szCs w:val="22"/>
          <w:color w:val="auto"/>
        </w:rPr>
      </w:pPr>
    </w:p>
    <w:p>
      <w:pPr>
        <w:ind w:left="660" w:firstLine="1293"/>
        <w:spacing w:after="0" w:line="263" w:lineRule="auto"/>
        <w:tabs>
          <w:tab w:leader="none" w:pos="2545"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 assignment or participation of any Loan under this Agreement to a Swiss Non-Qualifying Lender after the occurrence of an Event of Default.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75" w:right="239" w:bottom="1440" w:gutter="0" w:footer="0" w:header="0"/>
        </w:sectPr>
      </w:pPr>
    </w:p>
    <w:bookmarkStart w:id="132" w:name="page133"/>
    <w:bookmarkEnd w:id="132"/>
    <w:p>
      <w:pPr>
        <w:ind w:firstLine="1305"/>
        <w:spacing w:after="0" w:line="263" w:lineRule="auto"/>
        <w:tabs>
          <w:tab w:leader="none" w:pos="176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6.19</w:t>
      </w:r>
      <w:r>
        <w:rPr>
          <w:rFonts w:ascii="Arial" w:cs="Arial" w:eastAsia="Arial" w:hAnsi="Arial"/>
          <w:sz w:val="22"/>
          <w:szCs w:val="22"/>
          <w:color w:val="auto"/>
        </w:rPr>
        <w:t>, each Swiss Obligor shall assume that the aggregate number of Lenders or Participants under this Agreement which are Swiss Non-Qualifying Lenders is eight.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Information Covenants</w:t>
      </w:r>
      <w:r>
        <w:rPr>
          <w:rFonts w:ascii="Arial" w:cs="Arial" w:eastAsia="Arial" w:hAnsi="Arial"/>
          <w:sz w:val="19"/>
          <w:szCs w:val="19"/>
          <w:color w:val="auto"/>
        </w:rPr>
        <w:t>. Each Obligor Party shall furnish or cause to be furnished to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42" w:lineRule="exact"/>
        <w:rPr>
          <w:sz w:val="20"/>
          <w:szCs w:val="20"/>
          <w:color w:val="auto"/>
        </w:rPr>
      </w:pPr>
    </w:p>
    <w:p>
      <w:pPr>
        <w:jc w:val="both"/>
        <w:ind w:firstLine="1305"/>
        <w:spacing w:after="0" w:line="287" w:lineRule="auto"/>
        <w:tabs>
          <w:tab w:leader="none" w:pos="177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45 days after the end of each of the first three Fiscal Quarters in each Fiscal Year of WIL-Ireland (commencing with the Fiscal Quarter ended March 31, 2016), the Quarterly Report on Form 10-Q, or its equivalent, of WIL-Ireland for such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Obligor Parties shall be deemed to have furnished said Quarterly Report on Form 10-Q for purposes of this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t>
      </w:r>
      <w:r>
        <w:rPr>
          <w:rFonts w:ascii="Arial" w:cs="Arial" w:eastAsia="Arial" w:hAnsi="Arial"/>
          <w:sz w:val="19"/>
          <w:szCs w:val="19"/>
          <w:u w:val="single" w:color="auto"/>
          <w:color w:val="0000FF"/>
        </w:rPr>
        <w:t>www.weatherford.com</w:t>
      </w:r>
      <w:r>
        <w:rPr>
          <w:rFonts w:ascii="Arial" w:cs="Arial" w:eastAsia="Arial" w:hAnsi="Arial"/>
          <w:sz w:val="19"/>
          <w:szCs w:val="19"/>
          <w:color w:val="auto"/>
        </w:rPr>
        <w:t>). Such Quarterly Report shall include, and to the extent it does not include shall be supplemented by, a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Principal Financial Officers as presenting fairly in all material respects the financial condition and results of operations of WIL-Ireland and its consolidated Subsidiaries on a consolidated basis in accordance with GAAP consistently applied, subject to normal year-end audit adjustments and the absence of footnotes.</w:t>
      </w:r>
    </w:p>
    <w:p>
      <w:pPr>
        <w:spacing w:after="0" w:line="200" w:lineRule="exact"/>
        <w:rPr>
          <w:rFonts w:ascii="Arial" w:cs="Arial" w:eastAsia="Arial" w:hAnsi="Arial"/>
          <w:sz w:val="19"/>
          <w:szCs w:val="19"/>
          <w:color w:val="auto"/>
        </w:rPr>
      </w:pPr>
    </w:p>
    <w:p>
      <w:pPr>
        <w:jc w:val="both"/>
        <w:ind w:firstLine="1305"/>
        <w:spacing w:after="0" w:line="258" w:lineRule="exact"/>
        <w:tabs>
          <w:tab w:leader="none" w:pos="180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As soon as available, and in any event within 90 days after the close of each Fiscal Year of WIL-Ireland, the Annual Report on Form 10-K, or its equivalent, of WIL</w:t>
      </w:r>
      <w:r>
        <w:rPr>
          <w:rFonts w:ascii="MS PGothic" w:cs="MS PGothic" w:eastAsia="MS PGothic" w:hAnsi="MS PGothic"/>
          <w:sz w:val="19"/>
          <w:szCs w:val="19"/>
          <w:color w:val="auto"/>
        </w:rPr>
        <w:t>‑</w:t>
      </w:r>
      <w:r>
        <w:rPr>
          <w:rFonts w:ascii="Arial" w:cs="Arial" w:eastAsia="Arial" w:hAnsi="Arial"/>
          <w:sz w:val="19"/>
          <w:szCs w:val="19"/>
          <w:color w:val="auto"/>
        </w:rPr>
        <w:t xml:space="preserve">Ireland for such Fiscal Year, certified by KPMG LLP or other independent certified public accountants of recognized national standing reasonably acceptable to the Administrative Agent and the Required Lenders, whose certification shall be without qualification or limitation;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Obligor Parties shall be deemed to have furnished said Annual Report on Form 10-K for purposes of this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t>
      </w:r>
      <w:r>
        <w:rPr>
          <w:rFonts w:ascii="Arial" w:cs="Arial" w:eastAsia="Arial" w:hAnsi="Arial"/>
          <w:sz w:val="19"/>
          <w:szCs w:val="19"/>
          <w:u w:val="single" w:color="auto"/>
          <w:color w:val="auto"/>
        </w:rPr>
        <w:t>www.weatherford.com</w:t>
      </w:r>
      <w:r>
        <w:rPr>
          <w:rFonts w:ascii="Arial" w:cs="Arial" w:eastAsia="Arial" w:hAnsi="Arial"/>
          <w:sz w:val="19"/>
          <w:szCs w:val="19"/>
          <w:color w:val="auto"/>
        </w:rPr>
        <w:t>)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WIL-Ireland’s audited consolidated balance sheet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75" w:right="239" w:bottom="1440" w:gutter="0" w:footer="0" w:header="0"/>
        </w:sectPr>
      </w:pPr>
    </w:p>
    <w:bookmarkStart w:id="133" w:name="page134"/>
    <w:bookmarkEnd w:id="133"/>
    <w:p>
      <w:pPr>
        <w:jc w:val="both"/>
        <w:ind w:right="20"/>
        <w:spacing w:after="0" w:line="343" w:lineRule="auto"/>
        <w:rPr>
          <w:sz w:val="20"/>
          <w:szCs w:val="20"/>
          <w:color w:val="auto"/>
        </w:rPr>
      </w:pPr>
      <w:r>
        <w:rPr>
          <w:rFonts w:ascii="Arial" w:cs="Arial" w:eastAsia="Arial" w:hAnsi="Arial"/>
          <w:sz w:val="19"/>
          <w:szCs w:val="19"/>
          <w:color w:val="auto"/>
        </w:rPr>
        <w:t>to the effect that such consolidated financial statements present fairly in all material respects the financial condition and results of operations of WIL-Ireland and its consolidated Subsidiaries on a consolidated basis in accordance with GAAP consistently applied.</w:t>
      </w:r>
    </w:p>
    <w:p>
      <w:pPr>
        <w:spacing w:after="0" w:line="145" w:lineRule="exact"/>
        <w:rPr>
          <w:sz w:val="20"/>
          <w:szCs w:val="20"/>
          <w:color w:val="auto"/>
        </w:rPr>
      </w:pPr>
    </w:p>
    <w:p>
      <w:pPr>
        <w:jc w:val="both"/>
        <w:ind w:firstLine="1305"/>
        <w:spacing w:after="0" w:line="260" w:lineRule="auto"/>
        <w:tabs>
          <w:tab w:leader="none" w:pos="1781" w:val="left"/>
        </w:tabs>
        <w:numPr>
          <w:ilvl w:val="0"/>
          <w:numId w:val="143"/>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(whether on “EDGAR” (or any successor thereto) or WIL-Ireland’s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WIL-Ireland to its shareholders generally, as the case may be (and in furtherance of the foregoing, WIL-Ireland will give to the Administrative Agent prompt written notice of any change at any time or from time to time of the location of WIL-Ireland’s home page on the worldwide web).</w:t>
      </w:r>
    </w:p>
    <w:p>
      <w:pPr>
        <w:spacing w:after="0" w:line="221" w:lineRule="exact"/>
        <w:rPr>
          <w:rFonts w:ascii="Arial" w:cs="Arial" w:eastAsia="Arial" w:hAnsi="Arial"/>
          <w:sz w:val="21"/>
          <w:szCs w:val="21"/>
          <w:color w:val="auto"/>
        </w:rPr>
      </w:pPr>
    </w:p>
    <w:p>
      <w:pPr>
        <w:ind w:left="1780" w:hanging="475"/>
        <w:spacing w:after="0"/>
        <w:tabs>
          <w:tab w:leader="none" w:pos="17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Promptly, and in any event within five Business Days after:</w:t>
      </w:r>
    </w:p>
    <w:p>
      <w:pPr>
        <w:spacing w:after="0" w:line="260" w:lineRule="exact"/>
        <w:rPr>
          <w:rFonts w:ascii="Arial" w:cs="Arial" w:eastAsia="Arial" w:hAnsi="Arial"/>
          <w:sz w:val="22"/>
          <w:szCs w:val="22"/>
          <w:color w:val="auto"/>
        </w:rPr>
      </w:pPr>
    </w:p>
    <w:p>
      <w:pPr>
        <w:jc w:val="both"/>
        <w:ind w:left="660" w:firstLine="1293"/>
        <w:spacing w:after="0" w:line="294" w:lineRule="auto"/>
        <w:tabs>
          <w:tab w:leader="none" w:pos="252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occurrence of any of the following with respect to any Obligor Party or any of its Restricted Subsidiaries: (A) the pendency or commencement of any litigation, arbitration or governmental proceeding against such Obligor or Restricted Subsidiary which would reasonably be expected to have a Material Adverse Effect and (B) the institution of any proceeding against any Obligor Party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or</w:t>
      </w:r>
    </w:p>
    <w:p>
      <w:pPr>
        <w:spacing w:after="0" w:line="190" w:lineRule="exact"/>
        <w:rPr>
          <w:rFonts w:ascii="Arial" w:cs="Arial" w:eastAsia="Arial" w:hAnsi="Arial"/>
          <w:sz w:val="19"/>
          <w:szCs w:val="19"/>
          <w:color w:val="auto"/>
        </w:rPr>
      </w:pPr>
    </w:p>
    <w:p>
      <w:pPr>
        <w:ind w:left="660" w:firstLine="1293"/>
        <w:spacing w:after="0" w:line="263" w:lineRule="auto"/>
        <w:tabs>
          <w:tab w:leader="none" w:pos="251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Responsible Officer of such Obligor Party obtains knowledge of the occurrence of any event or condition which constitutes a Default or an Event of Default; or</w:t>
      </w:r>
    </w:p>
    <w:p>
      <w:pPr>
        <w:spacing w:after="0" w:line="215" w:lineRule="exact"/>
        <w:rPr>
          <w:rFonts w:ascii="Arial" w:cs="Arial" w:eastAsia="Arial" w:hAnsi="Arial"/>
          <w:sz w:val="22"/>
          <w:szCs w:val="22"/>
          <w:color w:val="auto"/>
        </w:rPr>
      </w:pPr>
    </w:p>
    <w:p>
      <w:pPr>
        <w:ind w:left="660" w:firstLine="1293"/>
        <w:spacing w:after="0" w:line="263" w:lineRule="auto"/>
        <w:tabs>
          <w:tab w:leader="none" w:pos="256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Responsible Officer of such Obligor Party obtains knowledge of the occurrence of a Change of Control or Change of Control Event;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notice of such event, condition, occurrence or development, specifying the nature thereof.</w:t>
      </w:r>
    </w:p>
    <w:p>
      <w:pPr>
        <w:spacing w:after="0" w:line="220" w:lineRule="exact"/>
        <w:rPr>
          <w:sz w:val="20"/>
          <w:szCs w:val="20"/>
          <w:color w:val="auto"/>
        </w:rPr>
      </w:pPr>
    </w:p>
    <w:p>
      <w:pPr>
        <w:ind w:firstLine="1305"/>
        <w:spacing w:after="0" w:line="263" w:lineRule="auto"/>
        <w:tabs>
          <w:tab w:leader="none" w:pos="181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Within five Business Days after the delivery of the financial statements provided for in </w:t>
      </w:r>
      <w:r>
        <w:rPr>
          <w:rFonts w:ascii="Arial" w:cs="Arial" w:eastAsia="Arial" w:hAnsi="Arial"/>
          <w:sz w:val="22"/>
          <w:szCs w:val="22"/>
          <w:u w:val="single" w:color="auto"/>
          <w:color w:val="auto"/>
        </w:rPr>
        <w:t>Sections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7.01(b)</w:t>
      </w:r>
      <w:r>
        <w:rPr>
          <w:rFonts w:ascii="Arial" w:cs="Arial" w:eastAsia="Arial" w:hAnsi="Arial"/>
          <w:sz w:val="22"/>
          <w:szCs w:val="22"/>
          <w:color w:val="auto"/>
        </w:rPr>
        <w:t>, a Compliance Certificate with respect to the fiscal period covered by such financial statements.</w:t>
      </w:r>
    </w:p>
    <w:p>
      <w:pPr>
        <w:spacing w:after="0" w:line="215" w:lineRule="exact"/>
        <w:rPr>
          <w:rFonts w:ascii="Arial" w:cs="Arial" w:eastAsia="Arial" w:hAnsi="Arial"/>
          <w:sz w:val="22"/>
          <w:szCs w:val="22"/>
          <w:color w:val="auto"/>
        </w:rPr>
      </w:pPr>
    </w:p>
    <w:p>
      <w:pPr>
        <w:ind w:firstLine="1305"/>
        <w:spacing w:after="0" w:line="263" w:lineRule="auto"/>
        <w:tabs>
          <w:tab w:leader="none" w:pos="18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Promptly, and in any event within 30 days after any Responsible Officer of such Obligor Party obtains knowledge thereof, notice of:</w:t>
      </w:r>
    </w:p>
    <w:p>
      <w:pPr>
        <w:spacing w:after="0" w:line="215" w:lineRule="exact"/>
        <w:rPr>
          <w:rFonts w:ascii="Arial" w:cs="Arial" w:eastAsia="Arial" w:hAnsi="Arial"/>
          <w:sz w:val="22"/>
          <w:szCs w:val="22"/>
          <w:color w:val="auto"/>
        </w:rPr>
      </w:pPr>
    </w:p>
    <w:p>
      <w:pPr>
        <w:jc w:val="both"/>
        <w:ind w:left="660" w:firstLine="1293"/>
        <w:spacing w:after="0" w:line="312" w:lineRule="auto"/>
        <w:tabs>
          <w:tab w:leader="none" w:pos="2379"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the occurrence or expected occurrence of (A) any ERISA Event with respect to any Plan, (B) a failure to make any required contribution to a Plan before the due date (including extensions) thereof or (C) any Lien in favor of the PBGC or a Plan, in each case which would reasonably be expected to have a Material Adverse Effect;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75" w:right="239" w:bottom="1440" w:gutter="0" w:footer="0" w:header="0"/>
        </w:sectPr>
      </w:pPr>
    </w:p>
    <w:bookmarkStart w:id="134" w:name="page135"/>
    <w:bookmarkEnd w:id="134"/>
    <w:p>
      <w:pPr>
        <w:jc w:val="both"/>
        <w:ind w:left="660" w:firstLine="1293"/>
        <w:spacing w:after="0" w:line="294" w:lineRule="auto"/>
        <w:tabs>
          <w:tab w:leader="none" w:pos="2522"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institution of proceedings or the taking of any other action by the PBGC or WIL-Ireland or any ERISA Affiliate or any Multiemployer Plan with respect to the withdrawal from, or the termination, insolvency, endangered, critical or critical and declining status (within the meaning of such terms as used in ERISA) of, any Plan, which withdrawal, termination, insolvency, endangered, critical or critical and declining status would reasonably be expected to have a Material Adverse Effect, except that no notice shall be required with respect to the merger of a defined contribution plan of one ERISA Affiliate into a defined contribution plan of another ERISA Affiliate.</w:t>
      </w:r>
    </w:p>
    <w:p>
      <w:pPr>
        <w:spacing w:after="0" w:line="190" w:lineRule="exact"/>
        <w:rPr>
          <w:rFonts w:ascii="Arial" w:cs="Arial" w:eastAsia="Arial" w:hAnsi="Arial"/>
          <w:sz w:val="19"/>
          <w:szCs w:val="19"/>
          <w:color w:val="auto"/>
        </w:rPr>
      </w:pPr>
    </w:p>
    <w:p>
      <w:pPr>
        <w:jc w:val="both"/>
        <w:ind w:firstLine="1305"/>
        <w:spacing w:after="0" w:line="236" w:lineRule="auto"/>
        <w:tabs>
          <w:tab w:leader="none" w:pos="182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As soon as available, and in any event within (i) 60 days after the beginning of each Fiscal Year, an annual forecast with respect to such Fiscal Year and (ii) 45 days after (A) the end of each of the Fiscal Quarters ending on June 30, 2016 and September 30, 2016, an update to the annual forecast delivered to the Lenders prior to the Effective Date with respect to the 2016 Fiscal Year, (B) the end of each of the Fiscal Quarters ending on March 31, 2017, June 30, 2017 and September 30, 2017, an update to the annual forecast for the 2017 Fiscal Year and (C) the end of the Fiscal Quarter ending on June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each Fiscal Year thereafter (commencing with the 2018 Fiscal Year), an update to the annual forecast for such Fiscal Year delivered pursuant to this </w:t>
      </w:r>
      <w:r>
        <w:rPr>
          <w:rFonts w:ascii="Arial" w:cs="Arial" w:eastAsia="Arial" w:hAnsi="Arial"/>
          <w:sz w:val="22"/>
          <w:szCs w:val="22"/>
          <w:u w:val="single" w:color="auto"/>
          <w:color w:val="auto"/>
        </w:rPr>
        <w:t>Section 7.01(g)</w:t>
      </w:r>
      <w:r>
        <w:rPr>
          <w:rFonts w:ascii="Arial" w:cs="Arial" w:eastAsia="Arial" w:hAnsi="Arial"/>
          <w:sz w:val="22"/>
          <w:szCs w:val="22"/>
          <w:color w:val="auto"/>
        </w:rPr>
        <w:t>.</w:t>
      </w:r>
    </w:p>
    <w:p>
      <w:pPr>
        <w:spacing w:after="0" w:line="243" w:lineRule="exact"/>
        <w:rPr>
          <w:rFonts w:ascii="Arial" w:cs="Arial" w:eastAsia="Arial" w:hAnsi="Arial"/>
          <w:sz w:val="22"/>
          <w:szCs w:val="22"/>
          <w:color w:val="auto"/>
        </w:rPr>
      </w:pPr>
    </w:p>
    <w:p>
      <w:pPr>
        <w:jc w:val="both"/>
        <w:ind w:firstLine="1305"/>
        <w:spacing w:after="0" w:line="297" w:lineRule="auto"/>
        <w:tabs>
          <w:tab w:leader="none" w:pos="184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as of the end of any Fiscal Quarter, (i) the total book value of all assets of the Other Subsidiaries Group represents more than 2.5% of the total book value of the WIL-Ireland Group or (ii) the Consolidated Adjusted EBITDA of the Other Subsidiaries Group represents more than 2.5% of the Consolidated Adjusted EBITDA of the WIL-Ireland Group, WIL-Ireland shall deliver, as soon as available, and in any event within 45 days after the end of such Fiscal Quarter, a consolidating balance sheet and income statement with respect to the Other Subsidiaries Group (together with the applicable eliminating entries).</w:t>
      </w:r>
    </w:p>
    <w:p>
      <w:pPr>
        <w:spacing w:after="0" w:line="187" w:lineRule="exact"/>
        <w:rPr>
          <w:rFonts w:ascii="Arial" w:cs="Arial" w:eastAsia="Arial" w:hAnsi="Arial"/>
          <w:sz w:val="19"/>
          <w:szCs w:val="19"/>
          <w:color w:val="auto"/>
        </w:rPr>
      </w:pPr>
    </w:p>
    <w:p>
      <w:pPr>
        <w:jc w:val="both"/>
        <w:ind w:firstLine="1305"/>
        <w:spacing w:after="0" w:line="246" w:lineRule="auto"/>
        <w:tabs>
          <w:tab w:leader="none" w:pos="191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From time to time and with reasonable promptness, such other information or documents (financial or otherwise) with respect to any Obligor or any of its Restricted Subsidiaries as the Administrative Agent or any Lender through the Administrative Agent may reasonably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non-public information obtained by any Person pursuant to such request shall be treated as confidential information in accordance with </w:t>
      </w:r>
      <w:r>
        <w:rPr>
          <w:rFonts w:ascii="Arial" w:cs="Arial" w:eastAsia="Arial" w:hAnsi="Arial"/>
          <w:sz w:val="22"/>
          <w:szCs w:val="22"/>
          <w:u w:val="single" w:color="auto"/>
          <w:color w:val="auto"/>
        </w:rPr>
        <w:t>Section 11.06</w:t>
      </w:r>
      <w:r>
        <w:rPr>
          <w:rFonts w:ascii="Arial" w:cs="Arial" w:eastAsia="Arial" w:hAnsi="Arial"/>
          <w:sz w:val="22"/>
          <w:szCs w:val="22"/>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Books, Records and Inspections</w:t>
      </w:r>
      <w:r>
        <w:rPr>
          <w:rFonts w:ascii="Arial" w:cs="Arial" w:eastAsia="Arial" w:hAnsi="Arial"/>
          <w:sz w:val="21"/>
          <w:szCs w:val="21"/>
          <w:color w:val="auto"/>
        </w:rPr>
        <w:t xml:space="preserve">. Each Obligor Party shall permit, or cause to be permitted,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all at such reasonable times and as often as any Lender, through the Administrative Agent, may reasonably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21"/>
          <w:szCs w:val="21"/>
          <w:u w:val="single" w:color="auto"/>
          <w:color w:val="auto"/>
        </w:rPr>
        <w:t>Section 11.06</w:t>
      </w:r>
      <w:r>
        <w:rPr>
          <w:rFonts w:ascii="Arial" w:cs="Arial" w:eastAsia="Arial" w:hAnsi="Arial"/>
          <w:sz w:val="21"/>
          <w:szCs w:val="21"/>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75" w:right="239" w:bottom="1440" w:gutter="0" w:footer="0" w:header="0"/>
        </w:sectPr>
      </w:pPr>
    </w:p>
    <w:bookmarkStart w:id="135" w:name="page136"/>
    <w:bookmarkEnd w:id="135"/>
    <w:p>
      <w:pPr>
        <w:jc w:val="both"/>
        <w:ind w:firstLine="648"/>
        <w:spacing w:after="0" w:line="260" w:lineRule="exact"/>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Insurance</w:t>
      </w:r>
      <w:r>
        <w:rPr>
          <w:rFonts w:ascii="Arial" w:cs="Arial" w:eastAsia="Arial" w:hAnsi="Arial"/>
          <w:sz w:val="22"/>
          <w:szCs w:val="22"/>
          <w:color w:val="auto"/>
        </w:rPr>
        <w:t>. WIL-Ireland and its Subsidiaries shall maintain or cause to be maintained (including through self</w:t>
      </w:r>
      <w:r>
        <w:rPr>
          <w:rFonts w:ascii="MS PGothic" w:cs="MS PGothic" w:eastAsia="MS PGothic" w:hAnsi="MS PGothic"/>
          <w:sz w:val="22"/>
          <w:szCs w:val="22"/>
          <w:color w:val="auto"/>
        </w:rPr>
        <w:t>‑</w:t>
      </w:r>
      <w:r>
        <w:rPr>
          <w:rFonts w:ascii="Arial" w:cs="Arial" w:eastAsia="Arial" w:hAnsi="Arial"/>
          <w:sz w:val="22"/>
          <w:szCs w:val="22"/>
          <w:color w:val="auto"/>
        </w:rPr>
        <w:t>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w:t>
      </w:r>
    </w:p>
    <w:p>
      <w:pPr>
        <w:spacing w:after="0" w:line="2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Payment of Taxes and other Claims</w:t>
      </w:r>
      <w:r>
        <w:rPr>
          <w:rFonts w:ascii="Arial" w:cs="Arial" w:eastAsia="Arial" w:hAnsi="Arial"/>
          <w:sz w:val="19"/>
          <w:szCs w:val="19"/>
          <w:color w:val="auto"/>
        </w:rPr>
        <w:t>. Each Obligor Party shall, and WIL-Ireland shall cause each Subsidiary to, pay or discharge or cause to be paid or discharged, before the same shall become delinquent, all Taxes levied or imposed upon such Obligor Party or such Subsidiary, as applicable, or upon the income, profits or property of such Obligor Party or such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Existence</w:t>
      </w:r>
      <w:r>
        <w:rPr>
          <w:rFonts w:ascii="Arial" w:cs="Arial" w:eastAsia="Arial" w:hAnsi="Arial"/>
          <w:sz w:val="19"/>
          <w:szCs w:val="19"/>
          <w:color w:val="auto"/>
        </w:rPr>
        <w:t xml:space="preserve">. Except as expressly permitted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WIL-Ireland shall, and will cause each Restricted Subsidiary to, do all things necessary to (a) preserve and keep in full force and effect the corporate or other existence of WIL-Ireland or such Restricted Subsidiary as applicable (which, for the avoidance of doubt, shall not prohibit a change in corporate form or domiciliation), and (b) preserve and keep in full force and effect the rights and franchises of WIL-Ireland or such Restricted Subsidiary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 shall not require WIL-Ireland or such Restricted Subsidiary to preserve or maintain any rights or franchises if WIL-Ireland or such Restricted Subsidiary shall determine that (i) the preservation and maintenance thereof is no longer desirable in the conduct of the business of WIL-Ireland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ERISA Compliance</w:t>
      </w:r>
      <w:r>
        <w:rPr>
          <w:rFonts w:ascii="Arial" w:cs="Arial" w:eastAsia="Arial" w:hAnsi="Arial"/>
          <w:sz w:val="21"/>
          <w:szCs w:val="21"/>
          <w:color w:val="auto"/>
        </w:rPr>
        <w:t>. WIL-Ireland and each Borrower shall, and shall cause each ERISA Affiliate to, comply with respect to each Plan and Multiemployer Plan, with all applicable provisions of ERISA and the Code, except to the extent that any failure to comply would not reasonably be expected to have a Material Adverse Effect.</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u w:val="single" w:color="auto"/>
          <w:color w:val="auto"/>
        </w:rPr>
        <w:t>Compliance with Laws and Material Contractual Obligations</w:t>
      </w:r>
      <w:r>
        <w:rPr>
          <w:rFonts w:ascii="Arial" w:cs="Arial" w:eastAsia="Arial" w:hAnsi="Arial"/>
          <w:sz w:val="21"/>
          <w:szCs w:val="21"/>
          <w:color w:val="auto"/>
        </w:rPr>
        <w:t>. WIL-Ireland will, and will cause each of its Subsidiaries to, (i) comply with all laws, rules, regulations and orders of any Governmental Authority applicable to it or its property (including Environmental Laws) and (ii) perform in all material respects its obligations under material agreements to which it is a party, except in the case of each of clauses (i) and (ii) where the failure to do so, individually or in the aggregate, could not reasonably be expected to result in a Material Adverse Effect. WIL-Ireland will maintain in effect and enforce policies and procedures designed to ensure compliance by WIL-Ireland, its Subsidiaries and their respective directors, officers, employees and agents with Anti-Corruption Laws and applicable Sanctions.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Additional Guarantors; Additional Specified Jurisdictions</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75" w:right="239" w:bottom="1440" w:gutter="0" w:footer="0" w:header="0"/>
        </w:sectPr>
      </w:pPr>
    </w:p>
    <w:bookmarkStart w:id="136" w:name="page137"/>
    <w:bookmarkEnd w:id="136"/>
    <w:p>
      <w:pPr>
        <w:jc w:val="both"/>
        <w:ind w:firstLine="1305"/>
        <w:spacing w:after="0" w:line="284" w:lineRule="auto"/>
        <w:tabs>
          <w:tab w:leader="none" w:pos="1815"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If (i) as of the time of delivery of a Compliance Certificate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it is determined that any Restricted Subsidiary is a Material Specified Subsidiary that is organized in a Specified Jurisdiction, (ii) any Restricted Subsidiary Guarantees Indebtedness or other obligations under the Term Loan Facility or any other third party Indebtedness for borrowed money of a Holdco Guarantor in an aggregate principal amount in excess of $20,000,000 or (iii) any Wholly-Owned Subsidiary that is not a Guarantor becomes a Borrower pursuant to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WIL-Ireland shall (A) with respect to a determination made pursuant to clause (a)(i) above, within 45 days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19"/>
          <w:szCs w:val="19"/>
          <w:u w:val="single" w:color="auto"/>
          <w:color w:val="auto"/>
        </w:rPr>
        <w:t>Section 7.08(b)</w:t>
      </w:r>
      <w:r>
        <w:rPr>
          <w:rFonts w:ascii="Arial" w:cs="Arial" w:eastAsia="Arial" w:hAnsi="Arial"/>
          <w:sz w:val="19"/>
          <w:szCs w:val="19"/>
          <w:color w:val="auto"/>
        </w:rPr>
        <w:t>, as such time period may be extended by the Administrative Agent in its sole discretion) or</w:t>
      </w:r>
    </w:p>
    <w:p>
      <w:pPr>
        <w:spacing w:after="0" w:line="2" w:lineRule="exact"/>
        <w:rPr>
          <w:rFonts w:ascii="Arial" w:cs="Arial" w:eastAsia="Arial" w:hAnsi="Arial"/>
          <w:sz w:val="19"/>
          <w:szCs w:val="19"/>
          <w:color w:val="auto"/>
        </w:rPr>
      </w:pPr>
    </w:p>
    <w:p>
      <w:pPr>
        <w:jc w:val="both"/>
        <w:ind w:firstLine="8"/>
        <w:spacing w:after="0" w:line="287" w:lineRule="auto"/>
        <w:tabs>
          <w:tab w:leader="none" w:pos="36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with respect any Guarantee provided pursuant to clause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immediately above, contemporaneously with the provision of such Guarantee or (c) with respect to becoming a Borrower as described in clause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immediately above, contemporaneously therewith,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organizational and authorization documents and certificates of the type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201" w:lineRule="exact"/>
        <w:rPr>
          <w:rFonts w:ascii="Arial" w:cs="Arial" w:eastAsia="Arial" w:hAnsi="Arial"/>
          <w:sz w:val="19"/>
          <w:szCs w:val="19"/>
          <w:color w:val="auto"/>
        </w:rPr>
      </w:pPr>
    </w:p>
    <w:p>
      <w:pPr>
        <w:jc w:val="both"/>
        <w:ind w:firstLine="1305"/>
        <w:spacing w:after="0" w:line="248" w:lineRule="auto"/>
        <w:tabs>
          <w:tab w:leader="none" w:pos="1788" w:val="left"/>
        </w:tabs>
        <w:numPr>
          <w:ilvl w:val="1"/>
          <w:numId w:val="148"/>
        </w:numPr>
        <w:rPr>
          <w:rFonts w:ascii="Arial" w:cs="Arial" w:eastAsia="Arial" w:hAnsi="Arial"/>
          <w:sz w:val="22"/>
          <w:szCs w:val="22"/>
          <w:color w:val="auto"/>
        </w:rPr>
      </w:pPr>
      <w:r>
        <w:rPr>
          <w:rFonts w:ascii="Arial" w:cs="Arial" w:eastAsia="Arial" w:hAnsi="Arial"/>
          <w:sz w:val="22"/>
          <w:szCs w:val="22"/>
          <w:color w:val="auto"/>
        </w:rPr>
        <w:t xml:space="preserve">If, in the most recent Compliance Certificate delivered pursuant to </w:t>
      </w:r>
      <w:r>
        <w:rPr>
          <w:rFonts w:ascii="Arial" w:cs="Arial" w:eastAsia="Arial" w:hAnsi="Arial"/>
          <w:sz w:val="22"/>
          <w:szCs w:val="22"/>
          <w:u w:val="single" w:color="auto"/>
          <w:color w:val="auto"/>
        </w:rPr>
        <w:t>Section 7.01(e)</w:t>
      </w:r>
      <w:r>
        <w:rPr>
          <w:rFonts w:ascii="Arial" w:cs="Arial" w:eastAsia="Arial" w:hAnsi="Arial"/>
          <w:sz w:val="22"/>
          <w:szCs w:val="22"/>
          <w:color w:val="auto"/>
        </w:rPr>
        <w:t>, WIL-Ireland identifies any Material Specified Subsidiary that is organized in a jurisdiction that is not a then existing Specified Jurisdiction or an Excluded Jurisdiction, then the Administrative Agent shall have the right to designate such jurisdiction as a Specified Jurisdiction by providing written notice of such designation to WIL-Ireland, which designation shall be deemed to take effect on the Business Day such designation is made.</w:t>
      </w:r>
    </w:p>
    <w:p>
      <w:pPr>
        <w:spacing w:after="0" w:line="232" w:lineRule="exact"/>
        <w:rPr>
          <w:rFonts w:ascii="Arial" w:cs="Arial" w:eastAsia="Arial" w:hAnsi="Arial"/>
          <w:sz w:val="22"/>
          <w:szCs w:val="22"/>
          <w:color w:val="auto"/>
        </w:rPr>
      </w:pPr>
    </w:p>
    <w:p>
      <w:pPr>
        <w:jc w:val="both"/>
        <w:ind w:firstLine="1305"/>
        <w:spacing w:after="0" w:line="246" w:lineRule="auto"/>
        <w:tabs>
          <w:tab w:leader="none" w:pos="1797" w:val="left"/>
        </w:tabs>
        <w:numPr>
          <w:ilvl w:val="1"/>
          <w:numId w:val="148"/>
        </w:numPr>
        <w:rPr>
          <w:rFonts w:ascii="Arial" w:cs="Arial" w:eastAsia="Arial" w:hAnsi="Arial"/>
          <w:sz w:val="22"/>
          <w:szCs w:val="22"/>
          <w:color w:val="auto"/>
        </w:rPr>
      </w:pPr>
      <w:r>
        <w:rPr>
          <w:rFonts w:ascii="Arial" w:cs="Arial" w:eastAsia="Arial" w:hAnsi="Arial"/>
          <w:sz w:val="22"/>
          <w:szCs w:val="22"/>
          <w:color w:val="auto"/>
        </w:rPr>
        <w:t xml:space="preserve">At any time, at its option, WIL-Ireland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organizational and authorization documents and certificates of the type referred to in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as may be reasonably requested by the Administrative Agent,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22"/>
          <w:szCs w:val="22"/>
          <w:u w:val="single" w:color="auto"/>
          <w:color w:val="auto"/>
        </w:rPr>
        <w:t>Added Guarantor</w:t>
      </w:r>
      <w:r>
        <w:rPr>
          <w:rFonts w:ascii="Arial" w:cs="Arial" w:eastAsia="Arial" w:hAnsi="Arial"/>
          <w:sz w:val="22"/>
          <w:szCs w:val="22"/>
          <w:color w:val="auto"/>
        </w:rPr>
        <w:t>”).</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Designation of Unrestricted Subsidiaries; Redesignation of Unrestricted Subsidiaries as 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Subsidiaries</w:t>
      </w:r>
      <w:r>
        <w:rPr>
          <w:rFonts w:ascii="Arial" w:cs="Arial" w:eastAsia="Arial" w:hAnsi="Arial"/>
          <w:sz w:val="22"/>
          <w:szCs w:val="22"/>
          <w:color w:val="auto"/>
        </w:rPr>
        <w:t>.</w:t>
      </w:r>
    </w:p>
    <w:p>
      <w:pPr>
        <w:spacing w:after="0" w:line="215" w:lineRule="exact"/>
        <w:rPr>
          <w:sz w:val="20"/>
          <w:szCs w:val="20"/>
          <w:color w:val="auto"/>
        </w:rPr>
      </w:pPr>
    </w:p>
    <w:p>
      <w:pPr>
        <w:ind w:firstLine="1305"/>
        <w:spacing w:after="0" w:line="263" w:lineRule="auto"/>
        <w:tabs>
          <w:tab w:leader="none" w:pos="192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Unless designated as an Unrestricted Subsidiary pursuant to this </w:t>
      </w:r>
      <w:r>
        <w:rPr>
          <w:rFonts w:ascii="Arial" w:cs="Arial" w:eastAsia="Arial" w:hAnsi="Arial"/>
          <w:sz w:val="22"/>
          <w:szCs w:val="22"/>
          <w:u w:val="single" w:color="auto"/>
          <w:color w:val="auto"/>
        </w:rPr>
        <w:t>Section 7.09</w:t>
      </w:r>
      <w:r>
        <w:rPr>
          <w:rFonts w:ascii="Arial" w:cs="Arial" w:eastAsia="Arial" w:hAnsi="Arial"/>
          <w:sz w:val="22"/>
          <w:szCs w:val="22"/>
          <w:color w:val="auto"/>
        </w:rPr>
        <w:t>, each Subsidiary shall be classified as a Restricted Subsidiary.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75" w:right="239" w:bottom="1440" w:gutter="0" w:footer="0" w:header="0"/>
        </w:sectPr>
      </w:pPr>
    </w:p>
    <w:bookmarkStart w:id="137" w:name="page138"/>
    <w:bookmarkEnd w:id="137"/>
    <w:p>
      <w:pPr>
        <w:jc w:val="both"/>
        <w:ind w:firstLine="1305"/>
        <w:spacing w:after="0" w:line="253" w:lineRule="auto"/>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If WIL-Ireland designates any Subsidiary as an Unrestricted Subsidiary pursuant to paragraph (c) below, WIL-Ireland shall be deemed to have made an Investment in such Unrestricted Subsidiary in an amount equal to the fair market value as of the date of such designation of the consolidated assets of such Subsidiary.</w:t>
      </w:r>
    </w:p>
    <w:p>
      <w:pPr>
        <w:spacing w:after="0" w:line="226" w:lineRule="exact"/>
        <w:rPr>
          <w:rFonts w:ascii="Arial" w:cs="Arial" w:eastAsia="Arial" w:hAnsi="Arial"/>
          <w:sz w:val="22"/>
          <w:szCs w:val="22"/>
          <w:color w:val="auto"/>
        </w:rPr>
      </w:pPr>
    </w:p>
    <w:p>
      <w:pPr>
        <w:jc w:val="both"/>
        <w:ind w:firstLine="1305"/>
        <w:spacing w:after="0" w:line="288" w:lineRule="auto"/>
        <w:tabs>
          <w:tab w:leader="none" w:pos="199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WIL-Ireland may designate, by written notice to the Administrative Agent, any Subsidiary to be an Unrestricted Subsidiary if (i) before and after giving effect to such designation, no Default or Event of Default shall exist, (ii) WIL-Ireland shall be in pro forma compliance with the Financial Covenants both before and after giving effect to such designation,</w:t>
      </w:r>
    </w:p>
    <w:p>
      <w:pPr>
        <w:spacing w:after="0" w:line="1" w:lineRule="exact"/>
        <w:rPr>
          <w:rFonts w:ascii="Arial" w:cs="Arial" w:eastAsia="Arial" w:hAnsi="Arial"/>
          <w:sz w:val="19"/>
          <w:szCs w:val="19"/>
          <w:color w:val="auto"/>
        </w:rPr>
      </w:pPr>
    </w:p>
    <w:p>
      <w:pPr>
        <w:jc w:val="both"/>
        <w:ind w:firstLine="8"/>
        <w:spacing w:after="0" w:line="244" w:lineRule="auto"/>
        <w:tabs>
          <w:tab w:leader="none" w:pos="38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the deemed Investment by WIL-Ireland in such Unrestricted Subsidiary resulting from such designation would be permitted to be made at the time of such designation under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and (iv) such Subsidiary otherwise meets the requirements set forth in the definition of “Unrestricted Subsidiary”. Such written notice shall be accompanied by a certificate of a Principal Financial Officer, certifying as to the matters set forth in the preceding sentence.</w:t>
      </w:r>
    </w:p>
    <w:p>
      <w:pPr>
        <w:spacing w:after="0" w:line="236" w:lineRule="exact"/>
        <w:rPr>
          <w:rFonts w:ascii="Arial" w:cs="Arial" w:eastAsia="Arial" w:hAnsi="Arial"/>
          <w:sz w:val="22"/>
          <w:szCs w:val="22"/>
          <w:color w:val="auto"/>
        </w:rPr>
      </w:pPr>
    </w:p>
    <w:p>
      <w:pPr>
        <w:jc w:val="both"/>
        <w:ind w:firstLine="1305"/>
        <w:spacing w:after="0" w:line="288" w:lineRule="auto"/>
        <w:tabs>
          <w:tab w:leader="none" w:pos="180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WIL-Ireland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9"/>
          <w:szCs w:val="19"/>
          <w:u w:val="single" w:color="auto"/>
          <w:color w:val="auto"/>
        </w:rPr>
        <w:t>Section 8.06</w:t>
      </w:r>
      <w:r>
        <w:rPr>
          <w:rFonts w:ascii="Arial" w:cs="Arial" w:eastAsia="Arial" w:hAnsi="Arial"/>
          <w:sz w:val="19"/>
          <w:szCs w:val="19"/>
          <w:color w:val="auto"/>
        </w:rPr>
        <w:t>.</w:t>
      </w:r>
    </w:p>
    <w:p>
      <w:pPr>
        <w:spacing w:after="0" w:line="195" w:lineRule="exact"/>
        <w:rPr>
          <w:rFonts w:ascii="Arial" w:cs="Arial" w:eastAsia="Arial" w:hAnsi="Arial"/>
          <w:sz w:val="19"/>
          <w:szCs w:val="19"/>
          <w:color w:val="auto"/>
        </w:rPr>
      </w:pPr>
    </w:p>
    <w:p>
      <w:pPr>
        <w:jc w:val="both"/>
        <w:ind w:firstLine="1305"/>
        <w:spacing w:after="0" w:line="312" w:lineRule="auto"/>
        <w:tabs>
          <w:tab w:leader="none" w:pos="176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9"/>
          <w:szCs w:val="19"/>
          <w:u w:val="single" w:color="auto"/>
          <w:color w:val="auto"/>
        </w:rPr>
        <w:t>Section 7.09(d)</w:t>
      </w:r>
      <w:r>
        <w:rPr>
          <w:rFonts w:ascii="Arial" w:cs="Arial" w:eastAsia="Arial" w:hAnsi="Arial"/>
          <w:sz w:val="19"/>
          <w:szCs w:val="19"/>
          <w:color w:val="auto"/>
        </w:rPr>
        <w:t xml:space="preserve"> (in addition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any other relevant provisions herein).</w:t>
      </w:r>
    </w:p>
    <w:p>
      <w:pPr>
        <w:spacing w:after="0" w:line="174" w:lineRule="exact"/>
        <w:rPr>
          <w:rFonts w:ascii="Arial" w:cs="Arial" w:eastAsia="Arial" w:hAnsi="Arial"/>
          <w:sz w:val="19"/>
          <w:szCs w:val="19"/>
          <w:color w:val="auto"/>
        </w:rPr>
      </w:pPr>
    </w:p>
    <w:p>
      <w:pPr>
        <w:ind w:left="1760" w:hanging="455"/>
        <w:spacing w:after="0"/>
        <w:tabs>
          <w:tab w:leader="none" w:pos="176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Notwithstanding the foregoing or anything to the contrary contained herein, no Obligor may be an Unrestricted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More Favorable Financial Covenants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312" w:lineRule="auto"/>
        <w:tabs>
          <w:tab w:leader="none" w:pos="17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If, on any date, any Other Debt Agreement governing Indebtedness and/or letters of credit, bank guaranties and bankers’ acceptances in a principal amount in excess of $20,000,000 (with committed but unutilized amounts under such Other Debt Agreement being deemed fully drawn for purposes of measuring such limit) includes one or more Additional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75" w:right="239" w:bottom="1440" w:gutter="0" w:footer="0" w:header="0"/>
        </w:sectPr>
      </w:pPr>
    </w:p>
    <w:bookmarkStart w:id="138" w:name="page139"/>
    <w:bookmarkEnd w:id="138"/>
    <w:p>
      <w:pPr>
        <w:jc w:val="both"/>
        <w:spacing w:after="0" w:line="288" w:lineRule="auto"/>
        <w:rPr>
          <w:sz w:val="20"/>
          <w:szCs w:val="20"/>
          <w:color w:val="auto"/>
        </w:rPr>
      </w:pPr>
      <w:r>
        <w:rPr>
          <w:rFonts w:ascii="Arial" w:cs="Arial" w:eastAsia="Arial" w:hAnsi="Arial"/>
          <w:sz w:val="19"/>
          <w:szCs w:val="19"/>
          <w:color w:val="auto"/>
        </w:rPr>
        <w:t xml:space="preserve">Financial Covenants (including, for the avoidance of doubt, as a result any amendment, supplement, waiver or other modification to any Other Debt Agreement causing it to contain one or more Additional Financial Covenants), then (i) on or prior to the third Business Day following the effectiveness of any such Additional Financial Covenants, WIL-Ireland shall notify the Administrative Agent thereof, and (ii) whether or not WIL-Ireland provides such notice, the terms of this Agreement shall, without any further action on the part of any Obligor Party, the Administrative Agent or any Lender, be deemed to be amended automatically to include each Additional Financial Covenant in this Agreement. Each Obligor Party further covenants to promptly execute and deliver at its expense an amendment to this Agreement in form and substance reasonably satisfactory to the Required Lenders evidencing the amendment of this Agreement to include such Additional Financial Covenants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execution and delivery of such amendment shall not be a precondition to the effectiveness of such amendment as provided for in this </w:t>
      </w:r>
      <w:r>
        <w:rPr>
          <w:rFonts w:ascii="Arial" w:cs="Arial" w:eastAsia="Arial" w:hAnsi="Arial"/>
          <w:sz w:val="19"/>
          <w:szCs w:val="19"/>
          <w:u w:val="single" w:color="auto"/>
          <w:color w:val="auto"/>
        </w:rPr>
        <w:t>Section 7.10(a)</w:t>
      </w:r>
      <w:r>
        <w:rPr>
          <w:rFonts w:ascii="Arial" w:cs="Arial" w:eastAsia="Arial" w:hAnsi="Arial"/>
          <w:sz w:val="19"/>
          <w:szCs w:val="19"/>
          <w:color w:val="auto"/>
        </w:rPr>
        <w:t>, but shall merely be for the convenience of the parties hereto.</w:t>
      </w:r>
    </w:p>
    <w:p>
      <w:pPr>
        <w:spacing w:after="0" w:line="201" w:lineRule="exact"/>
        <w:rPr>
          <w:sz w:val="20"/>
          <w:szCs w:val="20"/>
          <w:color w:val="auto"/>
        </w:rPr>
      </w:pPr>
    </w:p>
    <w:p>
      <w:pPr>
        <w:jc w:val="both"/>
        <w:ind w:firstLine="1305"/>
        <w:spacing w:after="0" w:line="287" w:lineRule="auto"/>
        <w:tabs>
          <w:tab w:leader="none" w:pos="18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If after the time this Agreement is amended pursuant to </w:t>
      </w:r>
      <w:r>
        <w:rPr>
          <w:rFonts w:ascii="Arial" w:cs="Arial" w:eastAsia="Arial" w:hAnsi="Arial"/>
          <w:sz w:val="19"/>
          <w:szCs w:val="19"/>
          <w:u w:val="single" w:color="auto"/>
          <w:color w:val="auto"/>
        </w:rPr>
        <w:t>Section 7.10(a)</w:t>
      </w:r>
      <w:r>
        <w:rPr>
          <w:rFonts w:ascii="Arial" w:cs="Arial" w:eastAsia="Arial" w:hAnsi="Arial"/>
          <w:sz w:val="19"/>
          <w:szCs w:val="19"/>
          <w:color w:val="auto"/>
        </w:rPr>
        <w:t xml:space="preserve"> to include in this Agreement any Additional Financial Covenant (an “</w:t>
      </w:r>
      <w:r>
        <w:rPr>
          <w:rFonts w:ascii="Arial" w:cs="Arial" w:eastAsia="Arial" w:hAnsi="Arial"/>
          <w:sz w:val="19"/>
          <w:szCs w:val="19"/>
          <w:u w:val="single" w:color="auto"/>
          <w:color w:val="auto"/>
        </w:rPr>
        <w:t>Incorporated Financial Covenant</w:t>
      </w:r>
      <w:r>
        <w:rPr>
          <w:rFonts w:ascii="Arial" w:cs="Arial" w:eastAsia="Arial" w:hAnsi="Arial"/>
          <w:sz w:val="19"/>
          <w:szCs w:val="19"/>
          <w:color w:val="auto"/>
        </w:rPr>
        <w:t xml:space="preserve">”) contained in any Other Debt Agreement, such Incorporated Financial Covenant ceases to be in effect under, or is deleted from, such Other Debt Agreement, or is amended or modified for the purposes of such Other Debt Agreement so as to become less restrictive with respect to WIL-Ireland or any of its Restricted Subsidiaries, then, upon the request of WIL-Ireland, the Required Lenders will amend this Agreement to delete or similarly amend or modify, as the case may be, such Incorporated Financial Covenant as in effect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in respect of such Incorporated Financial Covenant shall be in existence immediately before or after such deletion, amendment or modification. Notwithstanding the foregoing, no amendment to this Agreement pursuant to this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as the result of any Incorporated Financial Covenant ceasing to be in effect or being deleted, amended or otherwise modified shall cause any covenant or Event of Default in this Agreement to be less restrictive as to WIL-Ireland or any Restricted Subsidiary than such covenant or Event of Default as contained in this Agreement as in effect on the Effective Date, and as amended, supplemented or otherwise modified thereafter (other than as the result of the application of </w:t>
      </w:r>
      <w:r>
        <w:rPr>
          <w:rFonts w:ascii="Arial" w:cs="Arial" w:eastAsia="Arial" w:hAnsi="Arial"/>
          <w:sz w:val="19"/>
          <w:szCs w:val="19"/>
          <w:u w:val="single" w:color="auto"/>
          <w:color w:val="auto"/>
        </w:rPr>
        <w:t>Section 7.10(a)</w:t>
      </w:r>
      <w:r>
        <w:rPr>
          <w:rFonts w:ascii="Arial" w:cs="Arial" w:eastAsia="Arial" w:hAnsi="Arial"/>
          <w:sz w:val="19"/>
          <w:szCs w:val="19"/>
          <w:color w:val="auto"/>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Compliance with the Swiss Non-Bank Rules</w:t>
      </w:r>
      <w:r>
        <w:rPr>
          <w:rFonts w:ascii="Arial" w:cs="Arial" w:eastAsia="Arial" w:hAnsi="Arial"/>
          <w:sz w:val="22"/>
          <w:szCs w:val="22"/>
          <w:color w:val="auto"/>
        </w:rPr>
        <w:t>.</w:t>
      </w:r>
    </w:p>
    <w:p>
      <w:pPr>
        <w:spacing w:after="0" w:line="22" w:lineRule="exact"/>
        <w:rPr>
          <w:sz w:val="20"/>
          <w:szCs w:val="20"/>
          <w:color w:val="auto"/>
        </w:rPr>
      </w:pPr>
    </w:p>
    <w:p>
      <w:pPr>
        <w:ind w:right="20" w:firstLine="1305"/>
        <w:spacing w:after="0" w:line="323" w:lineRule="auto"/>
        <w:tabs>
          <w:tab w:leader="none" w:pos="182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Each Swiss Obligor shall comply with the Swiss Non-Bank Rules;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Swiss Obligor shall not be in breach of this covenant if the permitted number of Swiss Non-Qualifying Lenders is exceeded solely by reason of:</w:t>
      </w:r>
    </w:p>
    <w:p>
      <w:pPr>
        <w:spacing w:after="0" w:line="163" w:lineRule="exact"/>
        <w:rPr>
          <w:rFonts w:ascii="Arial" w:cs="Arial" w:eastAsia="Arial" w:hAnsi="Arial"/>
          <w:sz w:val="19"/>
          <w:szCs w:val="19"/>
          <w:color w:val="auto"/>
        </w:rPr>
      </w:pPr>
    </w:p>
    <w:p>
      <w:pPr>
        <w:ind w:left="2380" w:hanging="427"/>
        <w:spacing w:after="0"/>
        <w:tabs>
          <w:tab w:leader="none" w:pos="23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a failure by one or more Lenders or Participants to comply with their obligations under </w:t>
      </w:r>
      <w:r>
        <w:rPr>
          <w:rFonts w:ascii="Arial" w:cs="Arial" w:eastAsia="Arial" w:hAnsi="Arial"/>
          <w:sz w:val="19"/>
          <w:szCs w:val="19"/>
          <w:u w:val="single" w:color="auto"/>
          <w:color w:val="auto"/>
        </w:rPr>
        <w:t>Section 11.05</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ind w:left="2480" w:hanging="527"/>
        <w:spacing w:after="0"/>
        <w:tabs>
          <w:tab w:leader="none" w:pos="24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 confirmation made by a one or more Lenders or Participants to be one single Swiss Non-Qualifying</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 is incorrect;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75" w:right="239" w:bottom="1440" w:gutter="0" w:footer="0" w:header="0"/>
        </w:sectPr>
      </w:pPr>
    </w:p>
    <w:bookmarkStart w:id="139" w:name="page140"/>
    <w:bookmarkEnd w:id="139"/>
    <w:p>
      <w:pPr>
        <w:jc w:val="both"/>
        <w:ind w:left="660" w:right="20" w:firstLine="1293"/>
        <w:spacing w:after="0" w:line="253" w:lineRule="auto"/>
        <w:tabs>
          <w:tab w:leader="none" w:pos="262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one or more Lenders or Participants ceasing to be a Swiss Qualifying Lender (to the extent such Lender or Participant confirmed to be a Swiss Qualifying Lender) as a result of any reason attributable to such Lender or Participant; or</w:t>
      </w:r>
    </w:p>
    <w:p>
      <w:pPr>
        <w:spacing w:after="0" w:line="226" w:lineRule="exact"/>
        <w:rPr>
          <w:rFonts w:ascii="Arial" w:cs="Arial" w:eastAsia="Arial" w:hAnsi="Arial"/>
          <w:sz w:val="22"/>
          <w:szCs w:val="22"/>
          <w:color w:val="auto"/>
        </w:rPr>
      </w:pPr>
    </w:p>
    <w:p>
      <w:pPr>
        <w:ind w:left="660" w:firstLine="1293"/>
        <w:spacing w:after="0" w:line="263" w:lineRule="auto"/>
        <w:tabs>
          <w:tab w:leader="none" w:pos="254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 assignment or participation of any Loan under this Agreement to a Swiss Non-Qualifying Lender after the occurrence of an Event of Default.</w:t>
      </w:r>
    </w:p>
    <w:p>
      <w:pPr>
        <w:spacing w:after="0" w:line="215" w:lineRule="exact"/>
        <w:rPr>
          <w:sz w:val="20"/>
          <w:szCs w:val="20"/>
          <w:color w:val="auto"/>
        </w:rPr>
      </w:pPr>
    </w:p>
    <w:p>
      <w:pPr>
        <w:ind w:firstLine="1305"/>
        <w:spacing w:after="0" w:line="263" w:lineRule="auto"/>
        <w:tabs>
          <w:tab w:leader="none" w:pos="180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7.11</w:t>
      </w:r>
      <w:r>
        <w:rPr>
          <w:rFonts w:ascii="Arial" w:cs="Arial" w:eastAsia="Arial" w:hAnsi="Arial"/>
          <w:sz w:val="22"/>
          <w:szCs w:val="22"/>
          <w:color w:val="auto"/>
        </w:rPr>
        <w:t>, each Swiss Obligor shall assume that the aggregate number of Lenders and Participants under this Agreement which are Swiss Non-Qualifying Lenders is eight.</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Secured Facility Covenant</w:t>
      </w:r>
      <w:r>
        <w:rPr>
          <w:rFonts w:ascii="Arial" w:cs="Arial" w:eastAsia="Arial" w:hAnsi="Arial"/>
          <w:sz w:val="22"/>
          <w:szCs w:val="22"/>
          <w:color w:val="auto"/>
        </w:rPr>
        <w:t>. If WIL-Ireland or any Restricted Subsidiary shall be required to grant any Lien on any of its property to secure any of the Existing Senior Notes, other senior notes or any Permitted Refinancing Indebtedness in respect of any of the foregoing, WIL-Ireland shall, and shall cause its Restricted Subsidiaries to, grant Liens to secure the Guaranteed Obligations equally and ratably with, or prior to, such Existing Senior Notes, other senior notes or Permitted Refinancing Indebtedness.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Indebtedness</w:t>
      </w:r>
      <w:r>
        <w:rPr>
          <w:rFonts w:ascii="Arial" w:cs="Arial" w:eastAsia="Arial" w:hAnsi="Arial"/>
          <w:sz w:val="22"/>
          <w:szCs w:val="22"/>
          <w:color w:val="auto"/>
        </w:rPr>
        <w:t>. WIL-Ireland shall not, and shall not permit any Restricted Subsidiary to, create, incur, assume or permit to exist any Indebtedness, except:</w:t>
      </w:r>
    </w:p>
    <w:p>
      <w:pPr>
        <w:spacing w:after="0" w:line="188" w:lineRule="exact"/>
        <w:rPr>
          <w:sz w:val="20"/>
          <w:szCs w:val="20"/>
          <w:color w:val="auto"/>
        </w:rPr>
      </w:pPr>
    </w:p>
    <w:p>
      <w:pPr>
        <w:ind w:left="1760" w:hanging="455"/>
        <w:spacing w:after="0"/>
        <w:tabs>
          <w:tab w:leader="none" w:pos="176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60" w:lineRule="exact"/>
        <w:rPr>
          <w:rFonts w:ascii="Arial" w:cs="Arial" w:eastAsia="Arial" w:hAnsi="Arial"/>
          <w:sz w:val="22"/>
          <w:szCs w:val="22"/>
          <w:color w:val="auto"/>
        </w:rPr>
      </w:pPr>
    </w:p>
    <w:p>
      <w:pPr>
        <w:ind w:right="20" w:firstLine="1305"/>
        <w:spacing w:after="0" w:line="287" w:lineRule="auto"/>
        <w:tabs>
          <w:tab w:leader="none" w:pos="1832" w:val="left"/>
        </w:tabs>
        <w:numPr>
          <w:ilvl w:val="1"/>
          <w:numId w:val="157"/>
        </w:numPr>
        <w:rPr>
          <w:rFonts w:ascii="Arial" w:cs="Arial" w:eastAsia="Arial" w:hAnsi="Arial"/>
          <w:sz w:val="21"/>
          <w:szCs w:val="21"/>
          <w:color w:val="auto"/>
        </w:rPr>
      </w:pPr>
      <w:r>
        <w:rPr>
          <w:rFonts w:ascii="Arial" w:cs="Arial" w:eastAsia="Arial" w:hAnsi="Arial"/>
          <w:sz w:val="21"/>
          <w:szCs w:val="21"/>
          <w:color w:val="auto"/>
        </w:rPr>
        <w:t>Indebtedness of the Obligors incurred under the Term Loan Facility in an aggregate principal amount not to exceed $500,000,000 at any time outstanding and Permitted Refinancing Indebtedness in respect thereof;</w:t>
      </w:r>
    </w:p>
    <w:p>
      <w:pPr>
        <w:spacing w:after="0" w:line="192" w:lineRule="exact"/>
        <w:rPr>
          <w:rFonts w:ascii="Arial" w:cs="Arial" w:eastAsia="Arial" w:hAnsi="Arial"/>
          <w:sz w:val="21"/>
          <w:szCs w:val="21"/>
          <w:color w:val="auto"/>
        </w:rPr>
      </w:pPr>
    </w:p>
    <w:p>
      <w:pPr>
        <w:ind w:left="1760" w:hanging="455"/>
        <w:spacing w:after="0"/>
        <w:tabs>
          <w:tab w:leader="none" w:pos="176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Permitted Existing Indebtedness and Permitted Refinancing Indebtedness in respect thereof;</w:t>
      </w:r>
    </w:p>
    <w:p>
      <w:pPr>
        <w:spacing w:after="0" w:line="260" w:lineRule="exact"/>
        <w:rPr>
          <w:rFonts w:ascii="Arial" w:cs="Arial" w:eastAsia="Arial" w:hAnsi="Arial"/>
          <w:sz w:val="22"/>
          <w:szCs w:val="22"/>
          <w:color w:val="auto"/>
        </w:rPr>
      </w:pPr>
    </w:p>
    <w:p>
      <w:pPr>
        <w:jc w:val="both"/>
        <w:ind w:firstLine="1305"/>
        <w:spacing w:after="0" w:line="285" w:lineRule="auto"/>
        <w:tabs>
          <w:tab w:leader="none" w:pos="1855"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Indebtedness arising from intercompany loans and advances owing by any Obligor or any Specified Group Member to any Obligor or any Specified Group Member;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Indebtedness incurred after the Effective Date (including Indebtedness incurred after the Effective Date pursuant to an agreement or arrangement existing on the Effective Date) is owing by an Obligor to a Specified Group Member that is not an Obligor, such Indebtedness shall be Subordinated, to the extent not prohibited by applicable Requirements of Law and to the extent not giving rise to material adverse tax consequences and</w:t>
      </w:r>
    </w:p>
    <w:p>
      <w:pPr>
        <w:spacing w:after="0" w:line="3" w:lineRule="exact"/>
        <w:rPr>
          <w:rFonts w:ascii="Arial" w:cs="Arial" w:eastAsia="Arial" w:hAnsi="Arial"/>
          <w:sz w:val="19"/>
          <w:szCs w:val="19"/>
          <w:color w:val="auto"/>
        </w:rPr>
      </w:pPr>
    </w:p>
    <w:p>
      <w:pPr>
        <w:ind w:firstLine="8"/>
        <w:spacing w:after="0" w:line="246" w:lineRule="auto"/>
        <w:tabs>
          <w:tab w:leader="none" w:pos="32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any such intercompany loans and advances made to any Specified Group Member that is not a Wholly-Owned Subsidiary shall be subject to the limitations set forth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20" w:firstLine="1305"/>
        <w:spacing w:after="0" w:line="253" w:lineRule="auto"/>
        <w:tabs>
          <w:tab w:leader="none" w:pos="1892" w:val="left"/>
        </w:tabs>
        <w:numPr>
          <w:ilvl w:val="1"/>
          <w:numId w:val="158"/>
        </w:numPr>
        <w:rPr>
          <w:rFonts w:ascii="Arial" w:cs="Arial" w:eastAsia="Arial" w:hAnsi="Arial"/>
          <w:sz w:val="22"/>
          <w:szCs w:val="22"/>
          <w:color w:val="auto"/>
        </w:rPr>
      </w:pPr>
      <w:r>
        <w:rPr>
          <w:rFonts w:ascii="Arial" w:cs="Arial" w:eastAsia="Arial" w:hAnsi="Arial"/>
          <w:sz w:val="22"/>
          <w:szCs w:val="22"/>
          <w:color w:val="auto"/>
        </w:rPr>
        <w:t xml:space="preserve">Indebtedness arising from intercompany loans and advances owing by any Obligor, any Specified Group Member or any Other Subsidiaries Group Member to any Other Subsidiaries Group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such Indebtedness incurred after the Effective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75" w:right="239" w:bottom="1440" w:gutter="0" w:footer="0" w:header="0"/>
        </w:sectPr>
      </w:pPr>
    </w:p>
    <w:bookmarkStart w:id="140" w:name="page141"/>
    <w:bookmarkEnd w:id="140"/>
    <w:p>
      <w:pPr>
        <w:jc w:val="both"/>
        <w:spacing w:after="0" w:line="312" w:lineRule="auto"/>
        <w:rPr>
          <w:sz w:val="20"/>
          <w:szCs w:val="20"/>
          <w:color w:val="auto"/>
        </w:rPr>
      </w:pPr>
      <w:r>
        <w:rPr>
          <w:rFonts w:ascii="Arial" w:cs="Arial" w:eastAsia="Arial" w:hAnsi="Arial"/>
          <w:sz w:val="19"/>
          <w:szCs w:val="19"/>
          <w:color w:val="auto"/>
        </w:rPr>
        <w:t>Date (including Indebtedness incurred after the Effective Date pursuant to an agreement or arrangement existing on the Effective Date) is owing by an Obligor to an Other Subsidiaries Group Member, such Indebtedness shall be Subordinated, to the extent not prohibited by applicable Requirements of Law and to the extent not giving rise to material adverse tax consequences;</w:t>
      </w:r>
    </w:p>
    <w:p>
      <w:pPr>
        <w:spacing w:after="0" w:line="174" w:lineRule="exact"/>
        <w:rPr>
          <w:sz w:val="20"/>
          <w:szCs w:val="20"/>
          <w:color w:val="auto"/>
        </w:rPr>
      </w:pPr>
    </w:p>
    <w:p>
      <w:pPr>
        <w:jc w:val="both"/>
        <w:ind w:firstLine="1305"/>
        <w:spacing w:after="0" w:line="253" w:lineRule="auto"/>
        <w:tabs>
          <w:tab w:leader="none" w:pos="177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Indebtedness arising from intercompany loans and advances owing by any Other Subsidiaries Group Member to any Obligor or any Specified Group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intercompany loans and advances shall be subject to the limitations set forth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firstLine="1305"/>
        <w:spacing w:after="0" w:line="263" w:lineRule="auto"/>
        <w:tabs>
          <w:tab w:leader="none" w:pos="184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Guarantees by any Other Subsidiaries Group Member of Indebtedness of any Obligor, any Specified Group Member or any other Other Subsidiaries Group Member;</w:t>
      </w:r>
    </w:p>
    <w:p>
      <w:pPr>
        <w:spacing w:after="0" w:line="215" w:lineRule="exact"/>
        <w:rPr>
          <w:rFonts w:ascii="Arial" w:cs="Arial" w:eastAsia="Arial" w:hAnsi="Arial"/>
          <w:sz w:val="22"/>
          <w:szCs w:val="22"/>
          <w:color w:val="auto"/>
        </w:rPr>
      </w:pPr>
    </w:p>
    <w:p>
      <w:pPr>
        <w:ind w:right="20" w:firstLine="1305"/>
        <w:spacing w:after="0" w:line="263" w:lineRule="auto"/>
        <w:tabs>
          <w:tab w:leader="none" w:pos="179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Guarantees by any Obligor or any Specified Group Member of Indebtedness of any Other Subsidiaries Group Member to the extent such Investment is permitted by </w:t>
      </w:r>
      <w:r>
        <w:rPr>
          <w:rFonts w:ascii="Arial" w:cs="Arial" w:eastAsia="Arial" w:hAnsi="Arial"/>
          <w:sz w:val="22"/>
          <w:szCs w:val="22"/>
          <w:u w:val="single" w:color="auto"/>
          <w:color w:val="auto"/>
        </w:rPr>
        <w:t>Section 8.06(f)</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1305"/>
        <w:spacing w:after="0" w:line="302" w:lineRule="auto"/>
        <w:tabs>
          <w:tab w:leader="none" w:pos="172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provided that aggregate outstanding amount of such Indebtedness does not at any time exceed $250,000,000;</w:t>
      </w:r>
    </w:p>
    <w:p>
      <w:pPr>
        <w:spacing w:after="0" w:line="183" w:lineRule="exact"/>
        <w:rPr>
          <w:rFonts w:ascii="Arial" w:cs="Arial" w:eastAsia="Arial" w:hAnsi="Arial"/>
          <w:sz w:val="19"/>
          <w:szCs w:val="19"/>
          <w:color w:val="auto"/>
        </w:rPr>
      </w:pPr>
    </w:p>
    <w:p>
      <w:pPr>
        <w:jc w:val="both"/>
        <w:ind w:firstLine="1305"/>
        <w:spacing w:after="0" w:line="258" w:lineRule="auto"/>
        <w:tabs>
          <w:tab w:leader="none" w:pos="1817"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Specified Senior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pro forma effect to the incurrence of such Indebtedness and (ii) if such Indebtedness is incurred on or prior to December 31, 2016, after giving pro forma effect to the incurrence of such Indebtedness, either (A) the aggregate principal amount of all Indebtedness incurred pursuant to this </w:t>
      </w:r>
      <w:r>
        <w:rPr>
          <w:rFonts w:ascii="Arial" w:cs="Arial" w:eastAsia="Arial" w:hAnsi="Arial"/>
          <w:sz w:val="21"/>
          <w:szCs w:val="21"/>
          <w:u w:val="single" w:color="auto"/>
          <w:color w:val="auto"/>
        </w:rPr>
        <w:t>Section 8.01(j)</w:t>
      </w:r>
      <w:r>
        <w:rPr>
          <w:rFonts w:ascii="Arial" w:cs="Arial" w:eastAsia="Arial" w:hAnsi="Arial"/>
          <w:sz w:val="21"/>
          <w:szCs w:val="21"/>
          <w:color w:val="auto"/>
        </w:rPr>
        <w:t xml:space="preserve"> would not exceed $750,000,000 or (B) the Specified Senior Leverage Ratio (calculated as of the last day of the most recently ended Testing Period for which financial statements are available as if such Indebtedness had been incurred on the last day of such Testing Period) would be less than 2.50 to 1.00 and (iii) if such Indebtedness is incurred after December 31, 2016, after giving pro forma effect to the incurrence of such Indebtedness, the Specified Senior Leverage Ratio (calculated as of the last day of the most recently ended Testing Period for which financial statements are available as if such Indebtedness had been incurred on the last day of such Testing Period) would be less than 2.50 to 1.00;</w:t>
      </w:r>
    </w:p>
    <w:p>
      <w:pPr>
        <w:spacing w:after="0" w:line="226" w:lineRule="exact"/>
        <w:rPr>
          <w:rFonts w:ascii="Arial" w:cs="Arial" w:eastAsia="Arial" w:hAnsi="Arial"/>
          <w:sz w:val="21"/>
          <w:szCs w:val="21"/>
          <w:color w:val="auto"/>
        </w:rPr>
      </w:pPr>
    </w:p>
    <w:p>
      <w:pPr>
        <w:jc w:val="both"/>
        <w:ind w:firstLine="1305"/>
        <w:spacing w:after="0" w:line="294" w:lineRule="auto"/>
        <w:tabs>
          <w:tab w:leader="none" w:pos="194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unsecured Indebtedness incurred by WIL-Ireland, WIL-Bermuda, WIL-Delaware and Other Subsidiaries Group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WIL-Ireland would be in compliance with the Financial Covenants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$90,000,000, as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75" w:right="239" w:bottom="1440" w:gutter="0" w:footer="0" w:header="0"/>
        </w:sectPr>
      </w:pPr>
    </w:p>
    <w:bookmarkStart w:id="141" w:name="page142"/>
    <w:bookmarkEnd w:id="141"/>
    <w:p>
      <w:pPr>
        <w:spacing w:after="0" w:line="263" w:lineRule="auto"/>
        <w:rPr>
          <w:sz w:val="20"/>
          <w:szCs w:val="20"/>
          <w:color w:val="auto"/>
        </w:rPr>
      </w:pPr>
      <w:r>
        <w:rPr>
          <w:rFonts w:ascii="Arial" w:cs="Arial" w:eastAsia="Arial" w:hAnsi="Arial"/>
          <w:sz w:val="22"/>
          <w:szCs w:val="22"/>
          <w:color w:val="auto"/>
        </w:rPr>
        <w:t>the date of incurrence, such Indebtedness shall have a stated maturity date no sooner than 91 days after the later of (A) the Extended Maturity Date and (B) the Term Loan Maturity Date;</w:t>
      </w:r>
    </w:p>
    <w:p>
      <w:pPr>
        <w:spacing w:after="0" w:line="215" w:lineRule="exact"/>
        <w:rPr>
          <w:sz w:val="20"/>
          <w:szCs w:val="20"/>
          <w:color w:val="auto"/>
        </w:rPr>
      </w:pPr>
    </w:p>
    <w:p>
      <w:pPr>
        <w:jc w:val="both"/>
        <w:ind w:firstLine="1305"/>
        <w:spacing w:after="0" w:line="297" w:lineRule="auto"/>
        <w:tabs>
          <w:tab w:leader="none" w:pos="176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Subordinated Indebtedness of any Obligor (other than Subordinated Indebtedness consisting of Guarantees by any Specified Obligor of Indebtedness incurred pursuant to </w:t>
      </w:r>
      <w:r>
        <w:rPr>
          <w:rFonts w:ascii="Arial" w:cs="Arial" w:eastAsia="Arial" w:hAnsi="Arial"/>
          <w:sz w:val="19"/>
          <w:szCs w:val="19"/>
          <w:u w:val="single" w:color="auto"/>
          <w:color w:val="auto"/>
        </w:rPr>
        <w:t>Section 8.01(c)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8.01(k)</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later of (A) the Extended Maturity Date and (B) the Term Loan Maturity Date;</w:t>
      </w:r>
    </w:p>
    <w:p>
      <w:pPr>
        <w:spacing w:after="0" w:line="187" w:lineRule="exact"/>
        <w:rPr>
          <w:rFonts w:ascii="Arial" w:cs="Arial" w:eastAsia="Arial" w:hAnsi="Arial"/>
          <w:sz w:val="19"/>
          <w:szCs w:val="19"/>
          <w:color w:val="auto"/>
        </w:rPr>
      </w:pPr>
    </w:p>
    <w:p>
      <w:pPr>
        <w:jc w:val="both"/>
        <w:ind w:firstLine="1305"/>
        <w:spacing w:after="0" w:line="246" w:lineRule="auto"/>
        <w:tabs>
          <w:tab w:leader="none" w:pos="18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Indebtedness of WIL-Ireland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22"/>
          <w:szCs w:val="22"/>
          <w:u w:val="single" w:color="auto"/>
          <w:color w:val="auto"/>
        </w:rPr>
        <w:t>Section 8.01(m)</w:t>
      </w:r>
      <w:r>
        <w:rPr>
          <w:rFonts w:ascii="Arial" w:cs="Arial" w:eastAsia="Arial" w:hAnsi="Arial"/>
          <w:sz w:val="22"/>
          <w:szCs w:val="22"/>
          <w:color w:val="auto"/>
        </w:rPr>
        <w:t xml:space="preserve"> shall not at any time exceed $175,000,000;</w:t>
      </w:r>
    </w:p>
    <w:p>
      <w:pPr>
        <w:spacing w:after="0" w:line="237" w:lineRule="exact"/>
        <w:rPr>
          <w:rFonts w:ascii="Arial" w:cs="Arial" w:eastAsia="Arial" w:hAnsi="Arial"/>
          <w:sz w:val="22"/>
          <w:szCs w:val="22"/>
          <w:color w:val="auto"/>
        </w:rPr>
      </w:pPr>
    </w:p>
    <w:p>
      <w:pPr>
        <w:ind w:firstLine="1305"/>
        <w:spacing w:after="0" w:line="263" w:lineRule="auto"/>
        <w:tabs>
          <w:tab w:leader="none" w:pos="18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Indebtedness incurred to finance insurance premiums of any Restricted Subsidiary in the ordinary course of business in an aggregate principal amount not to exceed the amount of such insurance premiums;</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20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indemnification, adjustment of purchase price, earnout or similar obligations (including any earnout obligations), in each case, incurred or assumed in connection with any acquisition or Disposition otherwise permitted hereunder of any business or assets of WIL-Ireland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232" w:lineRule="exact"/>
        <w:rPr>
          <w:rFonts w:ascii="Arial" w:cs="Arial" w:eastAsia="Arial" w:hAnsi="Arial"/>
          <w:sz w:val="22"/>
          <w:szCs w:val="22"/>
          <w:color w:val="auto"/>
        </w:rPr>
      </w:pPr>
    </w:p>
    <w:p>
      <w:pPr>
        <w:ind w:firstLine="1305"/>
        <w:spacing w:after="0" w:line="263" w:lineRule="auto"/>
        <w:tabs>
          <w:tab w:leader="none" w:pos="182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other Indebtedness in an aggregate principal amount at any time outstanding pursuant to this </w:t>
      </w:r>
      <w:r>
        <w:rPr>
          <w:rFonts w:ascii="Arial" w:cs="Arial" w:eastAsia="Arial" w:hAnsi="Arial"/>
          <w:sz w:val="22"/>
          <w:szCs w:val="22"/>
          <w:u w:val="single" w:color="auto"/>
          <w:color w:val="auto"/>
        </w:rPr>
        <w:t>Section 8.01(p)</w:t>
      </w:r>
      <w:r>
        <w:rPr>
          <w:rFonts w:ascii="Arial" w:cs="Arial" w:eastAsia="Arial" w:hAnsi="Arial"/>
          <w:sz w:val="22"/>
          <w:szCs w:val="22"/>
          <w:color w:val="auto"/>
        </w:rPr>
        <w:t xml:space="preserve"> not in excess of $10,000,000;</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01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8.15</w:t>
      </w:r>
      <w:r>
        <w:rPr>
          <w:rFonts w:ascii="Arial" w:cs="Arial" w:eastAsia="Arial" w:hAnsi="Arial"/>
          <w:sz w:val="22"/>
          <w:szCs w:val="22"/>
          <w:color w:val="auto"/>
        </w:rPr>
        <w:t>, non-contingent reimbursement obligations of WIL-Ireland and its Restricted Subsidiaries in respect of letters of credit, bank guaranties, bankers’ acceptances, bid bonds, surety bonds, performance bonds, customs bonds, advance payment bonds and similar instruments; and</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172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support, reimbursement, hold harmless, indemnity and similar letters or agreements provided by, or entered into solely between, WIL-Ireland and/or any of its Restricted Subsidiaries (whether before, simultaneous with, or after the Effective Date), but only to the extent any such letters or agreements both (i) relate to the guarantee of Obligations and/or pledge of assets by WIL-Ireland and/or any Restricted Subsidiary under a Loan Document and (ii) do not modify, limit or otherwise adversely affect any obligation of any Guarantor or pledgor of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75" w:right="239" w:bottom="1440" w:gutter="0" w:footer="0" w:header="0"/>
        </w:sectPr>
      </w:pPr>
    </w:p>
    <w:bookmarkStart w:id="142" w:name="page143"/>
    <w:bookmarkEnd w:id="142"/>
    <w:p>
      <w:pPr>
        <w:jc w:val="both"/>
        <w:spacing w:after="0" w:line="263" w:lineRule="auto"/>
        <w:rPr>
          <w:sz w:val="20"/>
          <w:szCs w:val="20"/>
          <w:color w:val="auto"/>
        </w:rPr>
      </w:pPr>
      <w:r>
        <w:rPr>
          <w:rFonts w:ascii="Arial" w:cs="Arial" w:eastAsia="Arial" w:hAnsi="Arial"/>
          <w:sz w:val="22"/>
          <w:szCs w:val="22"/>
          <w:color w:val="auto"/>
        </w:rPr>
        <w:t>assets to a Lender, the Administrative Agent, or an Issuing Bank (or any rights a Lender, the Administrative Agent, or Issuing Bank has under the Loan Documents).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8.01</w:t>
      </w:r>
      <w:r>
        <w:rPr>
          <w:rFonts w:ascii="Arial" w:cs="Arial" w:eastAsia="Arial" w:hAnsi="Arial"/>
          <w:sz w:val="22"/>
          <w:szCs w:val="22"/>
          <w:color w:val="auto"/>
        </w:rPr>
        <w:t>, any payment by WIL-Ireland or any Restricted Subsidiary of any interest on any Indebtedness in kind (by adding the amount of such interest to the principal amount of such Indebtedness) shall be deemed to be an incurrence of Indebtedness.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Fundamental Changes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5" w:lineRule="auto"/>
        <w:tabs>
          <w:tab w:leader="none" w:pos="193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WIL-Ireland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any Specified Group Member or any Other Subsidiaries Group Member or (ii) any non-Affiliate to facilitate any acquisition or Disposition otherwise permitted by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of clauses (i) and (ii), each of the following conditions must be met: (A) if such merger, consolidation or amalgamation involves WIL-Bermuda, WIL-Bermuda shall be the surviving or continuing Person; (B) if such merger, consolidation or amalgamation involves a Borrower (other than WIL-Bermuda), a Borrower shall be the surviving or continuing Person, (C) other than in the case of facilitating a Disposition otherwise permitted by the Loan Documents, if such merger, consolidation or amalgamation involves an Obligor (other than a Borrower), an Obligor shall be the surviving or continuing Person and (D) if such merger, consolidation or amalgamation involves a Specified Obligor, either (1) a Specified Obligor shall be the surviving or continuing Person or (2) after giving pro forma effect to such merger, consolidation or amalgamation and treating the surviving or continuing Person as a member of the Specified Group (disregarding the definition thereof for this purpose), WIL-Ireland would be in compliance with the Financial Covenants (calculated as of the last day of the most recently ended Testing Period for which financial statements are available as if such merger, consolidation or amalgamation had been consummated on the first day of such Testing Period);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and, in the case of a Person that is an Unrestricted Subsidiary immediately prior to such merger, consolidation or amalgamation, </w:t>
      </w:r>
      <w:r>
        <w:rPr>
          <w:rFonts w:ascii="Arial" w:cs="Arial" w:eastAsia="Arial" w:hAnsi="Arial"/>
          <w:sz w:val="19"/>
          <w:szCs w:val="19"/>
          <w:u w:val="single" w:color="auto"/>
          <w:color w:val="auto"/>
        </w:rPr>
        <w:t>Section 7.09</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1305"/>
        <w:spacing w:after="0" w:line="290" w:lineRule="auto"/>
        <w:tabs>
          <w:tab w:leader="none" w:pos="181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shall not prohibit any Redomestication;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 Redomestication of WIL-Ireland of the type described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WIL-Ireland hereunder and thereunder and (B) deliver to the Administrative Agent one or more opinions of counsel in form, scope and substance reasonably satisfactory to the Administrative Agent, and (ii) in the case of a Redomestication of WIL-Ireland of the type described in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in which the Person formed pursuant to such Redomestication is a different legal entity than WIL-Ireland, the Person formed pursuant to such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75" w:right="239" w:bottom="1440" w:gutter="0" w:footer="0" w:header="0"/>
        </w:sectPr>
      </w:pPr>
    </w:p>
    <w:bookmarkStart w:id="143" w:name="page144"/>
    <w:bookmarkEnd w:id="143"/>
    <w:p>
      <w:pPr>
        <w:jc w:val="both"/>
        <w:spacing w:after="0" w:line="302" w:lineRule="auto"/>
        <w:rPr>
          <w:sz w:val="20"/>
          <w:szCs w:val="20"/>
          <w:color w:val="auto"/>
        </w:rPr>
      </w:pPr>
      <w:r>
        <w:rPr>
          <w:rFonts w:ascii="Arial" w:cs="Arial" w:eastAsia="Arial" w:hAnsi="Arial"/>
          <w:sz w:val="19"/>
          <w:szCs w:val="19"/>
          <w:color w:val="auto"/>
        </w:rPr>
        <w:t>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w:t>
      </w:r>
    </w:p>
    <w:p>
      <w:pPr>
        <w:spacing w:after="0" w:line="183" w:lineRule="exact"/>
        <w:rPr>
          <w:sz w:val="20"/>
          <w:szCs w:val="20"/>
          <w:color w:val="auto"/>
        </w:rPr>
      </w:pPr>
    </w:p>
    <w:p>
      <w:pPr>
        <w:jc w:val="both"/>
        <w:ind w:firstLine="1305"/>
        <w:spacing w:after="0" w:line="284" w:lineRule="auto"/>
        <w:tabs>
          <w:tab w:leader="none" w:pos="189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WIL-Ireland shall not, and shall not permit any Restricted Subsidiary to, wind up,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thereof and immediately after giving effect thereto no Default or Event of Default shall have occurred and be continuing, (i) any Restricted Subsidiary that is not an Obligor may wind up, liquidate or dissolve if WIL-Ireland determines in good faith that such winding up, liquidation or dissolution is in the best interests of WIL-Ireland and its other Restricted Subsidiaries and is not materially disadvantageous to the Lenders and (ii) any Specified Obligor may wind up, liquidate or dissolve if (A) the owner of all of the Capital Stock of such Specified Obligor immediately prior to such event shall be a Wholly-Owned Subsidiary of WIL-Ireland (other than WIL-Bermuda or WIL-Delaware, unless the Subsidiaries directly owned by WIL-Bermuda or WIL-Delaware winding up, liquidating or dissolving in the aggregate since the Effective Date do not have assets representing more than 2.5% of the Total Specified Asset Value as of the last day of any Fiscal Quarter ended for which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or generate more than 2.5% of Consolidated Adjusted EBITDA of the Specified Group for the four consecutive Fiscal Quarter period ending on such date)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and (3) such other documentation as the Administrative Agent may reasonably request;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WIL-Ireland shall comply with the conditions set forth in </w:t>
      </w:r>
      <w:r>
        <w:rPr>
          <w:rFonts w:ascii="Arial" w:cs="Arial" w:eastAsia="Arial" w:hAnsi="Arial"/>
          <w:sz w:val="19"/>
          <w:szCs w:val="19"/>
          <w:u w:val="single" w:color="auto"/>
          <w:color w:val="auto"/>
        </w:rPr>
        <w:t>Sections 11.01(d)(i)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11.01(d)(ii)</w:t>
      </w:r>
      <w:r>
        <w:rPr>
          <w:rFonts w:ascii="Arial" w:cs="Arial" w:eastAsia="Arial" w:hAnsi="Arial"/>
          <w:sz w:val="19"/>
          <w:szCs w:val="19"/>
          <w:color w:val="auto"/>
        </w:rPr>
        <w:t xml:space="preserve"> with respect to any Specified Obligor that is a Borrower (for purposes of this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the references to “Borrower Removal Date” in </w:t>
      </w:r>
      <w:r>
        <w:rPr>
          <w:rFonts w:ascii="Arial" w:cs="Arial" w:eastAsia="Arial" w:hAnsi="Arial"/>
          <w:sz w:val="19"/>
          <w:szCs w:val="19"/>
          <w:u w:val="single" w:color="auto"/>
          <w:color w:val="auto"/>
        </w:rPr>
        <w:t>Sections 11.01(d)(i)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11.01(d)(ii)</w:t>
      </w:r>
      <w:r>
        <w:rPr>
          <w:rFonts w:ascii="Arial" w:cs="Arial" w:eastAsia="Arial" w:hAnsi="Arial"/>
          <w:sz w:val="19"/>
          <w:szCs w:val="19"/>
          <w:color w:val="auto"/>
        </w:rPr>
        <w:t xml:space="preserve"> being understood to refer to the date on which such Borrower winds up, liquidates or dissolves pursuant to this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Notwithstanding anything to the contrary contained herein, in the event that any Borrower shall cease to be a Borrower hereunder as a result of a transaction permitted under this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the other Obligors shall remain jointly and severally liable with respect to each Loan made to such Borrower and each Letter of Credit issued for the account of such Borrower outstanding on the date on which such Borrower winds up, liquidates or dissolves pursuant to this </w:t>
      </w:r>
      <w:r>
        <w:rPr>
          <w:rFonts w:ascii="Arial" w:cs="Arial" w:eastAsia="Arial" w:hAnsi="Arial"/>
          <w:sz w:val="19"/>
          <w:szCs w:val="19"/>
          <w:u w:val="single" w:color="auto"/>
          <w:color w:val="auto"/>
        </w:rPr>
        <w:t>Section 8.02(c)</w:t>
      </w:r>
      <w:r>
        <w:rPr>
          <w:rFonts w:ascii="Arial" w:cs="Arial" w:eastAsia="Arial" w:hAnsi="Arial"/>
          <w:sz w:val="19"/>
          <w:szCs w:val="19"/>
          <w:color w:val="auto"/>
        </w:rPr>
        <w:t>.</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Material Change in Business</w:t>
      </w:r>
      <w:r>
        <w:rPr>
          <w:rFonts w:ascii="Arial" w:cs="Arial" w:eastAsia="Arial" w:hAnsi="Arial"/>
          <w:sz w:val="22"/>
          <w:szCs w:val="22"/>
          <w:color w:val="auto"/>
        </w:rPr>
        <w:t>. WIL-Ireland and its Restricted Subsidiaries (taken as a whole) shall not engage in any material business substantially different from those businesses of WIL-Ireland and its Subsidiaries described in the Form 10-K of WIL-Ireland for the Fiscal Year ended December 31, 2015, as filed with the SEC, and any businesses reasonably related, ancillary or complementary thereto.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75" w:right="239" w:bottom="1440" w:gutter="0" w:footer="0" w:header="0"/>
        </w:sectPr>
      </w:pPr>
    </w:p>
    <w:bookmarkStart w:id="144" w:name="page145"/>
    <w:bookmarkEnd w:id="144"/>
    <w:p>
      <w:pPr>
        <w:ind w:firstLine="648"/>
        <w:spacing w:after="0" w:line="263"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Liens</w:t>
      </w:r>
      <w:r>
        <w:rPr>
          <w:rFonts w:ascii="Arial" w:cs="Arial" w:eastAsia="Arial" w:hAnsi="Arial"/>
          <w:sz w:val="22"/>
          <w:szCs w:val="22"/>
          <w:color w:val="auto"/>
        </w:rPr>
        <w:t>. WIL-Ireland shall not, and shall not permit any Restricted Subsidiary to, create, incur, assume or permit to exist any Lien on any property or asset now owned or hereafter acquired by it, except:</w:t>
      </w:r>
    </w:p>
    <w:p>
      <w:pPr>
        <w:spacing w:after="0" w:line="215" w:lineRule="exact"/>
        <w:rPr>
          <w:sz w:val="20"/>
          <w:szCs w:val="20"/>
          <w:color w:val="auto"/>
        </w:rPr>
      </w:pPr>
    </w:p>
    <w:p>
      <w:pPr>
        <w:ind w:left="1760" w:hanging="455"/>
        <w:spacing w:after="0"/>
        <w:tabs>
          <w:tab w:leader="none" w:pos="17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Liens created pursuant to any Loan Document;</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Liens arising under the Term Loan Documents that secure the Term Loan Obligations;</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179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WIL-Ireland or any Restricted Subsidiary existing on the date hereof and set forth in </w:t>
      </w:r>
      <w:r>
        <w:rPr>
          <w:rFonts w:ascii="Arial" w:cs="Arial" w:eastAsia="Arial" w:hAnsi="Arial"/>
          <w:sz w:val="22"/>
          <w:szCs w:val="22"/>
          <w:u w:val="single" w:color="auto"/>
          <w:color w:val="auto"/>
        </w:rPr>
        <w:t>Schedule 8.04</w:t>
      </w:r>
      <w:r>
        <w:rPr>
          <w:rFonts w:ascii="Arial" w:cs="Arial" w:eastAsia="Arial" w:hAnsi="Arial"/>
          <w:sz w:val="22"/>
          <w:szCs w:val="22"/>
          <w:color w:val="auto"/>
        </w:rPr>
        <w:t>, provided that (i) such Lien shall not apply to any other property or asset of WIL-Ireland or any Restricted Subsidiary and (ii) such Lien shall secure only those obligations that it secures on the date hereof and Permitted Refinancing Indebtedness in respect thereof;</w:t>
      </w:r>
    </w:p>
    <w:p>
      <w:pPr>
        <w:spacing w:after="0" w:line="228" w:lineRule="exact"/>
        <w:rPr>
          <w:rFonts w:ascii="Arial" w:cs="Arial" w:eastAsia="Arial" w:hAnsi="Arial"/>
          <w:sz w:val="22"/>
          <w:szCs w:val="22"/>
          <w:color w:val="auto"/>
        </w:rPr>
      </w:pPr>
    </w:p>
    <w:p>
      <w:pPr>
        <w:ind w:firstLine="1305"/>
        <w:spacing w:after="0" w:line="263" w:lineRule="auto"/>
        <w:tabs>
          <w:tab w:leader="none" w:pos="185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precautionary Liens on Receivables and Receivables Related Security arising in connection with Permitted Factoring Transactions; and</w:t>
      </w:r>
    </w:p>
    <w:p>
      <w:pPr>
        <w:spacing w:after="0" w:line="215" w:lineRule="exact"/>
        <w:rPr>
          <w:rFonts w:ascii="Arial" w:cs="Arial" w:eastAsia="Arial" w:hAnsi="Arial"/>
          <w:sz w:val="22"/>
          <w:szCs w:val="22"/>
          <w:color w:val="auto"/>
        </w:rPr>
      </w:pPr>
    </w:p>
    <w:p>
      <w:pPr>
        <w:ind w:firstLine="1305"/>
        <w:spacing w:after="0" w:line="263" w:lineRule="auto"/>
        <w:tabs>
          <w:tab w:leader="none" w:pos="17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Liens on assets so long as the aggregate principal amount of the Indebtedness and other obligations secured by such Liens does not at any time exceed $50,000,000.</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Asset Dispositions</w:t>
      </w:r>
      <w:r>
        <w:rPr>
          <w:rFonts w:ascii="Arial" w:cs="Arial" w:eastAsia="Arial" w:hAnsi="Arial"/>
          <w:sz w:val="22"/>
          <w:szCs w:val="22"/>
          <w:color w:val="auto"/>
        </w:rPr>
        <w:t>. WIL-Ireland shall not, and shall not permit any Restricted Subsidiary to, Dispose of any assets to any Person, except that:</w:t>
      </w:r>
    </w:p>
    <w:p>
      <w:pPr>
        <w:spacing w:after="0" w:line="215" w:lineRule="exact"/>
        <w:rPr>
          <w:sz w:val="20"/>
          <w:szCs w:val="20"/>
          <w:color w:val="auto"/>
        </w:rPr>
      </w:pPr>
    </w:p>
    <w:p>
      <w:pPr>
        <w:ind w:firstLine="1305"/>
        <w:spacing w:after="0" w:line="263" w:lineRule="auto"/>
        <w:tabs>
          <w:tab w:leader="none" w:pos="182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Obligor or any Specified Group Member may Dispose of assets to any Obligor or any Specified Group Member that is a Wholly-Owned Subsidiary;</w:t>
      </w:r>
    </w:p>
    <w:p>
      <w:pPr>
        <w:spacing w:after="0" w:line="215" w:lineRule="exact"/>
        <w:rPr>
          <w:rFonts w:ascii="Arial" w:cs="Arial" w:eastAsia="Arial" w:hAnsi="Arial"/>
          <w:sz w:val="22"/>
          <w:szCs w:val="22"/>
          <w:color w:val="auto"/>
        </w:rPr>
      </w:pPr>
    </w:p>
    <w:p>
      <w:pPr>
        <w:ind w:firstLine="1305"/>
        <w:spacing w:after="0" w:line="263" w:lineRule="auto"/>
        <w:tabs>
          <w:tab w:leader="none" w:pos="178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Other Subsidiaries Group Member may Dispose of assets to any Obligor, any Specified Group Member or any other Other Subsidiaries Group Member;</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1782"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any Obligor or any Specified Group Member may Dispose of assets to any Other Subsidiaries Group Member or any Specified Group Member that is not a Wholly-Owned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value of all assets Disposed of in reliance on this </w:t>
      </w:r>
      <w:r>
        <w:rPr>
          <w:rFonts w:ascii="Arial" w:cs="Arial" w:eastAsia="Arial" w:hAnsi="Arial"/>
          <w:sz w:val="22"/>
          <w:szCs w:val="22"/>
          <w:u w:val="single" w:color="auto"/>
          <w:color w:val="auto"/>
        </w:rPr>
        <w:t>Section 8.05(c)</w:t>
      </w:r>
      <w:r>
        <w:rPr>
          <w:rFonts w:ascii="Arial" w:cs="Arial" w:eastAsia="Arial" w:hAnsi="Arial"/>
          <w:sz w:val="22"/>
          <w:szCs w:val="22"/>
          <w:color w:val="auto"/>
        </w:rPr>
        <w:t xml:space="preserve"> (net of the value of any such assets subsequently transferred to any Obligor or any Specified Group Member) since the Effective Date, together with the aggregate amount of all Investments made pursuant to </w:t>
      </w:r>
      <w:r>
        <w:rPr>
          <w:rFonts w:ascii="Arial" w:cs="Arial" w:eastAsia="Arial" w:hAnsi="Arial"/>
          <w:sz w:val="22"/>
          <w:szCs w:val="22"/>
          <w:u w:val="single" w:color="auto"/>
          <w:color w:val="auto"/>
        </w:rPr>
        <w:t>Section 8.06(f)</w:t>
      </w:r>
      <w:r>
        <w:rPr>
          <w:rFonts w:ascii="Arial" w:cs="Arial" w:eastAsia="Arial" w:hAnsi="Arial"/>
          <w:sz w:val="22"/>
          <w:szCs w:val="22"/>
          <w:color w:val="auto"/>
        </w:rPr>
        <w:t xml:space="preserve"> and then outstanding, shall not exceed $200,000,000;</w:t>
      </w:r>
    </w:p>
    <w:p>
      <w:pPr>
        <w:spacing w:after="0" w:line="232" w:lineRule="exact"/>
        <w:rPr>
          <w:rFonts w:ascii="Arial" w:cs="Arial" w:eastAsia="Arial" w:hAnsi="Arial"/>
          <w:sz w:val="22"/>
          <w:szCs w:val="22"/>
          <w:color w:val="auto"/>
        </w:rPr>
      </w:pPr>
    </w:p>
    <w:p>
      <w:pPr>
        <w:jc w:val="both"/>
        <w:ind w:firstLine="1305"/>
        <w:spacing w:after="0" w:line="247" w:lineRule="auto"/>
        <w:tabs>
          <w:tab w:leader="none" w:pos="188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subject to compliance with the provisions of </w:t>
      </w:r>
      <w:r>
        <w:rPr>
          <w:rFonts w:ascii="Arial" w:cs="Arial" w:eastAsia="Arial" w:hAnsi="Arial"/>
          <w:sz w:val="22"/>
          <w:szCs w:val="22"/>
          <w:u w:val="single" w:color="auto"/>
          <w:color w:val="auto"/>
        </w:rPr>
        <w:t>Sections 2.06(c)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2.08(e)</w:t>
      </w:r>
      <w:r>
        <w:rPr>
          <w:rFonts w:ascii="Arial" w:cs="Arial" w:eastAsia="Arial" w:hAnsi="Arial"/>
          <w:sz w:val="22"/>
          <w:szCs w:val="22"/>
          <w:color w:val="auto"/>
        </w:rPr>
        <w:t>, WIL-Ireland and its Restricted Subsidiaries may consummate the Land Rig Sale, so long as (i) at the time thereof and immediately after giving effect thereto, no Default or Event of Default shall have occurred and be continuing, (ii) at least 60% of the consideration received by WIL-Ireland and its Restricted Subsidiaries in respect of the Land Rig Sale shall be cash or Cash Equivalents and (iii) the consideration received in respect of the Land Rig Sale shall be equal to or greater than the fair market value of the assets subject to the Land Rig Sale (as reasonably determined by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75"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a Principal Financial Officer of WIL-Ireland, and if requested by the Administrative Agent, WIL-Ireland shall deliver a certificate of a Principal Financial Officer of WIL-Ireland certifying as to the foregoing);</w:t>
      </w:r>
    </w:p>
    <w:p>
      <w:pPr>
        <w:spacing w:after="0" w:line="215" w:lineRule="exact"/>
        <w:rPr>
          <w:sz w:val="20"/>
          <w:szCs w:val="20"/>
          <w:color w:val="auto"/>
        </w:rPr>
      </w:pPr>
    </w:p>
    <w:p>
      <w:pPr>
        <w:ind w:right="20" w:firstLine="1305"/>
        <w:spacing w:after="0" w:line="263" w:lineRule="auto"/>
        <w:tabs>
          <w:tab w:leader="none" w:pos="178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WIL-Ireland and its Restricted Subsidiaries may Dispose of inventory or obsolete or worn-out property in the ordinary course of business;</w:t>
      </w:r>
    </w:p>
    <w:p>
      <w:pPr>
        <w:spacing w:after="0" w:line="215" w:lineRule="exact"/>
        <w:rPr>
          <w:rFonts w:ascii="Arial" w:cs="Arial" w:eastAsia="Arial" w:hAnsi="Arial"/>
          <w:sz w:val="22"/>
          <w:szCs w:val="22"/>
          <w:color w:val="auto"/>
        </w:rPr>
      </w:pPr>
    </w:p>
    <w:p>
      <w:pPr>
        <w:ind w:firstLine="1305"/>
        <w:spacing w:after="0" w:line="263" w:lineRule="auto"/>
        <w:tabs>
          <w:tab w:leader="none" w:pos="179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WIL-Ireland and its Restricted Subsidiaries may make Investments permitted by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and Restricted Payments permitted by </w:t>
      </w:r>
      <w:r>
        <w:rPr>
          <w:rFonts w:ascii="Arial" w:cs="Arial" w:eastAsia="Arial" w:hAnsi="Arial"/>
          <w:sz w:val="22"/>
          <w:szCs w:val="22"/>
          <w:u w:val="single" w:color="auto"/>
          <w:color w:val="auto"/>
        </w:rPr>
        <w:t>Section 8.08</w:t>
      </w:r>
      <w:r>
        <w:rPr>
          <w:rFonts w:ascii="Arial" w:cs="Arial" w:eastAsia="Arial" w:hAnsi="Arial"/>
          <w:sz w:val="22"/>
          <w:szCs w:val="22"/>
          <w:color w:val="auto"/>
        </w:rPr>
        <w:t>, in each case to the extent constituting Dispositions;</w:t>
      </w:r>
    </w:p>
    <w:p>
      <w:pPr>
        <w:spacing w:after="0" w:line="215" w:lineRule="exact"/>
        <w:rPr>
          <w:rFonts w:ascii="Arial" w:cs="Arial" w:eastAsia="Arial" w:hAnsi="Arial"/>
          <w:sz w:val="22"/>
          <w:szCs w:val="22"/>
          <w:color w:val="auto"/>
        </w:rPr>
      </w:pPr>
    </w:p>
    <w:p>
      <w:pPr>
        <w:ind w:firstLine="1305"/>
        <w:spacing w:after="0" w:line="263" w:lineRule="auto"/>
        <w:tabs>
          <w:tab w:leader="none" w:pos="180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Disposition of Receivables and Receivables Related Security in connection with any Permitted Factoring Transaction shall be permitted;</w:t>
      </w:r>
    </w:p>
    <w:p>
      <w:pPr>
        <w:spacing w:after="0" w:line="215" w:lineRule="exact"/>
        <w:rPr>
          <w:rFonts w:ascii="Arial" w:cs="Arial" w:eastAsia="Arial" w:hAnsi="Arial"/>
          <w:sz w:val="22"/>
          <w:szCs w:val="22"/>
          <w:color w:val="auto"/>
        </w:rPr>
      </w:pPr>
    </w:p>
    <w:p>
      <w:pPr>
        <w:ind w:firstLine="1305"/>
        <w:spacing w:after="0" w:line="263" w:lineRule="auto"/>
        <w:tabs>
          <w:tab w:leader="none" w:pos="181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Disposition of assets resulting from a casualty event or condemnation proceeding, expropriation or other involuntary taking by a Governmental Authority shall be permitted;</w:t>
      </w:r>
    </w:p>
    <w:p>
      <w:pPr>
        <w:spacing w:after="0" w:line="215" w:lineRule="exact"/>
        <w:rPr>
          <w:rFonts w:ascii="Arial" w:cs="Arial" w:eastAsia="Arial" w:hAnsi="Arial"/>
          <w:sz w:val="22"/>
          <w:szCs w:val="22"/>
          <w:color w:val="auto"/>
        </w:rPr>
      </w:pPr>
    </w:p>
    <w:p>
      <w:pPr>
        <w:ind w:right="20" w:firstLine="1305"/>
        <w:spacing w:after="0" w:line="263" w:lineRule="auto"/>
        <w:tabs>
          <w:tab w:leader="none" w:pos="172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WIL-Ireland and its Restricted Subsidiaries may grant in the ordinary course of business any license of patents, trademarks, registrations therefor and other similar intellectual property;</w:t>
      </w:r>
    </w:p>
    <w:p>
      <w:pPr>
        <w:spacing w:after="0" w:line="215" w:lineRule="exact"/>
        <w:rPr>
          <w:rFonts w:ascii="Arial" w:cs="Arial" w:eastAsia="Arial" w:hAnsi="Arial"/>
          <w:sz w:val="22"/>
          <w:szCs w:val="22"/>
          <w:color w:val="auto"/>
        </w:rPr>
      </w:pPr>
    </w:p>
    <w:p>
      <w:pPr>
        <w:jc w:val="both"/>
        <w:ind w:firstLine="1305"/>
        <w:spacing w:after="0" w:line="289" w:lineRule="auto"/>
        <w:tabs>
          <w:tab w:leader="none" w:pos="185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subject to compliance with </w:t>
      </w:r>
      <w:r>
        <w:rPr>
          <w:rFonts w:ascii="Arial" w:cs="Arial" w:eastAsia="Arial" w:hAnsi="Arial"/>
          <w:sz w:val="19"/>
          <w:szCs w:val="19"/>
          <w:u w:val="single" w:color="auto"/>
          <w:color w:val="auto"/>
        </w:rPr>
        <w:t>Sections 2.06(c)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2.08(e)</w:t>
      </w:r>
      <w:r>
        <w:rPr>
          <w:rFonts w:ascii="Arial" w:cs="Arial" w:eastAsia="Arial" w:hAnsi="Arial"/>
          <w:sz w:val="19"/>
          <w:szCs w:val="19"/>
          <w:color w:val="auto"/>
        </w:rPr>
        <w:t>, WIL-Ireland and its Restricted Subsidiaries may Dispose of assets so long as (i) at the time thereof and immediately after giving effect thereto,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WIL-Ireland, and if requested by the Administrative Agent, WIL-Ireland shall deliver a certificate of a Principal Financial Officer of WIL-Ireland certifying as to the foregoing) and (iv) after giving pro forma effect to such Disposition, WIL-Ireland would be in compliance with the Financial Covenants (calculated as of the last day of the most recently ended Testing Period for which financial statements are available as if such Disposition had been made on the first day of such Testing Period);</w:t>
      </w:r>
    </w:p>
    <w:p>
      <w:pPr>
        <w:spacing w:after="0" w:line="198" w:lineRule="exact"/>
        <w:rPr>
          <w:rFonts w:ascii="Arial" w:cs="Arial" w:eastAsia="Arial" w:hAnsi="Arial"/>
          <w:sz w:val="19"/>
          <w:szCs w:val="19"/>
          <w:color w:val="auto"/>
        </w:rPr>
      </w:pPr>
    </w:p>
    <w:p>
      <w:pPr>
        <w:ind w:firstLine="1305"/>
        <w:spacing w:after="0" w:line="263" w:lineRule="auto"/>
        <w:tabs>
          <w:tab w:leader="none" w:pos="181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Dispositions of surplus property in the ordinary course of business having an aggregate fair market value not greater than $25,000,000 in any Fiscal Year shall be permitted;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85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Dispositions of equipment in the ordinary course of business the proceeds of which are reinvested in the acquisition of other equipment of comparable value and useful in the business of WIL-Ireland and its Restricted Subsidiaries within 180 days of such Disposition shall be permitted; and</w:t>
      </w:r>
    </w:p>
    <w:p>
      <w:pPr>
        <w:spacing w:after="0" w:line="226" w:lineRule="exact"/>
        <w:rPr>
          <w:rFonts w:ascii="Arial" w:cs="Arial" w:eastAsia="Arial" w:hAnsi="Arial"/>
          <w:sz w:val="22"/>
          <w:szCs w:val="22"/>
          <w:color w:val="auto"/>
        </w:rPr>
      </w:pPr>
    </w:p>
    <w:p>
      <w:pPr>
        <w:ind w:left="1840" w:hanging="535"/>
        <w:spacing w:after="0"/>
        <w:tabs>
          <w:tab w:leader="none" w:pos="184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leases of real or personal property in the ordinary course of business shall be permitted.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75"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Investments</w:t>
      </w:r>
      <w:r>
        <w:rPr>
          <w:rFonts w:ascii="Arial" w:cs="Arial" w:eastAsia="Arial" w:hAnsi="Arial"/>
          <w:sz w:val="21"/>
          <w:szCs w:val="21"/>
          <w:color w:val="auto"/>
        </w:rPr>
        <w:t>. WIL-Ireland shall not, and shall not permit any Restricted Subsidiary to, make any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Investments in any Person, except:</w:t>
      </w:r>
    </w:p>
    <w:p>
      <w:pPr>
        <w:spacing w:after="0" w:line="242" w:lineRule="exact"/>
        <w:rPr>
          <w:sz w:val="20"/>
          <w:szCs w:val="20"/>
          <w:color w:val="auto"/>
        </w:rPr>
      </w:pPr>
    </w:p>
    <w:p>
      <w:pPr>
        <w:ind w:left="1760" w:hanging="455"/>
        <w:spacing w:after="0"/>
        <w:tabs>
          <w:tab w:leader="none" w:pos="17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Cash Equivalents;</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60" w:lineRule="exact"/>
        <w:rPr>
          <w:rFonts w:ascii="Arial" w:cs="Arial" w:eastAsia="Arial" w:hAnsi="Arial"/>
          <w:sz w:val="22"/>
          <w:szCs w:val="22"/>
          <w:color w:val="auto"/>
        </w:rPr>
      </w:pPr>
    </w:p>
    <w:p>
      <w:pPr>
        <w:jc w:val="both"/>
        <w:ind w:firstLine="1305"/>
        <w:spacing w:after="0" w:line="271" w:lineRule="auto"/>
        <w:tabs>
          <w:tab w:leader="none" w:pos="177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 xml:space="preserve">(i) Investments in Subsidiaries in existence on the Effective Date and (ii) other Investments in existence on the Effective Date and described on </w:t>
      </w:r>
      <w:r>
        <w:rPr>
          <w:rFonts w:ascii="Arial" w:cs="Arial" w:eastAsia="Arial" w:hAnsi="Arial"/>
          <w:sz w:val="21"/>
          <w:szCs w:val="21"/>
          <w:u w:val="single" w:color="auto"/>
          <w:color w:val="auto"/>
        </w:rPr>
        <w:t>Schedule 8.06</w:t>
      </w:r>
      <w:r>
        <w:rPr>
          <w:rFonts w:ascii="Arial" w:cs="Arial" w:eastAsia="Arial" w:hAnsi="Arial"/>
          <w:sz w:val="21"/>
          <w:szCs w:val="21"/>
          <w:color w:val="auto"/>
        </w:rPr>
        <w:t xml:space="preserve"> and any renewal or extension of any such Investments that does not increase the amount of the Investment being renewed or extended as determined as of such date of renewal or extension;</w:t>
      </w:r>
    </w:p>
    <w:p>
      <w:pPr>
        <w:spacing w:after="0" w:line="208" w:lineRule="exact"/>
        <w:rPr>
          <w:rFonts w:ascii="Arial" w:cs="Arial" w:eastAsia="Arial" w:hAnsi="Arial"/>
          <w:sz w:val="21"/>
          <w:szCs w:val="21"/>
          <w:color w:val="auto"/>
        </w:rPr>
      </w:pPr>
    </w:p>
    <w:p>
      <w:pPr>
        <w:ind w:right="20" w:firstLine="1305"/>
        <w:spacing w:after="0" w:line="263" w:lineRule="auto"/>
        <w:tabs>
          <w:tab w:leader="none" w:pos="180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Investments by any Obligor or any Specified Group Member in any Obligor or any Specified Group Member that is a Wholly-Owned Subsidiary;</w:t>
      </w:r>
    </w:p>
    <w:p>
      <w:pPr>
        <w:spacing w:after="0" w:line="215" w:lineRule="exact"/>
        <w:rPr>
          <w:rFonts w:ascii="Arial" w:cs="Arial" w:eastAsia="Arial" w:hAnsi="Arial"/>
          <w:sz w:val="22"/>
          <w:szCs w:val="22"/>
          <w:color w:val="auto"/>
        </w:rPr>
      </w:pPr>
    </w:p>
    <w:p>
      <w:pPr>
        <w:ind w:firstLine="1305"/>
        <w:spacing w:after="0" w:line="263" w:lineRule="auto"/>
        <w:tabs>
          <w:tab w:leader="none" w:pos="182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Investments by any Other Subsidiaries Group Member in any Obligor, any Specified Group Member or any other Other Subsidiaries Group Member;</w:t>
      </w:r>
    </w:p>
    <w:p>
      <w:pPr>
        <w:spacing w:after="0" w:line="215" w:lineRule="exact"/>
        <w:rPr>
          <w:rFonts w:ascii="Arial" w:cs="Arial" w:eastAsia="Arial" w:hAnsi="Arial"/>
          <w:sz w:val="22"/>
          <w:szCs w:val="22"/>
          <w:color w:val="auto"/>
        </w:rPr>
      </w:pPr>
    </w:p>
    <w:p>
      <w:pPr>
        <w:jc w:val="both"/>
        <w:ind w:firstLine="1305"/>
        <w:spacing w:after="0" w:line="256" w:lineRule="auto"/>
        <w:tabs>
          <w:tab w:leader="none" w:pos="1885" w:val="left"/>
        </w:tabs>
        <w:numPr>
          <w:ilvl w:val="1"/>
          <w:numId w:val="166"/>
        </w:numPr>
        <w:rPr>
          <w:rFonts w:ascii="Arial" w:cs="Arial" w:eastAsia="Arial" w:hAnsi="Arial"/>
          <w:sz w:val="21"/>
          <w:szCs w:val="21"/>
          <w:color w:val="auto"/>
        </w:rPr>
      </w:pPr>
      <w:r>
        <w:rPr>
          <w:rFonts w:ascii="Arial" w:cs="Arial" w:eastAsia="Arial" w:hAnsi="Arial"/>
          <w:sz w:val="21"/>
          <w:szCs w:val="21"/>
          <w:color w:val="auto"/>
        </w:rPr>
        <w:t xml:space="preserve">(i) Investments in Unrestricted Subsidiaries and (ii) Investments by any Obligor or any Specified Group Member in any Other Subsidiaries Group Member or any Specified Group Member that is not a Wholly-Owned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effect to any such Investment, (ii) 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(iii) the aggregate amount of all Investments made pursuant to this </w:t>
      </w:r>
      <w:r>
        <w:rPr>
          <w:rFonts w:ascii="Arial" w:cs="Arial" w:eastAsia="Arial" w:hAnsi="Arial"/>
          <w:sz w:val="21"/>
          <w:szCs w:val="21"/>
          <w:u w:val="single" w:color="auto"/>
          <w:color w:val="auto"/>
        </w:rPr>
        <w:t>Section 8.06(f)</w:t>
      </w:r>
      <w:r>
        <w:rPr>
          <w:rFonts w:ascii="Arial" w:cs="Arial" w:eastAsia="Arial" w:hAnsi="Arial"/>
          <w:sz w:val="21"/>
          <w:szCs w:val="21"/>
          <w:color w:val="auto"/>
        </w:rPr>
        <w:t xml:space="preserve"> and then outstanding, together with the aggregate value of all assets Disposed of in reliance on </w:t>
      </w:r>
      <w:r>
        <w:rPr>
          <w:rFonts w:ascii="Arial" w:cs="Arial" w:eastAsia="Arial" w:hAnsi="Arial"/>
          <w:sz w:val="21"/>
          <w:szCs w:val="21"/>
          <w:u w:val="single" w:color="auto"/>
          <w:color w:val="auto"/>
        </w:rPr>
        <w:t>Section 8.05(c)</w:t>
      </w:r>
      <w:r>
        <w:rPr>
          <w:rFonts w:ascii="Arial" w:cs="Arial" w:eastAsia="Arial" w:hAnsi="Arial"/>
          <w:sz w:val="21"/>
          <w:szCs w:val="21"/>
          <w:color w:val="auto"/>
        </w:rPr>
        <w:t xml:space="preserve"> (net of the value of any such assets subsequently transferred to any Obligor or any Specified Group Member) since the Effective Date, shall not exceed $200,000,000;</w:t>
      </w:r>
    </w:p>
    <w:p>
      <w:pPr>
        <w:spacing w:after="0" w:line="7" w:lineRule="exact"/>
        <w:rPr>
          <w:rFonts w:ascii="Arial" w:cs="Arial" w:eastAsia="Arial" w:hAnsi="Arial"/>
          <w:sz w:val="21"/>
          <w:szCs w:val="21"/>
          <w:color w:val="auto"/>
        </w:rPr>
      </w:pPr>
    </w:p>
    <w:p>
      <w:pPr>
        <w:jc w:val="both"/>
        <w:ind w:firstLine="1305"/>
        <w:spacing w:after="0" w:line="262" w:lineRule="auto"/>
        <w:tabs>
          <w:tab w:leader="none" w:pos="1776" w:val="left"/>
        </w:tabs>
        <w:numPr>
          <w:ilvl w:val="1"/>
          <w:numId w:val="166"/>
        </w:numPr>
        <w:rPr>
          <w:rFonts w:ascii="Arial" w:cs="Arial" w:eastAsia="Arial" w:hAnsi="Arial"/>
          <w:sz w:val="21"/>
          <w:szCs w:val="21"/>
          <w:color w:val="auto"/>
        </w:rPr>
      </w:pPr>
      <w:r>
        <w:rPr>
          <w:rFonts w:ascii="Arial" w:cs="Arial" w:eastAsia="Arial" w:hAnsi="Arial"/>
          <w:sz w:val="21"/>
          <w:szCs w:val="21"/>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217" w:lineRule="exact"/>
        <w:rPr>
          <w:rFonts w:ascii="Arial" w:cs="Arial" w:eastAsia="Arial" w:hAnsi="Arial"/>
          <w:sz w:val="21"/>
          <w:szCs w:val="21"/>
          <w:color w:val="auto"/>
        </w:rPr>
      </w:pPr>
    </w:p>
    <w:p>
      <w:pPr>
        <w:jc w:val="both"/>
        <w:ind w:firstLine="1305"/>
        <w:spacing w:after="0" w:line="286" w:lineRule="auto"/>
        <w:tabs>
          <w:tab w:leader="none" w:pos="1864"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Investments in the Designated Joint Venture consisting of (i) contributions of the Designated Assets to the Designated Joint Venture and (ii) additional Investments in the Designated Joint Venture (whether in cash, Cash Equivalents or other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any Investment made pursuant to this </w:t>
      </w:r>
      <w:r>
        <w:rPr>
          <w:rFonts w:ascii="Arial" w:cs="Arial" w:eastAsia="Arial" w:hAnsi="Arial"/>
          <w:sz w:val="19"/>
          <w:szCs w:val="19"/>
          <w:u w:val="single" w:color="auto"/>
          <w:color w:val="auto"/>
        </w:rPr>
        <w:t>Section 8.06(h)</w:t>
      </w:r>
      <w:r>
        <w:rPr>
          <w:rFonts w:ascii="Arial" w:cs="Arial" w:eastAsia="Arial" w:hAnsi="Arial"/>
          <w:sz w:val="19"/>
          <w:szCs w:val="19"/>
          <w:color w:val="auto"/>
        </w:rPr>
        <w:t>, (x) no Default or Event of Default shall have occurred and be continuing at the time of and immediately after giving effect to any such Investment and</w:t>
      </w:r>
    </w:p>
    <w:p>
      <w:pPr>
        <w:spacing w:after="0" w:line="2" w:lineRule="exact"/>
        <w:rPr>
          <w:rFonts w:ascii="Arial" w:cs="Arial" w:eastAsia="Arial" w:hAnsi="Arial"/>
          <w:sz w:val="19"/>
          <w:szCs w:val="19"/>
          <w:color w:val="auto"/>
        </w:rPr>
      </w:pPr>
    </w:p>
    <w:p>
      <w:pPr>
        <w:jc w:val="both"/>
        <w:ind w:firstLine="8"/>
        <w:spacing w:after="0" w:line="244" w:lineRule="auto"/>
        <w:tabs>
          <w:tab w:leader="none" w:pos="33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75" w:right="2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 xml:space="preserve">Investment (as if such Indebtedness was incurred on the first day of such Testing Period)) and (B) in the case of any Investment made pursuant to clause (ii) of this </w:t>
      </w:r>
      <w:r>
        <w:rPr>
          <w:rFonts w:ascii="Arial" w:cs="Arial" w:eastAsia="Arial" w:hAnsi="Arial"/>
          <w:sz w:val="22"/>
          <w:szCs w:val="22"/>
          <w:u w:val="single" w:color="auto"/>
          <w:color w:val="auto"/>
        </w:rPr>
        <w:t>Section 8.06(h)</w:t>
      </w:r>
      <w:r>
        <w:rPr>
          <w:rFonts w:ascii="Arial" w:cs="Arial" w:eastAsia="Arial" w:hAnsi="Arial"/>
          <w:sz w:val="22"/>
          <w:szCs w:val="22"/>
          <w:color w:val="auto"/>
        </w:rPr>
        <w:t>, the amount of such Investment, together with the aggregate amount of all other Investments made pursuant to such clause (ii) and outstanding at the time of such Investment, shall not exceed the Designated Joint Venture Investments Basket;</w:t>
      </w:r>
    </w:p>
    <w:p>
      <w:pPr>
        <w:spacing w:after="0" w:line="229" w:lineRule="exact"/>
        <w:rPr>
          <w:sz w:val="20"/>
          <w:szCs w:val="20"/>
          <w:color w:val="auto"/>
        </w:rPr>
      </w:pPr>
    </w:p>
    <w:p>
      <w:pPr>
        <w:ind w:left="1800" w:hanging="495"/>
        <w:spacing w:after="0"/>
        <w:tabs>
          <w:tab w:leader="none" w:pos="18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subject to the limitations set forth in clauses (d), (e) and (f) of this Section, Guarantees permitted by </w:t>
      </w:r>
      <w:r>
        <w:rPr>
          <w:rFonts w:ascii="Arial" w:cs="Arial" w:eastAsia="Arial" w:hAnsi="Arial"/>
          <w:sz w:val="19"/>
          <w:szCs w:val="19"/>
          <w:u w:val="single" w:color="auto"/>
          <w:color w:val="auto"/>
        </w:rPr>
        <w:t>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8.01</w:t>
      </w:r>
      <w:r>
        <w:rPr>
          <w:rFonts w:ascii="Arial" w:cs="Arial" w:eastAsia="Arial" w:hAnsi="Arial"/>
          <w:sz w:val="22"/>
          <w:szCs w:val="22"/>
          <w:color w:val="auto"/>
        </w:rPr>
        <w:t>;</w:t>
      </w:r>
    </w:p>
    <w:p>
      <w:pPr>
        <w:spacing w:after="0" w:line="242" w:lineRule="exact"/>
        <w:rPr>
          <w:sz w:val="20"/>
          <w:szCs w:val="20"/>
          <w:color w:val="auto"/>
        </w:rPr>
      </w:pPr>
    </w:p>
    <w:p>
      <w:pPr>
        <w:ind w:left="1720" w:hanging="415"/>
        <w:spacing w:after="0"/>
        <w:tabs>
          <w:tab w:leader="none" w:pos="17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Investments received in consideration for a Disposition permitted by </w:t>
      </w:r>
      <w:r>
        <w:rPr>
          <w:rFonts w:ascii="Arial" w:cs="Arial" w:eastAsia="Arial" w:hAnsi="Arial"/>
          <w:sz w:val="22"/>
          <w:szCs w:val="22"/>
          <w:u w:val="single" w:color="auto"/>
          <w:color w:val="auto"/>
        </w:rPr>
        <w:t>Section 8.05</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887"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amount of such advances and loans shall not exceed $2,500,000 at any time outstanding;</w:t>
      </w:r>
    </w:p>
    <w:p>
      <w:pPr>
        <w:spacing w:after="0" w:line="226" w:lineRule="exact"/>
        <w:rPr>
          <w:rFonts w:ascii="Arial" w:cs="Arial" w:eastAsia="Arial" w:hAnsi="Arial"/>
          <w:sz w:val="22"/>
          <w:szCs w:val="22"/>
          <w:color w:val="auto"/>
        </w:rPr>
      </w:pPr>
    </w:p>
    <w:p>
      <w:pPr>
        <w:ind w:firstLine="1305"/>
        <w:spacing w:after="0" w:line="287" w:lineRule="auto"/>
        <w:tabs>
          <w:tab w:leader="none" w:pos="1739"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Investments evidencing the right to receive a deferred purchase price or other consideration for the Disposition of Receivables and Receivables Related Security in connection with any Permitted Factoring Transaction;</w:t>
      </w:r>
    </w:p>
    <w:p>
      <w:pPr>
        <w:spacing w:after="0" w:line="192" w:lineRule="exact"/>
        <w:rPr>
          <w:rFonts w:ascii="Arial" w:cs="Arial" w:eastAsia="Arial" w:hAnsi="Arial"/>
          <w:sz w:val="21"/>
          <w:szCs w:val="21"/>
          <w:color w:val="auto"/>
        </w:rPr>
      </w:pPr>
    </w:p>
    <w:p>
      <w:pPr>
        <w:ind w:left="1840" w:hanging="535"/>
        <w:spacing w:after="0"/>
        <w:tabs>
          <w:tab w:leader="none" w:pos="18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Investments consisting of Swap Agreements permitted under </w:t>
      </w:r>
      <w:r>
        <w:rPr>
          <w:rFonts w:ascii="Arial" w:cs="Arial" w:eastAsia="Arial" w:hAnsi="Arial"/>
          <w:sz w:val="22"/>
          <w:szCs w:val="22"/>
          <w:u w:val="single" w:color="auto"/>
          <w:color w:val="auto"/>
        </w:rPr>
        <w:t>Section 8.07</w:t>
      </w:r>
      <w:r>
        <w:rPr>
          <w:rFonts w:ascii="Arial" w:cs="Arial" w:eastAsia="Arial" w:hAnsi="Arial"/>
          <w:sz w:val="22"/>
          <w:szCs w:val="22"/>
          <w:color w:val="auto"/>
        </w:rPr>
        <w:t>; and</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other Investments in an aggregate amount not to exceed $125,000,000 at any one time outstanding.</w:t>
      </w:r>
    </w:p>
    <w:p>
      <w:pPr>
        <w:spacing w:after="0" w:line="27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Swap Agreements</w:t>
      </w:r>
      <w:r>
        <w:rPr>
          <w:rFonts w:ascii="Arial" w:cs="Arial" w:eastAsia="Arial" w:hAnsi="Arial"/>
          <w:sz w:val="21"/>
          <w:szCs w:val="21"/>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WIL-Ireland shall not, and shall not permit any Restricted Subsidiary to, declare or make, or agree to pay or make, directly or indirectly, any Restricted Payment, except:</w:t>
      </w:r>
    </w:p>
    <w:p>
      <w:pPr>
        <w:spacing w:after="0" w:line="215" w:lineRule="exact"/>
        <w:rPr>
          <w:sz w:val="20"/>
          <w:szCs w:val="20"/>
          <w:color w:val="auto"/>
        </w:rPr>
      </w:pPr>
    </w:p>
    <w:p>
      <w:pPr>
        <w:ind w:firstLine="1305"/>
        <w:spacing w:after="0" w:line="263" w:lineRule="auto"/>
        <w:tabs>
          <w:tab w:leader="none" w:pos="183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WIL-Ireland may declare and pay dividends on its Capital Stock payable solely in additional Capital Stock (other than Disqualified Capital Stock);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74" w:right="239" w:bottom="1440" w:gutter="0" w:footer="0" w:header="0"/>
        </w:sectPr>
      </w:pPr>
    </w:p>
    <w:bookmarkStart w:id="148" w:name="page149"/>
    <w:bookmarkEnd w:id="148"/>
    <w:p>
      <w:pPr>
        <w:jc w:val="both"/>
        <w:ind w:firstLine="1305"/>
        <w:spacing w:after="0" w:line="253" w:lineRule="auto"/>
        <w:tabs>
          <w:tab w:leader="none" w:pos="187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WIL-Ireland and its Restricted Subsidiaries may make Restricted Payments in exchange for, or out of the proceeds received from, any substantially concurrent issuance (other than to a Subsidiary) of additional Capital Stock of WIL-Ireland (other than Disqualified Capital Stock);</w:t>
      </w:r>
    </w:p>
    <w:p>
      <w:pPr>
        <w:spacing w:after="0" w:line="226" w:lineRule="exact"/>
        <w:rPr>
          <w:rFonts w:ascii="Arial" w:cs="Arial" w:eastAsia="Arial" w:hAnsi="Arial"/>
          <w:sz w:val="22"/>
          <w:szCs w:val="22"/>
          <w:color w:val="auto"/>
        </w:rPr>
      </w:pPr>
    </w:p>
    <w:p>
      <w:pPr>
        <w:jc w:val="both"/>
        <w:ind w:firstLine="1305"/>
        <w:spacing w:after="0" w:line="258" w:lineRule="auto"/>
        <w:tabs>
          <w:tab w:leader="none" w:pos="181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(i) Restricted Subsidiaries that are wholly-owned by one or more Obligors and/or Specified Group Members may declare and pay dividends or make other distributions on account of, and make payments on account of the purchase, redemption acquisition, cancellation or termination of, their Capital Stock and (ii) Restricted Subsidiaries that do not satisfy the requirements of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immediately above may pay dividends or make other distributions on account of, and make payments on account of the purchase, redemption, acquisition, cancellation or termination of, their Capital Stock ratably (or more favorably to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the case of clause (ii), if any non-Wholly Owned Subsidiary received cash proceeds from the issuance of any of its Capital Stock to one or more Persons that are not Affiliates of WIL-Ireland, such Subsidiary may declare and pay dividends non-ratably to holders of its Capital Stock that are not Affiliates of WIL-Ireland in an aggregate amount not to exceed the amount of such cash proceeds (to the extent such cash proceeds have not been used for any other transaction permitted hereunder);</w:t>
      </w:r>
    </w:p>
    <w:p>
      <w:pPr>
        <w:spacing w:after="0" w:line="226" w:lineRule="exact"/>
        <w:rPr>
          <w:rFonts w:ascii="Arial" w:cs="Arial" w:eastAsia="Arial" w:hAnsi="Arial"/>
          <w:sz w:val="21"/>
          <w:szCs w:val="21"/>
          <w:color w:val="auto"/>
        </w:rPr>
      </w:pPr>
    </w:p>
    <w:p>
      <w:pPr>
        <w:ind w:firstLine="1305"/>
        <w:spacing w:after="0" w:line="263" w:lineRule="auto"/>
        <w:tabs>
          <w:tab w:leader="none" w:pos="182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WIL-Ireland and its Restricted Subsidiaries may make any prepayments under this Agreement and the Term Loan Agreement in accordance with the terms thereof;</w:t>
      </w:r>
    </w:p>
    <w:p>
      <w:pPr>
        <w:spacing w:after="0" w:line="215" w:lineRule="exact"/>
        <w:rPr>
          <w:rFonts w:ascii="Arial" w:cs="Arial" w:eastAsia="Arial" w:hAnsi="Arial"/>
          <w:sz w:val="22"/>
          <w:szCs w:val="22"/>
          <w:color w:val="auto"/>
        </w:rPr>
      </w:pPr>
    </w:p>
    <w:p>
      <w:pPr>
        <w:jc w:val="both"/>
        <w:ind w:firstLine="1305"/>
        <w:spacing w:after="0" w:line="286" w:lineRule="auto"/>
        <w:tabs>
          <w:tab w:leader="none" w:pos="182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has occurred and is continuing at the time thereof or immediately after giving effect thereto, WIL-Ireland and its Restricted Subsidiaries may (i) Redeem any Existing Senior Notes or other senior notes that have a stated maturity date prior to the Extended Maturity Date and (ii) Redeem any Existing Senior Notes or other senior notes with the proceeds of (A) Permitted Refinancing Indebtedness or (B) Indebtedness incurred under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or</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(l)</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jc w:val="both"/>
        <w:ind w:firstLine="1305"/>
        <w:spacing w:after="0" w:line="260" w:lineRule="auto"/>
        <w:tabs>
          <w:tab w:leader="none" w:pos="180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WIL-Ireland and its Restricted Subsidiaries may redeem, repurchase or otherwise acquire or retire for value Capital Stock of WIL-Ireland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in any case, that the aggregate cash consideration paid for all such redemptions, repurchases or other acquisitions or retirements shall not exceed $10,000,000 during any calendar year;</w:t>
      </w:r>
    </w:p>
    <w:p>
      <w:pPr>
        <w:spacing w:after="0" w:line="221" w:lineRule="exact"/>
        <w:rPr>
          <w:rFonts w:ascii="Arial" w:cs="Arial" w:eastAsia="Arial" w:hAnsi="Arial"/>
          <w:sz w:val="21"/>
          <w:szCs w:val="21"/>
          <w:color w:val="auto"/>
        </w:rPr>
      </w:pPr>
    </w:p>
    <w:p>
      <w:pPr>
        <w:jc w:val="both"/>
        <w:ind w:firstLine="1305"/>
        <w:spacing w:after="0" w:line="261" w:lineRule="auto"/>
        <w:tabs>
          <w:tab w:leader="none" w:pos="2031" w:val="left"/>
        </w:tabs>
        <w:numPr>
          <w:ilvl w:val="0"/>
          <w:numId w:val="171"/>
        </w:numPr>
        <w:rPr>
          <w:rFonts w:ascii="Arial" w:cs="Arial" w:eastAsia="Arial" w:hAnsi="Arial"/>
          <w:sz w:val="21"/>
          <w:szCs w:val="21"/>
          <w:color w:val="auto"/>
        </w:rPr>
      </w:pPr>
      <w:r>
        <w:rPr>
          <w:rFonts w:ascii="Arial" w:cs="Arial" w:eastAsia="Arial" w:hAnsi="Arial"/>
          <w:sz w:val="21"/>
          <w:szCs w:val="21"/>
          <w:color w:val="auto"/>
        </w:rPr>
        <w:t>WIL-Ireland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75" w:right="239" w:bottom="1440" w:gutter="0" w:footer="0" w:header="0"/>
        </w:sectPr>
      </w:pPr>
    </w:p>
    <w:bookmarkStart w:id="149" w:name="page150"/>
    <w:bookmarkEnd w:id="149"/>
    <w:p>
      <w:pPr>
        <w:ind w:left="1820" w:hanging="515"/>
        <w:spacing w:after="0"/>
        <w:tabs>
          <w:tab w:leader="none" w:pos="18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WIL-Ireland and each Restricted Subsidiary may make payments of cash in lieu of issuing fractional Capital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Stock;</w:t>
      </w:r>
    </w:p>
    <w:p>
      <w:pPr>
        <w:spacing w:after="0" w:line="242" w:lineRule="exact"/>
        <w:rPr>
          <w:sz w:val="20"/>
          <w:szCs w:val="20"/>
          <w:color w:val="auto"/>
        </w:rPr>
      </w:pPr>
    </w:p>
    <w:p>
      <w:pPr>
        <w:jc w:val="both"/>
        <w:ind w:firstLine="1305"/>
        <w:spacing w:after="0" w:line="253" w:lineRule="auto"/>
        <w:tabs>
          <w:tab w:leader="none" w:pos="180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WIL-Ireland and each Restricted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22"/>
          <w:szCs w:val="22"/>
          <w:u w:val="single" w:color="auto"/>
          <w:color w:val="auto"/>
        </w:rPr>
        <w:t>Sections 8.02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8.05</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jc w:val="both"/>
        <w:ind w:firstLine="1305"/>
        <w:spacing w:after="0" w:line="292" w:lineRule="auto"/>
        <w:tabs>
          <w:tab w:leader="none" w:pos="175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WIL-Ireland and its Restricted Subsidiaries may make other Restricted Payments, provided that (i) no Default or Event of Default shall have occurred and be continuing at the time of such Restricted Payment or immediately after giving effect thereto, (ii) the amount of such Restricted Payment, together with the aggregate amount of all other Restricted Payments made by WIL-Ireland and its Restricted Subsidiaries pursuant to this </w:t>
      </w:r>
      <w:r>
        <w:rPr>
          <w:rFonts w:ascii="Arial" w:cs="Arial" w:eastAsia="Arial" w:hAnsi="Arial"/>
          <w:sz w:val="19"/>
          <w:szCs w:val="19"/>
          <w:u w:val="single" w:color="auto"/>
          <w:color w:val="auto"/>
        </w:rPr>
        <w:t>Section 8.08(j)</w:t>
      </w:r>
      <w:r>
        <w:rPr>
          <w:rFonts w:ascii="Arial" w:cs="Arial" w:eastAsia="Arial" w:hAnsi="Arial"/>
          <w:sz w:val="19"/>
          <w:szCs w:val="19"/>
          <w:color w:val="auto"/>
        </w:rPr>
        <w:t xml:space="preserve"> since the Effective Date, is less than the amount of the Restricted Payment Basket at such time, and (iii) after giving pro forma effect to the making of such Restricted Payment, the Total Leverage Ratio would be less than 4.00 to 1.00 (calculated as of the last day of the most recently ended Testing Period for which financial statements are available as if such Restricted Payment had been made on the first day of such Testing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Financial Covenants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0" w:lineRule="auto"/>
        <w:tabs>
          <w:tab w:leader="none" w:pos="1779"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Specified Senior Leverage Ratio</w:t>
      </w:r>
      <w:r>
        <w:rPr>
          <w:rFonts w:ascii="Arial" w:cs="Arial" w:eastAsia="Arial" w:hAnsi="Arial"/>
          <w:sz w:val="22"/>
          <w:szCs w:val="22"/>
          <w:color w:val="auto"/>
        </w:rPr>
        <w:t>. WIL-Ireland shall not, as of the last day of any Fiscal Quarter (commencing with the Fiscal Quarter ending June 30, 2016), permit the Specified Senior Leverage Ratio to be greater than (i) with respect to any Fiscal Quarter ending on or before December 31, 2016, 3.00 to 1.00 and (ii) with respect to any Fiscal Quarter ending on or after March 31, 2017, 2.50 to 1.00.</w:t>
      </w:r>
    </w:p>
    <w:p>
      <w:pPr>
        <w:spacing w:after="0" w:line="228" w:lineRule="exact"/>
        <w:rPr>
          <w:rFonts w:ascii="Arial" w:cs="Arial" w:eastAsia="Arial" w:hAnsi="Arial"/>
          <w:sz w:val="22"/>
          <w:szCs w:val="22"/>
          <w:color w:val="auto"/>
        </w:rPr>
      </w:pPr>
    </w:p>
    <w:p>
      <w:pPr>
        <w:ind w:right="20" w:firstLine="1305"/>
        <w:spacing w:after="0" w:line="343" w:lineRule="auto"/>
        <w:tabs>
          <w:tab w:leader="none" w:pos="1805"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Specified Asset Coverage Ratio</w:t>
      </w:r>
      <w:r>
        <w:rPr>
          <w:rFonts w:ascii="Arial" w:cs="Arial" w:eastAsia="Arial" w:hAnsi="Arial"/>
          <w:sz w:val="19"/>
          <w:szCs w:val="19"/>
          <w:color w:val="auto"/>
        </w:rPr>
        <w:t>. WIL-Ireland shall not, as of the last day of any Fiscal Quarter (commencing with the Fiscal Quarter ending June 30, 2016), permit the Specified Asset Coverage Ratio to be less than 4.00 to 1.00.</w:t>
      </w:r>
    </w:p>
    <w:p>
      <w:pPr>
        <w:spacing w:after="0" w:line="145" w:lineRule="exact"/>
        <w:rPr>
          <w:rFonts w:ascii="Arial" w:cs="Arial" w:eastAsia="Arial" w:hAnsi="Arial"/>
          <w:sz w:val="19"/>
          <w:szCs w:val="19"/>
          <w:color w:val="auto"/>
        </w:rPr>
      </w:pPr>
    </w:p>
    <w:p>
      <w:pPr>
        <w:jc w:val="both"/>
        <w:ind w:firstLine="1305"/>
        <w:spacing w:after="0" w:line="250" w:lineRule="auto"/>
        <w:tabs>
          <w:tab w:leader="none" w:pos="1766"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Specified Leverage and LC Ratio</w:t>
      </w:r>
      <w:r>
        <w:rPr>
          <w:rFonts w:ascii="Arial" w:cs="Arial" w:eastAsia="Arial" w:hAnsi="Arial"/>
          <w:sz w:val="22"/>
          <w:szCs w:val="22"/>
          <w:color w:val="auto"/>
        </w:rPr>
        <w:t>. WIL-Ireland shall not, as of the last day of any Fiscal Quarter (commencing with the Fiscal Quarter ending June 30, 2016), permit the Specified Leverage LC Ratio to be greater than (i) with respect to any Fiscal Quarter ending on or before December 31, 2016, 4.00 to 1.00 and (ii) with respect to any Fiscal Quarter ending on or after March 31, 2017, 3.50 to 1.00.</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 WIL-Ireland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WIL-Ireland or one of WIL-Ireland’s Restricted Subsidiaries or a Person that becomes, pursuant to a Redomestication, a part of the consolidated group that includes WIL-Ireland, or (b) Weatherford\Al-Rushaid Limited or Weatherford Saudi Arabia Limited, other than on fair and reasonable terms (taking all related transactions into account and considering the terms of such related transactions in their entirety) substantially as favorable to WIL-Ireland or such Restricted Subsidiary, as the case may be, as would be available in a comparable arm’s length transaction with a Person that is not an Affiliate. Notwithstanding the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75" w:right="239" w:bottom="1440" w:gutter="0" w:footer="0" w:header="0"/>
        </w:sectPr>
      </w:pPr>
    </w:p>
    <w:bookmarkStart w:id="150" w:name="page151"/>
    <w:bookmarkEnd w:id="150"/>
    <w:p>
      <w:pPr>
        <w:jc w:val="both"/>
        <w:spacing w:after="0" w:line="289" w:lineRule="auto"/>
        <w:rPr>
          <w:sz w:val="20"/>
          <w:szCs w:val="20"/>
          <w:color w:val="auto"/>
        </w:rPr>
      </w:pPr>
      <w:r>
        <w:rPr>
          <w:rFonts w:ascii="Arial" w:cs="Arial" w:eastAsia="Arial" w:hAnsi="Arial"/>
          <w:sz w:val="19"/>
          <w:szCs w:val="19"/>
          <w:color w:val="auto"/>
        </w:rPr>
        <w:t xml:space="preserve">foregoing, the restrictions set forth in this covenant shall not apply to (i) Investments in Unrestricted Subsidiaries permitted by </w:t>
      </w:r>
      <w:r>
        <w:rPr>
          <w:rFonts w:ascii="Arial" w:cs="Arial" w:eastAsia="Arial" w:hAnsi="Arial"/>
          <w:sz w:val="19"/>
          <w:szCs w:val="19"/>
          <w:u w:val="single" w:color="auto"/>
          <w:color w:val="auto"/>
        </w:rPr>
        <w:t>Section 8.06</w:t>
      </w:r>
      <w:r>
        <w:rPr>
          <w:rFonts w:ascii="Arial" w:cs="Arial" w:eastAsia="Arial" w:hAnsi="Arial"/>
          <w:sz w:val="19"/>
          <w:szCs w:val="19"/>
          <w:color w:val="auto"/>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patents, copyrights, trademarks, trade secrets and other intellectual property.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Restrictive Agreements</w:t>
      </w:r>
      <w:r>
        <w:rPr>
          <w:rFonts w:ascii="Arial" w:cs="Arial" w:eastAsia="Arial" w:hAnsi="Arial"/>
          <w:sz w:val="22"/>
          <w:szCs w:val="22"/>
          <w:color w:val="auto"/>
        </w:rPr>
        <w:t>. WIL-Ireland shall not, and shall not permit any Restricted Subsidiary to, directly or indirectly, enter into, incur, create or permit to exist any Restrictive Agreement, except for:</w:t>
      </w:r>
    </w:p>
    <w:p>
      <w:pPr>
        <w:spacing w:after="0" w:line="215" w:lineRule="exact"/>
        <w:rPr>
          <w:sz w:val="20"/>
          <w:szCs w:val="20"/>
          <w:color w:val="auto"/>
        </w:rPr>
      </w:pPr>
    </w:p>
    <w:p>
      <w:pPr>
        <w:ind w:left="1760" w:hanging="455"/>
        <w:spacing w:after="0"/>
        <w:tabs>
          <w:tab w:leader="none" w:pos="176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limitations or restrictions contained in any Loan Document or any of the Term Loan Documents;</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limitations or restrictions existing under or by reason of any Requirement of Law;</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176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restrictions apply only to the Restricted Subsidiary that is, or assets that are, the subject of such Disposition and such Disposition is permitted hereunder;</w:t>
      </w:r>
    </w:p>
    <w:p>
      <w:pPr>
        <w:spacing w:after="0" w:line="228" w:lineRule="exact"/>
        <w:rPr>
          <w:rFonts w:ascii="Arial" w:cs="Arial" w:eastAsia="Arial" w:hAnsi="Arial"/>
          <w:sz w:val="22"/>
          <w:szCs w:val="22"/>
          <w:color w:val="auto"/>
        </w:rPr>
      </w:pPr>
    </w:p>
    <w:p>
      <w:pPr>
        <w:jc w:val="both"/>
        <w:ind w:firstLine="1305"/>
        <w:spacing w:after="0" w:line="302" w:lineRule="auto"/>
        <w:tabs>
          <w:tab w:leader="none" w:pos="19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9"/>
          <w:szCs w:val="19"/>
          <w:u w:val="single" w:color="auto"/>
          <w:color w:val="auto"/>
        </w:rPr>
        <w:t>Schedule 8.11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restrictions set forth in this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3" w:lineRule="exact"/>
        <w:rPr>
          <w:rFonts w:ascii="Arial" w:cs="Arial" w:eastAsia="Arial" w:hAnsi="Arial"/>
          <w:sz w:val="19"/>
          <w:szCs w:val="19"/>
          <w:color w:val="auto"/>
        </w:rPr>
      </w:pPr>
    </w:p>
    <w:p>
      <w:pPr>
        <w:jc w:val="both"/>
        <w:ind w:firstLine="1305"/>
        <w:spacing w:after="0" w:line="263" w:lineRule="auto"/>
        <w:tabs>
          <w:tab w:leader="none" w:pos="1789"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limitations or restrictions contained in any agreement or instrument to which any Person is a party at the time such Person is merged or consolidated with or into, or the Capital Stock of such Person is otherwise acquired by, WIL-Ireland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216" w:lineRule="exact"/>
        <w:rPr>
          <w:rFonts w:ascii="Arial" w:cs="Arial" w:eastAsia="Arial" w:hAnsi="Arial"/>
          <w:sz w:val="21"/>
          <w:szCs w:val="21"/>
          <w:color w:val="auto"/>
        </w:rPr>
      </w:pPr>
    </w:p>
    <w:p>
      <w:pPr>
        <w:ind w:firstLine="1305"/>
        <w:spacing w:after="0" w:line="263" w:lineRule="auto"/>
        <w:tabs>
          <w:tab w:leader="none" w:pos="173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 clause (a) of the definition of Restrictive Agreements shall not apply to restrictions or conditions imposed by any agreement relating to secured Indebtedness permitted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75" w:right="239" w:bottom="1440" w:gutter="0" w:footer="0" w:header="0"/>
        </w:sectPr>
      </w:pPr>
    </w:p>
    <w:bookmarkStart w:id="151" w:name="page152"/>
    <w:bookmarkEnd w:id="151"/>
    <w:p>
      <w:pPr>
        <w:jc w:val="both"/>
        <w:spacing w:after="0" w:line="253" w:lineRule="auto"/>
        <w:rPr>
          <w:sz w:val="20"/>
          <w:szCs w:val="20"/>
          <w:color w:val="auto"/>
        </w:rPr>
      </w:pPr>
      <w:r>
        <w:rPr>
          <w:rFonts w:ascii="Arial" w:cs="Arial" w:eastAsia="Arial" w:hAnsi="Arial"/>
          <w:sz w:val="22"/>
          <w:szCs w:val="22"/>
          <w:color w:val="auto"/>
        </w:rPr>
        <w:t xml:space="preserve">by this Agreement or Liens permitted under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226" w:lineRule="exact"/>
        <w:rPr>
          <w:sz w:val="20"/>
          <w:szCs w:val="20"/>
          <w:color w:val="auto"/>
        </w:rPr>
      </w:pPr>
    </w:p>
    <w:p>
      <w:pPr>
        <w:jc w:val="both"/>
        <w:ind w:firstLine="1305"/>
        <w:spacing w:after="0" w:line="250" w:lineRule="auto"/>
        <w:tabs>
          <w:tab w:leader="none" w:pos="189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 and</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customary restrictions and conditions contained in Permitted Factoring Transaction Documents.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Use of Proceeds</w:t>
      </w:r>
      <w:r>
        <w:rPr>
          <w:rFonts w:ascii="Arial" w:cs="Arial" w:eastAsia="Arial" w:hAnsi="Arial"/>
          <w:sz w:val="22"/>
          <w:szCs w:val="22"/>
          <w:color w:val="auto"/>
        </w:rPr>
        <w:t>.</w:t>
      </w:r>
    </w:p>
    <w:p>
      <w:pPr>
        <w:spacing w:after="0" w:line="260" w:lineRule="exact"/>
        <w:rPr>
          <w:sz w:val="20"/>
          <w:szCs w:val="20"/>
          <w:color w:val="auto"/>
        </w:rPr>
      </w:pPr>
    </w:p>
    <w:p>
      <w:pPr>
        <w:ind w:left="1840" w:hanging="535"/>
        <w:spacing w:after="0"/>
        <w:tabs>
          <w:tab w:leader="none" w:pos="184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WIL-Ireland and the Borrowers shall not, and WIL-Ireland shall not permit any of its other Subsidiaries to,</w:t>
      </w:r>
    </w:p>
    <w:p>
      <w:pPr>
        <w:spacing w:after="0" w:line="56" w:lineRule="exact"/>
        <w:rPr>
          <w:rFonts w:ascii="Arial" w:cs="Arial" w:eastAsia="Arial" w:hAnsi="Arial"/>
          <w:sz w:val="19"/>
          <w:szCs w:val="19"/>
          <w:color w:val="auto"/>
        </w:rPr>
      </w:pPr>
    </w:p>
    <w:p>
      <w:pPr>
        <w:jc w:val="both"/>
        <w:ind w:firstLine="8"/>
        <w:spacing w:after="0" w:line="260" w:lineRule="auto"/>
        <w:tabs>
          <w:tab w:leader="none" w:pos="30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use the proceeds of any Loans for any purpose other than for working capital and general corporate purposes, including providing financial accommodations to the Borrowers and their respective Subsidiaries (to the extent otherwise permitted hereunder), or (ii) arrange for the issuance of any Letters of Credit for any purpose other than general corporate purposes of WIL-Ireland and its Restricted Subsidiaries (to the extent otherwise permitted hereunder).</w:t>
      </w:r>
    </w:p>
    <w:p>
      <w:pPr>
        <w:spacing w:after="0" w:line="218" w:lineRule="exact"/>
        <w:rPr>
          <w:rFonts w:ascii="Arial" w:cs="Arial" w:eastAsia="Arial" w:hAnsi="Arial"/>
          <w:sz w:val="21"/>
          <w:szCs w:val="21"/>
          <w:color w:val="auto"/>
        </w:rPr>
      </w:pPr>
    </w:p>
    <w:p>
      <w:pPr>
        <w:jc w:val="both"/>
        <w:ind w:firstLine="1305"/>
        <w:spacing w:after="0" w:line="258" w:lineRule="exact"/>
        <w:tabs>
          <w:tab w:leader="none" w:pos="1785" w:val="left"/>
        </w:tabs>
        <w:numPr>
          <w:ilvl w:val="1"/>
          <w:numId w:val="178"/>
        </w:numPr>
        <w:rPr>
          <w:rFonts w:ascii="Arial" w:cs="Arial" w:eastAsia="Arial" w:hAnsi="Arial"/>
          <w:sz w:val="21"/>
          <w:szCs w:val="21"/>
          <w:color w:val="auto"/>
        </w:rPr>
      </w:pPr>
      <w:r>
        <w:rPr>
          <w:rFonts w:ascii="Arial" w:cs="Arial" w:eastAsia="Arial" w:hAnsi="Arial"/>
          <w:sz w:val="21"/>
          <w:szCs w:val="21"/>
          <w:color w:val="auto"/>
        </w:rPr>
        <w:t>WIL-Ireland shall not, nor shall it permit any of its Subsidiaries to, use any Letter of Credit or the proceeds of any Loan under this Agreement directly or indirectly for the purpose of buying or carrying any “margin stock” within the meaning of Regulation U (herein called “margin stock”) or for the purpose of reducing or retiring any indebtedness which was originally incurred to buy or carry a margin stock (except that WIL-Ireland and any of its Restricted Subsidiaries may purchase the common stock of WIL</w:t>
      </w:r>
      <w:r>
        <w:rPr>
          <w:rFonts w:ascii="MS PGothic" w:cs="MS PGothic" w:eastAsia="MS PGothic" w:hAnsi="MS PGothic"/>
          <w:sz w:val="21"/>
          <w:szCs w:val="21"/>
          <w:color w:val="auto"/>
        </w:rPr>
        <w:t>‑</w:t>
      </w:r>
      <w:r>
        <w:rPr>
          <w:rFonts w:ascii="Arial" w:cs="Arial" w:eastAsia="Arial" w:hAnsi="Arial"/>
          <w:sz w:val="21"/>
          <w:szCs w:val="21"/>
          <w:color w:val="auto"/>
        </w:rPr>
        <w:t>Ireland, subject to compliance with applicable law and provided that WIL-Ireland will not at any time permit the value of the assets of the WIL-Ireland and its Subsidiaries on a consolidated basis that comprise “margin stock” as defined in Regulation U to exceed an amount equal to 25% of all of the assets of WIL-Ireland and its Subsidiaries on a consolidated basis), or for any other purpose which would constitute this transaction a “purpose” credit within the meaning of Regulation U. WIL-Ireland shall not, nor shall it permit any of its Subsidiaries to, take any action which would cause this Agreement or any other Loan Document to violate Regulation T, U or X.</w:t>
      </w:r>
    </w:p>
    <w:p>
      <w:pPr>
        <w:spacing w:after="0" w:line="246" w:lineRule="exact"/>
        <w:rPr>
          <w:rFonts w:ascii="Arial" w:cs="Arial" w:eastAsia="Arial" w:hAnsi="Arial"/>
          <w:sz w:val="21"/>
          <w:szCs w:val="21"/>
          <w:color w:val="auto"/>
        </w:rPr>
      </w:pPr>
    </w:p>
    <w:p>
      <w:pPr>
        <w:jc w:val="both"/>
        <w:ind w:firstLine="1305"/>
        <w:spacing w:after="0" w:line="260" w:lineRule="exact"/>
        <w:tabs>
          <w:tab w:leader="none" w:pos="183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No Borrower will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w:t>
      </w:r>
      <w:r>
        <w:rPr>
          <w:rFonts w:ascii="MS PGothic" w:cs="MS PGothic" w:eastAsia="MS PGothic" w:hAnsi="MS PGothic"/>
          <w:sz w:val="19"/>
          <w:szCs w:val="19"/>
          <w:color w:val="auto"/>
        </w:rPr>
        <w:t>‑</w:t>
      </w:r>
      <w:r>
        <w:rPr>
          <w:rFonts w:ascii="Arial" w:cs="Arial" w:eastAsia="Arial" w:hAnsi="Arial"/>
          <w:sz w:val="19"/>
          <w:szCs w:val="19"/>
          <w:color w:val="auto"/>
        </w:rPr>
        <w:t>Corruption Laws, (B) for the purpose of funding, financing or facilitating any activities, business or transaction of or with any Sanctioned Person, or in any Sanctioned Country, or</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 in any manner that would result in the violation of any Sanctions applicable to any party hereto.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74" w:right="239" w:bottom="1440" w:gutter="0" w:footer="0" w:header="0"/>
        </w:sectPr>
      </w:pPr>
    </w:p>
    <w:bookmarkStart w:id="152" w:name="page153"/>
    <w:bookmarkEnd w:id="152"/>
    <w:p>
      <w:pPr>
        <w:ind w:left="660"/>
        <w:spacing w:after="0"/>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Changes to Fiscal Year</w:t>
      </w:r>
      <w:r>
        <w:rPr>
          <w:rFonts w:ascii="Arial" w:cs="Arial" w:eastAsia="Arial" w:hAnsi="Arial"/>
          <w:sz w:val="19"/>
          <w:szCs w:val="19"/>
          <w:color w:val="auto"/>
        </w:rPr>
        <w:t>. WIL-Ireland will not change its Fiscal Year from the basis in effect on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Amendments to Documents Governing Certain Indebtedness</w:t>
      </w:r>
      <w:r>
        <w:rPr>
          <w:rFonts w:ascii="Arial" w:cs="Arial" w:eastAsia="Arial" w:hAnsi="Arial"/>
          <w:sz w:val="21"/>
          <w:szCs w:val="21"/>
          <w:color w:val="auto"/>
        </w:rPr>
        <w:t xml:space="preserve">. WIL-Ireland shall not, and shall not permit any Restricted Subsidiary to, amend or otherwise modify any of the documentation governing (i) (a) the Term Loan Facility or Permitted Refinancing Indebtedness in respect thereof or (b) any Existing Senior Notes or Permitted Refinancing Indebtedness in respect thereof, in each case to the extent that any such amendment or other modification, taken as a whole, would be materially adverse to the Lenders, (ii) any unsecured Indebtedness incurred pursuant to </w:t>
      </w:r>
      <w:r>
        <w:rPr>
          <w:rFonts w:ascii="Arial" w:cs="Arial" w:eastAsia="Arial" w:hAnsi="Arial"/>
          <w:sz w:val="21"/>
          <w:szCs w:val="21"/>
          <w:u w:val="single" w:color="auto"/>
          <w:color w:val="auto"/>
        </w:rPr>
        <w:t>Section 8.01(k)</w:t>
      </w:r>
      <w:r>
        <w:rPr>
          <w:rFonts w:ascii="Arial" w:cs="Arial" w:eastAsia="Arial" w:hAnsi="Arial"/>
          <w:sz w:val="21"/>
          <w:szCs w:val="21"/>
          <w:color w:val="auto"/>
        </w:rPr>
        <w:t xml:space="preserve"> to reduce the stated maturity of any such Indebtedness to be sooner than 91 days after the later of the Extended Maturity Date and the Term Loan Maturity Date or (iii) any Subordinated Indebtedness incurred pursuant to </w:t>
      </w:r>
      <w:r>
        <w:rPr>
          <w:rFonts w:ascii="Arial" w:cs="Arial" w:eastAsia="Arial" w:hAnsi="Arial"/>
          <w:sz w:val="21"/>
          <w:szCs w:val="21"/>
          <w:u w:val="single" w:color="auto"/>
          <w:color w:val="auto"/>
        </w:rPr>
        <w:t>Section 8.01(l)</w:t>
      </w:r>
      <w:r>
        <w:rPr>
          <w:rFonts w:ascii="Arial" w:cs="Arial" w:eastAsia="Arial" w:hAnsi="Arial"/>
          <w:sz w:val="21"/>
          <w:szCs w:val="21"/>
          <w:color w:val="auto"/>
        </w:rPr>
        <w:t xml:space="preserve"> to amend or otherwise modify the subordination terms of such Indebtedness in a manner adverse to the Lenders.</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Limit on Credit Support Instruments</w:t>
      </w:r>
      <w:r>
        <w:rPr>
          <w:rFonts w:ascii="Arial" w:cs="Arial" w:eastAsia="Arial" w:hAnsi="Arial"/>
          <w:sz w:val="22"/>
          <w:szCs w:val="22"/>
          <w:color w:val="auto"/>
        </w:rPr>
        <w:t>. WIL-Ireland shall not permit the aggregate amount of all obligations (contingent or otherwise) of WIL-Ireland and its Restricted Subsidiaries with respect to letters of credit, bank guarantees, bid bonds, surety bonds, performance bonds, customs bonds, advance payment bonds and similar instruments (including Letters of Credit issued pursuant to this Agreement) to exceed $1,000,000,000.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 AND REMEDIES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Events of Default and Remedies</w:t>
      </w:r>
      <w:r>
        <w:rPr>
          <w:rFonts w:ascii="Arial" w:cs="Arial" w:eastAsia="Arial" w:hAnsi="Arial"/>
          <w:sz w:val="22"/>
          <w:szCs w:val="22"/>
          <w:color w:val="auto"/>
        </w:rPr>
        <w:t>.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15" w:lineRule="exact"/>
        <w:rPr>
          <w:sz w:val="20"/>
          <w:szCs w:val="20"/>
          <w:color w:val="auto"/>
        </w:rPr>
      </w:pPr>
    </w:p>
    <w:p>
      <w:pPr>
        <w:jc w:val="both"/>
        <w:ind w:firstLine="1305"/>
        <w:spacing w:after="0" w:line="248" w:lineRule="auto"/>
        <w:tabs>
          <w:tab w:leader="none" w:pos="178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(i) the principal of any Loan or any reimbursement obligation in respect of any LC Disbursement shall not be paid when such payment is due (whether at the due date thereof or at a date fixed for prepayment thereof or otherwise), or (ii) any interest on any Loan, any fee or any other amount (other than an amount referred to in clause (i) of this </w:t>
      </w:r>
      <w:r>
        <w:rPr>
          <w:rFonts w:ascii="Arial" w:cs="Arial" w:eastAsia="Arial" w:hAnsi="Arial"/>
          <w:sz w:val="22"/>
          <w:szCs w:val="22"/>
          <w:u w:val="single" w:color="auto"/>
          <w:color w:val="auto"/>
        </w:rPr>
        <w:t>Section 9.01(a)</w:t>
      </w:r>
      <w:r>
        <w:rPr>
          <w:rFonts w:ascii="Arial" w:cs="Arial" w:eastAsia="Arial" w:hAnsi="Arial"/>
          <w:sz w:val="22"/>
          <w:szCs w:val="22"/>
          <w:color w:val="auto"/>
        </w:rPr>
        <w:t>) payable hereunder or any other Loan Document shall not be paid within five calendar days following the date on which the payment of interest, fee or such other amount is due; or</w:t>
      </w:r>
    </w:p>
    <w:p>
      <w:pPr>
        <w:spacing w:after="0" w:line="232" w:lineRule="exact"/>
        <w:rPr>
          <w:rFonts w:ascii="Arial" w:cs="Arial" w:eastAsia="Arial" w:hAnsi="Arial"/>
          <w:sz w:val="22"/>
          <w:szCs w:val="22"/>
          <w:color w:val="auto"/>
        </w:rPr>
      </w:pPr>
    </w:p>
    <w:p>
      <w:pPr>
        <w:jc w:val="both"/>
        <w:ind w:firstLine="1305"/>
        <w:spacing w:after="0" w:line="248" w:lineRule="auto"/>
        <w:tabs>
          <w:tab w:leader="none" w:pos="18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any representation or warranty made or, for purposes of </w:t>
      </w:r>
      <w:r>
        <w:rPr>
          <w:rFonts w:ascii="Arial" w:cs="Arial" w:eastAsia="Arial" w:hAnsi="Arial"/>
          <w:sz w:val="22"/>
          <w:szCs w:val="22"/>
          <w:u w:val="single" w:color="auto"/>
          <w:color w:val="auto"/>
        </w:rPr>
        <w:t>Article V</w:t>
      </w:r>
      <w:r>
        <w:rPr>
          <w:rFonts w:ascii="Arial" w:cs="Arial" w:eastAsia="Arial" w:hAnsi="Arial"/>
          <w:sz w:val="22"/>
          <w:szCs w:val="22"/>
          <w:color w:val="auto"/>
        </w:rPr>
        <w:t>, deemed made by or on behalf of WIL-Ireland or any Subsidiary herein or in any other Loan Document or in any document, certificate or financial statement delivered in connection with this Agreement or any other Loan Document shall prove to have been incorrect in any material respect (or, to the extent qualified by materiality or reference to Material Adverse Effect, in all respects) when made or deemed made or reaffirmed, as the case may be; or</w:t>
      </w:r>
    </w:p>
    <w:p>
      <w:pPr>
        <w:spacing w:after="0" w:line="232" w:lineRule="exact"/>
        <w:rPr>
          <w:rFonts w:ascii="Arial" w:cs="Arial" w:eastAsia="Arial" w:hAnsi="Arial"/>
          <w:sz w:val="22"/>
          <w:szCs w:val="22"/>
          <w:color w:val="auto"/>
        </w:rPr>
      </w:pPr>
    </w:p>
    <w:p>
      <w:pPr>
        <w:jc w:val="both"/>
        <w:ind w:firstLine="1305"/>
        <w:spacing w:after="0" w:line="265" w:lineRule="auto"/>
        <w:tabs>
          <w:tab w:leader="none" w:pos="189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any Obligor Party shall (i) fail to perform or observe any covenant, condition or agreement contained in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(with respect to the existence of any Obligor) or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(ii) fail to give any notice required by </w:t>
      </w:r>
      <w:r>
        <w:rPr>
          <w:rFonts w:ascii="Arial" w:cs="Arial" w:eastAsia="Arial" w:hAnsi="Arial"/>
          <w:sz w:val="21"/>
          <w:szCs w:val="21"/>
          <w:u w:val="single" w:color="auto"/>
          <w:color w:val="auto"/>
        </w:rPr>
        <w:t>Section 7.01(d)(ii)</w:t>
      </w:r>
      <w:r>
        <w:rPr>
          <w:rFonts w:ascii="Arial" w:cs="Arial" w:eastAsia="Arial" w:hAnsi="Arial"/>
          <w:sz w:val="21"/>
          <w:szCs w:val="21"/>
          <w:color w:val="auto"/>
        </w:rPr>
        <w:t xml:space="preserve"> or (iii) fail to perform or observe any Additional Financial Covenant (subject to any grace period applicable to such Additional Financial Covenant in the Other Debt Document that contains such Additional Financial Covenant);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75" w:right="239" w:bottom="1440" w:gutter="0" w:footer="0" w:header="0"/>
        </w:sectPr>
      </w:pPr>
    </w:p>
    <w:bookmarkStart w:id="153" w:name="page154"/>
    <w:bookmarkEnd w:id="153"/>
    <w:p>
      <w:pPr>
        <w:jc w:val="both"/>
        <w:ind w:firstLine="1305"/>
        <w:spacing w:after="0" w:line="265" w:lineRule="auto"/>
        <w:tabs>
          <w:tab w:leader="none" w:pos="184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any Obligor Party shall fail to give any notice required by </w:t>
      </w:r>
      <w:r>
        <w:rPr>
          <w:rFonts w:ascii="Arial" w:cs="Arial" w:eastAsia="Arial" w:hAnsi="Arial"/>
          <w:sz w:val="21"/>
          <w:szCs w:val="21"/>
          <w:u w:val="single" w:color="auto"/>
          <w:color w:val="auto"/>
        </w:rPr>
        <w:t>Section 7.01(c)</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7.01(d)(i)</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7.01(d)(iii)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7.01(f)</w:t>
      </w:r>
      <w:r>
        <w:rPr>
          <w:rFonts w:ascii="Arial" w:cs="Arial" w:eastAsia="Arial" w:hAnsi="Arial"/>
          <w:sz w:val="21"/>
          <w:szCs w:val="21"/>
          <w:color w:val="auto"/>
        </w:rPr>
        <w:t xml:space="preserve"> and, in any event, such failure shall remain unremedied for five Business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216" w:lineRule="exact"/>
        <w:rPr>
          <w:rFonts w:ascii="Arial" w:cs="Arial" w:eastAsia="Arial" w:hAnsi="Arial"/>
          <w:sz w:val="21"/>
          <w:szCs w:val="21"/>
          <w:color w:val="auto"/>
        </w:rPr>
      </w:pPr>
    </w:p>
    <w:p>
      <w:pPr>
        <w:jc w:val="both"/>
        <w:ind w:firstLine="1305"/>
        <w:spacing w:after="0" w:line="248" w:lineRule="auto"/>
        <w:tabs>
          <w:tab w:leader="none" w:pos="195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any Obligor shall fail to perform or observe any other term, covenant or agreement contained in this Agreement (other than those specified in </w:t>
      </w:r>
      <w:r>
        <w:rPr>
          <w:rFonts w:ascii="Arial" w:cs="Arial" w:eastAsia="Arial" w:hAnsi="Arial"/>
          <w:sz w:val="22"/>
          <w:szCs w:val="22"/>
          <w:u w:val="single" w:color="auto"/>
          <w:color w:val="auto"/>
        </w:rPr>
        <w:t>Section 9.01(a)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9.01(d)</w:t>
      </w:r>
      <w:r>
        <w:rPr>
          <w:rFonts w:ascii="Arial" w:cs="Arial" w:eastAsia="Arial" w:hAnsi="Arial"/>
          <w:sz w:val="22"/>
          <w:szCs w:val="22"/>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232" w:lineRule="exact"/>
        <w:rPr>
          <w:rFonts w:ascii="Arial" w:cs="Arial" w:eastAsia="Arial" w:hAnsi="Arial"/>
          <w:sz w:val="22"/>
          <w:szCs w:val="22"/>
          <w:color w:val="auto"/>
        </w:rPr>
      </w:pPr>
    </w:p>
    <w:p>
      <w:pPr>
        <w:jc w:val="both"/>
        <w:ind w:firstLine="1305"/>
        <w:spacing w:after="0" w:line="312" w:lineRule="auto"/>
        <w:tabs>
          <w:tab w:leader="none" w:pos="1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WIL-Ireland or any of its Restricted Subsidiaries shall fail to make (whether as primary obligor or as guarantor or other surety) any payment (regardless of amount) of principal or interest or premium, if any, in respect of any Material Indebtedness, when and as the same shall become due and payable (after giving effect to any grace period thereto); or</w:t>
      </w:r>
    </w:p>
    <w:p>
      <w:pPr>
        <w:spacing w:after="0" w:line="174" w:lineRule="exact"/>
        <w:rPr>
          <w:rFonts w:ascii="Arial" w:cs="Arial" w:eastAsia="Arial" w:hAnsi="Arial"/>
          <w:sz w:val="19"/>
          <w:szCs w:val="19"/>
          <w:color w:val="auto"/>
        </w:rPr>
      </w:pPr>
    </w:p>
    <w:p>
      <w:pPr>
        <w:jc w:val="both"/>
        <w:ind w:firstLine="1305"/>
        <w:spacing w:after="0" w:line="260" w:lineRule="auto"/>
        <w:tabs>
          <w:tab w:leader="none" w:pos="177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(i) any event or condition occurs that results in any Material Indebtedness (other than under Swap Agreements)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or (ii) any event, condition or default occurs under any Swap Agreement that constitutes Material Indebtedness which default could enable the other counterparty to terminate such Swap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clause (g)(i) shall not apply to secured Indebtedness that becomes due as a result of the voluntary sale or transfer of the property or assets securing such Indebtedness; or</w:t>
      </w:r>
    </w:p>
    <w:p>
      <w:pPr>
        <w:spacing w:after="0" w:line="221" w:lineRule="exact"/>
        <w:rPr>
          <w:rFonts w:ascii="Arial" w:cs="Arial" w:eastAsia="Arial" w:hAnsi="Arial"/>
          <w:sz w:val="21"/>
          <w:szCs w:val="21"/>
          <w:color w:val="auto"/>
        </w:rPr>
      </w:pPr>
    </w:p>
    <w:p>
      <w:pPr>
        <w:ind w:firstLine="1305"/>
        <w:spacing w:after="0" w:line="263" w:lineRule="auto"/>
        <w:tabs>
          <w:tab w:leader="none" w:pos="180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Obligor or any Material Subsidiary shall become unable, admit in writing its inability or fail generally to pay its debts as they become due; or</w:t>
      </w:r>
    </w:p>
    <w:p>
      <w:pPr>
        <w:spacing w:after="0" w:line="215" w:lineRule="exact"/>
        <w:rPr>
          <w:rFonts w:ascii="Arial" w:cs="Arial" w:eastAsia="Arial" w:hAnsi="Arial"/>
          <w:sz w:val="22"/>
          <w:szCs w:val="22"/>
          <w:color w:val="auto"/>
        </w:rPr>
      </w:pPr>
    </w:p>
    <w:p>
      <w:pPr>
        <w:jc w:val="both"/>
        <w:ind w:firstLine="1305"/>
        <w:spacing w:after="0" w:line="292" w:lineRule="auto"/>
        <w:tabs>
          <w:tab w:leader="none" w:pos="182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entry by a court having jurisdiction in the premises of (i) a decree or order for relief in respect of any Obligor or any Material Subsidiary in an involuntary case or proceeding under any applicable federal, state or foreign bankruptcy, insolvency, reorganization or other similar law or (ii) a decree or order adjudging any Obligor or any Material Subsidiary bankrupt or insolvent, or approving as properly filed a petition seeking reorganization, arrangement, adjustment or composition of or in respect of any Obligor or any Material Subsidiary under any applicable federal, state or foreign law, or appointing a custodian, receiver, liquidator, assignee, trustee, examiner, administrator, sequestrator or other similar official of any Obligor or any Material Subsidiary of any substantial part of its property, or ordering the winding up or liquidation of its affairs; or</w:t>
      </w:r>
    </w:p>
    <w:p>
      <w:pPr>
        <w:spacing w:after="0" w:line="192" w:lineRule="exact"/>
        <w:rPr>
          <w:rFonts w:ascii="Arial" w:cs="Arial" w:eastAsia="Arial" w:hAnsi="Arial"/>
          <w:sz w:val="19"/>
          <w:szCs w:val="19"/>
          <w:color w:val="auto"/>
        </w:rPr>
      </w:pPr>
    </w:p>
    <w:p>
      <w:pPr>
        <w:ind w:firstLine="1305"/>
        <w:spacing w:after="0" w:line="263" w:lineRule="auto"/>
        <w:tabs>
          <w:tab w:leader="none" w:pos="189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Obligor or any Material Subsidiary shall (i) voluntarily commence a case or proceeding under any applicable federal, state or foreign bankruptcy, insolvency,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75" w:right="239" w:bottom="1440" w:gutter="0" w:footer="0" w:header="0"/>
        </w:sectPr>
      </w:pPr>
    </w:p>
    <w:bookmarkStart w:id="154" w:name="page155"/>
    <w:bookmarkEnd w:id="154"/>
    <w:p>
      <w:pPr>
        <w:jc w:val="both"/>
        <w:spacing w:after="0" w:line="290" w:lineRule="auto"/>
        <w:rPr>
          <w:sz w:val="20"/>
          <w:szCs w:val="20"/>
          <w:color w:val="auto"/>
        </w:rPr>
      </w:pPr>
      <w:r>
        <w:rPr>
          <w:rFonts w:ascii="Arial" w:cs="Arial" w:eastAsia="Arial" w:hAnsi="Arial"/>
          <w:sz w:val="19"/>
          <w:szCs w:val="19"/>
          <w:color w:val="auto"/>
        </w:rPr>
        <w:t>reorganization or other similar law or of any other case or proceeding to be adjudicated a bankrupt or insolvent, (ii) consent to the entry of a decree or order for relief in respect of such Obligor or such Material Subsidiary in an involuntary case or proceeding under any applicable federal, state or foreign bankruptcy, insolvency, reorganization or other similar law or to the commencement of any bankruptcy or insolvency case or proceeding against it, (iii) file a petition or answer or consent seeking reorganization or relief under any applicable federal, state or foreign law, (iv) apply for or consent to the appointment of or taking possession by a custodian, receiver, liquidator, assignee, trustee, examiner, administrator, sequestrator or similar official of such Obligor or such Material Subsidiary or of any substantial part of its property, (v) make an assignment for the benefit of creditors, or (vi) take any corporate or other action in furtherance of any of the foregoing; or</w:t>
      </w:r>
    </w:p>
    <w:p>
      <w:pPr>
        <w:spacing w:after="0" w:line="197" w:lineRule="exact"/>
        <w:rPr>
          <w:sz w:val="20"/>
          <w:szCs w:val="20"/>
          <w:color w:val="auto"/>
        </w:rPr>
      </w:pPr>
    </w:p>
    <w:p>
      <w:pPr>
        <w:jc w:val="both"/>
        <w:ind w:firstLine="1305"/>
        <w:spacing w:after="0" w:line="258" w:lineRule="auto"/>
        <w:tabs>
          <w:tab w:leader="none" w:pos="181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 xml:space="preserve">a judgment or order for monetary damages shall be entered against any Obligor or any Restricted Subsidiary, which with other outstanding judgments and orders for monetary damages entered against the Obligors and the Restricted Subsidiaries equals or exceeds $100,000,000 in the aggregate (to the extent not covered by independent third-party insurance as to which the respective insurer is financially sound and has not disputed coverage), and (i) within 60 days after entry thereof such judgment shall not have been discharged or execution thereof stayed pending appeal or, within 60 days after the expiration of any such stay, such judgment shall not have been discharged, or (ii) any enforcement proceeding shall have been commenced (and not stayed) by any creditor upon any such judgment;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judgment or order provides for any Obligor or any Restricted Subsidiary to make periodic payments over time, no Event of Default shall arise under this clause (i) if such Obligor or such Restricted Subsidiary makes each such periodic payment when due in accordance with the terms of such judgment or order (or within 30 days after the due date of each such periodic payment, but only so long as no Lien attaches during such 30-day period and no enforcement proceeding is commenced by any creditor for payment of such judgment or order during such 30-day period); or</w:t>
      </w:r>
    </w:p>
    <w:p>
      <w:pPr>
        <w:spacing w:after="0" w:line="220" w:lineRule="exact"/>
        <w:rPr>
          <w:rFonts w:ascii="Arial" w:cs="Arial" w:eastAsia="Arial" w:hAnsi="Arial"/>
          <w:sz w:val="21"/>
          <w:szCs w:val="21"/>
          <w:color w:val="auto"/>
        </w:rPr>
      </w:pPr>
    </w:p>
    <w:p>
      <w:pPr>
        <w:jc w:val="both"/>
        <w:ind w:firstLine="1305"/>
        <w:spacing w:after="0" w:line="302" w:lineRule="auto"/>
        <w:tabs>
          <w:tab w:leader="none" w:pos="173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at any time prior to Payment in Full, any Loan Document shall (other than to the extent permitted by the terms hereof or thereof or with the consent of the Administrative Agent and the Lenders), at any time after its execution and delivery and for any reason, cease to be in full force and, or shall be declared to be null and void, or the validity or enforceability thereof shall be contested by any Obligor or any Obligor shall deny that it has any or further liability or obligation thereunder; or</w:t>
      </w:r>
    </w:p>
    <w:p>
      <w:pPr>
        <w:spacing w:after="0" w:line="183" w:lineRule="exact"/>
        <w:rPr>
          <w:rFonts w:ascii="Arial" w:cs="Arial" w:eastAsia="Arial" w:hAnsi="Arial"/>
          <w:sz w:val="19"/>
          <w:szCs w:val="19"/>
          <w:color w:val="auto"/>
        </w:rPr>
      </w:pPr>
    </w:p>
    <w:p>
      <w:pPr>
        <w:jc w:val="both"/>
        <w:ind w:firstLine="1305"/>
        <w:spacing w:after="0" w:line="246" w:lineRule="auto"/>
        <w:tabs>
          <w:tab w:leader="none" w:pos="1947"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 ERISA Event has occurred that would reasonably be expected (individually or collectively) to have a Material Adverse Effect; any proceeding shall have occurred or is reasonably likely to occur by the PBGC under Section 4069(a) of ERISA to impose liability on WIL-Ireland, any of its Subsidiaries, any Borrower or any ERISA Affiliate which (individually or collectively) would reasonably be expected to have a Material Adverse Effect; or WIL-Ireland,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WIL-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75" w:right="239" w:bottom="1440" w:gutter="0" w:footer="0" w:header="0"/>
        </w:sectPr>
      </w:pPr>
    </w:p>
    <w:bookmarkStart w:id="155" w:name="page156"/>
    <w:bookmarkEnd w:id="155"/>
    <w:p>
      <w:pPr>
        <w:jc w:val="both"/>
        <w:spacing w:after="0" w:line="246" w:lineRule="auto"/>
        <w:rPr>
          <w:sz w:val="20"/>
          <w:szCs w:val="20"/>
          <w:color w:val="auto"/>
        </w:rPr>
      </w:pPr>
      <w:r>
        <w:rPr>
          <w:rFonts w:ascii="Arial" w:cs="Arial" w:eastAsia="Arial" w:hAnsi="Arial"/>
          <w:sz w:val="22"/>
          <w:szCs w:val="22"/>
          <w:color w:val="auto"/>
        </w:rPr>
        <w:t xml:space="preserve">Ireland or any ERISA Affiliate that a Plan may become a subject of any such proceedings, and there shall result (individually or collectively) from any such event or events a material risk of either (i) the imposition of a Lien(s) upon, or the granting of a security interest(s) in, the assets of WIL-Ireland, any of its Subsidiaries and/or any Borrower or any ERISA Affiliate which would reasonably be expected to have a Material Adverse Effect, or (ii) WIL-Ireland, any of its Subsidiaries and/or any Borrower or any ERISA Affiliate incurring a liability(ies) or obligation(s) with respect thereto which would reasonably be expected to have a Material Adverse Effect; then, and in every such event (other than an event with respect to any Obligor described in </w:t>
      </w:r>
      <w:r>
        <w:rPr>
          <w:rFonts w:ascii="Arial" w:cs="Arial" w:eastAsia="Arial" w:hAnsi="Arial"/>
          <w:sz w:val="22"/>
          <w:szCs w:val="22"/>
          <w:u w:val="single" w:color="auto"/>
          <w:color w:val="auto"/>
        </w:rPr>
        <w:t>Section 9.01(i)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9.01(j)</w:t>
      </w:r>
      <w:r>
        <w:rPr>
          <w:rFonts w:ascii="Arial" w:cs="Arial" w:eastAsia="Arial" w:hAnsi="Arial"/>
          <w:sz w:val="22"/>
          <w:szCs w:val="22"/>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232" w:lineRule="exact"/>
        <w:rPr>
          <w:sz w:val="20"/>
          <w:szCs w:val="20"/>
          <w:color w:val="auto"/>
        </w:rPr>
      </w:pPr>
    </w:p>
    <w:p>
      <w:pPr>
        <w:ind w:left="2380" w:hanging="427"/>
        <w:spacing w:after="0"/>
        <w:tabs>
          <w:tab w:leader="none" w:pos="238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terminate the Commitments, and thereupon the Commitments shall terminate immediately, and</w:t>
      </w:r>
    </w:p>
    <w:p>
      <w:pPr>
        <w:spacing w:after="0" w:line="271" w:lineRule="exact"/>
        <w:rPr>
          <w:rFonts w:ascii="Arial" w:cs="Arial" w:eastAsia="Arial" w:hAnsi="Arial"/>
          <w:sz w:val="21"/>
          <w:szCs w:val="21"/>
          <w:color w:val="auto"/>
        </w:rPr>
      </w:pPr>
    </w:p>
    <w:p>
      <w:pPr>
        <w:jc w:val="both"/>
        <w:ind w:left="660" w:firstLine="1293"/>
        <w:spacing w:after="0" w:line="263" w:lineRule="auto"/>
        <w:tabs>
          <w:tab w:leader="none" w:pos="2557" w:val="left"/>
        </w:tabs>
        <w:numPr>
          <w:ilvl w:val="0"/>
          <w:numId w:val="182"/>
        </w:numPr>
        <w:rPr>
          <w:rFonts w:ascii="Arial" w:cs="Arial" w:eastAsia="Arial" w:hAnsi="Arial"/>
          <w:sz w:val="21"/>
          <w:szCs w:val="21"/>
          <w:color w:val="auto"/>
        </w:rPr>
      </w:pPr>
      <w:r>
        <w:rPr>
          <w:rFonts w:ascii="Arial" w:cs="Arial" w:eastAsia="Arial" w:hAnsi="Arial"/>
          <w:sz w:val="21"/>
          <w:szCs w:val="21"/>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and in case of any event with respect to any Obligor described in </w:t>
      </w:r>
      <w:r>
        <w:rPr>
          <w:rFonts w:ascii="Arial" w:cs="Arial" w:eastAsia="Arial" w:hAnsi="Arial"/>
          <w:sz w:val="22"/>
          <w:szCs w:val="22"/>
          <w:u w:val="single" w:color="auto"/>
          <w:color w:val="auto"/>
        </w:rPr>
        <w:t>Section 9.01(i)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9.01(j)</w:t>
      </w:r>
      <w:r>
        <w:rPr>
          <w:rFonts w:ascii="Arial" w:cs="Arial" w:eastAsia="Arial" w:hAnsi="Arial"/>
          <w:sz w:val="22"/>
          <w:szCs w:val="22"/>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Upon the occurrence and during the continuance of any Event of Default, each Lender is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any of its Affiliates to or for the credit or the account of any Obligor against any and all of the Obligations irrespective of whether or not such Lender or the Administrative Agent shall have made any demand under this Agreement, the Notes or any other Loan Document. Should the right of any Lender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Defaulting Lender shall exercise any such right of setoff, (x) all amounts so setoff shall be paid over immediately to the Administrative Agent for further application and/or cash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75" w:right="23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21"/>
          <w:szCs w:val="21"/>
          <w:color w:val="auto"/>
        </w:rPr>
        <w:t xml:space="preserve">collateralization pursuant to </w:t>
      </w:r>
      <w:r>
        <w:rPr>
          <w:rFonts w:ascii="Arial" w:cs="Arial" w:eastAsia="Arial" w:hAnsi="Arial"/>
          <w:sz w:val="21"/>
          <w:szCs w:val="21"/>
          <w:u w:val="single" w:color="auto"/>
          <w:color w:val="auto"/>
        </w:rPr>
        <w:t>Section 4.01(e)</w:t>
      </w:r>
      <w:r>
        <w:rPr>
          <w:rFonts w:ascii="Arial" w:cs="Arial" w:eastAsia="Arial" w:hAnsi="Arial"/>
          <w:sz w:val="21"/>
          <w:szCs w:val="21"/>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agrees to promptly notify the applicable Obligor and the Administrative Agent after any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 The rights of the Administrative Agent and the Lenders under this Section are in addition to other rights and remedies (including other rights of setoff) which the Administrative Agent or the Lenders may have. This Section is subject to the terms and provisions of </w:t>
      </w:r>
      <w:r>
        <w:rPr>
          <w:rFonts w:ascii="Arial" w:cs="Arial" w:eastAsia="Arial" w:hAnsi="Arial"/>
          <w:sz w:val="21"/>
          <w:szCs w:val="21"/>
          <w:u w:val="single" w:color="auto"/>
          <w:color w:val="auto"/>
        </w:rPr>
        <w:t>Section 4.01(c)</w:t>
      </w:r>
      <w:r>
        <w:rPr>
          <w:rFonts w:ascii="Arial" w:cs="Arial" w:eastAsia="Arial" w:hAnsi="Arial"/>
          <w:sz w:val="21"/>
          <w:szCs w:val="21"/>
          <w:color w:val="auto"/>
        </w:rPr>
        <w:t>.</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Other Remedies</w:t>
      </w:r>
      <w:r>
        <w:rPr>
          <w:rFonts w:ascii="Arial" w:cs="Arial" w:eastAsia="Arial" w:hAnsi="Arial"/>
          <w:sz w:val="22"/>
          <w:szCs w:val="22"/>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Application of Moneys During Continuation of Event of Default</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312" w:lineRule="auto"/>
        <w:tabs>
          <w:tab w:leader="none" w:pos="177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So long as an Event of Default of which the Administrative Agent shall have given notice to the Lenders shall continue, all moneys received by the Administrative Agent from any Obligor under the Loan Documents shall, except as otherwise required by law, be distributed by the Administrative Agent on the dates selected by the Administrative Agent as follows:</w:t>
      </w:r>
    </w:p>
    <w:p>
      <w:pPr>
        <w:spacing w:after="0" w:line="17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the unreimbursed expenses for which the Administrative Agent or any Lender is to be reimbursed pursuant to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and to any unpaid fees owing under the Loan Documents by the Obligors to the Administrative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ratable payment of accrued but unpaid interest on the Loans;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the ratable payment of unpaid principal of the Loans;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the ratable payment of all other amounts payable by the Obligors hereunder;</w:t>
      </w:r>
    </w:p>
    <w:p>
      <w:pPr>
        <w:spacing w:after="0" w:line="220"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secure the repayment and discharge of the outstanding amount of all LC Exposure in accordance with </w:t>
      </w:r>
      <w:r>
        <w:rPr>
          <w:rFonts w:ascii="Arial" w:cs="Arial" w:eastAsia="Arial" w:hAnsi="Arial"/>
          <w:sz w:val="22"/>
          <w:szCs w:val="22"/>
          <w:u w:val="single" w:color="auto"/>
          <w:color w:val="auto"/>
        </w:rPr>
        <w:t>Section 3.01(j)</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sixth</w:t>
      </w:r>
      <w:r>
        <w:rPr>
          <w:rFonts w:ascii="Arial" w:cs="Arial" w:eastAsia="Arial" w:hAnsi="Arial"/>
          <w:sz w:val="22"/>
          <w:szCs w:val="22"/>
          <w:color w:val="auto"/>
        </w:rPr>
        <w:t>, to the ratable payment of all other Obligations, until all Obligations shall have been paid in full;</w:t>
      </w:r>
    </w:p>
    <w:p>
      <w:pPr>
        <w:spacing w:after="0" w:line="220"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u w:val="single" w:color="auto"/>
          <w:color w:val="auto"/>
        </w:rPr>
        <w:t>seventh</w:t>
      </w:r>
      <w:r>
        <w:rPr>
          <w:rFonts w:ascii="Arial" w:cs="Arial" w:eastAsia="Arial" w:hAnsi="Arial"/>
          <w:sz w:val="22"/>
          <w:szCs w:val="22"/>
          <w:color w:val="auto"/>
        </w:rPr>
        <w:t>, to the ratable payment of any Banking Services Obligations and Swap Obligations, until all Banking Services Obligations and Swap Obligations shall have been paid in full;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75" w:right="239" w:bottom="1440" w:gutter="0" w:footer="0" w:header="0"/>
        </w:sectPr>
      </w:pPr>
    </w:p>
    <w:bookmarkStart w:id="157" w:name="page158"/>
    <w:bookmarkEnd w:id="157"/>
    <w:p>
      <w:pPr>
        <w:ind w:left="1300"/>
        <w:spacing w:after="0" w:line="263" w:lineRule="auto"/>
        <w:rPr>
          <w:sz w:val="20"/>
          <w:szCs w:val="20"/>
          <w:color w:val="auto"/>
        </w:rPr>
      </w:pPr>
      <w:r>
        <w:rPr>
          <w:rFonts w:ascii="Arial" w:cs="Arial" w:eastAsia="Arial" w:hAnsi="Arial"/>
          <w:sz w:val="22"/>
          <w:szCs w:val="22"/>
          <w:u w:val="single" w:color="auto"/>
          <w:color w:val="auto"/>
        </w:rPr>
        <w:t>finally</w:t>
      </w:r>
      <w:r>
        <w:rPr>
          <w:rFonts w:ascii="Arial" w:cs="Arial" w:eastAsia="Arial" w:hAnsi="Arial"/>
          <w:sz w:val="22"/>
          <w:szCs w:val="22"/>
          <w:color w:val="auto"/>
        </w:rPr>
        <w:t>, to payment to the Obligors, or their respective successors or assigns, or as a court of competent jurisdiction may direct, of any surplus then remaining from such proceeds.</w:t>
      </w:r>
    </w:p>
    <w:p>
      <w:pPr>
        <w:spacing w:after="0" w:line="175" w:lineRule="exact"/>
        <w:rPr>
          <w:sz w:val="20"/>
          <w:szCs w:val="20"/>
          <w:color w:val="auto"/>
        </w:rPr>
      </w:pPr>
    </w:p>
    <w:p>
      <w:pPr>
        <w:jc w:val="both"/>
        <w:ind w:firstLine="1305"/>
        <w:spacing w:after="0" w:line="253" w:lineRule="auto"/>
        <w:tabs>
          <w:tab w:leader="none" w:pos="179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The term “unpaid” as used in this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shall mean all relevant Obligations outstanding as of any such distribution date as to which prior distributions have not been made, after giving effect to any adjustments which are made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of which the Administrative Agent shall have been notified.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ADMINISTRATIVE AGENT</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Each of the Lenders, on behalf of itself and any of its Affiliates that are holders of Guaranteed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w:t>
      </w:r>
    </w:p>
    <w:p>
      <w:pPr>
        <w:spacing w:after="0" w:line="2" w:lineRule="exact"/>
        <w:rPr>
          <w:sz w:val="20"/>
          <w:szCs w:val="20"/>
          <w:color w:val="auto"/>
        </w:rPr>
      </w:pPr>
    </w:p>
    <w:p>
      <w:pPr>
        <w:ind w:right="20" w:firstLine="8"/>
        <w:spacing w:after="0" w:line="246" w:lineRule="auto"/>
        <w:tabs>
          <w:tab w:leader="none" w:pos="31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statement, warranty or representation made in or in connection with this Agreement or any other Loan Document, (w) the contents of any certificate, report or other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75" w:right="239" w:bottom="1440" w:gutter="0" w:footer="0" w:header="0"/>
        </w:sectPr>
      </w:pPr>
    </w:p>
    <w:bookmarkStart w:id="158" w:name="page159"/>
    <w:bookmarkEnd w:id="158"/>
    <w:p>
      <w:pPr>
        <w:jc w:val="both"/>
        <w:spacing w:after="0" w:line="297" w:lineRule="auto"/>
        <w:rPr>
          <w:sz w:val="20"/>
          <w:szCs w:val="20"/>
          <w:color w:val="auto"/>
        </w:rPr>
      </w:pPr>
      <w:r>
        <w:rPr>
          <w:rFonts w:ascii="Arial" w:cs="Arial" w:eastAsia="Arial" w:hAnsi="Arial"/>
          <w:sz w:val="19"/>
          <w:szCs w:val="19"/>
          <w:color w:val="auto"/>
        </w:rPr>
        <w:t xml:space="preserve">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those conditions requiring delivery of items expressly required to be delivered to the Administrative Agent.</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In addition, in the event that (i) the Person serving as the Administrative Agent is a Defaulting Lender, (ii) such Person has been replaced in its capacity as a Lender pursuant to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(iii) if such Person is a Swingline Lender, such Person has been replaced in its capacity as a Swingline Lender pursuant to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and (iv) if such Person is an Issuing Bank, (A) the LC Commitment of such Person, as an Issuing Bank, has been terminated pursuant to </w:t>
      </w:r>
      <w:r>
        <w:rPr>
          <w:rFonts w:ascii="Arial" w:cs="Arial" w:eastAsia="Arial" w:hAnsi="Arial"/>
          <w:sz w:val="21"/>
          <w:szCs w:val="21"/>
          <w:u w:val="single" w:color="auto"/>
          <w:color w:val="auto"/>
        </w:rPr>
        <w:t>Section 3.01(i)</w:t>
      </w:r>
      <w:r>
        <w:rPr>
          <w:rFonts w:ascii="Arial" w:cs="Arial" w:eastAsia="Arial" w:hAnsi="Arial"/>
          <w:sz w:val="21"/>
          <w:szCs w:val="21"/>
          <w:color w:val="auto"/>
        </w:rPr>
        <w:t xml:space="preserve"> and (B) no Letters of Credit issued by such Person, as an Issuing Bank, are outstanding such time (unless arrangements satisfactory to such Person for the cash collateralization thereof have been made), then the Required Lenders or the Borrowers may, by written notice to the Administrative Agent, remove such Person from its capacity as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75" w:right="239" w:bottom="1440" w:gutter="0" w:footer="0" w:header="0"/>
        </w:sectPr>
      </w:pPr>
    </w:p>
    <w:bookmarkStart w:id="159" w:name="page160"/>
    <w:bookmarkEnd w:id="159"/>
    <w:p>
      <w:pPr>
        <w:jc w:val="both"/>
        <w:spacing w:after="0" w:line="312" w:lineRule="auto"/>
        <w:rPr>
          <w:sz w:val="20"/>
          <w:szCs w:val="20"/>
          <w:color w:val="auto"/>
        </w:rPr>
      </w:pPr>
      <w:r>
        <w:rPr>
          <w:rFonts w:ascii="Arial" w:cs="Arial" w:eastAsia="Arial" w:hAnsi="Arial"/>
          <w:sz w:val="19"/>
          <w:szCs w:val="19"/>
          <w:color w:val="auto"/>
        </w:rPr>
        <w:t xml:space="preserve">Administrative Agent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or agreement of such Person, in any of its capacities, shall not be required in respect of its removal as a Lender or a Swingline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successor Administrative Agent selected by the Required Lenders, in consultation with the Borrowers, shall be appointed concurrently with such removal.</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Arial" w:cs="Arial" w:eastAsia="Arial" w:hAnsi="Arial"/>
          <w:sz w:val="21"/>
          <w:szCs w:val="21"/>
          <w:u w:val="single" w:color="auto"/>
          <w:color w:val="auto"/>
        </w:rPr>
        <w:t>Sections 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anything to the contrary contained herein, none of the Joint Lead Arrangers, Joint Bookrunners, Syndication Agent or Co-Documentation Agents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75" w:right="239" w:bottom="1440" w:gutter="0" w:footer="0" w:header="0"/>
        </w:sectPr>
      </w:pPr>
    </w:p>
    <w:bookmarkStart w:id="160" w:name="page161"/>
    <w:bookmarkEnd w:id="160"/>
    <w:p>
      <w:pPr>
        <w:jc w:val="center"/>
        <w:ind w:left="660"/>
        <w:spacing w:after="0"/>
        <w:rPr>
          <w:sz w:val="20"/>
          <w:szCs w:val="20"/>
          <w:color w:val="auto"/>
        </w:rPr>
      </w:pPr>
      <w:r>
        <w:rPr>
          <w:rFonts w:ascii="Arial" w:cs="Arial" w:eastAsia="Arial" w:hAnsi="Arial"/>
          <w:sz w:val="22"/>
          <w:szCs w:val="22"/>
          <w:color w:val="auto"/>
        </w:rPr>
        <w:t>ARTICLE XI</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Waiver; Amendments; Joinder; Removal of Certain Borrowers; Release of Guarantors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8" w:lineRule="auto"/>
        <w:tabs>
          <w:tab w:leader="none" w:pos="182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Lender or any Issuing Bank may have had notice or knowledge of such Default at the time.</w:t>
      </w:r>
    </w:p>
    <w:p>
      <w:pPr>
        <w:spacing w:after="0" w:line="195" w:lineRule="exact"/>
        <w:rPr>
          <w:rFonts w:ascii="Arial" w:cs="Arial" w:eastAsia="Arial" w:hAnsi="Arial"/>
          <w:sz w:val="19"/>
          <w:szCs w:val="19"/>
          <w:color w:val="auto"/>
        </w:rPr>
      </w:pPr>
    </w:p>
    <w:p>
      <w:pPr>
        <w:jc w:val="both"/>
        <w:ind w:firstLine="1305"/>
        <w:spacing w:after="0" w:line="285" w:lineRule="auto"/>
        <w:tabs>
          <w:tab w:leader="none" w:pos="180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(iv) change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4.01(c)</w:t>
      </w:r>
      <w:r>
        <w:rPr>
          <w:rFonts w:ascii="Arial" w:cs="Arial" w:eastAsia="Arial" w:hAnsi="Arial"/>
          <w:sz w:val="19"/>
          <w:szCs w:val="19"/>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except as provided in </w:t>
      </w:r>
      <w:r>
        <w:rPr>
          <w:rFonts w:ascii="Arial" w:cs="Arial" w:eastAsia="Arial" w:hAnsi="Arial"/>
          <w:sz w:val="19"/>
          <w:szCs w:val="19"/>
          <w:u w:val="single" w:color="auto"/>
          <w:color w:val="auto"/>
        </w:rPr>
        <w:t>Section 11.01(d)</w:t>
      </w:r>
      <w:r>
        <w:rPr>
          <w:rFonts w:ascii="Arial" w:cs="Arial" w:eastAsia="Arial" w:hAnsi="Arial"/>
          <w:sz w:val="19"/>
          <w:szCs w:val="19"/>
          <w:color w:val="auto"/>
        </w:rPr>
        <w:t xml:space="preserve">, release any Borrower from its joint and several liability for the Obligations, without the written consent of each Lender (other than Defaulting Lenders), or (vii) release any Person from its liability under a guaranty (other than the release of WII from its obligations under the Guaranty Agreement in accordance with the terms set forth in the Guaranty Agreement), without the written consent of each Lender (other than Defaulting Lenders);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75" w:right="239" w:bottom="1440" w:gutter="0" w:footer="0" w:header="0"/>
        </w:sectPr>
      </w:pPr>
    </w:p>
    <w:bookmarkStart w:id="161" w:name="page162"/>
    <w:bookmarkEnd w:id="161"/>
    <w:p>
      <w:pPr>
        <w:jc w:val="both"/>
        <w:spacing w:after="0" w:line="246" w:lineRule="auto"/>
        <w:rPr>
          <w:sz w:val="20"/>
          <w:szCs w:val="20"/>
          <w:color w:val="auto"/>
        </w:rPr>
      </w:pPr>
      <w:r>
        <w:rPr>
          <w:rFonts w:ascii="Arial" w:cs="Arial" w:eastAsia="Arial" w:hAnsi="Arial"/>
          <w:sz w:val="22"/>
          <w:szCs w:val="22"/>
          <w:color w:val="auto"/>
        </w:rPr>
        <w:t xml:space="preserve">otherwise affect the rights or duties of the Administrative Agent, any Swingline Lender or any Issuing Bank hereunder without the prior written consent of the Administrative Agent, such Swingline Lender or such Issuing Bank, as the case may be;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no such agreement shall amend or modify any provision of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without the consent of the Administrative Agent, each Swingline Lender, each Issuing Bank and the Required Lenders. Subject to the foregoing, the waiver, amendment or modification of any provision of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may be effected with the consent of the Required Lenders. Notwithstanding anything to the contrary herein, this </w:t>
      </w:r>
      <w:r>
        <w:rPr>
          <w:rFonts w:ascii="Arial" w:cs="Arial" w:eastAsia="Arial" w:hAnsi="Arial"/>
          <w:sz w:val="22"/>
          <w:szCs w:val="22"/>
          <w:u w:val="single" w:color="auto"/>
          <w:color w:val="auto"/>
        </w:rPr>
        <w:t>Section 11.01(b)</w:t>
      </w:r>
      <w:r>
        <w:rPr>
          <w:rFonts w:ascii="Arial" w:cs="Arial" w:eastAsia="Arial" w:hAnsi="Arial"/>
          <w:sz w:val="22"/>
          <w:szCs w:val="22"/>
          <w:color w:val="auto"/>
        </w:rPr>
        <w:t xml:space="preserve"> shall, in respect of a Defaulting Lender, be subject to </w:t>
      </w:r>
      <w:r>
        <w:rPr>
          <w:rFonts w:ascii="Arial" w:cs="Arial" w:eastAsia="Arial" w:hAnsi="Arial"/>
          <w:sz w:val="22"/>
          <w:szCs w:val="22"/>
          <w:u w:val="single" w:color="auto"/>
          <w:color w:val="auto"/>
        </w:rPr>
        <w:t>Section 2.17(b)</w:t>
      </w:r>
      <w:r>
        <w:rPr>
          <w:rFonts w:ascii="Arial" w:cs="Arial" w:eastAsia="Arial" w:hAnsi="Arial"/>
          <w:sz w:val="22"/>
          <w:szCs w:val="22"/>
          <w:color w:val="auto"/>
        </w:rPr>
        <w:t>.</w:t>
      </w:r>
    </w:p>
    <w:p>
      <w:pPr>
        <w:spacing w:after="0" w:line="238" w:lineRule="exact"/>
        <w:rPr>
          <w:sz w:val="20"/>
          <w:szCs w:val="20"/>
          <w:color w:val="auto"/>
        </w:rPr>
      </w:pPr>
    </w:p>
    <w:p>
      <w:pPr>
        <w:jc w:val="both"/>
        <w:ind w:firstLine="1305"/>
        <w:spacing w:after="0" w:line="284" w:lineRule="auto"/>
        <w:tabs>
          <w:tab w:leader="none" w:pos="185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From time to time, WIL-Ireland may cause one or more additional Wholly-Owned Subsidiaries to become Borrowers hereunder by delivering, or causing to be delivered, to the Administrative Agent in respect of each applicable Subsidiary, the following, each in form and substance reasonably satisfactory to the Administrative Agent: (i) a Joinder Agreement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attached hereto, executed and delivered by such Subsidiary (the date of each such Joinder Agreement being referred to herein as a “</w:t>
      </w:r>
      <w:r>
        <w:rPr>
          <w:rFonts w:ascii="Arial" w:cs="Arial" w:eastAsia="Arial" w:hAnsi="Arial"/>
          <w:sz w:val="19"/>
          <w:szCs w:val="19"/>
          <w:u w:val="single" w:color="auto"/>
          <w:color w:val="auto"/>
        </w:rPr>
        <w:t>Joinder Date</w:t>
      </w:r>
      <w:r>
        <w:rPr>
          <w:rFonts w:ascii="Arial" w:cs="Arial" w:eastAsia="Arial" w:hAnsi="Arial"/>
          <w:sz w:val="19"/>
          <w:szCs w:val="19"/>
          <w:color w:val="auto"/>
        </w:rPr>
        <w:t xml:space="preserve">”, which date shall be at least ten days after WIL-Ireland provides notice to the Administrative Agent of its intention to cause such Subsidiary to become a Borrower hereunder), (ii) each of the documents or other closing deliverables specified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that would have been required to be delivered by or on behalf of such Subsidiary had such Subsidiary been a Borrower on the Effective Date, each such deliverable to be dated as of the applicable Joinder Date unless otherwise agreed by the Administrative Agent, (iii) replacement Notes dated as of the applicable Joinder Date payable to each Lender for which an existing Note is outstanding on such Joinder Date, (iv) a written confirmation by the Guarantors that their guarantee obligations shall apply to the obligations of such Subsidiary under the Loan Documents from and after the Joinder Date and (v) such other approvals, opinions or documents as the Administrative Agent may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Subsidiary may become a Borrower hereunder pursuant to this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if (x) a Default or Event of Default shall have occurred and be continuing on the applicable Joinder Date, or shall result from the joinder of such Subsidiary as a Borrower on such Joinder Date, or (y) such Subsidiary is not organized under the laws of any jurisdiction of the United States and any Lender notifies the Administrative Agent that such Subsidiary is organized in a jurisdiction in which such Lender and its Affiliates cannot legally lend or do business. Without limiting the foregoing, if the designation of any additional Wholly-Owned Subsidiary as a Borrower hereunder obligates the Administrative Agent or any Lender to comply with “know your customer” or similar regulatory requirements and the information necessary for such compliance is not already available to the Administrative Agent or such Lender, as applicable, WIL-Ireland shall, promptly upon the request of the Administrative Agent or such Lender, as applicable, supply such documentation and other evidence as is reasonably requested by the Administrative Agent or such Lender, as applicable, in order for it to comply with all “know your customer” and/or similar identification procedures required under all applicable laws and regulations. If WIL-Ireland shall designate an additional Wholly-Owned Subsidiary as a Borrower hereunder that is not organized under the laws of any jurisdiction of the United States, the Republic of Hungary or Bermuda, WIL-Ireland shall notify the Administrative Agent and the Lenders, on or prior to the Joinder Date applicable to such Subsidiary, of all documentation prescribed by the law of the jurisdiction in which such Subsidiary is organized, tax resident or otherwise located, or any treaty to which any such jurisdiction is a party, as shall permit payments made by such Subsidiary under this Agreement and the other Loan Documents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75" w:right="23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22"/>
          <w:szCs w:val="22"/>
          <w:color w:val="auto"/>
        </w:rPr>
        <w:t>made without withholding or at a reduced rate to the extent an exemption or reduction is available under any such applicable law or treaty.</w:t>
      </w:r>
    </w:p>
    <w:p>
      <w:pPr>
        <w:spacing w:after="0" w:line="215" w:lineRule="exact"/>
        <w:rPr>
          <w:sz w:val="20"/>
          <w:szCs w:val="20"/>
          <w:color w:val="auto"/>
        </w:rPr>
      </w:pPr>
    </w:p>
    <w:p>
      <w:pPr>
        <w:jc w:val="both"/>
        <w:ind w:firstLine="1305"/>
        <w:spacing w:after="0" w:line="286" w:lineRule="auto"/>
        <w:tabs>
          <w:tab w:leader="none" w:pos="1932" w:val="left"/>
        </w:tabs>
        <w:numPr>
          <w:ilvl w:val="2"/>
          <w:numId w:val="188"/>
        </w:numPr>
        <w:rPr>
          <w:rFonts w:ascii="Arial" w:cs="Arial" w:eastAsia="Arial" w:hAnsi="Arial"/>
          <w:sz w:val="19"/>
          <w:szCs w:val="19"/>
          <w:color w:val="auto"/>
        </w:rPr>
      </w:pPr>
      <w:r>
        <w:rPr>
          <w:rFonts w:ascii="Arial" w:cs="Arial" w:eastAsia="Arial" w:hAnsi="Arial"/>
          <w:sz w:val="19"/>
          <w:szCs w:val="19"/>
          <w:color w:val="auto"/>
        </w:rPr>
        <w:t>From time to time, WIL-Ireland may cause any Borrower (other than WIL) to cease to be a Borrower hereunder by (i) delivering to the Administrative Agent a notice to such effect, specifying the identity of the applicable Borrower and the proposed date on which such Borrower shall no longer be a Borrower hereunder, which date shall be no earlier than three Business Days after delivery of such notice (each such date being referred to herein as a “</w:t>
      </w:r>
      <w:r>
        <w:rPr>
          <w:rFonts w:ascii="Arial" w:cs="Arial" w:eastAsia="Arial" w:hAnsi="Arial"/>
          <w:sz w:val="19"/>
          <w:szCs w:val="19"/>
          <w:u w:val="single" w:color="auto"/>
          <w:color w:val="auto"/>
        </w:rPr>
        <w:t>Borrower Removal Date</w:t>
      </w:r>
      <w:r>
        <w:rPr>
          <w:rFonts w:ascii="Arial" w:cs="Arial" w:eastAsia="Arial" w:hAnsi="Arial"/>
          <w:sz w:val="19"/>
          <w:szCs w:val="19"/>
          <w:color w:val="auto"/>
        </w:rPr>
        <w:t>”) and</w:t>
      </w:r>
    </w:p>
    <w:p>
      <w:pPr>
        <w:spacing w:after="0" w:line="2" w:lineRule="exact"/>
        <w:rPr>
          <w:rFonts w:ascii="Arial" w:cs="Arial" w:eastAsia="Arial" w:hAnsi="Arial"/>
          <w:sz w:val="19"/>
          <w:szCs w:val="19"/>
          <w:color w:val="auto"/>
        </w:rPr>
      </w:pPr>
    </w:p>
    <w:p>
      <w:pPr>
        <w:jc w:val="both"/>
        <w:ind w:firstLine="8"/>
        <w:spacing w:after="0" w:line="286" w:lineRule="auto"/>
        <w:tabs>
          <w:tab w:leader="none" w:pos="34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delivering, or causing to be delivered, to the Administrative Agent replacement Notes dated as of the applicable Borrower Removal Date payable to each Lender for which an existing Note is outstanding on such Borrower Removal Date, executed by WIL and each other Borrower that shall not cease to be a Borrower on such Borrower Removal Date, in form and substance reasonably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Borrower may cease to be a Borrower hereunder pursuant to this </w:t>
      </w:r>
      <w:r>
        <w:rPr>
          <w:rFonts w:ascii="Arial" w:cs="Arial" w:eastAsia="Arial" w:hAnsi="Arial"/>
          <w:sz w:val="19"/>
          <w:szCs w:val="19"/>
          <w:u w:val="single" w:color="auto"/>
          <w:color w:val="auto"/>
        </w:rPr>
        <w:t>Section 11.01(d)</w:t>
      </w:r>
      <w:r>
        <w:rPr>
          <w:rFonts w:ascii="Arial" w:cs="Arial" w:eastAsia="Arial" w:hAnsi="Arial"/>
          <w:sz w:val="19"/>
          <w:szCs w:val="19"/>
          <w:color w:val="auto"/>
        </w:rPr>
        <w:t xml:space="preserve"> if a Default or Event of Default shall have occurred and be continuing on the applicable Borrower Removal Date, or shall result from such Borrower ceasing to be a Borrower hereunder on such Borrower Removal Date. Upon satisfaction of the conditions set forth in the preceding sentence, on the applicable Borrower Removal Date, the applicable Borrower shall no longer be a “Borrower”, an “Obligor” or an “Obligor Party” hereunder or under any other Loan Document. Notwithstanding anything to the contrary contained herein, in the event that any Borrower shall cease to be a Borrower hereunder in accordance with this </w:t>
      </w:r>
      <w:r>
        <w:rPr>
          <w:rFonts w:ascii="Arial" w:cs="Arial" w:eastAsia="Arial" w:hAnsi="Arial"/>
          <w:sz w:val="19"/>
          <w:szCs w:val="19"/>
          <w:u w:val="single" w:color="auto"/>
          <w:color w:val="auto"/>
        </w:rPr>
        <w:t>Section 11.01(d)</w:t>
      </w:r>
      <w:r>
        <w:rPr>
          <w:rFonts w:ascii="Arial" w:cs="Arial" w:eastAsia="Arial" w:hAnsi="Arial"/>
          <w:sz w:val="19"/>
          <w:szCs w:val="19"/>
          <w:color w:val="auto"/>
        </w:rPr>
        <w:t>, the other Obligors shall remain jointly and severally liable with respect to each Loan made to such Borrower and each Letter of Credit issued for the account of such Borrower outstanding on the applicable Borrower Removal Date.</w:t>
      </w:r>
    </w:p>
    <w:p>
      <w:pPr>
        <w:spacing w:after="0" w:line="197" w:lineRule="exact"/>
        <w:rPr>
          <w:rFonts w:ascii="Arial" w:cs="Arial" w:eastAsia="Arial" w:hAnsi="Arial"/>
          <w:sz w:val="19"/>
          <w:szCs w:val="19"/>
          <w:color w:val="auto"/>
        </w:rPr>
      </w:pPr>
    </w:p>
    <w:p>
      <w:pPr>
        <w:jc w:val="both"/>
        <w:ind w:firstLine="656"/>
        <w:spacing w:after="0" w:line="250" w:lineRule="auto"/>
        <w:tabs>
          <w:tab w:leader="none" w:pos="117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Arial" w:cs="Arial" w:eastAsia="Arial" w:hAnsi="Arial"/>
          <w:sz w:val="22"/>
          <w:szCs w:val="22"/>
          <w:u w:val="single" w:color="auto"/>
          <w:color w:val="auto"/>
        </w:rPr>
        <w:t>Section 8.02</w:t>
      </w:r>
      <w:r>
        <w:rPr>
          <w:rFonts w:ascii="Arial" w:cs="Arial" w:eastAsia="Arial" w:hAnsi="Arial"/>
          <w:sz w:val="22"/>
          <w:szCs w:val="22"/>
          <w:color w:val="auto"/>
        </w:rPr>
        <w:t>. The Borrowers hereby, jointly and severally, agree to pay all reasonable costs and expenses incurred by the Administrative Agent in connection with any such release of a Guarantor.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0" w:lineRule="auto"/>
        <w:tabs>
          <w:tab w:leader="none" w:pos="184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8"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if to any Borrower or Guarantor, to it at:</w:t>
      </w:r>
    </w:p>
    <w:p>
      <w:pPr>
        <w:spacing w:after="0" w:line="15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c/o Weatherford International, LLC</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Attention: General Counsel</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Telephone: (713) 836-4000</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LegalWeatherford@weatherford.com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75" w:right="239" w:bottom="1440" w:gutter="0" w:footer="0" w:header="0"/>
        </w:sectPr>
      </w:pPr>
    </w:p>
    <w:bookmarkStart w:id="163" w:name="page164"/>
    <w:bookmarkEnd w:id="163"/>
    <w:p>
      <w:pPr>
        <w:ind w:left="1300"/>
        <w:spacing w:after="0"/>
        <w:rPr>
          <w:sz w:val="20"/>
          <w:szCs w:val="20"/>
          <w:color w:val="auto"/>
        </w:rPr>
      </w:pPr>
      <w:r>
        <w:rPr>
          <w:rFonts w:ascii="Arial" w:cs="Arial" w:eastAsia="Arial" w:hAnsi="Arial"/>
          <w:sz w:val="22"/>
          <w:szCs w:val="22"/>
          <w:color w:val="auto"/>
        </w:rPr>
        <w:t>with a copy to:</w:t>
      </w:r>
    </w:p>
    <w:p>
      <w:pPr>
        <w:spacing w:after="0" w:line="36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c/o Weatherford International, LLC</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Telephone: (713) 836-7460</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Mark.Rothleitner@weatherford.com</w:t>
      </w:r>
      <w:r>
        <w:rPr>
          <w:rFonts w:ascii="Arial" w:cs="Arial" w:eastAsia="Arial" w:hAnsi="Arial"/>
          <w:sz w:val="22"/>
          <w:szCs w:val="22"/>
          <w:color w:val="auto"/>
        </w:rPr>
        <w:t>;</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u w:val="single" w:color="auto"/>
          <w:color w:val="auto"/>
        </w:rPr>
        <w:t>Josh.Silverman@weatherford.com</w:t>
      </w:r>
    </w:p>
    <w:p>
      <w:pPr>
        <w:spacing w:after="0" w:line="247" w:lineRule="exact"/>
        <w:rPr>
          <w:sz w:val="20"/>
          <w:szCs w:val="20"/>
          <w:color w:val="auto"/>
        </w:rPr>
      </w:pPr>
    </w:p>
    <w:p>
      <w:pPr>
        <w:ind w:left="1160" w:hanging="515"/>
        <w:spacing w:after="0"/>
        <w:tabs>
          <w:tab w:leader="none" w:pos="116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to the Administrative Agent or to JPMorgan, in its capacity as an Issuing Bank or a Swingline Lender, to it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w:t>
      </w:r>
    </w:p>
    <w:p>
      <w:pPr>
        <w:spacing w:after="0" w:line="13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Chase Tower</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CLS Unit: MC Loan &amp; Agency 7th Floor</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21 S. Clark</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Chicago, IL 60603</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Attention: April Yebd</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Telephone: (312) 732-2628</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Facsimile: (888) 208-7168</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Email: jpm.agency.servicing.6@jpmchase.com</w:t>
      </w:r>
    </w:p>
    <w:p>
      <w:pPr>
        <w:spacing w:after="0" w:line="247" w:lineRule="exact"/>
        <w:rPr>
          <w:sz w:val="20"/>
          <w:szCs w:val="20"/>
          <w:color w:val="auto"/>
        </w:rPr>
      </w:pPr>
    </w:p>
    <w:p>
      <w:pPr>
        <w:ind w:left="1180" w:hanging="535"/>
        <w:spacing w:after="0"/>
        <w:tabs>
          <w:tab w:leader="none" w:pos="11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to Deutsche Bank, in its capacity as an Issuing Bank, to it at:</w:t>
      </w:r>
    </w:p>
    <w:p>
      <w:pPr>
        <w:spacing w:after="0" w:line="15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Deutsche Bank AG New York Branch</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60 Wall Street</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New York, NY 10005</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Attention: Global Loan Operations,</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Standby Letter of Credit Unit</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Everardus Rozing</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Telephone: (212) 250-1014</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Facsimile: (212) 797-0403</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Email: everardus.rozing@db.com;</w:t>
      </w:r>
    </w:p>
    <w:p>
      <w:pPr>
        <w:spacing w:after="0" w:line="3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if to Credit Agricole, in its capacity as an Issuing Bank, to it at:</w:t>
      </w:r>
    </w:p>
    <w:p>
      <w:pPr>
        <w:spacing w:after="0" w:line="15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Credit Agricole and Corporate Investment Bank</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Mr. Gener David</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1301 Avenue of the Americas</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New York, NY 10019</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Telephone: (212) 261-7741</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Facsimile: (917) 849-5440</w:t>
      </w:r>
    </w:p>
    <w:p>
      <w:pPr>
        <w:spacing w:after="0" w:line="4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Email: gener.david@ca-cib.com;</w:t>
      </w:r>
    </w:p>
    <w:p>
      <w:pPr>
        <w:spacing w:after="0" w:line="247" w:lineRule="exact"/>
        <w:rPr>
          <w:sz w:val="20"/>
          <w:szCs w:val="20"/>
          <w:color w:val="auto"/>
        </w:rPr>
      </w:pPr>
    </w:p>
    <w:p>
      <w:pPr>
        <w:ind w:left="1120" w:hanging="475"/>
        <w:spacing w:after="0"/>
        <w:tabs>
          <w:tab w:leader="none" w:pos="11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if to Wells Fargo, in its capacity as an Issuing Bank, to it at:</w:t>
      </w:r>
    </w:p>
    <w:p>
      <w:pPr>
        <w:sectPr>
          <w:pgSz w:w="11900" w:h="16838" w:orient="portrait"/>
          <w:cols w:equalWidth="0" w:num="1">
            <w:col w:w="10760"/>
          </w:cols>
          <w:pgMar w:left="900" w:top="632" w:right="239" w:bottom="1440" w:gutter="0" w:footer="0" w:header="0"/>
        </w:sectPr>
      </w:pP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760"/>
          </w:cols>
          <w:pgMar w:left="900" w:top="632" w:right="239" w:bottom="1440" w:gutter="0" w:footer="0" w:header="0"/>
          <w:type w:val="continuous"/>
        </w:sectPr>
      </w:pPr>
    </w:p>
    <w:bookmarkStart w:id="164" w:name="page165"/>
    <w:bookmarkEnd w:id="164"/>
    <w:p>
      <w:pPr>
        <w:ind w:left="3040"/>
        <w:spacing w:after="0"/>
        <w:rPr>
          <w:sz w:val="20"/>
          <w:szCs w:val="20"/>
          <w:color w:val="auto"/>
        </w:rPr>
      </w:pPr>
      <w:r>
        <w:rPr>
          <w:rFonts w:ascii="Arial" w:cs="Arial" w:eastAsia="Arial" w:hAnsi="Arial"/>
          <w:sz w:val="22"/>
          <w:szCs w:val="22"/>
          <w:color w:val="auto"/>
        </w:rPr>
        <w:t>Wells Fargo Bank, National Association</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1000 Louisiana Street, 9th Floor</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MAC T5002-090</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Houston, Texas 77002-5005</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Attention: Gracie Ramirez</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Telephone: (713) 319-1307</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Facsimile: (713) 739-1087</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Email: gricelda.ramirez@wellsfargo.com;</w:t>
      </w:r>
    </w:p>
    <w:p>
      <w:pPr>
        <w:spacing w:after="0" w:line="24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19"/>
          <w:szCs w:val="19"/>
          <w:color w:val="auto"/>
        </w:rPr>
        <w:t>if to Toronto Dominion, in its capacity as an Issuing Bank, to it at:</w:t>
      </w:r>
    </w:p>
    <w:p>
      <w:pPr>
        <w:spacing w:after="0" w:line="15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The Toronto Dominion Bank, New York Branch</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77 King Street West, 25th Floor</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Toronoto ON M5K 1A2</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Canada</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Attention: Maryam Royan</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Telephone: (416) 982-3503</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Facsimile: (416) 982-8619</w:t>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Email: maryam.royan@tdsecurities.com</w:t>
      </w:r>
    </w:p>
    <w:p>
      <w:pPr>
        <w:spacing w:after="0" w:line="247" w:lineRule="exact"/>
        <w:rPr>
          <w:sz w:val="20"/>
          <w:szCs w:val="20"/>
          <w:color w:val="auto"/>
        </w:rPr>
      </w:pPr>
    </w:p>
    <w:p>
      <w:pPr>
        <w:ind w:left="660" w:firstLine="1293"/>
        <w:spacing w:after="0" w:line="263" w:lineRule="auto"/>
        <w:tabs>
          <w:tab w:leader="none" w:pos="261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if to any other Issuing Bank, to it at such address (or facsimile number) as shall be specified in the Issuing Bank Agreement to which such Issuing Bank shall be a party; and</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if to any Lender, to it at its address (or facsimile number) set forth in its Administrative</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Questionnaire.</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92" w:lineRule="exact"/>
        <w:rPr>
          <w:sz w:val="20"/>
          <w:szCs w:val="20"/>
          <w:color w:val="auto"/>
        </w:rPr>
      </w:pPr>
    </w:p>
    <w:p>
      <w:pPr>
        <w:jc w:val="both"/>
        <w:ind w:firstLine="1305"/>
        <w:spacing w:after="0" w:line="247" w:lineRule="auto"/>
        <w:tabs>
          <w:tab w:leader="none" w:pos="191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to the Lenders and the Issuing Banks hereunder may be delivered or furnished by Electronic Systems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996" w:right="239" w:bottom="1440" w:gutter="0" w:footer="0" w:header="0"/>
        </w:sectPr>
      </w:pPr>
    </w:p>
    <w:bookmarkStart w:id="165" w:name="page166"/>
    <w:bookmarkEnd w:id="165"/>
    <w:p>
      <w:pPr>
        <w:jc w:val="both"/>
        <w:spacing w:after="0" w:line="248" w:lineRule="auto"/>
        <w:rPr>
          <w:sz w:val="20"/>
          <w:szCs w:val="20"/>
          <w:color w:val="auto"/>
        </w:rPr>
      </w:pPr>
      <w:r>
        <w:rPr>
          <w:rFonts w:ascii="Arial" w:cs="Arial" w:eastAsia="Arial" w:hAnsi="Arial"/>
          <w:sz w:val="22"/>
          <w:szCs w:val="22"/>
          <w:color w:val="auto"/>
        </w:rPr>
        <w:t>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2" w:lineRule="exact"/>
        <w:rPr>
          <w:sz w:val="20"/>
          <w:szCs w:val="20"/>
          <w:color w:val="auto"/>
        </w:rPr>
      </w:pPr>
    </w:p>
    <w:p>
      <w:pPr>
        <w:ind w:firstLine="1305"/>
        <w:spacing w:after="0" w:line="263" w:lineRule="auto"/>
        <w:tabs>
          <w:tab w:leader="none" w:pos="177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90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Electronic Systems.</w:t>
      </w:r>
    </w:p>
    <w:p>
      <w:pPr>
        <w:spacing w:after="0" w:line="260" w:lineRule="exact"/>
        <w:rPr>
          <w:rFonts w:ascii="Arial" w:cs="Arial" w:eastAsia="Arial" w:hAnsi="Arial"/>
          <w:sz w:val="22"/>
          <w:szCs w:val="22"/>
          <w:color w:val="auto"/>
        </w:rPr>
      </w:pPr>
    </w:p>
    <w:p>
      <w:pPr>
        <w:jc w:val="both"/>
        <w:ind w:left="660" w:right="20" w:firstLine="1293"/>
        <w:spacing w:after="0" w:line="253" w:lineRule="auto"/>
        <w:tabs>
          <w:tab w:leader="none" w:pos="2596"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226" w:lineRule="exact"/>
        <w:rPr>
          <w:rFonts w:ascii="Arial" w:cs="Arial" w:eastAsia="Arial" w:hAnsi="Arial"/>
          <w:sz w:val="22"/>
          <w:szCs w:val="22"/>
          <w:color w:val="auto"/>
        </w:rPr>
      </w:pPr>
    </w:p>
    <w:p>
      <w:pPr>
        <w:jc w:val="both"/>
        <w:ind w:left="660" w:firstLine="1293"/>
        <w:spacing w:after="0" w:line="287" w:lineRule="auto"/>
        <w:tabs>
          <w:tab w:leader="none" w:pos="2487" w:val="left"/>
        </w:tabs>
        <w:numPr>
          <w:ilvl w:val="1"/>
          <w:numId w:val="196"/>
        </w:numPr>
        <w:rPr>
          <w:rFonts w:ascii="Arial" w:cs="Arial" w:eastAsia="Arial" w:hAnsi="Arial"/>
          <w:sz w:val="19"/>
          <w:szCs w:val="19"/>
          <w:color w:val="auto"/>
        </w:rPr>
      </w:pPr>
      <w:r>
        <w:rPr>
          <w:rFonts w:ascii="Arial" w:cs="Arial" w:eastAsia="Arial" w:hAnsi="Arial"/>
          <w:sz w:val="19"/>
          <w:szCs w:val="19"/>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“Communications”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Expenses, Etc.</w:t>
      </w:r>
      <w:r>
        <w:rPr>
          <w:rFonts w:ascii="Arial" w:cs="Arial" w:eastAsia="Arial" w:hAnsi="Arial"/>
          <w:sz w:val="22"/>
          <w:szCs w:val="22"/>
          <w:color w:val="auto"/>
        </w:rPr>
        <w:t xml:space="preserve"> The Borrowers, jointly and severally, shall pay (a) all reasonable and documented out-of-pocket expenses incurred by the Administrative Agent and its Affiliates, including the reasonable and documented or invoiced fees, charges and disbursements of counsel for the Administrative Agent, in connection with the syndication and distribution (including via the internet or through a services such as Intralinks) of the credit facilities provided for herein, the preparation, registration and administration of this Agreement and the other Loan Documents or any amendments, modifications or waivers of the provisions hereof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847" w:right="239" w:bottom="1440" w:gutter="0" w:footer="0" w:header="0"/>
        </w:sectPr>
      </w:pPr>
    </w:p>
    <w:bookmarkStart w:id="166" w:name="page167"/>
    <w:bookmarkEnd w:id="166"/>
    <w:p>
      <w:pPr>
        <w:jc w:val="both"/>
        <w:spacing w:after="0" w:line="285" w:lineRule="auto"/>
        <w:rPr>
          <w:sz w:val="20"/>
          <w:szCs w:val="20"/>
          <w:color w:val="auto"/>
        </w:rPr>
      </w:pPr>
      <w:r>
        <w:rPr>
          <w:rFonts w:ascii="Arial" w:cs="Arial" w:eastAsia="Arial" w:hAnsi="Arial"/>
          <w:sz w:val="19"/>
          <w:szCs w:val="19"/>
          <w:color w:val="auto"/>
        </w:rPr>
        <w:t xml:space="preserve">thereof (whether or not the transactions contemplated hereby or thereby shall be consummated), (b) all reasonable and documented out-of-pocket expenses incurred by JPMorgan, Deutsche Bank Securities Inc. and their respective Affiliates, including the reasonable and documented or invoiced fees, charges and disbursements of counsel for each of JPMorgan and Deutsche Bank Securities Inc., in connection with the syndication of the credit facilities provided for herein, provided that such fees, charges and disbursements of counsel for Deutsche Bank Securities Inc. shall not exceed $15,000 in the aggregate,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any Issuing Bank and/or any Lender (including the documented or invoiced fees, disbursements and other charges of (i) any counsel for the Administrative Agent (which, for the avoidance of doubt, may include counsel in foreign jurisdictions) and (ii) one counsel to the Lenders licensed in the State of New York and licensed in each jurisdiction (including any state) where any Obligor or any Subsidiary of an Obligor is organized, has its chief executive office or has assets with a material value) in connection with the enforcement, collection or protection of its rights in connection with this Agreement or any other Loan Document, including its rights under this Section, or in connection with the Loans made or Letters of Credit issued hereunder, including all such out-of pocket expenses incurred during any workout, restructuring or negotiations in respect of such Loans or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Defaulting Lender will not be reimbursed for its costs and expenses related to the replacement of such Defaulting Lender or other matters incidental thereto.</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u w:val="single" w:color="auto"/>
          <w:color w:val="auto"/>
        </w:rPr>
        <w:t>Indemnity</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3" w:lineRule="auto"/>
        <w:tabs>
          <w:tab w:leader="none" w:pos="186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Borrowers, jointly and severally, shall indemnify the Administrative Agent, each Lead Arranger, each Issuing Bank and each Lender, and each Affiliate of each of the foregoing, and their respective directors, officers, employees and agents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hold each Indemnitee harmless against, any and all losses, liabilities, claims or damages (including reasonable and documented or invoiced legal fees and expenses) to which any Indemnitee may become subject, insofar as such losses, liabilities, claims or damages arise out of or result from (i) any claim, investigation, litigation or proceeding (including any threatened claim, investigation, litigation or proceeding) relating to this Agreement, any Loan,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(ii) any actual or alleged presence or release of Hazardous Materials on or from any property owned or operated by WIL-Ireland or any of its Subsidiaries, or any Environmental Liability related in any way to WIL-Ireland or any of its Subsidiaries, except, in each case, insofar as the Environmental Liability or liability relating to the presence or release of Hazardous Materials arises out of actions taken by, or failed to be taken by, such Indemnitee after the date on which WIL-Ireland or any of its Subsidiaries is divested of ownership of such property (whether by foreclosure or deed in lieu of foreclosure, as mortgagee-in-possession or otherwise), or</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actual or proposed use by any Borrower or any of its Subsidiaries of the proceeds of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75" w:right="239" w:bottom="1440" w:gutter="0" w:footer="0" w:header="0"/>
        </w:sectPr>
      </w:pPr>
    </w:p>
    <w:bookmarkStart w:id="167" w:name="page168"/>
    <w:bookmarkEnd w:id="167"/>
    <w:p>
      <w:pPr>
        <w:jc w:val="both"/>
        <w:spacing w:after="0" w:line="285" w:lineRule="auto"/>
        <w:rPr>
          <w:sz w:val="20"/>
          <w:szCs w:val="20"/>
          <w:color w:val="auto"/>
        </w:rPr>
      </w:pPr>
      <w:r>
        <w:rPr>
          <w:rFonts w:ascii="Arial" w:cs="Arial" w:eastAsia="Arial" w:hAnsi="Arial"/>
          <w:sz w:val="19"/>
          <w:szCs w:val="19"/>
          <w:color w:val="auto"/>
        </w:rPr>
        <w:t xml:space="preserve">any extension of credit by any Lender or any Issuing Bank hereunder, and the Borrowers, jointly and severally, shall reimburse each Indemnitee upon demand for any expenses (including reasonable and documented or invoiced legal fees) incurred in connection with any such claim, investigation, litigation or proceeding; but excluding any such losses, liabilities, claims, damages or expenses (A) found by a final, nonappealable judgment of a court of competent jurisdiction to have been incurred by reason of the gross negligence, willful misconduct or unlawful conduct of such Indemnitee, (B) that arise from any dispute solely between or among Indemnitees (not arising as a result of any act or omission by the Obligors or their Affiliates), other than claims against an Indemnitee in its capacity as, or in fulfilling its role or roles as an arranger, administrative agent, syndication agent or documentation agent for the facility evidence by this Agreement or (C) incurred by any Defaulting Lender to the extent directly arising from or caused by the conduct, acts, omissions or events of or applicable to such Defaulting Lender that were the cause of such Lender’s becoming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SURVIVE THE TERMINATION OF THIS AGREEMENT AND THE OTHER LOAN DOCUMENTS AND THE PAYMENT OF THE OTHER OBLIGATIONS OR THE ASSIGNMENT OF THE NOTES.</w:t>
      </w:r>
    </w:p>
    <w:p>
      <w:pPr>
        <w:spacing w:after="0" w:line="200" w:lineRule="exact"/>
        <w:rPr>
          <w:sz w:val="20"/>
          <w:szCs w:val="20"/>
          <w:color w:val="auto"/>
        </w:rPr>
      </w:pPr>
    </w:p>
    <w:p>
      <w:pPr>
        <w:spacing w:after="0" w:line="262" w:lineRule="exact"/>
        <w:rPr>
          <w:sz w:val="20"/>
          <w:szCs w:val="20"/>
          <w:color w:val="auto"/>
        </w:rPr>
      </w:pPr>
    </w:p>
    <w:p>
      <w:pPr>
        <w:jc w:val="both"/>
        <w:ind w:firstLine="1305"/>
        <w:spacing w:after="0" w:line="246" w:lineRule="auto"/>
        <w:tabs>
          <w:tab w:leader="none" w:pos="178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To the extent that any Borrower fails to pay any amount required to be paid by it to the Administrative Agent, any Swingline Lender or any Issuing Bank under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or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Section, each Lender severally agrees to pay to the Administrative Agent, such Swingline Lender or such Issuing Bank, as the case may be, such Lender’s Applicable Percentage (determined as of the time that the applicable unreimbursed expense or indemnity payment is sought) of such unpaid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unreimbursed expense or indemnified loss, claim, damage, liability or related expense, as the case may be, was incurred by or asserted against the Administrative Agent, such Swingline Lender or such Issuing Bank in its capacity as such.</w:t>
      </w:r>
    </w:p>
    <w:p>
      <w:pPr>
        <w:spacing w:after="0" w:line="237" w:lineRule="exact"/>
        <w:rPr>
          <w:rFonts w:ascii="Arial" w:cs="Arial" w:eastAsia="Arial" w:hAnsi="Arial"/>
          <w:sz w:val="22"/>
          <w:szCs w:val="22"/>
          <w:color w:val="auto"/>
        </w:rPr>
      </w:pPr>
    </w:p>
    <w:p>
      <w:pPr>
        <w:jc w:val="both"/>
        <w:ind w:firstLine="1305"/>
        <w:spacing w:after="0" w:line="292" w:lineRule="auto"/>
        <w:tabs>
          <w:tab w:leader="none" w:pos="189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Loan or Letter of Credit or the use of the proceeds thereof (it being understood that, to the extent any Indemnitee suffers any such special, indirect, consequential or punitive damages, the indemnification obligations of the Borrowers set forth in the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shall apply).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375" w:right="239" w:bottom="1440" w:gutter="0" w:footer="0" w:header="0"/>
        </w:sectPr>
      </w:pPr>
    </w:p>
    <w:bookmarkStart w:id="168" w:name="page169"/>
    <w:bookmarkEnd w:id="168"/>
    <w:p>
      <w:pPr>
        <w:jc w:val="both"/>
        <w:ind w:firstLine="1305"/>
        <w:spacing w:after="0" w:line="247" w:lineRule="auto"/>
        <w:tabs>
          <w:tab w:leader="none" w:pos="1939"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No Indemnitee referred to in </w:t>
      </w:r>
      <w:r>
        <w:rPr>
          <w:rFonts w:ascii="Arial" w:cs="Arial" w:eastAsia="Arial" w:hAnsi="Arial"/>
          <w:sz w:val="22"/>
          <w:szCs w:val="22"/>
          <w:u w:val="single" w:color="auto"/>
          <w:color w:val="auto"/>
        </w:rPr>
        <w:t>Section 11.04(a)</w:t>
      </w:r>
      <w:r>
        <w:rPr>
          <w:rFonts w:ascii="Arial" w:cs="Arial" w:eastAsia="Arial" w:hAnsi="Arial"/>
          <w:sz w:val="22"/>
          <w:szCs w:val="22"/>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w:t>
      </w:r>
    </w:p>
    <w:p>
      <w:pPr>
        <w:spacing w:after="0" w:line="2" w:lineRule="exact"/>
        <w:rPr>
          <w:rFonts w:ascii="Arial" w:cs="Arial" w:eastAsia="Arial" w:hAnsi="Arial"/>
          <w:sz w:val="22"/>
          <w:szCs w:val="22"/>
          <w:color w:val="auto"/>
        </w:rPr>
      </w:pPr>
    </w:p>
    <w:p>
      <w:pPr>
        <w:spacing w:after="0" w:line="246" w:lineRule="auto"/>
        <w:rPr>
          <w:rFonts w:ascii="Arial" w:cs="Arial" w:eastAsia="Arial" w:hAnsi="Arial"/>
          <w:sz w:val="22"/>
          <w:szCs w:val="22"/>
          <w:color w:val="auto"/>
        </w:rPr>
      </w:pPr>
      <w:r>
        <w:rPr>
          <w:rFonts w:ascii="Arial" w:cs="Arial" w:eastAsia="Arial" w:hAnsi="Arial"/>
          <w:sz w:val="22"/>
          <w:szCs w:val="22"/>
          <w:color w:val="auto"/>
        </w:rPr>
        <w:t>any such damages found by a final, nonappealable judgment of a court of competent jurisdiction to have been incurred by reason of the gross negligence, willful misconduct or unlawful conduct of such Indemnitee.</w:t>
      </w:r>
    </w:p>
    <w:p>
      <w:pPr>
        <w:spacing w:after="0" w:line="233" w:lineRule="exact"/>
        <w:rPr>
          <w:rFonts w:ascii="Arial" w:cs="Arial" w:eastAsia="Arial" w:hAnsi="Arial"/>
          <w:sz w:val="22"/>
          <w:szCs w:val="22"/>
          <w:color w:val="auto"/>
        </w:rPr>
      </w:pPr>
    </w:p>
    <w:p>
      <w:pPr>
        <w:ind w:firstLine="1305"/>
        <w:spacing w:after="0" w:line="343" w:lineRule="auto"/>
        <w:tabs>
          <w:tab w:leader="none" w:pos="177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shall be payable not later than ten Business Days after written demand therefor and presentation of any documents required to be delivered in connection therewith.</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86" w:lineRule="auto"/>
        <w:tabs>
          <w:tab w:leader="none" w:pos="1779" w:val="left"/>
        </w:tabs>
        <w:numPr>
          <w:ilvl w:val="1"/>
          <w:numId w:val="201"/>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 (i) no Obligor may assign or otherwise transfer any of its rights or obligations hereunder without the prior written consent of each Lender (and any attempted assignment or transfer by such Obligor without such consent shall be null and void) and</w:t>
      </w:r>
    </w:p>
    <w:p>
      <w:pPr>
        <w:spacing w:after="0" w:line="2" w:lineRule="exact"/>
        <w:rPr>
          <w:rFonts w:ascii="Arial" w:cs="Arial" w:eastAsia="Arial" w:hAnsi="Arial"/>
          <w:sz w:val="19"/>
          <w:szCs w:val="19"/>
          <w:color w:val="auto"/>
        </w:rPr>
      </w:pPr>
    </w:p>
    <w:p>
      <w:pPr>
        <w:jc w:val="both"/>
        <w:ind w:firstLine="8"/>
        <w:spacing w:after="0" w:line="244" w:lineRule="auto"/>
        <w:tabs>
          <w:tab w:leader="none" w:pos="32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235" w:lineRule="exact"/>
        <w:rPr>
          <w:rFonts w:ascii="Arial" w:cs="Arial" w:eastAsia="Arial" w:hAnsi="Arial"/>
          <w:sz w:val="22"/>
          <w:szCs w:val="22"/>
          <w:color w:val="auto"/>
        </w:rPr>
      </w:pPr>
    </w:p>
    <w:p>
      <w:pPr>
        <w:jc w:val="both"/>
        <w:ind w:firstLine="1305"/>
        <w:spacing w:after="0" w:line="302" w:lineRule="auto"/>
        <w:tabs>
          <w:tab w:leader="none" w:pos="1798"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subparagraph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and, additionally, in the case of assignments pursuant to </w:t>
      </w:r>
      <w:r>
        <w:rPr>
          <w:rFonts w:ascii="Arial" w:cs="Arial" w:eastAsia="Arial" w:hAnsi="Arial"/>
          <w:sz w:val="19"/>
          <w:szCs w:val="19"/>
          <w:u w:val="single" w:color="auto"/>
          <w:color w:val="auto"/>
        </w:rPr>
        <w:t>Section 4.03</w:t>
      </w:r>
      <w:r>
        <w:rPr>
          <w:rFonts w:ascii="Arial" w:cs="Arial" w:eastAsia="Arial" w:hAnsi="Arial"/>
          <w:sz w:val="19"/>
          <w:szCs w:val="19"/>
          <w:color w:val="auto"/>
        </w:rPr>
        <w:t>, delayed or conditioned) of:</w:t>
      </w:r>
    </w:p>
    <w:p>
      <w:pPr>
        <w:spacing w:after="0" w:line="183" w:lineRule="exact"/>
        <w:rPr>
          <w:rFonts w:ascii="Arial" w:cs="Arial" w:eastAsia="Arial" w:hAnsi="Arial"/>
          <w:sz w:val="19"/>
          <w:szCs w:val="19"/>
          <w:color w:val="auto"/>
        </w:rPr>
      </w:pPr>
    </w:p>
    <w:p>
      <w:pPr>
        <w:jc w:val="both"/>
        <w:ind w:left="1300" w:firstLine="653"/>
        <w:spacing w:after="0" w:line="253" w:lineRule="auto"/>
        <w:tabs>
          <w:tab w:leader="none" w:pos="2896" w:val="left"/>
        </w:tabs>
        <w:numPr>
          <w:ilvl w:val="2"/>
          <w:numId w:val="202"/>
        </w:numPr>
        <w:rPr>
          <w:rFonts w:ascii="Arial" w:cs="Arial" w:eastAsia="Arial" w:hAnsi="Arial"/>
          <w:sz w:val="22"/>
          <w:szCs w:val="22"/>
          <w:color w:val="auto"/>
        </w:rPr>
      </w:pPr>
      <w:r>
        <w:rPr>
          <w:rFonts w:ascii="Arial" w:cs="Arial" w:eastAsia="Arial" w:hAnsi="Arial"/>
          <w:sz w:val="22"/>
          <w:szCs w:val="22"/>
          <w:color w:val="auto"/>
        </w:rPr>
        <w:t xml:space="preserve">WIL-Bermuda,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WIL-Bermuda shall be required for an assignment to a Lender, an Affiliate of a Lender, an Approved Fund or, if an Event of Default has occurred and is continuing, any other assignee; and</w:t>
      </w:r>
    </w:p>
    <w:p>
      <w:pPr>
        <w:spacing w:after="0" w:line="226" w:lineRule="exact"/>
        <w:rPr>
          <w:rFonts w:ascii="Arial" w:cs="Arial" w:eastAsia="Arial" w:hAnsi="Arial"/>
          <w:sz w:val="22"/>
          <w:szCs w:val="22"/>
          <w:color w:val="auto"/>
        </w:rPr>
      </w:pPr>
    </w:p>
    <w:p>
      <w:pPr>
        <w:jc w:val="both"/>
        <w:ind w:left="1300" w:firstLine="653"/>
        <w:spacing w:after="0" w:line="253" w:lineRule="auto"/>
        <w:tabs>
          <w:tab w:leader="none" w:pos="2884" w:val="left"/>
        </w:tabs>
        <w:numPr>
          <w:ilvl w:val="2"/>
          <w:numId w:val="202"/>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 of a Lender, an Approved Fund immediately prior to giving effect to such assignment; and</w:t>
      </w:r>
    </w:p>
    <w:p>
      <w:pPr>
        <w:spacing w:after="0" w:line="226" w:lineRule="exact"/>
        <w:rPr>
          <w:rFonts w:ascii="Arial" w:cs="Arial" w:eastAsia="Arial" w:hAnsi="Arial"/>
          <w:sz w:val="22"/>
          <w:szCs w:val="22"/>
          <w:color w:val="auto"/>
        </w:rPr>
      </w:pPr>
    </w:p>
    <w:p>
      <w:pPr>
        <w:ind w:left="2880" w:hanging="927"/>
        <w:spacing w:after="0"/>
        <w:tabs>
          <w:tab w:leader="none" w:pos="2880" w:val="left"/>
        </w:tabs>
        <w:numPr>
          <w:ilvl w:val="2"/>
          <w:numId w:val="202"/>
        </w:numPr>
        <w:rPr>
          <w:rFonts w:ascii="Arial" w:cs="Arial" w:eastAsia="Arial" w:hAnsi="Arial"/>
          <w:sz w:val="22"/>
          <w:szCs w:val="22"/>
          <w:color w:val="auto"/>
        </w:rPr>
      </w:pPr>
      <w:r>
        <w:rPr>
          <w:rFonts w:ascii="Arial" w:cs="Arial" w:eastAsia="Arial" w:hAnsi="Arial"/>
          <w:sz w:val="22"/>
          <w:szCs w:val="22"/>
          <w:color w:val="auto"/>
        </w:rPr>
        <w:t>each Issuing Bank; and</w:t>
      </w:r>
    </w:p>
    <w:p>
      <w:pPr>
        <w:spacing w:after="0" w:line="260" w:lineRule="exact"/>
        <w:rPr>
          <w:rFonts w:ascii="Arial" w:cs="Arial" w:eastAsia="Arial" w:hAnsi="Arial"/>
          <w:sz w:val="22"/>
          <w:szCs w:val="22"/>
          <w:color w:val="auto"/>
        </w:rPr>
      </w:pPr>
    </w:p>
    <w:p>
      <w:pPr>
        <w:ind w:left="2900" w:hanging="947"/>
        <w:spacing w:after="0"/>
        <w:tabs>
          <w:tab w:leader="none" w:pos="2900" w:val="left"/>
        </w:tabs>
        <w:numPr>
          <w:ilvl w:val="2"/>
          <w:numId w:val="202"/>
        </w:numPr>
        <w:rPr>
          <w:rFonts w:ascii="Arial" w:cs="Arial" w:eastAsia="Arial" w:hAnsi="Arial"/>
          <w:sz w:val="22"/>
          <w:szCs w:val="22"/>
          <w:color w:val="auto"/>
        </w:rPr>
      </w:pPr>
      <w:r>
        <w:rPr>
          <w:rFonts w:ascii="Arial" w:cs="Arial" w:eastAsia="Arial" w:hAnsi="Arial"/>
          <w:sz w:val="22"/>
          <w:szCs w:val="22"/>
          <w:color w:val="auto"/>
        </w:rPr>
        <w:t>each Swingline Lender;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75" w:right="239" w:bottom="1440" w:gutter="0" w:footer="0" w:header="0"/>
        </w:sectPr>
      </w:pPr>
    </w:p>
    <w:bookmarkStart w:id="169" w:name="page170"/>
    <w:bookmarkEnd w:id="169"/>
    <w:p>
      <w:pPr>
        <w:jc w:val="both"/>
        <w:ind w:left="10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consent to an assignment required by WIL-Bermuda under this </w:t>
      </w:r>
      <w:r>
        <w:rPr>
          <w:rFonts w:ascii="Arial" w:cs="Arial" w:eastAsia="Arial" w:hAnsi="Arial"/>
          <w:sz w:val="22"/>
          <w:szCs w:val="22"/>
          <w:u w:val="single" w:color="auto"/>
          <w:color w:val="auto"/>
        </w:rPr>
        <w:t>Section 11.05(b)(i)</w:t>
      </w:r>
      <w:r>
        <w:rPr>
          <w:rFonts w:ascii="Arial" w:cs="Arial" w:eastAsia="Arial" w:hAnsi="Arial"/>
          <w:sz w:val="22"/>
          <w:szCs w:val="22"/>
          <w:color w:val="auto"/>
        </w:rPr>
        <w:t xml:space="preserve"> shall be deemed to have been given by WIL-Bermuda unless it shall have objected thereto by written notice to the Administrative Agent within ten (10) Business Days after receiving a written request for its consent to such assignment.</w:t>
      </w:r>
    </w:p>
    <w:p>
      <w:pPr>
        <w:spacing w:after="0" w:line="188" w:lineRule="exact"/>
        <w:rPr>
          <w:sz w:val="20"/>
          <w:szCs w:val="20"/>
          <w:color w:val="auto"/>
        </w:rPr>
      </w:pPr>
    </w:p>
    <w:p>
      <w:pPr>
        <w:ind w:left="760"/>
        <w:spacing w:after="0"/>
        <w:tabs>
          <w:tab w:leader="none" w:pos="1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Assignments shall be subject to the following additional conditions:</w:t>
      </w:r>
    </w:p>
    <w:p>
      <w:pPr>
        <w:spacing w:after="0" w:line="260" w:lineRule="exact"/>
        <w:rPr>
          <w:sz w:val="20"/>
          <w:szCs w:val="20"/>
          <w:color w:val="auto"/>
        </w:rPr>
      </w:pPr>
    </w:p>
    <w:p>
      <w:pPr>
        <w:jc w:val="both"/>
        <w:ind w:left="100" w:firstLine="653"/>
        <w:spacing w:after="0" w:line="294" w:lineRule="auto"/>
        <w:tabs>
          <w:tab w:leader="none" w:pos="131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 or Loans of any Type, the amount of the Commitment or Loans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WIL-Bermuda shall be required if an Event of Default has occurred and is continuing;</w:t>
      </w:r>
    </w:p>
    <w:p>
      <w:pPr>
        <w:spacing w:after="0" w:line="190" w:lineRule="exact"/>
        <w:rPr>
          <w:rFonts w:ascii="Arial" w:cs="Arial" w:eastAsia="Arial" w:hAnsi="Arial"/>
          <w:sz w:val="19"/>
          <w:szCs w:val="19"/>
          <w:color w:val="auto"/>
        </w:rPr>
      </w:pPr>
    </w:p>
    <w:p>
      <w:pPr>
        <w:jc w:val="both"/>
        <w:ind w:left="100" w:firstLine="653"/>
        <w:spacing w:after="0" w:line="260" w:lineRule="auto"/>
        <w:tabs>
          <w:tab w:leader="none" w:pos="135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each partial assignment shall be made as an assignment of a proportionate part of all the assigning Lender’s rights and obligations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(x) any assignment of the Non-Extended Commitment and related Obligations of a Non-Extending Lender shall include all rights, obligations and terms applicable thereto (including termination of such Extended Commitment on the Existing Maturity Date), and (y) any assignment of the Extended Commitment and related Obligations of an Extending Lender shall include all rights, obligations and terms applicable thereto (including termination of such Extended Commitment on the Extended Maturity Date);</w:t>
      </w:r>
    </w:p>
    <w:p>
      <w:pPr>
        <w:spacing w:after="0" w:line="221" w:lineRule="exact"/>
        <w:rPr>
          <w:rFonts w:ascii="Arial" w:cs="Arial" w:eastAsia="Arial" w:hAnsi="Arial"/>
          <w:sz w:val="21"/>
          <w:szCs w:val="21"/>
          <w:color w:val="auto"/>
        </w:rPr>
      </w:pPr>
    </w:p>
    <w:p>
      <w:pPr>
        <w:ind w:left="100" w:firstLine="653"/>
        <w:spacing w:after="0" w:line="263" w:lineRule="auto"/>
        <w:tabs>
          <w:tab w:leader="none" w:pos="133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$3,500;</w:t>
      </w:r>
    </w:p>
    <w:p>
      <w:pPr>
        <w:spacing w:after="0" w:line="215" w:lineRule="exact"/>
        <w:rPr>
          <w:rFonts w:ascii="Arial" w:cs="Arial" w:eastAsia="Arial" w:hAnsi="Arial"/>
          <w:sz w:val="22"/>
          <w:szCs w:val="22"/>
          <w:color w:val="auto"/>
        </w:rPr>
      </w:pPr>
    </w:p>
    <w:p>
      <w:pPr>
        <w:jc w:val="both"/>
        <w:ind w:left="100" w:firstLine="653"/>
        <w:spacing w:after="0" w:line="247" w:lineRule="auto"/>
        <w:tabs>
          <w:tab w:leader="none" w:pos="13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34" w:lineRule="exact"/>
        <w:rPr>
          <w:rFonts w:ascii="Arial" w:cs="Arial" w:eastAsia="Arial" w:hAnsi="Arial"/>
          <w:sz w:val="22"/>
          <w:szCs w:val="22"/>
          <w:color w:val="auto"/>
        </w:rPr>
      </w:pPr>
    </w:p>
    <w:p>
      <w:pPr>
        <w:jc w:val="both"/>
        <w:ind w:left="100" w:firstLine="653"/>
        <w:spacing w:after="0" w:line="312" w:lineRule="auto"/>
        <w:tabs>
          <w:tab w:leader="none" w:pos="167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4.02(e)</w:t>
      </w:r>
      <w:r>
        <w:rPr>
          <w:rFonts w:ascii="Arial" w:cs="Arial" w:eastAsia="Arial" w:hAnsi="Arial"/>
          <w:sz w:val="19"/>
          <w:szCs w:val="19"/>
          <w:color w:val="auto"/>
        </w:rPr>
        <w:t xml:space="preserve"> for any</w:t>
      </w:r>
    </w:p>
    <w:p>
      <w:pPr>
        <w:spacing w:after="0" w:line="200" w:lineRule="exact"/>
        <w:rPr>
          <w:sz w:val="20"/>
          <w:szCs w:val="20"/>
          <w:color w:val="auto"/>
        </w:rPr>
      </w:pP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220"/>
          </w:cols>
          <w:pgMar w:left="1440" w:top="631" w:right="239" w:bottom="1440" w:gutter="0" w:footer="0" w:header="0"/>
        </w:sectPr>
      </w:pPr>
    </w:p>
    <w:bookmarkStart w:id="170" w:name="page171"/>
    <w:bookmarkEnd w:id="170"/>
    <w:p>
      <w:pPr>
        <w:ind w:left="640"/>
        <w:spacing w:after="0"/>
        <w:rPr>
          <w:sz w:val="20"/>
          <w:szCs w:val="20"/>
          <w:color w:val="auto"/>
        </w:rPr>
      </w:pPr>
      <w:r>
        <w:rPr>
          <w:rFonts w:ascii="Arial" w:cs="Arial" w:eastAsia="Arial" w:hAnsi="Arial"/>
          <w:sz w:val="19"/>
          <w:szCs w:val="19"/>
          <w:color w:val="auto"/>
        </w:rPr>
        <w:t>Lender, and no assignment shall be effective in connection herewith unless and until such forms are so delivered;</w:t>
      </w:r>
    </w:p>
    <w:p>
      <w:pPr>
        <w:spacing w:after="0" w:line="295" w:lineRule="exact"/>
        <w:rPr>
          <w:sz w:val="20"/>
          <w:szCs w:val="20"/>
          <w:color w:val="auto"/>
        </w:rPr>
      </w:pPr>
    </w:p>
    <w:p>
      <w:pPr>
        <w:jc w:val="both"/>
        <w:ind w:left="640" w:firstLine="653"/>
        <w:spacing w:after="0" w:line="250" w:lineRule="auto"/>
        <w:tabs>
          <w:tab w:leader="none" w:pos="22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except in the case when no consent of WIL-Bermuda is required because an Event of Default has occurred and is continuing, no assignment shall be made to any such assignee unless such assignee provides a written representation to WIL-Bermuda that such assignee is not subject under then current law to any withholding tax on amounts payable to such assignee under this Agreement;</w:t>
      </w:r>
    </w:p>
    <w:p>
      <w:pPr>
        <w:spacing w:after="0" w:line="228" w:lineRule="exact"/>
        <w:rPr>
          <w:rFonts w:ascii="Arial" w:cs="Arial" w:eastAsia="Arial" w:hAnsi="Arial"/>
          <w:sz w:val="22"/>
          <w:szCs w:val="22"/>
          <w:color w:val="auto"/>
        </w:rPr>
      </w:pPr>
    </w:p>
    <w:p>
      <w:pPr>
        <w:ind w:left="2240" w:hanging="947"/>
        <w:spacing w:after="0"/>
        <w:tabs>
          <w:tab w:leader="none" w:pos="224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 assignment shall be made to an Ineligible Institution; and</w:t>
      </w:r>
    </w:p>
    <w:p>
      <w:pPr>
        <w:spacing w:after="0" w:line="260" w:lineRule="exact"/>
        <w:rPr>
          <w:rFonts w:ascii="Arial" w:cs="Arial" w:eastAsia="Arial" w:hAnsi="Arial"/>
          <w:sz w:val="22"/>
          <w:szCs w:val="22"/>
          <w:color w:val="auto"/>
        </w:rPr>
      </w:pPr>
    </w:p>
    <w:p>
      <w:pPr>
        <w:ind w:left="640" w:firstLine="653"/>
        <w:spacing w:after="0" w:line="263" w:lineRule="auto"/>
        <w:tabs>
          <w:tab w:leader="none" w:pos="223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WIL-Ireland and the Administrative Agent an Assignee Certificate.</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or elsewhere in any Loan Document, the consent of each Swiss Borrower, if any, and of WIL-Ireland shall, so long as no Specified Event of Default has occurred and is continuing, be required for an assignment or participation to any assignee or Participant that is a Swiss Non-Qualifying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a consent shall not be unreasonably withheld or delayed and in any event, such consent shall be deemed given if any Swiss Borrower or WIL-Ireland, as applicable, does not give its written decision within 10 Business Days after a request for such consent from the Administrative Agent. For the avoidance of doubt, if any Swiss Borrower or WIL-Ireland determines in its reasonable discretion that any assignment or participation would result in noncompliance with the Swiss Non-Bank Rules and/or that the number of Lenders and Participants that are Swiss Non-Qualifying Lenders would exceed the number of eight, then such Swiss Borrower’s or WIL-Ireland’s objection to such assignment or participation shall be deemed to be reasonable.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the terms “</w:t>
      </w:r>
      <w:r>
        <w:rPr>
          <w:rFonts w:ascii="Arial" w:cs="Arial" w:eastAsia="Arial" w:hAnsi="Arial"/>
          <w:sz w:val="19"/>
          <w:szCs w:val="19"/>
          <w:u w:val="single" w:color="auto"/>
          <w:color w:val="auto"/>
        </w:rPr>
        <w:t>Approved Fund</w:t>
      </w:r>
      <w:r>
        <w:rPr>
          <w:rFonts w:ascii="Arial" w:cs="Arial" w:eastAsia="Arial" w:hAnsi="Arial"/>
          <w:sz w:val="19"/>
          <w:szCs w:val="19"/>
          <w:color w:val="auto"/>
        </w:rPr>
        <w:t>” and “</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have the following meanings:</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means (a) a natural person, (b) a Defaulting Lender or its Lender Parent, (c) WIL-Ireland any of its Subsidiaries or any of its Affiliates, or (d) a company, investment vehicle or trust for, or owned and operated for the primary benefit of, a natural person or relative(s) thereof.</w:t>
      </w:r>
    </w:p>
    <w:p>
      <w:pPr>
        <w:spacing w:after="0" w:line="186" w:lineRule="exact"/>
        <w:rPr>
          <w:sz w:val="20"/>
          <w:szCs w:val="20"/>
          <w:color w:val="auto"/>
        </w:rPr>
      </w:pPr>
    </w:p>
    <w:p>
      <w:pPr>
        <w:jc w:val="both"/>
        <w:ind w:firstLine="1293"/>
        <w:spacing w:after="0" w:line="265" w:lineRule="auto"/>
        <w:tabs>
          <w:tab w:leader="none" w:pos="1853"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subparagraph </w:t>
      </w:r>
      <w:r>
        <w:rPr>
          <w:rFonts w:ascii="Arial" w:cs="Arial" w:eastAsia="Arial" w:hAnsi="Arial"/>
          <w:sz w:val="21"/>
          <w:szCs w:val="21"/>
          <w:u w:val="single" w:color="auto"/>
          <w:color w:val="auto"/>
        </w:rPr>
        <w:t>(b)(iv)</w:t>
      </w:r>
      <w:r>
        <w:rPr>
          <w:rFonts w:ascii="Arial" w:cs="Arial" w:eastAsia="Arial" w:hAnsi="Arial"/>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w:t>
      </w:r>
    </w:p>
    <w:p>
      <w:pPr>
        <w:spacing w:after="0" w:line="200" w:lineRule="exact"/>
        <w:rPr>
          <w:sz w:val="20"/>
          <w:szCs w:val="20"/>
          <w:color w:val="auto"/>
        </w:rPr>
      </w:pPr>
    </w:p>
    <w:p>
      <w:pPr>
        <w:spacing w:after="0" w:line="25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760"/>
          </w:cols>
          <w:pgMar w:left="900" w:top="375" w:right="239" w:bottom="1440" w:gutter="0" w:footer="0" w:header="0"/>
        </w:sectPr>
      </w:pPr>
    </w:p>
    <w:bookmarkStart w:id="171" w:name="page172"/>
    <w:bookmarkEnd w:id="171"/>
    <w:p>
      <w:pPr>
        <w:jc w:val="both"/>
        <w:spacing w:after="0" w:line="294" w:lineRule="auto"/>
        <w:rPr>
          <w:sz w:val="20"/>
          <w:szCs w:val="20"/>
          <w:color w:val="auto"/>
        </w:rPr>
      </w:pPr>
      <w:r>
        <w:rPr>
          <w:rFonts w:ascii="Arial" w:cs="Arial" w:eastAsia="Arial" w:hAnsi="Arial"/>
          <w:sz w:val="19"/>
          <w:szCs w:val="19"/>
          <w:color w:val="auto"/>
        </w:rPr>
        <w:t xml:space="preserve">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w:t>
      </w:r>
    </w:p>
    <w:p>
      <w:pPr>
        <w:spacing w:after="0" w:line="190" w:lineRule="exact"/>
        <w:rPr>
          <w:sz w:val="20"/>
          <w:szCs w:val="20"/>
          <w:color w:val="auto"/>
        </w:rPr>
      </w:pPr>
    </w:p>
    <w:p>
      <w:pPr>
        <w:jc w:val="both"/>
        <w:ind w:firstLine="1293"/>
        <w:spacing w:after="0" w:line="259" w:lineRule="auto"/>
        <w:tabs>
          <w:tab w:leader="none" w:pos="1859" w:val="left"/>
        </w:tabs>
        <w:numPr>
          <w:ilvl w:val="1"/>
          <w:numId w:val="206"/>
        </w:numPr>
        <w:rPr>
          <w:rFonts w:ascii="Arial" w:cs="Arial" w:eastAsia="Arial" w:hAnsi="Arial"/>
          <w:sz w:val="21"/>
          <w:szCs w:val="21"/>
          <w:color w:val="auto"/>
        </w:rPr>
      </w:pPr>
      <w:r>
        <w:rPr>
          <w:rFonts w:ascii="Arial" w:cs="Arial" w:eastAsia="Arial" w:hAnsi="Arial"/>
          <w:sz w:val="21"/>
          <w:szCs w:val="21"/>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by each Borrower to, each Lender pursuant to the terms hereof from time to time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220" w:lineRule="exact"/>
        <w:rPr>
          <w:rFonts w:ascii="Arial" w:cs="Arial" w:eastAsia="Arial" w:hAnsi="Arial"/>
          <w:sz w:val="21"/>
          <w:szCs w:val="21"/>
          <w:color w:val="auto"/>
        </w:rPr>
      </w:pPr>
    </w:p>
    <w:p>
      <w:pPr>
        <w:jc w:val="both"/>
        <w:ind w:firstLine="1293"/>
        <w:spacing w:after="0" w:line="288" w:lineRule="auto"/>
        <w:tabs>
          <w:tab w:leader="none" w:pos="177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permitted under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such assignee’s completed Administrative Questionnaire (unless such assignee shall already be a Lender hereunder), the processing and recordation fee referred to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any written consent to such assignment required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such assignee shall have failed to make any payment required to be made by it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11.04(b)</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rFonts w:ascii="Arial" w:cs="Arial" w:eastAsia="Arial" w:hAnsi="Arial"/>
          <w:sz w:val="19"/>
          <w:szCs w:val="19"/>
          <w:color w:val="auto"/>
        </w:rPr>
      </w:pPr>
    </w:p>
    <w:p>
      <w:pPr>
        <w:jc w:val="both"/>
        <w:ind w:firstLine="645"/>
        <w:spacing w:after="0" w:line="248" w:lineRule="auto"/>
        <w:tabs>
          <w:tab w:leader="none" w:pos="114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(i) Except as otherwise provided in this Agreement or any other Loan Document, any Lender may, without the consent of any Obligor, the Administrative Agent, any Swingline Lender or any Issuing Bank, sell participations to one or more banks or other entities other than an Ineligible Institution (a “</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in all or a portion of such Lender’s rights and obligations under this Agreement (including all or a portion of its Commitment and the Loans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Lender’s obligations under this Agreement shall remain unchanged, (B) such Lender shall remain solely responsible to the other parties hereto for the performance of such obligations, (C) the Borrowers, the Administrative Agent, the Issuing Banks and the other</w:t>
      </w:r>
    </w:p>
    <w:p>
      <w:pPr>
        <w:spacing w:after="0" w:line="200" w:lineRule="exact"/>
        <w:rPr>
          <w:sz w:val="20"/>
          <w:szCs w:val="20"/>
          <w:color w:val="auto"/>
        </w:rPr>
      </w:pPr>
    </w:p>
    <w:p>
      <w:pPr>
        <w:spacing w:after="0" w:line="27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760"/>
          </w:cols>
          <w:pgMar w:left="900" w:top="375" w:right="239" w:bottom="1440" w:gutter="0" w:footer="0" w:header="0"/>
        </w:sectPr>
      </w:pPr>
    </w:p>
    <w:bookmarkStart w:id="172" w:name="page173"/>
    <w:bookmarkEnd w:id="172"/>
    <w:p>
      <w:pPr>
        <w:jc w:val="both"/>
        <w:ind w:left="660"/>
        <w:spacing w:after="0" w:line="285" w:lineRule="auto"/>
        <w:rPr>
          <w:sz w:val="20"/>
          <w:szCs w:val="20"/>
          <w:color w:val="auto"/>
        </w:rPr>
      </w:pPr>
      <w:r>
        <w:rPr>
          <w:rFonts w:ascii="Arial" w:cs="Arial" w:eastAsia="Arial" w:hAnsi="Arial"/>
          <w:sz w:val="19"/>
          <w:szCs w:val="19"/>
          <w:color w:val="auto"/>
        </w:rPr>
        <w:t xml:space="preserve">Lenders shall continue to deal solely and directly with such Lender in connection with such Lender’s rights and obligations under this Agreement and (D) such Participant delivers a Participant Certificate to such Lender, the Administrative Agent and WIL-Ireland.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11.01(b)</w:t>
      </w:r>
      <w:r>
        <w:rPr>
          <w:rFonts w:ascii="Arial" w:cs="Arial" w:eastAsia="Arial" w:hAnsi="Arial"/>
          <w:sz w:val="19"/>
          <w:szCs w:val="19"/>
          <w:color w:val="auto"/>
        </w:rPr>
        <w:t xml:space="preserve"> that affects such Participant. Subject to subparagraph </w:t>
      </w:r>
      <w:r>
        <w:rPr>
          <w:rFonts w:ascii="Arial" w:cs="Arial" w:eastAsia="Arial" w:hAnsi="Arial"/>
          <w:sz w:val="19"/>
          <w:szCs w:val="19"/>
          <w:u w:val="single" w:color="auto"/>
          <w:color w:val="auto"/>
        </w:rPr>
        <w:t>(c)(ii)</w:t>
      </w:r>
      <w:r>
        <w:rPr>
          <w:rFonts w:ascii="Arial" w:cs="Arial" w:eastAsia="Arial" w:hAnsi="Arial"/>
          <w:sz w:val="19"/>
          <w:szCs w:val="19"/>
          <w:color w:val="auto"/>
        </w:rPr>
        <w:t xml:space="preserve"> of this Section, each Borrower agrees that each Participant shall be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to the same extent as if it were a Lender and had acquired its interest by assignment pursuant to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and to deliver the forms required by </w:t>
      </w:r>
      <w:r>
        <w:rPr>
          <w:rFonts w:ascii="Arial" w:cs="Arial" w:eastAsia="Arial" w:hAnsi="Arial"/>
          <w:sz w:val="19"/>
          <w:szCs w:val="19"/>
          <w:u w:val="single" w:color="auto"/>
          <w:color w:val="auto"/>
        </w:rPr>
        <w:t>Sections 4.02(c)</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4.02(i)</w:t>
      </w:r>
      <w:r>
        <w:rPr>
          <w:rFonts w:ascii="Arial" w:cs="Arial" w:eastAsia="Arial" w:hAnsi="Arial"/>
          <w:sz w:val="19"/>
          <w:szCs w:val="19"/>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Provided the requirements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but not limited to, </w:t>
      </w:r>
      <w:r>
        <w:rPr>
          <w:rFonts w:ascii="Arial" w:cs="Arial" w:eastAsia="Arial" w:hAnsi="Arial"/>
          <w:sz w:val="19"/>
          <w:szCs w:val="19"/>
          <w:u w:val="single" w:color="auto"/>
          <w:color w:val="auto"/>
        </w:rPr>
        <w:t>Section 11.05(c)(ii)</w:t>
      </w:r>
      <w:r>
        <w:rPr>
          <w:rFonts w:ascii="Arial" w:cs="Arial" w:eastAsia="Arial" w:hAnsi="Arial"/>
          <w:sz w:val="19"/>
          <w:szCs w:val="19"/>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2" w:lineRule="exact"/>
        <w:rPr>
          <w:sz w:val="20"/>
          <w:szCs w:val="20"/>
          <w:color w:val="auto"/>
        </w:rPr>
      </w:pPr>
    </w:p>
    <w:p>
      <w:pPr>
        <w:jc w:val="both"/>
        <w:ind w:left="660" w:firstLine="1293"/>
        <w:spacing w:after="0" w:line="247" w:lineRule="auto"/>
        <w:tabs>
          <w:tab w:leader="none" w:pos="2438" w:val="left"/>
        </w:tabs>
        <w:numPr>
          <w:ilvl w:val="1"/>
          <w:numId w:val="208"/>
        </w:numPr>
        <w:rPr>
          <w:rFonts w:ascii="Arial" w:cs="Arial" w:eastAsia="Arial" w:hAnsi="Arial"/>
          <w:sz w:val="22"/>
          <w:szCs w:val="22"/>
          <w:color w:val="auto"/>
        </w:rPr>
      </w:pPr>
      <w:r>
        <w:rPr>
          <w:rFonts w:ascii="Arial" w:cs="Arial" w:eastAsia="Arial" w:hAnsi="Arial"/>
          <w:sz w:val="22"/>
          <w:szCs w:val="22"/>
          <w:color w:val="auto"/>
        </w:rPr>
        <w:t xml:space="preserve">A Participant shall not be entitled to receive any greater payment under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WIL-Bermuda’s prior written consent. WIL-Bermuda shall be notified of each participation sold to a Participant, and each Participant shall comply with </w:t>
      </w:r>
      <w:r>
        <w:rPr>
          <w:rFonts w:ascii="Arial" w:cs="Arial" w:eastAsia="Arial" w:hAnsi="Arial"/>
          <w:sz w:val="22"/>
          <w:szCs w:val="22"/>
          <w:u w:val="single" w:color="auto"/>
          <w:color w:val="auto"/>
        </w:rPr>
        <w:t>Sections 4.02(c)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4.02(d)</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4.02(i)</w:t>
      </w:r>
      <w:r>
        <w:rPr>
          <w:rFonts w:ascii="Arial" w:cs="Arial" w:eastAsia="Arial" w:hAnsi="Arial"/>
          <w:sz w:val="22"/>
          <w:szCs w:val="22"/>
          <w:color w:val="auto"/>
        </w:rPr>
        <w:t xml:space="preserve"> as though it were a Lender. A Participant that fails to comply with the preceding sentence shall not be entitled to any of the benefits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jc w:val="both"/>
        <w:ind w:firstLine="1305"/>
        <w:spacing w:after="0" w:line="248" w:lineRule="auto"/>
        <w:tabs>
          <w:tab w:leader="none" w:pos="18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u w:val="single" w:color="auto"/>
          <w:color w:val="auto"/>
        </w:rPr>
        <w:t>Confidentiality</w:t>
      </w:r>
      <w:r>
        <w:rPr>
          <w:rFonts w:ascii="Arial" w:cs="Arial" w:eastAsia="Arial" w:hAnsi="Arial"/>
          <w:sz w:val="22"/>
          <w:szCs w:val="22"/>
          <w:color w:val="auto"/>
        </w:rPr>
        <w:t>. Each of the Administrative Agent, the Issuing Banks and the Lenders agrees to maintain the confidentiality of the Information (as defined below), except that Information may be disclosed (a) to its and its Affiliates’ directors, officers,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375" w:right="239" w:bottom="1440" w:gutter="0" w:footer="0" w:header="0"/>
        </w:sectPr>
      </w:pPr>
    </w:p>
    <w:bookmarkStart w:id="173" w:name="page174"/>
    <w:bookmarkEnd w:id="173"/>
    <w:p>
      <w:pPr>
        <w:jc w:val="both"/>
        <w:spacing w:after="0" w:line="284" w:lineRule="auto"/>
        <w:rPr>
          <w:sz w:val="20"/>
          <w:szCs w:val="20"/>
          <w:color w:val="auto"/>
        </w:rPr>
      </w:pPr>
      <w:r>
        <w:rPr>
          <w:rFonts w:ascii="Arial" w:cs="Arial" w:eastAsia="Arial" w:hAnsi="Arial"/>
          <w:sz w:val="19"/>
          <w:szCs w:val="19"/>
          <w:color w:val="auto"/>
        </w:rPr>
        <w:t>employees and agents, including accountants, legal counsel and other advisors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the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75" w:right="239" w:bottom="1440" w:gutter="0" w:footer="0" w:header="0"/>
        </w:sectPr>
      </w:pPr>
    </w:p>
    <w:bookmarkStart w:id="174" w:name="page175"/>
    <w:bookmarkEnd w:id="174"/>
    <w:p>
      <w:pPr>
        <w:jc w:val="both"/>
        <w:spacing w:after="0" w:line="269" w:lineRule="auto"/>
        <w:rPr>
          <w:sz w:val="20"/>
          <w:szCs w:val="20"/>
          <w:color w:val="auto"/>
        </w:rPr>
      </w:pPr>
      <w:r>
        <w:rPr>
          <w:rFonts w:ascii="Arial" w:cs="Arial" w:eastAsia="Arial" w:hAnsi="Arial"/>
          <w:sz w:val="22"/>
          <w:szCs w:val="22"/>
          <w:b w:val="1"/>
          <w:bCs w:val="1"/>
          <w:color w:val="auto"/>
        </w:rPr>
        <w:t>PUBLIC INFORMATION IN ACCORDANCE WITH THOSE PROCEDURES AND APPLICABLE LAW, INCLUDING FEDERAL AND STATE SECURITIES LAWS.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the other Loan Documents and all other documents executed in connection herewith and therewith and the rights and obligations of the parties hereto and thereto, shall be construed in accordance with and governed by the law of the State of New York.</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u w:val="single" w:color="auto"/>
          <w:color w:val="auto"/>
        </w:rPr>
        <w:t>Independence of Covenants</w:t>
      </w:r>
      <w:r>
        <w:rPr>
          <w:rFonts w:ascii="Arial" w:cs="Arial" w:eastAsia="Arial" w:hAnsi="Arial"/>
          <w:sz w:val="19"/>
          <w:szCs w:val="19"/>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condition exists.</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This Agreement, the Notes, the other Loan Documents and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369" w:right="23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21"/>
          <w:szCs w:val="21"/>
          <w:color w:val="auto"/>
        </w:rPr>
        <w:t>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22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11.11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Conflicts Between This Agreement and the Other Loan Documents</w:t>
      </w:r>
      <w:r>
        <w:rPr>
          <w:rFonts w:ascii="Arial" w:cs="Arial" w:eastAsia="Arial" w:hAnsi="Arial"/>
          <w:sz w:val="22"/>
          <w:szCs w:val="22"/>
          <w:color w:val="auto"/>
        </w:rPr>
        <w:t>. In the event of any conflict between, or inconsistency with, the terms of this Agreement and the terms of any of the other Loan Documents, the terms of this Agreement shall control.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Limitation of Interest</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75" w:right="239" w:bottom="1440" w:gutter="0" w:footer="0" w:header="0"/>
        </w:sectPr>
      </w:pPr>
    </w:p>
    <w:bookmarkStart w:id="176" w:name="page177"/>
    <w:bookmarkEnd w:id="176"/>
    <w:p>
      <w:pPr>
        <w:ind w:left="660"/>
        <w:spacing w:after="0"/>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u w:val="single" w:color="auto"/>
          <w:color w:val="auto"/>
        </w:rPr>
        <w:t>Submission to Jurisdiction; Consent to Service of Process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8" w:lineRule="auto"/>
        <w:tabs>
          <w:tab w:leader="none" w:pos="177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9"/>
          <w:szCs w:val="19"/>
          <w:u w:val="single" w:color="auto"/>
          <w:color w:val="auto"/>
        </w:rPr>
        <w:t>Section 11.15</w:t>
      </w:r>
      <w:r>
        <w:rPr>
          <w:rFonts w:ascii="Arial" w:cs="Arial" w:eastAsia="Arial" w:hAnsi="Arial"/>
          <w:sz w:val="19"/>
          <w:szCs w:val="19"/>
          <w:color w:val="auto"/>
        </w:rPr>
        <w:t>) shall affect any right that the Administrative Agent, any Issuing Bank or any Lender may otherwise have to bring any suit, action or proceeding relating to this Agreement or any other Loan Document against any Obligor or its properties in the courts of any jurisdiction.</w:t>
      </w:r>
    </w:p>
    <w:p>
      <w:pPr>
        <w:spacing w:after="0" w:line="195" w:lineRule="exact"/>
        <w:rPr>
          <w:rFonts w:ascii="Arial" w:cs="Arial" w:eastAsia="Arial" w:hAnsi="Arial"/>
          <w:sz w:val="19"/>
          <w:szCs w:val="19"/>
          <w:color w:val="auto"/>
        </w:rPr>
      </w:pPr>
    </w:p>
    <w:p>
      <w:pPr>
        <w:jc w:val="both"/>
        <w:ind w:firstLine="1305"/>
        <w:spacing w:after="0" w:line="248" w:lineRule="auto"/>
        <w:tabs>
          <w:tab w:leader="none" w:pos="186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Each Obligor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Section. Each Obligor Party hereby irrevocably waives, to the fullest extent permitted by law, the defense of an inconvenient forum to the maintenance of such action or proceeding in any such court.</w:t>
      </w:r>
    </w:p>
    <w:p>
      <w:pPr>
        <w:spacing w:after="0" w:line="232" w:lineRule="exact"/>
        <w:rPr>
          <w:rFonts w:ascii="Arial" w:cs="Arial" w:eastAsia="Arial" w:hAnsi="Arial"/>
          <w:sz w:val="22"/>
          <w:szCs w:val="22"/>
          <w:color w:val="auto"/>
        </w:rPr>
      </w:pPr>
    </w:p>
    <w:p>
      <w:pPr>
        <w:jc w:val="both"/>
        <w:ind w:firstLine="1305"/>
        <w:spacing w:after="0" w:line="246" w:lineRule="auto"/>
        <w:tabs>
          <w:tab w:leader="none" w:pos="1791"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Agreement or any other Loan Document.</w:t>
      </w:r>
    </w:p>
    <w:p>
      <w:pPr>
        <w:spacing w:after="0" w:line="237" w:lineRule="exact"/>
        <w:rPr>
          <w:rFonts w:ascii="Arial" w:cs="Arial" w:eastAsia="Arial" w:hAnsi="Arial"/>
          <w:sz w:val="22"/>
          <w:szCs w:val="22"/>
          <w:color w:val="auto"/>
        </w:rPr>
      </w:pPr>
    </w:p>
    <w:p>
      <w:pPr>
        <w:jc w:val="both"/>
        <w:ind w:firstLine="1305"/>
        <w:spacing w:after="0" w:line="297" w:lineRule="auto"/>
        <w:tabs>
          <w:tab w:leader="none" w:pos="185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Each Obligor Party agrees that any suit, action or proceeding brought by any Obligor Party or any of their respective Subsidiaries relating to this Agreement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9"/>
          <w:szCs w:val="19"/>
          <w:color w:val="auto"/>
        </w:rPr>
      </w:pPr>
    </w:p>
    <w:p>
      <w:pPr>
        <w:jc w:val="both"/>
        <w:ind w:firstLine="1305"/>
        <w:spacing w:after="0" w:line="312" w:lineRule="auto"/>
        <w:tabs>
          <w:tab w:leader="none" w:pos="193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Administrative Agent, each Issuing Bank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75" w:right="239" w:bottom="1440" w:gutter="0" w:footer="0" w:header="0"/>
        </w:sectPr>
      </w:pPr>
    </w:p>
    <w:bookmarkStart w:id="177" w:name="page178"/>
    <w:bookmarkEnd w:id="177"/>
    <w:p>
      <w:pPr>
        <w:jc w:val="both"/>
        <w:spacing w:after="0" w:line="261" w:lineRule="auto"/>
        <w:rPr>
          <w:sz w:val="20"/>
          <w:szCs w:val="20"/>
          <w:color w:val="auto"/>
        </w:rPr>
      </w:pPr>
      <w:r>
        <w:rPr>
          <w:rFonts w:ascii="Arial" w:cs="Arial" w:eastAsia="Arial" w:hAnsi="Arial"/>
          <w:sz w:val="21"/>
          <w:szCs w:val="21"/>
          <w:color w:val="auto"/>
        </w:rPr>
        <w:t>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1" w:lineRule="exact"/>
        <w:rPr>
          <w:sz w:val="20"/>
          <w:szCs w:val="20"/>
          <w:color w:val="auto"/>
        </w:rPr>
      </w:pPr>
    </w:p>
    <w:p>
      <w:pPr>
        <w:jc w:val="both"/>
        <w:ind w:firstLine="1305"/>
        <w:spacing w:after="0" w:line="247" w:lineRule="auto"/>
        <w:tabs>
          <w:tab w:leader="none" w:pos="174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234" w:lineRule="exact"/>
        <w:rPr>
          <w:rFonts w:ascii="Arial" w:cs="Arial" w:eastAsia="Arial" w:hAnsi="Arial"/>
          <w:sz w:val="22"/>
          <w:szCs w:val="22"/>
          <w:color w:val="auto"/>
        </w:rPr>
      </w:pPr>
    </w:p>
    <w:p>
      <w:pPr>
        <w:jc w:val="both"/>
        <w:ind w:firstLine="1305"/>
        <w:spacing w:after="0" w:line="250" w:lineRule="auto"/>
        <w:tabs>
          <w:tab w:leader="none" w:pos="178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11.16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5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2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11.17 </w:t>
      </w:r>
      <w:r>
        <w:rPr>
          <w:rFonts w:ascii="Arial" w:cs="Arial" w:eastAsia="Arial" w:hAnsi="Arial"/>
          <w:sz w:val="21"/>
          <w:szCs w:val="21"/>
          <w:u w:val="single" w:color="auto"/>
          <w:color w:val="auto"/>
        </w:rPr>
        <w:t>Judgment Currency</w:t>
      </w:r>
      <w:r>
        <w:rPr>
          <w:rFonts w:ascii="Arial" w:cs="Arial" w:eastAsia="Arial" w:hAnsi="Arial"/>
          <w:sz w:val="21"/>
          <w:szCs w:val="21"/>
          <w:color w:val="auto"/>
        </w:rPr>
        <w:t>. The obligation of each Obligor to make payments on any Obligation to the Lenders, to any Issuing Bank or to the Administrative Agent hereunder in any currency (the “</w:t>
      </w:r>
      <w:r>
        <w:rPr>
          <w:rFonts w:ascii="Arial" w:cs="Arial" w:eastAsia="Arial" w:hAnsi="Arial"/>
          <w:sz w:val="21"/>
          <w:szCs w:val="21"/>
          <w:u w:val="single" w:color="auto"/>
          <w:color w:val="auto"/>
        </w:rPr>
        <w:t>first currency</w:t>
      </w:r>
      <w:r>
        <w:rPr>
          <w:rFonts w:ascii="Arial" w:cs="Arial" w:eastAsia="Arial" w:hAnsi="Arial"/>
          <w:sz w:val="21"/>
          <w:szCs w:val="21"/>
          <w:color w:val="auto"/>
        </w:rPr>
        <w:t>”) shall not be discharged or satisfied by any tender or recovery pursuant to any judgment expressed in or converted into any other currency (the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w:t>
      </w:r>
      <w:r>
        <w:rPr>
          <w:rFonts w:ascii="Arial" w:cs="Arial" w:eastAsia="Arial" w:hAnsi="Arial"/>
          <w:sz w:val="21"/>
          <w:szCs w:val="21"/>
          <w:u w:val="single" w:color="auto"/>
          <w:color w:val="auto"/>
        </w:rPr>
        <w:t>currency</w:t>
      </w:r>
      <w:r>
        <w:rPr>
          <w:rFonts w:ascii="Arial" w:cs="Arial" w:eastAsia="Arial" w:hAnsi="Arial"/>
          <w:sz w:val="21"/>
          <w:szCs w:val="21"/>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75" w:right="239" w:bottom="1440" w:gutter="0" w:footer="0" w:header="0"/>
        </w:sectPr>
      </w:pPr>
    </w:p>
    <w:bookmarkStart w:id="178" w:name="page179"/>
    <w:bookmarkEnd w:id="178"/>
    <w:p>
      <w:pPr>
        <w:jc w:val="both"/>
        <w:spacing w:after="0" w:line="263" w:lineRule="auto"/>
        <w:rPr>
          <w:sz w:val="20"/>
          <w:szCs w:val="20"/>
          <w:color w:val="auto"/>
        </w:rPr>
      </w:pPr>
      <w:r>
        <w:rPr>
          <w:rFonts w:ascii="Arial" w:cs="Arial" w:eastAsia="Arial" w:hAnsi="Arial"/>
          <w:sz w:val="22"/>
          <w:szCs w:val="22"/>
          <w:color w:val="auto"/>
        </w:rPr>
        <w:t>fall short of the full amount of the full currency payable and shall not be affected by a judgment being obtained for any other sum due hereunder.</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that is subject to the requirements of the USA Patriot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hereby</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11.19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plus interest thereon from the date of such demand to the date such payment is made at a rate per annum equal to the Federal Funds Effective Rate from time to time in effect. The obligations of the Lenders and the Issuing Banks under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preceding sentence shall survive the Payment in Full.</w:t>
      </w:r>
    </w:p>
    <w:p>
      <w:pPr>
        <w:spacing w:after="0" w:line="20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u w:val="single" w:color="auto"/>
          <w:color w:val="auto"/>
        </w:rPr>
        <w:t>No Fiduciary Duty</w:t>
      </w:r>
      <w:r>
        <w:rPr>
          <w:rFonts w:ascii="Arial" w:cs="Arial" w:eastAsia="Arial" w:hAnsi="Arial"/>
          <w:sz w:val="19"/>
          <w:szCs w:val="19"/>
          <w:color w:val="auto"/>
        </w:rPr>
        <w:t xml:space="preserve">. The Credit Parties and their respective Affiliates (collectively, solely for purposes of this </w:t>
      </w:r>
      <w:r>
        <w:rPr>
          <w:rFonts w:ascii="Arial" w:cs="Arial" w:eastAsia="Arial" w:hAnsi="Arial"/>
          <w:sz w:val="19"/>
          <w:szCs w:val="19"/>
          <w:u w:val="single" w:color="auto"/>
          <w:color w:val="auto"/>
        </w:rPr>
        <w:t>Section 11.20</w:t>
      </w:r>
      <w:r>
        <w:rPr>
          <w:rFonts w:ascii="Arial" w:cs="Arial" w:eastAsia="Arial" w:hAnsi="Arial"/>
          <w:sz w:val="19"/>
          <w:szCs w:val="19"/>
          <w:color w:val="auto"/>
        </w:rPr>
        <w:t>, the “</w:t>
      </w:r>
      <w:r>
        <w:rPr>
          <w:rFonts w:ascii="Arial" w:cs="Arial" w:eastAsia="Arial" w:hAnsi="Arial"/>
          <w:sz w:val="19"/>
          <w:szCs w:val="19"/>
          <w:u w:val="single" w:color="auto"/>
          <w:color w:val="auto"/>
        </w:rPr>
        <w:t>Credit Parties</w:t>
      </w:r>
      <w:r>
        <w:rPr>
          <w:rFonts w:ascii="Arial" w:cs="Arial" w:eastAsia="Arial" w:hAnsi="Arial"/>
          <w:sz w:val="19"/>
          <w:szCs w:val="19"/>
          <w:color w:val="auto"/>
        </w:rPr>
        <w:t>”) may have economic interests that conflict with those of the Borrowers. Each Obligor Party agrees that nothing in the Loan Documents or otherwise will be deemed to create an advisory, fiduciary or agency relationship or fiduciary or other implied duty between the Credit Parties and the Borrowers, their stockholders or their affiliates. Each Obligor Party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w:t>
      </w:r>
    </w:p>
    <w:p>
      <w:pPr>
        <w:spacing w:after="0" w:line="8" w:lineRule="exact"/>
        <w:rPr>
          <w:sz w:val="20"/>
          <w:szCs w:val="20"/>
          <w:color w:val="auto"/>
        </w:rPr>
      </w:pPr>
    </w:p>
    <w:p>
      <w:pPr>
        <w:jc w:val="both"/>
        <w:ind w:firstLine="8"/>
        <w:spacing w:after="0" w:line="244" w:lineRule="auto"/>
        <w:tabs>
          <w:tab w:leader="none" w:pos="3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each of the Credit Parties may be engaged in a broad range of transactions that involve interests that differ from those of the Obligor Parties and their Affiliates, and no Credit Party has any obligation to disclose any of such interests to the Obligor Parties or their Affiliates and (v) each Obligor has consulted its own legal and financial advisors to the extent it deemed appropriate. Each Obligor Party further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75" w:right="239" w:bottom="1440" w:gutter="0" w:footer="0" w:header="0"/>
        </w:sectPr>
      </w:pPr>
    </w:p>
    <w:bookmarkStart w:id="179" w:name="page180"/>
    <w:bookmarkEnd w:id="179"/>
    <w:p>
      <w:pPr>
        <w:jc w:val="both"/>
        <w:spacing w:after="0" w:line="265" w:lineRule="auto"/>
        <w:rPr>
          <w:sz w:val="20"/>
          <w:szCs w:val="20"/>
          <w:color w:val="auto"/>
        </w:rPr>
      </w:pPr>
      <w:r>
        <w:rPr>
          <w:rFonts w:ascii="Arial" w:cs="Arial" w:eastAsia="Arial" w:hAnsi="Arial"/>
          <w:sz w:val="21"/>
          <w:szCs w:val="21"/>
          <w:color w:val="auto"/>
        </w:rPr>
        <w:t>acknowledges and agrees that it is responsible for making its own independent judgment with respect to the transactions contemplated hereby and the process leading thereto. Each Obligor Party agrees that it will not claim that any Credit Party has rendered advisory services of any nature or respect, or owes a fiduciary or similar duty to such Obligor Party or any other Obligor, in connection with the transactions contemplated hereby or the process leading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11.21 </w:t>
      </w:r>
      <w:r>
        <w:rPr>
          <w:rFonts w:ascii="Arial" w:cs="Arial" w:eastAsia="Arial" w:hAnsi="Arial"/>
          <w:sz w:val="22"/>
          <w:szCs w:val="22"/>
          <w:u w:val="single" w:color="auto"/>
          <w:color w:val="auto"/>
        </w:rPr>
        <w:t>Release of Guarantors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763"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Any Guarantor (other than WIL-Ireland or WIL-Delaware) shall be automatically released from its obligations under any applicable Guaranty Agreement and the other Loan Documents (i) upon such Person ceasing to be a Subsidiary as a result of such Disposition otherwise permitted by the Loan Document, (ii) upon such Person becoming an Unrestricted Subsidiary or (iii)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in any case set forth above, promptly upon receipt of a written request therefor from the Borrowers, the Administrative Agent will execute and deliver all documents as may reasonably be requested to evidence such release.</w:t>
      </w:r>
    </w:p>
    <w:p>
      <w:pPr>
        <w:spacing w:after="0" w:line="224" w:lineRule="exact"/>
        <w:rPr>
          <w:rFonts w:ascii="Arial" w:cs="Arial" w:eastAsia="Arial" w:hAnsi="Arial"/>
          <w:sz w:val="21"/>
          <w:szCs w:val="21"/>
          <w:color w:val="auto"/>
        </w:rPr>
      </w:pPr>
    </w:p>
    <w:p>
      <w:pPr>
        <w:jc w:val="both"/>
        <w:ind w:firstLine="1305"/>
        <w:spacing w:after="0" w:line="294" w:lineRule="auto"/>
        <w:tabs>
          <w:tab w:leader="none" w:pos="198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Term Loan Facility), and promptly upon receipt of a written request therefor from the Borrowers, the Administrative Agent will execute and deliver all documents as may reasonably be requested to evidence such release.</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11.22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33" w:lineRule="exact"/>
        <w:rPr>
          <w:sz w:val="20"/>
          <w:szCs w:val="20"/>
          <w:color w:val="auto"/>
        </w:rPr>
      </w:pPr>
    </w:p>
    <w:p>
      <w:pPr>
        <w:ind w:firstLine="1305"/>
        <w:spacing w:after="0" w:line="287" w:lineRule="auto"/>
        <w:tabs>
          <w:tab w:leader="none" w:pos="188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2" w:lineRule="exact"/>
        <w:rPr>
          <w:rFonts w:ascii="Arial" w:cs="Arial" w:eastAsia="Arial" w:hAnsi="Arial"/>
          <w:sz w:val="21"/>
          <w:szCs w:val="21"/>
          <w:color w:val="auto"/>
        </w:rPr>
      </w:pPr>
    </w:p>
    <w:p>
      <w:pPr>
        <w:ind w:left="1780" w:hanging="475"/>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60" w:lineRule="exact"/>
        <w:rPr>
          <w:rFonts w:ascii="Arial" w:cs="Arial" w:eastAsia="Arial" w:hAnsi="Arial"/>
          <w:sz w:val="22"/>
          <w:szCs w:val="22"/>
          <w:color w:val="auto"/>
        </w:rPr>
      </w:pPr>
    </w:p>
    <w:p>
      <w:pPr>
        <w:ind w:left="2380" w:hanging="427"/>
        <w:spacing w:after="0"/>
        <w:tabs>
          <w:tab w:leader="none" w:pos="238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75" w:right="239" w:bottom="1440" w:gutter="0" w:footer="0" w:header="0"/>
        </w:sectPr>
      </w:pPr>
    </w:p>
    <w:bookmarkStart w:id="180" w:name="page181"/>
    <w:bookmarkEnd w:id="180"/>
    <w:p>
      <w:pPr>
        <w:jc w:val="both"/>
        <w:ind w:left="660" w:firstLine="1293"/>
        <w:spacing w:after="0" w:line="250" w:lineRule="auto"/>
        <w:tabs>
          <w:tab w:leader="none" w:pos="246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28" w:lineRule="exact"/>
        <w:rPr>
          <w:rFonts w:ascii="Arial" w:cs="Arial" w:eastAsia="Arial" w:hAnsi="Arial"/>
          <w:sz w:val="22"/>
          <w:szCs w:val="22"/>
          <w:color w:val="auto"/>
        </w:rPr>
      </w:pPr>
    </w:p>
    <w:p>
      <w:pPr>
        <w:ind w:left="660" w:firstLine="1293"/>
        <w:spacing w:after="0" w:line="263" w:lineRule="auto"/>
        <w:tabs>
          <w:tab w:leader="none" w:pos="2605"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11.23 </w:t>
      </w:r>
      <w:r>
        <w:rPr>
          <w:rFonts w:ascii="Arial" w:cs="Arial" w:eastAsia="Arial" w:hAnsi="Arial"/>
          <w:sz w:val="22"/>
          <w:szCs w:val="22"/>
          <w:u w:val="single" w:color="auto"/>
          <w:color w:val="auto"/>
        </w:rPr>
        <w:t>Confirmation of Lender’s Status as a Swiss Qualifying Lender</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71" w:lineRule="auto"/>
        <w:tabs>
          <w:tab w:leader="none" w:pos="1931" w:val="left"/>
        </w:tabs>
        <w:numPr>
          <w:ilvl w:val="0"/>
          <w:numId w:val="217"/>
        </w:numPr>
        <w:rPr>
          <w:rFonts w:ascii="Arial" w:cs="Arial" w:eastAsia="Arial" w:hAnsi="Arial"/>
          <w:sz w:val="21"/>
          <w:szCs w:val="21"/>
          <w:color w:val="auto"/>
        </w:rPr>
      </w:pPr>
      <w:r>
        <w:rPr>
          <w:rFonts w:ascii="Arial" w:cs="Arial" w:eastAsia="Arial" w:hAnsi="Arial"/>
          <w:sz w:val="21"/>
          <w:szCs w:val="21"/>
          <w:color w:val="auto"/>
        </w:rPr>
        <w:t>Each Lender confirms that, as of the Effective Date, unless notified in writing to WIL-Ireland and the Administrative Agent prior to the Effective Date, such Lender is a Swiss Qualifying Lender and has not entered into a participation arrangement with respect to this Agreement with any Person that is a Swiss Non-Qualifying Lender</w:t>
      </w:r>
      <w:r>
        <w:rPr>
          <w:rFonts w:ascii="Arial" w:cs="Arial" w:eastAsia="Arial" w:hAnsi="Arial"/>
          <w:sz w:val="17"/>
          <w:szCs w:val="17"/>
          <w:color w:val="auto"/>
        </w:rPr>
        <w:t>.</w:t>
      </w:r>
    </w:p>
    <w:p>
      <w:pPr>
        <w:spacing w:after="0" w:line="181" w:lineRule="exact"/>
        <w:rPr>
          <w:rFonts w:ascii="Arial" w:cs="Arial" w:eastAsia="Arial" w:hAnsi="Arial"/>
          <w:sz w:val="21"/>
          <w:szCs w:val="21"/>
          <w:color w:val="auto"/>
        </w:rPr>
      </w:pPr>
    </w:p>
    <w:p>
      <w:pPr>
        <w:jc w:val="both"/>
        <w:ind w:firstLine="1305"/>
        <w:spacing w:after="0" w:line="250" w:lineRule="auto"/>
        <w:tabs>
          <w:tab w:leader="none" w:pos="177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Without limitation to any consent or other rights provided for in this Agreement (including </w:t>
      </w:r>
      <w:r>
        <w:rPr>
          <w:rFonts w:ascii="Arial" w:cs="Arial" w:eastAsia="Arial" w:hAnsi="Arial"/>
          <w:sz w:val="22"/>
          <w:szCs w:val="22"/>
          <w:u w:val="single" w:color="auto"/>
          <w:color w:val="auto"/>
        </w:rPr>
        <w:t>Section 11.05</w:t>
      </w:r>
      <w:r>
        <w:rPr>
          <w:rFonts w:ascii="Arial" w:cs="Arial" w:eastAsia="Arial" w:hAnsi="Arial"/>
          <w:sz w:val="22"/>
          <w:szCs w:val="22"/>
          <w:color w:val="auto"/>
        </w:rPr>
        <w:t>), any Person that shall become an assignee, Participant or sub-participant with respect to any Lender or Participant pursuant to this Agreement shall confirm in writing to WIL-Ireland and the Administrative Agent prior to the date such Person becomes a Lender, Participant or sub-participant, that:</w:t>
      </w:r>
    </w:p>
    <w:p>
      <w:pPr>
        <w:spacing w:after="0" w:line="228" w:lineRule="exact"/>
        <w:rPr>
          <w:rFonts w:ascii="Arial" w:cs="Arial" w:eastAsia="Arial" w:hAnsi="Arial"/>
          <w:sz w:val="22"/>
          <w:szCs w:val="22"/>
          <w:color w:val="auto"/>
        </w:rPr>
      </w:pPr>
    </w:p>
    <w:p>
      <w:pPr>
        <w:ind w:left="660" w:right="20" w:firstLine="1293"/>
        <w:spacing w:after="0" w:line="343" w:lineRule="auto"/>
        <w:tabs>
          <w:tab w:leader="none" w:pos="2467"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it is a Swiss Qualifying Lender and has not entered into a participation (including sub-participation) arrangement with respect to this Agreement with any Person that is a Swiss Non-Qualifying Lender; or</w:t>
      </w:r>
    </w:p>
    <w:p>
      <w:pPr>
        <w:spacing w:after="0" w:line="145" w:lineRule="exact"/>
        <w:rPr>
          <w:rFonts w:ascii="Arial" w:cs="Arial" w:eastAsia="Arial" w:hAnsi="Arial"/>
          <w:sz w:val="19"/>
          <w:szCs w:val="19"/>
          <w:color w:val="auto"/>
        </w:rPr>
      </w:pPr>
    </w:p>
    <w:p>
      <w:pPr>
        <w:ind w:left="660" w:firstLine="1293"/>
        <w:spacing w:after="0" w:line="263" w:lineRule="auto"/>
        <w:tabs>
          <w:tab w:leader="none" w:pos="2473" w:val="left"/>
        </w:tabs>
        <w:numPr>
          <w:ilvl w:val="1"/>
          <w:numId w:val="217"/>
        </w:numPr>
        <w:rPr>
          <w:rFonts w:ascii="Arial" w:cs="Arial" w:eastAsia="Arial" w:hAnsi="Arial"/>
          <w:sz w:val="22"/>
          <w:szCs w:val="22"/>
          <w:color w:val="auto"/>
        </w:rPr>
      </w:pPr>
      <w:r>
        <w:rPr>
          <w:rFonts w:ascii="Arial" w:cs="Arial" w:eastAsia="Arial" w:hAnsi="Arial"/>
          <w:sz w:val="22"/>
          <w:szCs w:val="22"/>
          <w:color w:val="auto"/>
        </w:rPr>
        <w:t>if it is a Swiss Non-Qualifying Lender, it counts as one single creditor for purposes of the Swiss Non-Bank Rules (taking into account any participations and sub-participations).</w:t>
      </w:r>
    </w:p>
    <w:p>
      <w:pPr>
        <w:spacing w:after="0" w:line="215" w:lineRule="exact"/>
        <w:rPr>
          <w:rFonts w:ascii="Arial" w:cs="Arial" w:eastAsia="Arial" w:hAnsi="Arial"/>
          <w:sz w:val="22"/>
          <w:szCs w:val="22"/>
          <w:color w:val="auto"/>
        </w:rPr>
      </w:pPr>
    </w:p>
    <w:p>
      <w:pPr>
        <w:ind w:firstLine="1305"/>
        <w:spacing w:after="0" w:line="263" w:lineRule="auto"/>
        <w:tabs>
          <w:tab w:leader="none" w:pos="206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Each Lender or Participant (including sub-participants) shall promptly notify WIL-Ireland and the Administrative Agent if for any reason it ceases to be a Swiss Qualifying Lender.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i w:val="1"/>
          <w:iCs w:val="1"/>
          <w:color w:val="auto"/>
        </w:rPr>
        <w:t>Remainder of this page intentionally left blank; signature pages intentionally omitted.</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37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TERM LOAN AGREEMENT</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DATED AS OF MAY 4, 2016</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WEATHERFORD INTERNATIONAL LTD.,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 BERMUDA EXEMPTED COMPANY,</w:t>
      </w:r>
    </w:p>
    <w:p>
      <w:pPr>
        <w:jc w:val="center"/>
        <w:ind w:right="1200"/>
        <w:spacing w:after="0"/>
        <w:rPr>
          <w:sz w:val="20"/>
          <w:szCs w:val="20"/>
          <w:color w:val="auto"/>
        </w:rPr>
      </w:pPr>
      <w:r>
        <w:rPr>
          <w:rFonts w:ascii="Arial" w:cs="Arial" w:eastAsia="Arial" w:hAnsi="Arial"/>
          <w:sz w:val="20"/>
          <w:szCs w:val="20"/>
          <w:b w:val="1"/>
          <w:bCs w:val="1"/>
          <w:color w:val="auto"/>
        </w:rPr>
        <w:t>AS BORROWER,</w:t>
      </w:r>
    </w:p>
    <w:p>
      <w:pPr>
        <w:spacing w:after="0" w:line="207"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WEATHERFORD INTERNATIONAL PLC,</w:t>
      </w:r>
    </w:p>
    <w:p>
      <w:pPr>
        <w:spacing w:after="0" w:line="22"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AN IRISH PUBLIC LIMITED COMPANY,</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THE LENDERS PARTY HERETO</w:t>
      </w:r>
      <w:r>
        <w:rPr>
          <w:rFonts w:ascii="Arial" w:cs="Arial" w:eastAsia="Arial" w:hAnsi="Arial"/>
          <w:sz w:val="18"/>
          <w:szCs w:val="18"/>
          <w:b w:val="1"/>
          <w:bCs w:val="1"/>
          <w:color w:val="auto"/>
        </w:rPr>
        <w: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ADMINISTRATIVE AGENT</w:t>
      </w:r>
    </w:p>
    <w:p>
      <w:pPr>
        <w:ind w:left="2040"/>
        <w:spacing w:after="0"/>
        <w:rPr>
          <w:sz w:val="20"/>
          <w:szCs w:val="20"/>
          <w:color w:val="auto"/>
        </w:rPr>
      </w:pPr>
      <w:r>
        <w:rPr>
          <w:rFonts w:ascii="Arial" w:cs="Arial" w:eastAsia="Arial" w:hAnsi="Arial"/>
          <w:sz w:val="20"/>
          <w:szCs w:val="20"/>
          <w:b w:val="1"/>
          <w:bCs w:val="1"/>
          <w:color w:val="auto"/>
        </w:rPr>
        <w:t>__________________________________________________</w:t>
      </w: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JPMORGAN CHASE BANK, N.A., DEUTSCHE BANK SECURITIES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WELLS FARGO SECURITIES, LLC, BANK OF TOKYO-MITSUBISHI UFJ, LTD.,</w:t>
      </w:r>
    </w:p>
    <w:p>
      <w:pPr>
        <w:spacing w:after="0" w:line="1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CITIGROUP GLOBAL MARKETS INC.</w:t>
      </w:r>
    </w:p>
    <w:p>
      <w:pPr>
        <w:jc w:val="center"/>
        <w:ind w:right="1200"/>
        <w:spacing w:after="0"/>
        <w:rPr>
          <w:sz w:val="20"/>
          <w:szCs w:val="20"/>
          <w:color w:val="auto"/>
        </w:rPr>
      </w:pPr>
      <w:r>
        <w:rPr>
          <w:rFonts w:ascii="Arial" w:cs="Arial" w:eastAsia="Arial" w:hAnsi="Arial"/>
          <w:sz w:val="20"/>
          <w:szCs w:val="20"/>
          <w:b w:val="1"/>
          <w:bCs w:val="1"/>
          <w:color w:val="auto"/>
        </w:rPr>
        <w:t>AND</w:t>
      </w:r>
    </w:p>
    <w:p>
      <w:pPr>
        <w:jc w:val="center"/>
        <w:ind w:right="1200"/>
        <w:spacing w:after="0"/>
        <w:rPr>
          <w:sz w:val="20"/>
          <w:szCs w:val="20"/>
          <w:color w:val="auto"/>
        </w:rPr>
      </w:pPr>
      <w:r>
        <w:rPr>
          <w:rFonts w:ascii="Arial" w:cs="Arial" w:eastAsia="Arial" w:hAnsi="Arial"/>
          <w:sz w:val="20"/>
          <w:szCs w:val="20"/>
          <w:b w:val="1"/>
          <w:bCs w:val="1"/>
          <w:color w:val="auto"/>
        </w:rPr>
        <w:t>MORGAN STANLEY SENIOR FUNDING, INC.,</w:t>
      </w:r>
    </w:p>
    <w:p>
      <w:pPr>
        <w:jc w:val="center"/>
        <w:ind w:right="1200"/>
        <w:spacing w:after="0"/>
        <w:rPr>
          <w:sz w:val="20"/>
          <w:szCs w:val="20"/>
          <w:color w:val="auto"/>
        </w:rPr>
      </w:pPr>
      <w:r>
        <w:rPr>
          <w:rFonts w:ascii="Arial" w:cs="Arial" w:eastAsia="Arial" w:hAnsi="Arial"/>
          <w:sz w:val="20"/>
          <w:szCs w:val="20"/>
          <w:b w:val="1"/>
          <w:bCs w:val="1"/>
          <w:color w:val="auto"/>
        </w:rPr>
        <w:t>AS JOINT LEAD ARRANGERS AND JOINT BOOKRUNNERS,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DEUTSCHE BANK SECURITIES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SYNDICATION AGENT,</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WELLS FARGO SECURITIES, LLC, BANK OF TOKYO-MITSUBISHI UFJ, LTD.,</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CITIGROUP GLOBAL MARKETS INC.</w:t>
      </w:r>
    </w:p>
    <w:p>
      <w:pPr>
        <w:jc w:val="center"/>
        <w:ind w:right="1200"/>
        <w:spacing w:after="0"/>
        <w:rPr>
          <w:sz w:val="20"/>
          <w:szCs w:val="20"/>
          <w:color w:val="auto"/>
        </w:rPr>
      </w:pPr>
      <w:r>
        <w:rPr>
          <w:rFonts w:ascii="Arial" w:cs="Arial" w:eastAsia="Arial" w:hAnsi="Arial"/>
          <w:sz w:val="20"/>
          <w:szCs w:val="20"/>
          <w:b w:val="1"/>
          <w:bCs w:val="1"/>
          <w:color w:val="auto"/>
        </w:rPr>
        <w:t>AND</w:t>
      </w:r>
    </w:p>
    <w:p>
      <w:pPr>
        <w:jc w:val="center"/>
        <w:ind w:right="1200"/>
        <w:spacing w:after="0"/>
        <w:rPr>
          <w:sz w:val="20"/>
          <w:szCs w:val="20"/>
          <w:color w:val="auto"/>
        </w:rPr>
      </w:pPr>
      <w:r>
        <w:rPr>
          <w:rFonts w:ascii="Arial" w:cs="Arial" w:eastAsia="Arial" w:hAnsi="Arial"/>
          <w:sz w:val="20"/>
          <w:szCs w:val="20"/>
          <w:b w:val="1"/>
          <w:bCs w:val="1"/>
          <w:color w:val="auto"/>
        </w:rPr>
        <w:t>MORGAN STANLEY SENIOR FUNDING, INC.,</w:t>
      </w:r>
    </w:p>
    <w:p>
      <w:pPr>
        <w:jc w:val="center"/>
        <w:ind w:right="1200"/>
        <w:spacing w:after="0"/>
        <w:rPr>
          <w:sz w:val="20"/>
          <w:szCs w:val="20"/>
          <w:color w:val="auto"/>
        </w:rPr>
      </w:pPr>
      <w:r>
        <w:rPr>
          <w:rFonts w:ascii="Arial" w:cs="Arial" w:eastAsia="Arial" w:hAnsi="Arial"/>
          <w:sz w:val="20"/>
          <w:szCs w:val="20"/>
          <w:b w:val="1"/>
          <w:bCs w:val="1"/>
          <w:color w:val="auto"/>
        </w:rPr>
        <w:t>AS CO-DOCUMENTATION AGENTS</w:t>
      </w:r>
    </w:p>
    <w:p>
      <w:pPr>
        <w:sectPr>
          <w:pgSz w:w="11900" w:h="16838" w:orient="portrait"/>
          <w:cols w:equalWidth="0" w:num="1">
            <w:col w:w="10220"/>
          </w:cols>
          <w:pgMar w:left="1440" w:top="342" w:right="239" w:bottom="1440" w:gutter="0" w:footer="0" w:header="0"/>
        </w:sectPr>
      </w:pPr>
    </w:p>
    <w:bookmarkStart w:id="182" w:name="page183"/>
    <w:bookmarkEnd w:id="182"/>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gridSpan w:val="2"/>
          </w:tcPr>
          <w:p>
            <w:pPr>
              <w:ind w:left="20"/>
              <w:spacing w:after="0"/>
              <w:rPr>
                <w:sz w:val="20"/>
                <w:szCs w:val="20"/>
                <w:color w:val="auto"/>
              </w:rPr>
            </w:pPr>
            <w:r>
              <w:rPr>
                <w:rFonts w:ascii="Arial" w:cs="Arial" w:eastAsia="Arial" w:hAnsi="Arial"/>
                <w:sz w:val="22"/>
                <w:szCs w:val="22"/>
                <w:b w:val="1"/>
                <w:bCs w:val="1"/>
                <w:color w:val="auto"/>
                <w:w w:val="96"/>
              </w:rPr>
              <w:t>TABLE OF CONTENTS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760"/>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00" w:type="dxa"/>
            <w:vAlign w:val="bottom"/>
            <w:gridSpan w:val="4"/>
          </w:tcPr>
          <w:p>
            <w:pPr>
              <w:jc w:val="center"/>
              <w:ind w:right="4080"/>
              <w:spacing w:after="0"/>
              <w:rPr>
                <w:sz w:val="20"/>
                <w:szCs w:val="20"/>
                <w:color w:val="auto"/>
              </w:rPr>
            </w:pPr>
            <w:r>
              <w:rPr>
                <w:rFonts w:ascii="Arial" w:cs="Arial" w:eastAsia="Arial" w:hAnsi="Arial"/>
                <w:sz w:val="22"/>
                <w:szCs w:val="22"/>
                <w:color w:val="010000"/>
                <w:w w:val="96"/>
              </w:rPr>
              <w:t>ARTICLE 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60" w:type="dxa"/>
            <w:vAlign w:val="bottom"/>
            <w:gridSpan w:val="19"/>
          </w:tcPr>
          <w:p>
            <w:pPr>
              <w:jc w:val="center"/>
              <w:ind w:right="1520"/>
              <w:spacing w:after="0"/>
              <w:rPr>
                <w:sz w:val="20"/>
                <w:szCs w:val="20"/>
                <w:color w:val="auto"/>
              </w:rPr>
            </w:pPr>
            <w:r>
              <w:rPr>
                <w:rFonts w:ascii="Arial" w:cs="Arial" w:eastAsia="Arial" w:hAnsi="Arial"/>
                <w:sz w:val="22"/>
                <w:szCs w:val="22"/>
                <w:color w:val="auto"/>
                <w:w w:val="95"/>
              </w:rPr>
              <w:t>DEFINITIONS; ACCOUNTING TERMS; INTERPRETATION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2320" w:type="dxa"/>
            <w:vAlign w:val="bottom"/>
            <w:gridSpan w:val="2"/>
            <w:vMerge w:val="restart"/>
          </w:tcPr>
          <w:p>
            <w:pPr>
              <w:spacing w:after="0"/>
              <w:rPr>
                <w:sz w:val="20"/>
                <w:szCs w:val="20"/>
                <w:color w:val="auto"/>
              </w:rPr>
            </w:pPr>
            <w:r>
              <w:rPr>
                <w:rFonts w:ascii="Arial" w:cs="Arial" w:eastAsia="Arial" w:hAnsi="Arial"/>
                <w:sz w:val="22"/>
                <w:szCs w:val="22"/>
                <w:color w:val="010000"/>
              </w:rPr>
              <w:t>SECTION 1.01</w:t>
            </w:r>
          </w:p>
        </w:tc>
        <w:tc>
          <w:tcPr>
            <w:tcW w:w="200" w:type="dxa"/>
            <w:vAlign w:val="bottom"/>
          </w:tcPr>
          <w:p>
            <w:pPr>
              <w:spacing w:after="0"/>
              <w:rPr>
                <w:sz w:val="24"/>
                <w:szCs w:val="24"/>
                <w:color w:val="auto"/>
              </w:rPr>
            </w:pPr>
          </w:p>
        </w:tc>
        <w:tc>
          <w:tcPr>
            <w:tcW w:w="7860" w:type="dxa"/>
            <w:vAlign w:val="bottom"/>
            <w:gridSpan w:val="19"/>
            <w:vMerge w:val="restart"/>
          </w:tcPr>
          <w:p>
            <w:pPr>
              <w:spacing w:after="0"/>
              <w:rPr>
                <w:sz w:val="20"/>
                <w:szCs w:val="20"/>
                <w:color w:val="auto"/>
              </w:rPr>
            </w:pPr>
            <w:r>
              <w:rPr>
                <w:rFonts w:ascii="Arial" w:cs="Arial" w:eastAsia="Arial" w:hAnsi="Arial"/>
                <w:sz w:val="22"/>
                <w:szCs w:val="22"/>
                <w:color w:val="auto"/>
              </w:rPr>
              <w:t>Definitions</w:t>
            </w:r>
          </w:p>
        </w:tc>
        <w:tc>
          <w:tcPr>
            <w:tcW w:w="44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60" w:type="dxa"/>
            <w:vAlign w:val="bottom"/>
            <w:gridSpan w:val="1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22"/>
                <w:szCs w:val="22"/>
                <w:color w:val="auto"/>
                <w:w w:val="89"/>
              </w:rPr>
              <w:t>39</w:t>
            </w:r>
          </w:p>
        </w:tc>
        <w:tc>
          <w:tcPr>
            <w:tcW w:w="0" w:type="dxa"/>
            <w:vAlign w:val="bottom"/>
          </w:tcPr>
          <w:p>
            <w:pPr>
              <w:spacing w:after="0" w:line="20" w:lineRule="exact"/>
              <w:rPr>
                <w:sz w:val="1"/>
                <w:szCs w:val="1"/>
                <w:color w:val="auto"/>
              </w:rPr>
            </w:pPr>
          </w:p>
        </w:tc>
      </w:tr>
      <w:tr>
        <w:trPr>
          <w:trHeight w:val="544"/>
        </w:trPr>
        <w:tc>
          <w:tcPr>
            <w:tcW w:w="2320" w:type="dxa"/>
            <w:vAlign w:val="bottom"/>
            <w:gridSpan w:val="2"/>
            <w:vMerge w:val="restart"/>
          </w:tcPr>
          <w:p>
            <w:pPr>
              <w:spacing w:after="0"/>
              <w:rPr>
                <w:sz w:val="20"/>
                <w:szCs w:val="20"/>
                <w:color w:val="auto"/>
              </w:rPr>
            </w:pPr>
            <w:r>
              <w:rPr>
                <w:rFonts w:ascii="Arial" w:cs="Arial" w:eastAsia="Arial" w:hAnsi="Arial"/>
                <w:sz w:val="22"/>
                <w:szCs w:val="22"/>
                <w:color w:val="010000"/>
              </w:rPr>
              <w:t>SECTION 1.02</w:t>
            </w:r>
          </w:p>
        </w:tc>
        <w:tc>
          <w:tcPr>
            <w:tcW w:w="200" w:type="dxa"/>
            <w:vAlign w:val="bottom"/>
          </w:tcPr>
          <w:p>
            <w:pPr>
              <w:spacing w:after="0"/>
              <w:rPr>
                <w:sz w:val="24"/>
                <w:szCs w:val="24"/>
                <w:color w:val="auto"/>
              </w:rPr>
            </w:pPr>
          </w:p>
        </w:tc>
        <w:tc>
          <w:tcPr>
            <w:tcW w:w="1820" w:type="dxa"/>
            <w:vAlign w:val="bottom"/>
            <w:gridSpan w:val="10"/>
            <w:vMerge w:val="restart"/>
          </w:tcPr>
          <w:p>
            <w:pPr>
              <w:spacing w:after="0"/>
              <w:rPr>
                <w:sz w:val="20"/>
                <w:szCs w:val="20"/>
                <w:color w:val="auto"/>
              </w:rPr>
            </w:pPr>
            <w:r>
              <w:rPr>
                <w:rFonts w:ascii="Arial" w:cs="Arial" w:eastAsia="Arial" w:hAnsi="Arial"/>
                <w:sz w:val="22"/>
                <w:szCs w:val="22"/>
                <w:color w:val="auto"/>
                <w:w w:val="89"/>
              </w:rPr>
              <w:t>Types of Borrowings</w:t>
            </w:r>
          </w:p>
        </w:tc>
        <w:tc>
          <w:tcPr>
            <w:tcW w:w="6040" w:type="dxa"/>
            <w:vAlign w:val="bottom"/>
            <w:gridSpan w:val="9"/>
            <w:vMerge w:val="restart"/>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Borders>
              <w:bottom w:val="single" w:sz="8" w:color="auto"/>
            </w:tcBorders>
            <w:gridSpan w:val="10"/>
            <w:vMerge w:val="continue"/>
          </w:tcPr>
          <w:p>
            <w:pPr>
              <w:spacing w:after="0"/>
              <w:rPr>
                <w:sz w:val="14"/>
                <w:szCs w:val="14"/>
                <w:color w:val="auto"/>
              </w:rPr>
            </w:pPr>
          </w:p>
        </w:tc>
        <w:tc>
          <w:tcPr>
            <w:tcW w:w="604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4"/>
        </w:trPr>
        <w:tc>
          <w:tcPr>
            <w:tcW w:w="2320" w:type="dxa"/>
            <w:vAlign w:val="bottom"/>
            <w:gridSpan w:val="2"/>
            <w:vMerge w:val="restart"/>
          </w:tcPr>
          <w:p>
            <w:pPr>
              <w:spacing w:after="0"/>
              <w:rPr>
                <w:sz w:val="20"/>
                <w:szCs w:val="20"/>
                <w:color w:val="auto"/>
              </w:rPr>
            </w:pPr>
            <w:r>
              <w:rPr>
                <w:rFonts w:ascii="Arial" w:cs="Arial" w:eastAsia="Arial" w:hAnsi="Arial"/>
                <w:sz w:val="22"/>
                <w:szCs w:val="22"/>
                <w:color w:val="010000"/>
              </w:rPr>
              <w:t>SECTION 1.03</w:t>
            </w:r>
          </w:p>
        </w:tc>
        <w:tc>
          <w:tcPr>
            <w:tcW w:w="200" w:type="dxa"/>
            <w:vAlign w:val="bottom"/>
          </w:tcPr>
          <w:p>
            <w:pPr>
              <w:spacing w:after="0"/>
              <w:rPr>
                <w:sz w:val="24"/>
                <w:szCs w:val="24"/>
                <w:color w:val="auto"/>
              </w:rPr>
            </w:pPr>
          </w:p>
        </w:tc>
        <w:tc>
          <w:tcPr>
            <w:tcW w:w="3320" w:type="dxa"/>
            <w:vAlign w:val="bottom"/>
            <w:gridSpan w:val="16"/>
            <w:vMerge w:val="restart"/>
          </w:tcPr>
          <w:p>
            <w:pPr>
              <w:spacing w:after="0"/>
              <w:rPr>
                <w:sz w:val="20"/>
                <w:szCs w:val="20"/>
                <w:color w:val="auto"/>
              </w:rPr>
            </w:pPr>
            <w:r>
              <w:rPr>
                <w:rFonts w:ascii="Arial" w:cs="Arial" w:eastAsia="Arial" w:hAnsi="Arial"/>
                <w:sz w:val="22"/>
                <w:szCs w:val="22"/>
                <w:color w:val="auto"/>
                <w:w w:val="89"/>
              </w:rPr>
              <w:t>Accounting Terms; Changes in GAAP</w:t>
            </w:r>
          </w:p>
        </w:tc>
        <w:tc>
          <w:tcPr>
            <w:tcW w:w="4540" w:type="dxa"/>
            <w:vAlign w:val="bottom"/>
            <w:gridSpan w:val="3"/>
            <w:vMerge w:val="restart"/>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auto"/>
                <w:w w:val="89"/>
              </w:rPr>
              <w:t>39</w:t>
            </w:r>
          </w:p>
        </w:tc>
        <w:tc>
          <w:tcPr>
            <w:tcW w:w="0" w:type="dxa"/>
            <w:vAlign w:val="bottom"/>
          </w:tcPr>
          <w:p>
            <w:pPr>
              <w:spacing w:after="0"/>
              <w:rPr>
                <w:sz w:val="1"/>
                <w:szCs w:val="1"/>
                <w:color w:val="auto"/>
              </w:rPr>
            </w:pPr>
          </w:p>
        </w:tc>
      </w:tr>
      <w:tr>
        <w:trPr>
          <w:trHeight w:val="171"/>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tcBorders>
              <w:bottom w:val="single" w:sz="8" w:color="auto"/>
            </w:tcBorders>
            <w:gridSpan w:val="16"/>
            <w:vMerge w:val="continue"/>
          </w:tcPr>
          <w:p>
            <w:pPr>
              <w:spacing w:after="0"/>
              <w:rPr>
                <w:sz w:val="14"/>
                <w:szCs w:val="14"/>
                <w:color w:val="auto"/>
              </w:rPr>
            </w:pPr>
          </w:p>
        </w:tc>
        <w:tc>
          <w:tcPr>
            <w:tcW w:w="45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4"/>
        </w:trPr>
        <w:tc>
          <w:tcPr>
            <w:tcW w:w="2320" w:type="dxa"/>
            <w:vAlign w:val="bottom"/>
            <w:gridSpan w:val="2"/>
            <w:vMerge w:val="restart"/>
          </w:tcPr>
          <w:p>
            <w:pPr>
              <w:spacing w:after="0"/>
              <w:rPr>
                <w:sz w:val="20"/>
                <w:szCs w:val="20"/>
                <w:color w:val="auto"/>
              </w:rPr>
            </w:pPr>
            <w:r>
              <w:rPr>
                <w:rFonts w:ascii="Arial" w:cs="Arial" w:eastAsia="Arial" w:hAnsi="Arial"/>
                <w:sz w:val="22"/>
                <w:szCs w:val="22"/>
                <w:color w:val="010000"/>
              </w:rPr>
              <w:t>SECTION 1.04</w:t>
            </w:r>
          </w:p>
        </w:tc>
        <w:tc>
          <w:tcPr>
            <w:tcW w:w="200" w:type="dxa"/>
            <w:vAlign w:val="bottom"/>
          </w:tcPr>
          <w:p>
            <w:pPr>
              <w:spacing w:after="0"/>
              <w:rPr>
                <w:sz w:val="24"/>
                <w:szCs w:val="24"/>
                <w:color w:val="auto"/>
              </w:rPr>
            </w:pPr>
          </w:p>
        </w:tc>
        <w:tc>
          <w:tcPr>
            <w:tcW w:w="7860" w:type="dxa"/>
            <w:vAlign w:val="bottom"/>
            <w:gridSpan w:val="19"/>
            <w:vMerge w:val="restart"/>
          </w:tcPr>
          <w:p>
            <w:pPr>
              <w:spacing w:after="0"/>
              <w:rPr>
                <w:sz w:val="20"/>
                <w:szCs w:val="20"/>
                <w:color w:val="auto"/>
              </w:rPr>
            </w:pPr>
            <w:r>
              <w:rPr>
                <w:rFonts w:ascii="Arial" w:cs="Arial" w:eastAsia="Arial" w:hAnsi="Arial"/>
                <w:sz w:val="22"/>
                <w:szCs w:val="22"/>
                <w:color w:val="auto"/>
              </w:rPr>
              <w:t>Interpretation</w:t>
            </w:r>
          </w:p>
        </w:tc>
        <w:tc>
          <w:tcPr>
            <w:tcW w:w="440" w:type="dxa"/>
            <w:vAlign w:val="bottom"/>
          </w:tcPr>
          <w:p>
            <w:pPr>
              <w:jc w:val="center"/>
              <w:spacing w:after="0"/>
              <w:rPr>
                <w:sz w:val="20"/>
                <w:szCs w:val="20"/>
                <w:color w:val="auto"/>
              </w:rPr>
            </w:pPr>
            <w:r>
              <w:rPr>
                <w:rFonts w:ascii="Arial" w:cs="Arial" w:eastAsia="Arial" w:hAnsi="Arial"/>
                <w:sz w:val="22"/>
                <w:szCs w:val="22"/>
                <w:color w:val="auto"/>
                <w:w w:val="89"/>
              </w:rPr>
              <w:t>41</w:t>
            </w: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60" w:type="dxa"/>
            <w:vAlign w:val="bottom"/>
            <w:gridSpan w:val="1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00" w:type="dxa"/>
            <w:vAlign w:val="bottom"/>
            <w:gridSpan w:val="4"/>
          </w:tcPr>
          <w:p>
            <w:pPr>
              <w:jc w:val="center"/>
              <w:ind w:right="4080"/>
              <w:spacing w:after="0"/>
              <w:rPr>
                <w:sz w:val="20"/>
                <w:szCs w:val="20"/>
                <w:color w:val="auto"/>
              </w:rPr>
            </w:pPr>
            <w:r>
              <w:rPr>
                <w:rFonts w:ascii="Arial" w:cs="Arial" w:eastAsia="Arial" w:hAnsi="Arial"/>
                <w:sz w:val="22"/>
                <w:szCs w:val="22"/>
                <w:color w:val="010000"/>
                <w:w w:val="98"/>
              </w:rPr>
              <w:t>ARTICLE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8"/>
          </w:tcPr>
          <w:p>
            <w:pPr>
              <w:jc w:val="center"/>
              <w:ind w:right="3360"/>
              <w:spacing w:after="0"/>
              <w:rPr>
                <w:sz w:val="20"/>
                <w:szCs w:val="20"/>
                <w:color w:val="auto"/>
              </w:rPr>
            </w:pPr>
            <w:r>
              <w:rPr>
                <w:rFonts w:ascii="Arial" w:cs="Arial" w:eastAsia="Arial" w:hAnsi="Arial"/>
                <w:sz w:val="22"/>
                <w:szCs w:val="22"/>
                <w:color w:val="010000"/>
                <w:w w:val="97"/>
              </w:rPr>
              <w:t>COMMITMENTS; LOANS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2.01</w:t>
            </w:r>
          </w:p>
        </w:tc>
        <w:tc>
          <w:tcPr>
            <w:tcW w:w="200" w:type="dxa"/>
            <w:vAlign w:val="bottom"/>
          </w:tcPr>
          <w:p>
            <w:pPr>
              <w:spacing w:after="0"/>
              <w:rPr>
                <w:sz w:val="24"/>
                <w:szCs w:val="24"/>
                <w:color w:val="auto"/>
              </w:rPr>
            </w:pPr>
          </w:p>
        </w:tc>
        <w:tc>
          <w:tcPr>
            <w:tcW w:w="7860" w:type="dxa"/>
            <w:vAlign w:val="bottom"/>
            <w:gridSpan w:val="19"/>
          </w:tcPr>
          <w:p>
            <w:pPr>
              <w:spacing w:after="0"/>
              <w:rPr>
                <w:sz w:val="20"/>
                <w:szCs w:val="20"/>
                <w:color w:val="auto"/>
              </w:rPr>
            </w:pPr>
            <w:r>
              <w:rPr>
                <w:rFonts w:ascii="Arial" w:cs="Arial" w:eastAsia="Arial" w:hAnsi="Arial"/>
                <w:sz w:val="22"/>
                <w:szCs w:val="22"/>
                <w:color w:val="auto"/>
              </w:rPr>
              <w:t>Loans</w:t>
            </w: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42</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2.02</w:t>
            </w:r>
          </w:p>
        </w:tc>
        <w:tc>
          <w:tcPr>
            <w:tcW w:w="200" w:type="dxa"/>
            <w:vAlign w:val="bottom"/>
          </w:tcPr>
          <w:p>
            <w:pPr>
              <w:spacing w:after="0"/>
              <w:rPr>
                <w:sz w:val="24"/>
                <w:szCs w:val="24"/>
                <w:color w:val="auto"/>
              </w:rPr>
            </w:pPr>
          </w:p>
        </w:tc>
        <w:tc>
          <w:tcPr>
            <w:tcW w:w="338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91"/>
              </w:rPr>
              <w:t>Request for Initial Borrowing of Loans</w:t>
            </w:r>
          </w:p>
        </w:tc>
        <w:tc>
          <w:tcPr>
            <w:tcW w:w="4480" w:type="dxa"/>
            <w:vAlign w:val="bottom"/>
            <w:gridSpan w:val="2"/>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43</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2.03</w:t>
            </w:r>
          </w:p>
        </w:tc>
        <w:tc>
          <w:tcPr>
            <w:tcW w:w="200" w:type="dxa"/>
            <w:vAlign w:val="bottom"/>
          </w:tcPr>
          <w:p>
            <w:pPr>
              <w:spacing w:after="0"/>
              <w:rPr>
                <w:sz w:val="24"/>
                <w:szCs w:val="24"/>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1"/>
              </w:rPr>
              <w:t>[RESERVED]</w:t>
            </w:r>
          </w:p>
        </w:tc>
        <w:tc>
          <w:tcPr>
            <w:tcW w:w="6620" w:type="dxa"/>
            <w:vAlign w:val="bottom"/>
            <w:gridSpan w:val="13"/>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43</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2.04</w:t>
            </w:r>
          </w:p>
        </w:tc>
        <w:tc>
          <w:tcPr>
            <w:tcW w:w="200" w:type="dxa"/>
            <w:vAlign w:val="bottom"/>
          </w:tcPr>
          <w:p>
            <w:pPr>
              <w:spacing w:after="0"/>
              <w:rPr>
                <w:sz w:val="24"/>
                <w:szCs w:val="24"/>
                <w:color w:val="auto"/>
              </w:rPr>
            </w:pPr>
          </w:p>
        </w:tc>
        <w:tc>
          <w:tcPr>
            <w:tcW w:w="7860" w:type="dxa"/>
            <w:vAlign w:val="bottom"/>
            <w:gridSpan w:val="19"/>
          </w:tcPr>
          <w:p>
            <w:pPr>
              <w:spacing w:after="0"/>
              <w:rPr>
                <w:sz w:val="20"/>
                <w:szCs w:val="20"/>
                <w:color w:val="auto"/>
              </w:rPr>
            </w:pPr>
            <w:r>
              <w:rPr>
                <w:rFonts w:ascii="Arial" w:cs="Arial" w:eastAsia="Arial" w:hAnsi="Arial"/>
                <w:sz w:val="22"/>
                <w:szCs w:val="22"/>
                <w:color w:val="auto"/>
              </w:rPr>
              <w:t>Funding of Borrowings</w:t>
            </w: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43</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2.05</w:t>
            </w:r>
          </w:p>
        </w:tc>
        <w:tc>
          <w:tcPr>
            <w:tcW w:w="200" w:type="dxa"/>
            <w:vAlign w:val="bottom"/>
          </w:tcPr>
          <w:p>
            <w:pPr>
              <w:spacing w:after="0"/>
              <w:rPr>
                <w:sz w:val="24"/>
                <w:szCs w:val="24"/>
                <w:color w:val="auto"/>
              </w:rPr>
            </w:pPr>
          </w:p>
        </w:tc>
        <w:tc>
          <w:tcPr>
            <w:tcW w:w="150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22"/>
                <w:szCs w:val="22"/>
                <w:color w:val="auto"/>
                <w:w w:val="87"/>
              </w:rPr>
              <w:t>Interest Elections</w:t>
            </w:r>
          </w:p>
        </w:tc>
        <w:tc>
          <w:tcPr>
            <w:tcW w:w="520" w:type="dxa"/>
            <w:vAlign w:val="bottom"/>
            <w:tcBorders>
              <w:top w:val="single" w:sz="8" w:color="auto"/>
            </w:tcBorders>
            <w:gridSpan w:val="4"/>
          </w:tcPr>
          <w:p>
            <w:pPr>
              <w:spacing w:after="0"/>
              <w:rPr>
                <w:sz w:val="24"/>
                <w:szCs w:val="24"/>
                <w:color w:val="auto"/>
              </w:rPr>
            </w:pPr>
          </w:p>
        </w:tc>
        <w:tc>
          <w:tcPr>
            <w:tcW w:w="5840" w:type="dxa"/>
            <w:vAlign w:val="bottom"/>
            <w:gridSpan w:val="7"/>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45</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2.06</w:t>
            </w:r>
          </w:p>
        </w:tc>
        <w:tc>
          <w:tcPr>
            <w:tcW w:w="200" w:type="dxa"/>
            <w:vAlign w:val="bottom"/>
          </w:tcPr>
          <w:p>
            <w:pPr>
              <w:spacing w:after="0"/>
              <w:rPr>
                <w:sz w:val="24"/>
                <w:szCs w:val="24"/>
                <w:color w:val="auto"/>
              </w:rPr>
            </w:pPr>
          </w:p>
        </w:tc>
        <w:tc>
          <w:tcPr>
            <w:tcW w:w="256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89"/>
              </w:rPr>
              <w:t>Termination of Commitments</w:t>
            </w:r>
          </w:p>
        </w:tc>
        <w:tc>
          <w:tcPr>
            <w:tcW w:w="5300" w:type="dxa"/>
            <w:vAlign w:val="bottom"/>
            <w:gridSpan w:val="4"/>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46</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2.07</w:t>
            </w:r>
          </w:p>
        </w:tc>
        <w:tc>
          <w:tcPr>
            <w:tcW w:w="200" w:type="dxa"/>
            <w:vAlign w:val="bottom"/>
          </w:tcPr>
          <w:p>
            <w:pPr>
              <w:spacing w:after="0"/>
              <w:rPr>
                <w:sz w:val="24"/>
                <w:szCs w:val="24"/>
                <w:color w:val="auto"/>
              </w:rPr>
            </w:pPr>
          </w:p>
        </w:tc>
        <w:tc>
          <w:tcPr>
            <w:tcW w:w="7860" w:type="dxa"/>
            <w:vAlign w:val="bottom"/>
            <w:gridSpan w:val="19"/>
          </w:tcPr>
          <w:p>
            <w:pPr>
              <w:spacing w:after="0"/>
              <w:rPr>
                <w:sz w:val="20"/>
                <w:szCs w:val="20"/>
                <w:color w:val="auto"/>
              </w:rPr>
            </w:pPr>
            <w:r>
              <w:rPr>
                <w:rFonts w:ascii="Arial" w:cs="Arial" w:eastAsia="Arial" w:hAnsi="Arial"/>
                <w:sz w:val="22"/>
                <w:szCs w:val="22"/>
                <w:color w:val="auto"/>
              </w:rPr>
              <w:t>Repayment of Loans; Amortization; Evidence of Debt</w:t>
            </w: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46</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2.08</w:t>
            </w:r>
          </w:p>
        </w:tc>
        <w:tc>
          <w:tcPr>
            <w:tcW w:w="200" w:type="dxa"/>
            <w:vAlign w:val="bottom"/>
          </w:tcPr>
          <w:p>
            <w:pPr>
              <w:spacing w:after="0"/>
              <w:rPr>
                <w:sz w:val="24"/>
                <w:szCs w:val="24"/>
                <w:color w:val="auto"/>
              </w:rPr>
            </w:pPr>
          </w:p>
        </w:tc>
        <w:tc>
          <w:tcPr>
            <w:tcW w:w="4680" w:type="dxa"/>
            <w:vAlign w:val="bottom"/>
            <w:tcBorders>
              <w:top w:val="single" w:sz="8" w:color="auto"/>
            </w:tcBorders>
            <w:gridSpan w:val="18"/>
          </w:tcPr>
          <w:p>
            <w:pPr>
              <w:spacing w:after="0"/>
              <w:rPr>
                <w:sz w:val="20"/>
                <w:szCs w:val="20"/>
                <w:color w:val="auto"/>
              </w:rPr>
            </w:pPr>
            <w:r>
              <w:rPr>
                <w:rFonts w:ascii="Arial" w:cs="Arial" w:eastAsia="Arial" w:hAnsi="Arial"/>
                <w:sz w:val="22"/>
                <w:szCs w:val="22"/>
                <w:color w:val="auto"/>
              </w:rPr>
              <w:t>Prepayment of Loans</w:t>
            </w:r>
          </w:p>
        </w:tc>
        <w:tc>
          <w:tcPr>
            <w:tcW w:w="31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47</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2.09</w:t>
            </w:r>
          </w:p>
        </w:tc>
        <w:tc>
          <w:tcPr>
            <w:tcW w:w="200" w:type="dxa"/>
            <w:vAlign w:val="bottom"/>
          </w:tcPr>
          <w:p>
            <w:pPr>
              <w:spacing w:after="0"/>
              <w:rPr>
                <w:sz w:val="24"/>
                <w:szCs w:val="24"/>
                <w:color w:val="auto"/>
              </w:rPr>
            </w:pPr>
          </w:p>
        </w:tc>
        <w:tc>
          <w:tcPr>
            <w:tcW w:w="1840" w:type="dxa"/>
            <w:vAlign w:val="bottom"/>
            <w:tcBorders>
              <w:top w:val="single" w:sz="8" w:color="auto"/>
            </w:tcBorders>
            <w:gridSpan w:val="11"/>
          </w:tcPr>
          <w:p>
            <w:pPr>
              <w:spacing w:after="0"/>
              <w:rPr>
                <w:sz w:val="20"/>
                <w:szCs w:val="20"/>
                <w:color w:val="auto"/>
              </w:rPr>
            </w:pPr>
            <w:r>
              <w:rPr>
                <w:rFonts w:ascii="Arial" w:cs="Arial" w:eastAsia="Arial" w:hAnsi="Arial"/>
                <w:sz w:val="22"/>
                <w:szCs w:val="22"/>
                <w:color w:val="auto"/>
              </w:rPr>
              <w:t>Fees</w:t>
            </w:r>
          </w:p>
        </w:tc>
        <w:tc>
          <w:tcPr>
            <w:tcW w:w="6020" w:type="dxa"/>
            <w:vAlign w:val="bottom"/>
            <w:gridSpan w:val="8"/>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47</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2.10</w:t>
            </w:r>
          </w:p>
        </w:tc>
        <w:tc>
          <w:tcPr>
            <w:tcW w:w="200" w:type="dxa"/>
            <w:vAlign w:val="bottom"/>
          </w:tcPr>
          <w:p>
            <w:pPr>
              <w:spacing w:after="0"/>
              <w:rPr>
                <w:sz w:val="24"/>
                <w:szCs w:val="24"/>
                <w:color w:val="auto"/>
              </w:rPr>
            </w:pPr>
          </w:p>
        </w:tc>
        <w:tc>
          <w:tcPr>
            <w:tcW w:w="7860" w:type="dxa"/>
            <w:vAlign w:val="bottom"/>
            <w:gridSpan w:val="19"/>
          </w:tcPr>
          <w:p>
            <w:pPr>
              <w:spacing w:after="0"/>
              <w:rPr>
                <w:sz w:val="20"/>
                <w:szCs w:val="20"/>
                <w:color w:val="auto"/>
              </w:rPr>
            </w:pPr>
            <w:r>
              <w:rPr>
                <w:rFonts w:ascii="Arial" w:cs="Arial" w:eastAsia="Arial" w:hAnsi="Arial"/>
                <w:sz w:val="22"/>
                <w:szCs w:val="22"/>
                <w:color w:val="auto"/>
              </w:rPr>
              <w:t>Interest</w:t>
            </w: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48</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2.11</w:t>
            </w:r>
          </w:p>
        </w:tc>
        <w:tc>
          <w:tcPr>
            <w:tcW w:w="200" w:type="dxa"/>
            <w:vAlign w:val="bottom"/>
          </w:tcPr>
          <w:p>
            <w:pPr>
              <w:spacing w:after="0"/>
              <w:rPr>
                <w:sz w:val="24"/>
                <w:szCs w:val="24"/>
                <w:color w:val="auto"/>
              </w:rPr>
            </w:pPr>
          </w:p>
        </w:tc>
        <w:tc>
          <w:tcPr>
            <w:tcW w:w="220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9"/>
              </w:rPr>
              <w:t>Alternate Rate of Interest</w:t>
            </w:r>
          </w:p>
        </w:tc>
        <w:tc>
          <w:tcPr>
            <w:tcW w:w="5660" w:type="dxa"/>
            <w:vAlign w:val="bottom"/>
            <w:gridSpan w:val="5"/>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48</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2.12</w:t>
            </w:r>
          </w:p>
        </w:tc>
        <w:tc>
          <w:tcPr>
            <w:tcW w:w="200" w:type="dxa"/>
            <w:vAlign w:val="bottom"/>
          </w:tcPr>
          <w:p>
            <w:pPr>
              <w:spacing w:after="0"/>
              <w:rPr>
                <w:sz w:val="24"/>
                <w:szCs w:val="24"/>
                <w:color w:val="auto"/>
              </w:rPr>
            </w:pPr>
          </w:p>
        </w:tc>
        <w:tc>
          <w:tcPr>
            <w:tcW w:w="136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4"/>
              </w:rPr>
              <w:t>Increased Costs</w:t>
            </w:r>
          </w:p>
        </w:tc>
        <w:tc>
          <w:tcPr>
            <w:tcW w:w="6500" w:type="dxa"/>
            <w:vAlign w:val="bottom"/>
            <w:gridSpan w:val="12"/>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49</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2.13</w:t>
            </w:r>
          </w:p>
        </w:tc>
        <w:tc>
          <w:tcPr>
            <w:tcW w:w="200" w:type="dxa"/>
            <w:vAlign w:val="bottom"/>
          </w:tcPr>
          <w:p>
            <w:pPr>
              <w:spacing w:after="0"/>
              <w:rPr>
                <w:sz w:val="24"/>
                <w:szCs w:val="24"/>
                <w:color w:val="auto"/>
              </w:rPr>
            </w:pPr>
          </w:p>
        </w:tc>
        <w:tc>
          <w:tcPr>
            <w:tcW w:w="218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87"/>
              </w:rPr>
              <w:t>Break Funding Payments</w:t>
            </w:r>
          </w:p>
        </w:tc>
        <w:tc>
          <w:tcPr>
            <w:tcW w:w="5680" w:type="dxa"/>
            <w:vAlign w:val="bottom"/>
            <w:gridSpan w:val="6"/>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50</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2.14</w:t>
            </w:r>
          </w:p>
        </w:tc>
        <w:tc>
          <w:tcPr>
            <w:tcW w:w="200" w:type="dxa"/>
            <w:vAlign w:val="bottom"/>
          </w:tcPr>
          <w:p>
            <w:pPr>
              <w:spacing w:after="0"/>
              <w:rPr>
                <w:sz w:val="24"/>
                <w:szCs w:val="24"/>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1"/>
              </w:rPr>
              <w:t>[RESERVED]</w:t>
            </w:r>
          </w:p>
        </w:tc>
        <w:tc>
          <w:tcPr>
            <w:tcW w:w="6620" w:type="dxa"/>
            <w:vAlign w:val="bottom"/>
            <w:gridSpan w:val="13"/>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51</w:t>
            </w:r>
          </w:p>
        </w:tc>
        <w:tc>
          <w:tcPr>
            <w:tcW w:w="0" w:type="dxa"/>
            <w:vAlign w:val="bottom"/>
          </w:tcPr>
          <w:p>
            <w:pPr>
              <w:spacing w:after="0"/>
              <w:rPr>
                <w:sz w:val="1"/>
                <w:szCs w:val="1"/>
                <w:color w:val="auto"/>
              </w:rPr>
            </w:pPr>
          </w:p>
        </w:tc>
      </w:tr>
      <w:tr>
        <w:trPr>
          <w:trHeight w:val="277"/>
        </w:trPr>
        <w:tc>
          <w:tcPr>
            <w:tcW w:w="2320" w:type="dxa"/>
            <w:vAlign w:val="bottom"/>
            <w:gridSpan w:val="2"/>
          </w:tcPr>
          <w:p>
            <w:pPr>
              <w:spacing w:after="0"/>
              <w:rPr>
                <w:sz w:val="20"/>
                <w:szCs w:val="20"/>
                <w:color w:val="auto"/>
              </w:rPr>
            </w:pPr>
            <w:r>
              <w:rPr>
                <w:rFonts w:ascii="Arial" w:cs="Arial" w:eastAsia="Arial" w:hAnsi="Arial"/>
                <w:sz w:val="22"/>
                <w:szCs w:val="22"/>
                <w:color w:val="010000"/>
              </w:rPr>
              <w:t>SECTION 2.15</w:t>
            </w:r>
          </w:p>
        </w:tc>
        <w:tc>
          <w:tcPr>
            <w:tcW w:w="200" w:type="dxa"/>
            <w:vAlign w:val="bottom"/>
          </w:tcPr>
          <w:p>
            <w:pPr>
              <w:spacing w:after="0"/>
              <w:rPr>
                <w:sz w:val="24"/>
                <w:szCs w:val="24"/>
                <w:color w:val="auto"/>
              </w:rPr>
            </w:pPr>
          </w:p>
        </w:tc>
        <w:tc>
          <w:tcPr>
            <w:tcW w:w="7860" w:type="dxa"/>
            <w:vAlign w:val="bottom"/>
            <w:gridSpan w:val="19"/>
          </w:tcPr>
          <w:p>
            <w:pPr>
              <w:spacing w:after="0"/>
              <w:rPr>
                <w:sz w:val="20"/>
                <w:szCs w:val="20"/>
                <w:color w:val="auto"/>
              </w:rPr>
            </w:pPr>
            <w:r>
              <w:rPr>
                <w:rFonts w:ascii="Arial" w:cs="Arial" w:eastAsia="Arial" w:hAnsi="Arial"/>
                <w:sz w:val="22"/>
                <w:szCs w:val="22"/>
                <w:color w:val="auto"/>
              </w:rPr>
              <w:t>Defaulting Lenders</w:t>
            </w:r>
          </w:p>
        </w:tc>
        <w:tc>
          <w:tcPr>
            <w:tcW w:w="440" w:type="dxa"/>
            <w:vAlign w:val="bottom"/>
          </w:tcPr>
          <w:p>
            <w:pPr>
              <w:jc w:val="center"/>
              <w:spacing w:after="0"/>
              <w:rPr>
                <w:sz w:val="20"/>
                <w:szCs w:val="20"/>
                <w:color w:val="auto"/>
              </w:rPr>
            </w:pPr>
            <w:r>
              <w:rPr>
                <w:rFonts w:ascii="Arial" w:cs="Arial" w:eastAsia="Arial" w:hAnsi="Arial"/>
                <w:sz w:val="22"/>
                <w:szCs w:val="22"/>
                <w:color w:val="010000"/>
                <w:w w:val="8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5100"/>
        <w:spacing w:after="0"/>
        <w:rPr>
          <w:sz w:val="20"/>
          <w:szCs w:val="20"/>
          <w:color w:val="auto"/>
        </w:rPr>
      </w:pPr>
      <w:r>
        <w:rPr>
          <w:rFonts w:ascii="Arial" w:cs="Arial" w:eastAsia="Arial" w:hAnsi="Arial"/>
          <w:sz w:val="22"/>
          <w:szCs w:val="22"/>
          <w:color w:val="010000"/>
        </w:rPr>
        <w:t>ARTICLE III</w:t>
      </w:r>
    </w:p>
    <w:p>
      <w:pPr>
        <w:spacing w:after="0" w:line="200" w:lineRule="exact"/>
        <w:rPr>
          <w:sz w:val="20"/>
          <w:szCs w:val="20"/>
          <w:color w:val="auto"/>
        </w:rPr>
      </w:pPr>
    </w:p>
    <w:p>
      <w:pPr>
        <w:spacing w:after="0" w:line="27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90"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010000"/>
        </w:rPr>
        <w:t>ARTICLE IV</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PAYMENTS; PRO RATA TREATMENT; TAXES</w:t>
      </w:r>
    </w:p>
    <w:p>
      <w:pPr>
        <w:sectPr>
          <w:pgSz w:w="11900" w:h="16838" w:orient="portrait"/>
          <w:cols w:equalWidth="0" w:num="1">
            <w:col w:w="10820"/>
          </w:cols>
          <w:pgMar w:left="260" w:top="1440" w:right="819" w:bottom="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tabs>
          <w:tab w:leader="none" w:pos="2500" w:val="left"/>
          <w:tab w:leader="none" w:pos="10460" w:val="left"/>
        </w:tabs>
        <w:rPr>
          <w:sz w:val="20"/>
          <w:szCs w:val="20"/>
          <w:color w:val="auto"/>
        </w:rPr>
      </w:pPr>
      <w:r>
        <w:rPr>
          <w:rFonts w:ascii="Arial" w:cs="Arial" w:eastAsia="Arial" w:hAnsi="Arial"/>
          <w:sz w:val="22"/>
          <w:szCs w:val="22"/>
          <w:color w:val="010000"/>
        </w:rPr>
        <w:t>SECTION 4.01</w:t>
      </w:r>
      <w:r>
        <w:rPr>
          <w:sz w:val="20"/>
          <w:szCs w:val="20"/>
          <w:color w:val="auto"/>
        </w:rPr>
        <w:tab/>
      </w:r>
      <w:r>
        <w:rPr>
          <w:rFonts w:ascii="Arial" w:cs="Arial" w:eastAsia="Arial" w:hAnsi="Arial"/>
          <w:sz w:val="22"/>
          <w:szCs w:val="22"/>
          <w:u w:val="single" w:color="auto"/>
          <w:color w:val="auto"/>
        </w:rPr>
        <w:t>Payments Generally; Pro Rata Treatment; Sharing of Set-offs</w:t>
      </w:r>
      <w:r>
        <w:rPr>
          <w:sz w:val="20"/>
          <w:szCs w:val="20"/>
          <w:color w:val="auto"/>
        </w:rPr>
        <w:tab/>
      </w:r>
      <w:r>
        <w:rPr>
          <w:rFonts w:ascii="Arial" w:cs="Arial" w:eastAsia="Arial" w:hAnsi="Arial"/>
          <w:sz w:val="19"/>
          <w:szCs w:val="19"/>
          <w:color w:val="010000"/>
        </w:rPr>
        <w:t>51</w:t>
      </w:r>
    </w:p>
    <w:p>
      <w:pPr>
        <w:sectPr>
          <w:pgSz w:w="11900" w:h="16838" w:orient="portrait"/>
          <w:cols w:equalWidth="0" w:num="1">
            <w:col w:w="10820"/>
          </w:cols>
          <w:pgMar w:left="260" w:top="1440" w:right="819" w:bottom="0" w:gutter="0" w:footer="0" w:header="0"/>
          <w:type w:val="continuous"/>
        </w:sectPr>
      </w:pPr>
    </w:p>
    <w:bookmarkStart w:id="183" w:name="page184"/>
    <w:bookmarkEnd w:id="183"/>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4.02</w:t>
            </w:r>
          </w:p>
        </w:tc>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Taxes/Additional Payments</w:t>
            </w:r>
          </w:p>
        </w:tc>
        <w:tc>
          <w:tcPr>
            <w:tcW w:w="3840" w:type="dxa"/>
            <w:vAlign w:val="bottom"/>
            <w:gridSpan w:val="3"/>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010000"/>
              </w:rPr>
              <w:t>53</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4.03</w:t>
            </w:r>
          </w:p>
        </w:tc>
        <w:tc>
          <w:tcPr>
            <w:tcW w:w="42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0"/>
              </w:rPr>
              <w:t>Mitigation Obligations; Replacement of Lenders</w:t>
            </w:r>
          </w:p>
        </w:tc>
        <w:tc>
          <w:tcPr>
            <w:tcW w:w="20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010000"/>
              </w:rPr>
              <w:t>56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4.04</w:t>
            </w:r>
          </w:p>
        </w:tc>
        <w:tc>
          <w:tcPr>
            <w:tcW w:w="6220" w:type="dxa"/>
            <w:vAlign w:val="bottom"/>
            <w:gridSpan w:val="6"/>
          </w:tcPr>
          <w:p>
            <w:pPr>
              <w:spacing w:after="0"/>
              <w:rPr>
                <w:sz w:val="20"/>
                <w:szCs w:val="20"/>
                <w:color w:val="auto"/>
              </w:rPr>
            </w:pPr>
            <w:r>
              <w:rPr>
                <w:rFonts w:ascii="Arial" w:cs="Arial" w:eastAsia="Arial" w:hAnsi="Arial"/>
                <w:sz w:val="22"/>
                <w:szCs w:val="22"/>
                <w:color w:val="auto"/>
              </w:rPr>
              <w:t>Financial Assistance</w:t>
            </w:r>
          </w:p>
        </w:tc>
        <w:tc>
          <w:tcPr>
            <w:tcW w:w="1960" w:type="dxa"/>
            <w:vAlign w:val="bottom"/>
          </w:tcPr>
          <w:p>
            <w:pPr>
              <w:jc w:val="right"/>
              <w:spacing w:after="0"/>
              <w:rPr>
                <w:sz w:val="20"/>
                <w:szCs w:val="20"/>
                <w:color w:val="auto"/>
              </w:rPr>
            </w:pPr>
            <w:r>
              <w:rPr>
                <w:rFonts w:ascii="Arial" w:cs="Arial" w:eastAsia="Arial" w:hAnsi="Arial"/>
                <w:sz w:val="22"/>
                <w:szCs w:val="22"/>
                <w:color w:val="010000"/>
              </w:rPr>
              <w:t>57</w:t>
            </w:r>
          </w:p>
        </w:tc>
      </w:tr>
      <w:tr>
        <w:trPr>
          <w:trHeight w:val="557"/>
        </w:trPr>
        <w:tc>
          <w:tcPr>
            <w:tcW w:w="25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840" w:type="dxa"/>
            <w:vAlign w:val="bottom"/>
            <w:gridSpan w:val="3"/>
          </w:tcPr>
          <w:p>
            <w:pPr>
              <w:jc w:val="center"/>
              <w:ind w:right="2260"/>
              <w:spacing w:after="0"/>
              <w:rPr>
                <w:sz w:val="20"/>
                <w:szCs w:val="20"/>
                <w:color w:val="auto"/>
              </w:rPr>
            </w:pPr>
            <w:r>
              <w:rPr>
                <w:rFonts w:ascii="Arial" w:cs="Arial" w:eastAsia="Arial" w:hAnsi="Arial"/>
                <w:sz w:val="22"/>
                <w:szCs w:val="22"/>
                <w:color w:val="010000"/>
                <w:w w:val="96"/>
              </w:rPr>
              <w:t>ARTICLE V</w:t>
            </w:r>
          </w:p>
        </w:tc>
        <w:tc>
          <w:tcPr>
            <w:tcW w:w="1960" w:type="dxa"/>
            <w:vAlign w:val="bottom"/>
          </w:tcPr>
          <w:p>
            <w:pPr>
              <w:spacing w:after="0"/>
              <w:rPr>
                <w:sz w:val="24"/>
                <w:szCs w:val="24"/>
                <w:color w:val="auto"/>
              </w:rPr>
            </w:pPr>
          </w:p>
        </w:tc>
      </w:tr>
      <w:tr>
        <w:trPr>
          <w:trHeight w:val="513"/>
        </w:trPr>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40" w:type="dxa"/>
            <w:vAlign w:val="bottom"/>
            <w:gridSpan w:val="4"/>
          </w:tcPr>
          <w:p>
            <w:pPr>
              <w:jc w:val="center"/>
              <w:ind w:right="1660"/>
              <w:spacing w:after="0"/>
              <w:rPr>
                <w:sz w:val="20"/>
                <w:szCs w:val="20"/>
                <w:color w:val="auto"/>
              </w:rPr>
            </w:pPr>
            <w:r>
              <w:rPr>
                <w:rFonts w:ascii="Arial" w:cs="Arial" w:eastAsia="Arial" w:hAnsi="Arial"/>
                <w:sz w:val="22"/>
                <w:szCs w:val="22"/>
                <w:color w:val="auto"/>
                <w:w w:val="93"/>
              </w:rPr>
              <w:t>CONDITIONS PRECEDENT</w:t>
            </w:r>
          </w:p>
        </w:tc>
        <w:tc>
          <w:tcPr>
            <w:tcW w:w="1960" w:type="dxa"/>
            <w:vAlign w:val="bottom"/>
          </w:tcPr>
          <w:p>
            <w:pPr>
              <w:spacing w:after="0"/>
              <w:rPr>
                <w:sz w:val="24"/>
                <w:szCs w:val="24"/>
                <w:color w:val="auto"/>
              </w:rPr>
            </w:pPr>
          </w:p>
        </w:tc>
      </w:tr>
      <w:tr>
        <w:trPr>
          <w:trHeight w:val="692"/>
        </w:trPr>
        <w:tc>
          <w:tcPr>
            <w:tcW w:w="2520" w:type="dxa"/>
            <w:vAlign w:val="bottom"/>
          </w:tcPr>
          <w:p>
            <w:pPr>
              <w:spacing w:after="0"/>
              <w:rPr>
                <w:sz w:val="20"/>
                <w:szCs w:val="20"/>
                <w:color w:val="auto"/>
              </w:rPr>
            </w:pPr>
            <w:r>
              <w:rPr>
                <w:rFonts w:ascii="Arial" w:cs="Arial" w:eastAsia="Arial" w:hAnsi="Arial"/>
                <w:sz w:val="22"/>
                <w:szCs w:val="22"/>
                <w:color w:val="010000"/>
              </w:rPr>
              <w:t>SECTION 5.01</w:t>
            </w:r>
          </w:p>
        </w:tc>
        <w:tc>
          <w:tcPr>
            <w:tcW w:w="6220" w:type="dxa"/>
            <w:vAlign w:val="bottom"/>
            <w:gridSpan w:val="6"/>
          </w:tcPr>
          <w:p>
            <w:pPr>
              <w:spacing w:after="0"/>
              <w:rPr>
                <w:sz w:val="20"/>
                <w:szCs w:val="20"/>
                <w:color w:val="auto"/>
              </w:rPr>
            </w:pPr>
            <w:r>
              <w:rPr>
                <w:rFonts w:ascii="Arial" w:cs="Arial" w:eastAsia="Arial" w:hAnsi="Arial"/>
                <w:sz w:val="22"/>
                <w:szCs w:val="22"/>
                <w:color w:val="auto"/>
              </w:rPr>
              <w:t>Signing Date</w:t>
            </w:r>
          </w:p>
        </w:tc>
        <w:tc>
          <w:tcPr>
            <w:tcW w:w="1960" w:type="dxa"/>
            <w:vAlign w:val="bottom"/>
          </w:tcPr>
          <w:p>
            <w:pPr>
              <w:jc w:val="right"/>
              <w:spacing w:after="0"/>
              <w:rPr>
                <w:sz w:val="20"/>
                <w:szCs w:val="20"/>
                <w:color w:val="auto"/>
              </w:rPr>
            </w:pPr>
            <w:r>
              <w:rPr>
                <w:rFonts w:ascii="Arial" w:cs="Arial" w:eastAsia="Arial" w:hAnsi="Arial"/>
                <w:sz w:val="22"/>
                <w:szCs w:val="22"/>
                <w:color w:val="010000"/>
              </w:rPr>
              <w:t>58</w:t>
            </w:r>
          </w:p>
        </w:tc>
      </w:tr>
      <w:tr>
        <w:trPr>
          <w:trHeight w:val="20"/>
        </w:trPr>
        <w:tc>
          <w:tcPr>
            <w:tcW w:w="2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5.02</w:t>
            </w:r>
          </w:p>
        </w:tc>
        <w:tc>
          <w:tcPr>
            <w:tcW w:w="37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8"/>
              </w:rPr>
              <w:t>Conditions Precedent to the Effective Date</w:t>
            </w:r>
          </w:p>
        </w:tc>
        <w:tc>
          <w:tcPr>
            <w:tcW w:w="25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010000"/>
              </w:rPr>
              <w:t>58</w:t>
            </w:r>
          </w:p>
        </w:tc>
      </w:tr>
    </w:tbl>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0720"/>
          </w:cols>
          <w:pgMar w:left="240" w:top="89" w:right="939" w:bottom="1440" w:gutter="0" w:footer="0" w:header="0"/>
        </w:sectPr>
      </w:pPr>
    </w:p>
    <w:bookmarkStart w:id="184" w:name="page185"/>
    <w:bookmarkEnd w:id="184"/>
    <w:p>
      <w:pPr>
        <w:jc w:val="center"/>
        <w:ind w:right="-319"/>
        <w:spacing w:after="0"/>
        <w:rPr>
          <w:sz w:val="20"/>
          <w:szCs w:val="20"/>
          <w:color w:val="auto"/>
        </w:rPr>
      </w:pPr>
      <w:r>
        <w:rPr>
          <w:rFonts w:ascii="Arial" w:cs="Arial" w:eastAsia="Arial" w:hAnsi="Arial"/>
          <w:sz w:val="22"/>
          <w:szCs w:val="22"/>
          <w:color w:val="auto"/>
        </w:rPr>
        <w:t>ARTICLE VI</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REPRESENTATIONS AND WARRANTIES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ind w:left="20"/>
              <w:spacing w:after="0"/>
              <w:rPr>
                <w:sz w:val="20"/>
                <w:szCs w:val="20"/>
                <w:color w:val="auto"/>
              </w:rPr>
            </w:pPr>
            <w:r>
              <w:rPr>
                <w:rFonts w:ascii="Arial" w:cs="Arial" w:eastAsia="Arial" w:hAnsi="Arial"/>
                <w:sz w:val="22"/>
                <w:szCs w:val="22"/>
                <w:color w:val="auto"/>
              </w:rPr>
              <w:t>SECTION 6.01</w:t>
            </w:r>
          </w:p>
        </w:tc>
        <w:tc>
          <w:tcPr>
            <w:tcW w:w="2700" w:type="dxa"/>
            <w:vAlign w:val="bottom"/>
            <w:tcBorders>
              <w:bottom w:val="single" w:sz="8" w:color="auto"/>
            </w:tcBorders>
            <w:gridSpan w:val="18"/>
          </w:tcPr>
          <w:p>
            <w:pPr>
              <w:spacing w:after="0"/>
              <w:rPr>
                <w:sz w:val="20"/>
                <w:szCs w:val="20"/>
                <w:color w:val="auto"/>
              </w:rPr>
            </w:pPr>
            <w:r>
              <w:rPr>
                <w:rFonts w:ascii="Arial" w:cs="Arial" w:eastAsia="Arial" w:hAnsi="Arial"/>
                <w:sz w:val="22"/>
                <w:szCs w:val="22"/>
                <w:color w:val="auto"/>
                <w:w w:val="90"/>
              </w:rPr>
              <w:t>Organization and Qualification</w:t>
            </w:r>
          </w:p>
        </w:tc>
        <w:tc>
          <w:tcPr>
            <w:tcW w:w="5320" w:type="dxa"/>
            <w:vAlign w:val="bottom"/>
            <w:gridSpan w:val="10"/>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6.02</w:t>
            </w:r>
          </w:p>
        </w:tc>
        <w:tc>
          <w:tcPr>
            <w:tcW w:w="244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92"/>
              </w:rPr>
              <w:t>Authorization, Validity, Etc.</w:t>
            </w:r>
          </w:p>
        </w:tc>
        <w:tc>
          <w:tcPr>
            <w:tcW w:w="55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6.03</w:t>
            </w:r>
          </w:p>
        </w:tc>
        <w:tc>
          <w:tcPr>
            <w:tcW w:w="254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87"/>
              </w:rPr>
              <w:t>Governmental Consents, Etc.</w:t>
            </w:r>
          </w:p>
        </w:tc>
        <w:tc>
          <w:tcPr>
            <w:tcW w:w="54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6.04</w:t>
            </w:r>
          </w:p>
        </w:tc>
        <w:tc>
          <w:tcPr>
            <w:tcW w:w="404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91"/>
              </w:rPr>
              <w:t>No Breach or Violation of Law or Agreements</w:t>
            </w:r>
          </w:p>
        </w:tc>
        <w:tc>
          <w:tcPr>
            <w:tcW w:w="39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6.05</w:t>
            </w:r>
          </w:p>
        </w:tc>
        <w:tc>
          <w:tcPr>
            <w:tcW w:w="88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5"/>
              </w:rPr>
              <w:t>Litigation</w:t>
            </w:r>
          </w:p>
        </w:tc>
        <w:tc>
          <w:tcPr>
            <w:tcW w:w="7140" w:type="dxa"/>
            <w:vAlign w:val="bottom"/>
            <w:gridSpan w:val="2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6.06</w:t>
            </w:r>
          </w:p>
        </w:tc>
        <w:tc>
          <w:tcPr>
            <w:tcW w:w="3700" w:type="dxa"/>
            <w:vAlign w:val="bottom"/>
            <w:tcBorders>
              <w:bottom w:val="single" w:sz="8" w:color="auto"/>
            </w:tcBorders>
            <w:gridSpan w:val="22"/>
          </w:tcPr>
          <w:p>
            <w:pPr>
              <w:spacing w:after="0"/>
              <w:rPr>
                <w:sz w:val="20"/>
                <w:szCs w:val="20"/>
                <w:color w:val="auto"/>
              </w:rPr>
            </w:pPr>
            <w:r>
              <w:rPr>
                <w:rFonts w:ascii="Arial" w:cs="Arial" w:eastAsia="Arial" w:hAnsi="Arial"/>
                <w:sz w:val="22"/>
                <w:szCs w:val="22"/>
                <w:color w:val="auto"/>
                <w:w w:val="90"/>
              </w:rPr>
              <w:t>Information; No Material Adverse Change</w:t>
            </w:r>
          </w:p>
        </w:tc>
        <w:tc>
          <w:tcPr>
            <w:tcW w:w="43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6.07</w:t>
            </w:r>
          </w:p>
        </w:tc>
        <w:tc>
          <w:tcPr>
            <w:tcW w:w="8020" w:type="dxa"/>
            <w:vAlign w:val="bottom"/>
            <w:gridSpan w:val="28"/>
          </w:tcPr>
          <w:p>
            <w:pPr>
              <w:spacing w:after="0"/>
              <w:rPr>
                <w:sz w:val="20"/>
                <w:szCs w:val="20"/>
                <w:color w:val="auto"/>
              </w:rPr>
            </w:pPr>
            <w:r>
              <w:rPr>
                <w:rFonts w:ascii="Arial" w:cs="Arial" w:eastAsia="Arial" w:hAnsi="Arial"/>
                <w:sz w:val="22"/>
                <w:szCs w:val="22"/>
                <w:color w:val="auto"/>
              </w:rPr>
              <w:t>Investment Company Act; Margin Regulations</w:t>
            </w:r>
          </w:p>
        </w:tc>
        <w:tc>
          <w:tcPr>
            <w:tcW w:w="5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6.08</w:t>
            </w:r>
          </w:p>
        </w:tc>
        <w:tc>
          <w:tcPr>
            <w:tcW w:w="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93"/>
              </w:rPr>
              <w:t>ERISA</w:t>
            </w:r>
          </w:p>
        </w:tc>
        <w:tc>
          <w:tcPr>
            <w:tcW w:w="3420" w:type="dxa"/>
            <w:vAlign w:val="bottom"/>
            <w:tcBorders>
              <w:top w:val="single" w:sz="8" w:color="auto"/>
            </w:tcBorders>
            <w:gridSpan w:val="22"/>
          </w:tcPr>
          <w:p>
            <w:pPr>
              <w:spacing w:after="0"/>
              <w:rPr>
                <w:sz w:val="24"/>
                <w:szCs w:val="24"/>
                <w:color w:val="auto"/>
              </w:rPr>
            </w:pPr>
          </w:p>
        </w:tc>
        <w:tc>
          <w:tcPr>
            <w:tcW w:w="39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6.09</w:t>
            </w:r>
          </w:p>
        </w:tc>
        <w:tc>
          <w:tcPr>
            <w:tcW w:w="23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6"/>
              </w:rPr>
              <w:t>Tax Returns and Payments</w:t>
            </w:r>
          </w:p>
        </w:tc>
        <w:tc>
          <w:tcPr>
            <w:tcW w:w="570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6.10</w:t>
            </w:r>
          </w:p>
        </w:tc>
        <w:tc>
          <w:tcPr>
            <w:tcW w:w="188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89"/>
              </w:rPr>
              <w:t>Requirements of Law</w:t>
            </w:r>
          </w:p>
        </w:tc>
        <w:tc>
          <w:tcPr>
            <w:tcW w:w="614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6.11</w:t>
            </w:r>
          </w:p>
        </w:tc>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2"/>
              </w:rPr>
              <w:t>No Default</w:t>
            </w:r>
          </w:p>
        </w:tc>
        <w:tc>
          <w:tcPr>
            <w:tcW w:w="7040" w:type="dxa"/>
            <w:vAlign w:val="bottom"/>
            <w:gridSpan w:val="2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6.12</w:t>
            </w:r>
          </w:p>
        </w:tc>
        <w:tc>
          <w:tcPr>
            <w:tcW w:w="3200" w:type="dxa"/>
            <w:vAlign w:val="bottom"/>
            <w:tcBorders>
              <w:bottom w:val="single" w:sz="8" w:color="auto"/>
            </w:tcBorders>
            <w:gridSpan w:val="21"/>
          </w:tcPr>
          <w:p>
            <w:pPr>
              <w:spacing w:after="0"/>
              <w:rPr>
                <w:sz w:val="20"/>
                <w:szCs w:val="20"/>
                <w:color w:val="auto"/>
              </w:rPr>
            </w:pPr>
            <w:r>
              <w:rPr>
                <w:rFonts w:ascii="Arial" w:cs="Arial" w:eastAsia="Arial" w:hAnsi="Arial"/>
                <w:sz w:val="22"/>
                <w:szCs w:val="22"/>
                <w:color w:val="auto"/>
                <w:w w:val="90"/>
              </w:rPr>
              <w:t>Anti-Corruption Laws and Sanctions</w:t>
            </w:r>
          </w:p>
        </w:tc>
        <w:tc>
          <w:tcPr>
            <w:tcW w:w="48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6.13</w:t>
            </w:r>
          </w:p>
        </w:tc>
        <w:tc>
          <w:tcPr>
            <w:tcW w:w="8020" w:type="dxa"/>
            <w:vAlign w:val="bottom"/>
            <w:gridSpan w:val="28"/>
          </w:tcPr>
          <w:p>
            <w:pPr>
              <w:spacing w:after="0"/>
              <w:rPr>
                <w:sz w:val="20"/>
                <w:szCs w:val="20"/>
                <w:color w:val="auto"/>
              </w:rPr>
            </w:pPr>
            <w:r>
              <w:rPr>
                <w:rFonts w:ascii="Arial" w:cs="Arial" w:eastAsia="Arial" w:hAnsi="Arial"/>
                <w:sz w:val="22"/>
                <w:szCs w:val="22"/>
                <w:color w:val="auto"/>
              </w:rPr>
              <w:t>Properties</w:t>
            </w: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6.14</w:t>
            </w:r>
          </w:p>
        </w:tc>
        <w:tc>
          <w:tcPr>
            <w:tcW w:w="236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89"/>
              </w:rPr>
              <w:t>No Restrictive Agreements</w:t>
            </w:r>
          </w:p>
        </w:tc>
        <w:tc>
          <w:tcPr>
            <w:tcW w:w="566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6.15</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Solvency</w:t>
            </w:r>
          </w:p>
        </w:tc>
        <w:tc>
          <w:tcPr>
            <w:tcW w:w="7200" w:type="dxa"/>
            <w:vAlign w:val="bottom"/>
            <w:gridSpan w:val="2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6.16</w:t>
            </w:r>
          </w:p>
        </w:tc>
        <w:tc>
          <w:tcPr>
            <w:tcW w:w="88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6"/>
              </w:rPr>
              <w:t>Insurance</w:t>
            </w:r>
          </w:p>
        </w:tc>
        <w:tc>
          <w:tcPr>
            <w:tcW w:w="7140" w:type="dxa"/>
            <w:vAlign w:val="bottom"/>
            <w:gridSpan w:val="2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6.17</w:t>
            </w:r>
          </w:p>
        </w:tc>
        <w:tc>
          <w:tcPr>
            <w:tcW w:w="8020" w:type="dxa"/>
            <w:vAlign w:val="bottom"/>
            <w:gridSpan w:val="28"/>
          </w:tcPr>
          <w:p>
            <w:pPr>
              <w:spacing w:after="0"/>
              <w:rPr>
                <w:sz w:val="20"/>
                <w:szCs w:val="20"/>
                <w:color w:val="auto"/>
              </w:rPr>
            </w:pPr>
            <w:r>
              <w:rPr>
                <w:rFonts w:ascii="Arial" w:cs="Arial" w:eastAsia="Arial" w:hAnsi="Arial"/>
                <w:sz w:val="22"/>
                <w:szCs w:val="22"/>
                <w:color w:val="auto"/>
              </w:rPr>
              <w:t>Rank of Obligations</w:t>
            </w: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6.18</w:t>
            </w:r>
          </w:p>
        </w:tc>
        <w:tc>
          <w:tcPr>
            <w:tcW w:w="23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91"/>
              </w:rPr>
              <w:t>EEA Financial Institutions</w:t>
            </w:r>
          </w:p>
        </w:tc>
        <w:tc>
          <w:tcPr>
            <w:tcW w:w="572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6.19</w:t>
            </w:r>
          </w:p>
        </w:tc>
        <w:tc>
          <w:tcPr>
            <w:tcW w:w="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Liens</w:t>
            </w:r>
          </w:p>
        </w:tc>
        <w:tc>
          <w:tcPr>
            <w:tcW w:w="7540" w:type="dxa"/>
            <w:vAlign w:val="bottom"/>
            <w:gridSpan w:val="2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6.20</w:t>
            </w:r>
          </w:p>
        </w:tc>
        <w:tc>
          <w:tcPr>
            <w:tcW w:w="8020" w:type="dxa"/>
            <w:vAlign w:val="bottom"/>
            <w:gridSpan w:val="28"/>
          </w:tcPr>
          <w:p>
            <w:pPr>
              <w:spacing w:after="0"/>
              <w:rPr>
                <w:sz w:val="20"/>
                <w:szCs w:val="20"/>
                <w:color w:val="auto"/>
              </w:rPr>
            </w:pPr>
            <w:r>
              <w:rPr>
                <w:rFonts w:ascii="Arial" w:cs="Arial" w:eastAsia="Arial" w:hAnsi="Arial"/>
                <w:sz w:val="22"/>
                <w:szCs w:val="22"/>
                <w:color w:val="auto"/>
              </w:rPr>
              <w:t>Security Interest in Collateral</w:t>
            </w: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Arial" w:cs="Arial" w:eastAsia="Arial" w:hAnsi="Arial"/>
                <w:sz w:val="22"/>
                <w:szCs w:val="22"/>
                <w:color w:val="auto"/>
              </w:rPr>
              <w:t>SECTION 6.21</w:t>
            </w:r>
          </w:p>
        </w:tc>
        <w:tc>
          <w:tcPr>
            <w:tcW w:w="2540" w:type="dxa"/>
            <w:vAlign w:val="bottom"/>
            <w:tcBorders>
              <w:top w:val="single" w:sz="8" w:color="auto"/>
            </w:tcBorders>
            <w:gridSpan w:val="17"/>
          </w:tcPr>
          <w:p>
            <w:pPr>
              <w:spacing w:after="0"/>
              <w:rPr>
                <w:sz w:val="20"/>
                <w:szCs w:val="20"/>
                <w:color w:val="auto"/>
              </w:rPr>
            </w:pPr>
            <w:r>
              <w:rPr>
                <w:rFonts w:ascii="Arial" w:cs="Arial" w:eastAsia="Arial" w:hAnsi="Arial"/>
                <w:sz w:val="22"/>
                <w:szCs w:val="22"/>
                <w:color w:val="auto"/>
              </w:rPr>
              <w:t>Pledged Capital Stock</w:t>
            </w:r>
          </w:p>
        </w:tc>
        <w:tc>
          <w:tcPr>
            <w:tcW w:w="54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773"/>
        </w:trPr>
        <w:tc>
          <w:tcPr>
            <w:tcW w:w="25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gridSpan w:val="11"/>
          </w:tcPr>
          <w:p>
            <w:pPr>
              <w:jc w:val="center"/>
              <w:ind w:right="4220"/>
              <w:spacing w:after="0"/>
              <w:rPr>
                <w:sz w:val="20"/>
                <w:szCs w:val="20"/>
                <w:color w:val="auto"/>
              </w:rPr>
            </w:pPr>
            <w:r>
              <w:rPr>
                <w:rFonts w:ascii="Arial" w:cs="Arial" w:eastAsia="Arial" w:hAnsi="Arial"/>
                <w:sz w:val="22"/>
                <w:szCs w:val="22"/>
                <w:color w:val="010000"/>
              </w:rPr>
              <w:t>ARTICLE VII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80" w:type="dxa"/>
            <w:vAlign w:val="bottom"/>
            <w:gridSpan w:val="20"/>
          </w:tcPr>
          <w:p>
            <w:pPr>
              <w:jc w:val="center"/>
              <w:ind w:right="3420"/>
              <w:spacing w:after="0"/>
              <w:rPr>
                <w:sz w:val="20"/>
                <w:szCs w:val="20"/>
                <w:color w:val="auto"/>
              </w:rPr>
            </w:pPr>
            <w:r>
              <w:rPr>
                <w:rFonts w:ascii="Arial" w:cs="Arial" w:eastAsia="Arial" w:hAnsi="Arial"/>
                <w:sz w:val="22"/>
                <w:szCs w:val="22"/>
                <w:color w:val="auto"/>
                <w:w w:val="96"/>
              </w:rPr>
              <w:t>AFFIRMATIVE COVENANTS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2"/>
        </w:trPr>
        <w:tc>
          <w:tcPr>
            <w:tcW w:w="2520" w:type="dxa"/>
            <w:vAlign w:val="bottom"/>
          </w:tcPr>
          <w:p>
            <w:pPr>
              <w:spacing w:after="0"/>
              <w:rPr>
                <w:sz w:val="20"/>
                <w:szCs w:val="20"/>
                <w:color w:val="auto"/>
              </w:rPr>
            </w:pPr>
            <w:r>
              <w:rPr>
                <w:rFonts w:ascii="Arial" w:cs="Arial" w:eastAsia="Arial" w:hAnsi="Arial"/>
                <w:sz w:val="22"/>
                <w:szCs w:val="22"/>
                <w:color w:val="010000"/>
              </w:rPr>
              <w:t>SECTION 7.01</w:t>
            </w:r>
          </w:p>
        </w:tc>
        <w:tc>
          <w:tcPr>
            <w:tcW w:w="200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9"/>
              </w:rPr>
              <w:t>Information Covenants</w:t>
            </w:r>
          </w:p>
        </w:tc>
        <w:tc>
          <w:tcPr>
            <w:tcW w:w="602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7.02</w:t>
            </w:r>
          </w:p>
        </w:tc>
        <w:tc>
          <w:tcPr>
            <w:tcW w:w="8020" w:type="dxa"/>
            <w:vAlign w:val="bottom"/>
            <w:gridSpan w:val="28"/>
          </w:tcPr>
          <w:p>
            <w:pPr>
              <w:spacing w:after="0"/>
              <w:rPr>
                <w:sz w:val="20"/>
                <w:szCs w:val="20"/>
                <w:color w:val="auto"/>
              </w:rPr>
            </w:pPr>
            <w:r>
              <w:rPr>
                <w:rFonts w:ascii="Arial" w:cs="Arial" w:eastAsia="Arial" w:hAnsi="Arial"/>
                <w:sz w:val="22"/>
                <w:szCs w:val="22"/>
                <w:color w:val="auto"/>
              </w:rPr>
              <w:t>Books, Records and Inspections</w:t>
            </w:r>
          </w:p>
        </w:tc>
        <w:tc>
          <w:tcPr>
            <w:tcW w:w="52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7.03</w:t>
            </w:r>
          </w:p>
        </w:tc>
        <w:tc>
          <w:tcPr>
            <w:tcW w:w="8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2"/>
                <w:szCs w:val="22"/>
                <w:color w:val="auto"/>
                <w:w w:val="84"/>
              </w:rPr>
              <w:t>Insurance</w:t>
            </w:r>
          </w:p>
        </w:tc>
        <w:tc>
          <w:tcPr>
            <w:tcW w:w="1920" w:type="dxa"/>
            <w:vAlign w:val="bottom"/>
            <w:tcBorders>
              <w:top w:val="single" w:sz="8" w:color="auto"/>
            </w:tcBorders>
            <w:gridSpan w:val="15"/>
          </w:tcPr>
          <w:p>
            <w:pPr>
              <w:spacing w:after="0"/>
              <w:rPr>
                <w:sz w:val="24"/>
                <w:szCs w:val="24"/>
                <w:color w:val="auto"/>
              </w:rPr>
            </w:pPr>
          </w:p>
        </w:tc>
        <w:tc>
          <w:tcPr>
            <w:tcW w:w="526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7.04</w:t>
            </w:r>
          </w:p>
        </w:tc>
        <w:tc>
          <w:tcPr>
            <w:tcW w:w="8020" w:type="dxa"/>
            <w:vAlign w:val="bottom"/>
            <w:gridSpan w:val="28"/>
          </w:tcPr>
          <w:p>
            <w:pPr>
              <w:spacing w:after="0"/>
              <w:rPr>
                <w:sz w:val="20"/>
                <w:szCs w:val="20"/>
                <w:color w:val="auto"/>
              </w:rPr>
            </w:pPr>
            <w:r>
              <w:rPr>
                <w:rFonts w:ascii="Arial" w:cs="Arial" w:eastAsia="Arial" w:hAnsi="Arial"/>
                <w:sz w:val="22"/>
                <w:szCs w:val="22"/>
                <w:color w:val="auto"/>
              </w:rPr>
              <w:t>Payment of Taxes and other Claims</w:t>
            </w:r>
          </w:p>
        </w:tc>
        <w:tc>
          <w:tcPr>
            <w:tcW w:w="52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7.05</w:t>
            </w:r>
          </w:p>
        </w:tc>
        <w:tc>
          <w:tcPr>
            <w:tcW w:w="8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2"/>
                <w:szCs w:val="22"/>
                <w:color w:val="auto"/>
                <w:w w:val="85"/>
              </w:rPr>
              <w:t>Existence</w:t>
            </w:r>
          </w:p>
        </w:tc>
        <w:tc>
          <w:tcPr>
            <w:tcW w:w="2220" w:type="dxa"/>
            <w:vAlign w:val="bottom"/>
            <w:tcBorders>
              <w:top w:val="single" w:sz="8" w:color="auto"/>
            </w:tcBorders>
            <w:gridSpan w:val="16"/>
          </w:tcPr>
          <w:p>
            <w:pPr>
              <w:spacing w:after="0"/>
              <w:rPr>
                <w:sz w:val="24"/>
                <w:szCs w:val="24"/>
                <w:color w:val="auto"/>
              </w:rPr>
            </w:pPr>
          </w:p>
        </w:tc>
        <w:tc>
          <w:tcPr>
            <w:tcW w:w="496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7.06</w:t>
            </w:r>
          </w:p>
        </w:tc>
        <w:tc>
          <w:tcPr>
            <w:tcW w:w="174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90"/>
              </w:rPr>
              <w:t>ERISA Compliance</w:t>
            </w:r>
          </w:p>
        </w:tc>
        <w:tc>
          <w:tcPr>
            <w:tcW w:w="6280" w:type="dxa"/>
            <w:vAlign w:val="bottom"/>
            <w:gridSpan w:val="2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7.07</w:t>
            </w:r>
          </w:p>
        </w:tc>
        <w:tc>
          <w:tcPr>
            <w:tcW w:w="5280" w:type="dxa"/>
            <w:vAlign w:val="bottom"/>
            <w:tcBorders>
              <w:bottom w:val="single" w:sz="8" w:color="auto"/>
            </w:tcBorders>
            <w:gridSpan w:val="25"/>
          </w:tcPr>
          <w:p>
            <w:pPr>
              <w:spacing w:after="0"/>
              <w:rPr>
                <w:sz w:val="20"/>
                <w:szCs w:val="20"/>
                <w:color w:val="auto"/>
              </w:rPr>
            </w:pPr>
            <w:r>
              <w:rPr>
                <w:rFonts w:ascii="Arial" w:cs="Arial" w:eastAsia="Arial" w:hAnsi="Arial"/>
                <w:sz w:val="22"/>
                <w:szCs w:val="22"/>
                <w:color w:val="auto"/>
                <w:w w:val="90"/>
              </w:rPr>
              <w:t>Compliance with Laws and Material Contractual Obligations</w:t>
            </w:r>
          </w:p>
        </w:tc>
        <w:tc>
          <w:tcPr>
            <w:tcW w:w="27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7.08</w:t>
            </w:r>
          </w:p>
        </w:tc>
        <w:tc>
          <w:tcPr>
            <w:tcW w:w="7700" w:type="dxa"/>
            <w:vAlign w:val="bottom"/>
            <w:tcBorders>
              <w:bottom w:val="single" w:sz="8" w:color="auto"/>
            </w:tcBorders>
            <w:gridSpan w:val="27"/>
          </w:tcPr>
          <w:p>
            <w:pPr>
              <w:spacing w:after="0"/>
              <w:rPr>
                <w:sz w:val="20"/>
                <w:szCs w:val="20"/>
                <w:color w:val="auto"/>
              </w:rPr>
            </w:pPr>
            <w:r>
              <w:rPr>
                <w:rFonts w:ascii="Arial" w:cs="Arial" w:eastAsia="Arial" w:hAnsi="Arial"/>
                <w:sz w:val="22"/>
                <w:szCs w:val="22"/>
                <w:color w:val="auto"/>
                <w:w w:val="91"/>
              </w:rPr>
              <w:t>Additional Guarantors; Additional Collateral; Additional Specified Jurisdictions; Further</w:t>
            </w:r>
          </w:p>
        </w:tc>
        <w:tc>
          <w:tcPr>
            <w:tcW w:w="32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000" w:type="dxa"/>
            <w:vAlign w:val="bottom"/>
            <w:tcBorders>
              <w:bottom w:val="single" w:sz="8" w:color="auto"/>
            </w:tcBorders>
            <w:gridSpan w:val="7"/>
          </w:tcPr>
          <w:p>
            <w:pPr>
              <w:spacing w:after="0" w:line="223" w:lineRule="exact"/>
              <w:rPr>
                <w:sz w:val="20"/>
                <w:szCs w:val="20"/>
                <w:color w:val="auto"/>
              </w:rPr>
            </w:pPr>
            <w:r>
              <w:rPr>
                <w:rFonts w:ascii="Arial" w:cs="Arial" w:eastAsia="Arial" w:hAnsi="Arial"/>
                <w:sz w:val="22"/>
                <w:szCs w:val="22"/>
                <w:color w:val="auto"/>
                <w:w w:val="85"/>
              </w:rPr>
              <w:t>Assurances</w:t>
            </w:r>
          </w:p>
        </w:tc>
        <w:tc>
          <w:tcPr>
            <w:tcW w:w="7020" w:type="dxa"/>
            <w:vAlign w:val="bottom"/>
            <w:gridSpan w:val="21"/>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7.09</w:t>
            </w:r>
          </w:p>
        </w:tc>
        <w:tc>
          <w:tcPr>
            <w:tcW w:w="8020" w:type="dxa"/>
            <w:vAlign w:val="bottom"/>
            <w:gridSpan w:val="28"/>
          </w:tcPr>
          <w:p>
            <w:pPr>
              <w:spacing w:after="0"/>
              <w:rPr>
                <w:sz w:val="20"/>
                <w:szCs w:val="20"/>
                <w:color w:val="auto"/>
              </w:rPr>
            </w:pPr>
            <w:r>
              <w:rPr>
                <w:rFonts w:ascii="Arial" w:cs="Arial" w:eastAsia="Arial" w:hAnsi="Arial"/>
                <w:sz w:val="22"/>
                <w:szCs w:val="22"/>
                <w:color w:val="auto"/>
                <w:w w:val="94"/>
              </w:rPr>
              <w:t>Designation of Unrestricted Subsidiaries; Redesignation of Unrestricted Subsidiaries as</w:t>
            </w:r>
          </w:p>
        </w:tc>
        <w:tc>
          <w:tcPr>
            <w:tcW w:w="520" w:type="dxa"/>
            <w:vAlign w:val="bottom"/>
            <w:vMerge w:val="restart"/>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2000" w:type="dxa"/>
            <w:vAlign w:val="bottom"/>
            <w:tcBorders>
              <w:top w:val="single" w:sz="8" w:color="auto"/>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87"/>
              </w:rPr>
              <w:t>Restricted Subsidiaries</w:t>
            </w:r>
          </w:p>
        </w:tc>
        <w:tc>
          <w:tcPr>
            <w:tcW w:w="5560" w:type="dxa"/>
            <w:vAlign w:val="bottom"/>
            <w:tcBorders>
              <w:top w:val="single" w:sz="8" w:color="auto"/>
            </w:tcBorders>
            <w:gridSpan w:val="14"/>
          </w:tcPr>
          <w:p>
            <w:pPr>
              <w:spacing w:after="0"/>
              <w:rPr>
                <w:sz w:val="19"/>
                <w:szCs w:val="19"/>
                <w:color w:val="auto"/>
              </w:rPr>
            </w:pPr>
          </w:p>
        </w:tc>
        <w:tc>
          <w:tcPr>
            <w:tcW w:w="460" w:type="dxa"/>
            <w:vAlign w:val="bottom"/>
            <w:gridSpan w:val="2"/>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7.10</w:t>
            </w:r>
          </w:p>
        </w:tc>
        <w:tc>
          <w:tcPr>
            <w:tcW w:w="8020" w:type="dxa"/>
            <w:vAlign w:val="bottom"/>
            <w:gridSpan w:val="28"/>
          </w:tcPr>
          <w:p>
            <w:pPr>
              <w:spacing w:after="0"/>
              <w:rPr>
                <w:sz w:val="20"/>
                <w:szCs w:val="20"/>
                <w:color w:val="auto"/>
              </w:rPr>
            </w:pPr>
            <w:r>
              <w:rPr>
                <w:rFonts w:ascii="Arial" w:cs="Arial" w:eastAsia="Arial" w:hAnsi="Arial"/>
                <w:sz w:val="22"/>
                <w:szCs w:val="22"/>
                <w:color w:val="auto"/>
              </w:rPr>
              <w:t>More Favorable Financial Covenants</w:t>
            </w:r>
          </w:p>
        </w:tc>
        <w:tc>
          <w:tcPr>
            <w:tcW w:w="52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7.11</w:t>
            </w:r>
          </w:p>
        </w:tc>
        <w:tc>
          <w:tcPr>
            <w:tcW w:w="3200" w:type="dxa"/>
            <w:vAlign w:val="bottom"/>
            <w:tcBorders>
              <w:top w:val="single" w:sz="8" w:color="auto"/>
            </w:tcBorders>
            <w:gridSpan w:val="21"/>
          </w:tcPr>
          <w:p>
            <w:pPr>
              <w:spacing w:after="0"/>
              <w:rPr>
                <w:sz w:val="20"/>
                <w:szCs w:val="20"/>
                <w:color w:val="auto"/>
              </w:rPr>
            </w:pPr>
            <w:r>
              <w:rPr>
                <w:rFonts w:ascii="Arial" w:cs="Arial" w:eastAsia="Arial" w:hAnsi="Arial"/>
                <w:sz w:val="22"/>
                <w:szCs w:val="22"/>
                <w:color w:val="auto"/>
              </w:rPr>
              <w:t>Post-Closing Matters</w:t>
            </w:r>
          </w:p>
        </w:tc>
        <w:tc>
          <w:tcPr>
            <w:tcW w:w="48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773"/>
        </w:trPr>
        <w:tc>
          <w:tcPr>
            <w:tcW w:w="25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gridSpan w:val="12"/>
          </w:tcPr>
          <w:p>
            <w:pPr>
              <w:jc w:val="center"/>
              <w:ind w:right="4100"/>
              <w:spacing w:after="0"/>
              <w:rPr>
                <w:sz w:val="20"/>
                <w:szCs w:val="20"/>
                <w:color w:val="auto"/>
              </w:rPr>
            </w:pPr>
            <w:r>
              <w:rPr>
                <w:rFonts w:ascii="Arial" w:cs="Arial" w:eastAsia="Arial" w:hAnsi="Arial"/>
                <w:sz w:val="22"/>
                <w:szCs w:val="22"/>
                <w:color w:val="010000"/>
                <w:w w:val="99"/>
              </w:rPr>
              <w:t>ARTICLE VIII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gridSpan w:val="17"/>
          </w:tcPr>
          <w:p>
            <w:pPr>
              <w:jc w:val="center"/>
              <w:ind w:right="3600"/>
              <w:spacing w:after="0"/>
              <w:rPr>
                <w:sz w:val="20"/>
                <w:szCs w:val="20"/>
                <w:color w:val="auto"/>
              </w:rPr>
            </w:pPr>
            <w:r>
              <w:rPr>
                <w:rFonts w:ascii="Arial" w:cs="Arial" w:eastAsia="Arial" w:hAnsi="Arial"/>
                <w:sz w:val="22"/>
                <w:szCs w:val="22"/>
                <w:color w:val="auto"/>
                <w:w w:val="95"/>
              </w:rPr>
              <w:t>NEGATIVE COVENANTS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520" w:type="dxa"/>
            <w:vAlign w:val="bottom"/>
          </w:tcPr>
          <w:p>
            <w:pPr>
              <w:spacing w:after="0"/>
              <w:rPr>
                <w:sz w:val="20"/>
                <w:szCs w:val="20"/>
                <w:color w:val="auto"/>
              </w:rPr>
            </w:pPr>
            <w:r>
              <w:rPr>
                <w:rFonts w:ascii="Arial" w:cs="Arial" w:eastAsia="Arial" w:hAnsi="Arial"/>
                <w:sz w:val="22"/>
                <w:szCs w:val="22"/>
                <w:color w:val="010000"/>
              </w:rPr>
              <w:t>SECTION 8.01</w:t>
            </w:r>
          </w:p>
        </w:tc>
        <w:tc>
          <w:tcPr>
            <w:tcW w:w="8020" w:type="dxa"/>
            <w:vAlign w:val="bottom"/>
            <w:gridSpan w:val="28"/>
          </w:tcPr>
          <w:p>
            <w:pPr>
              <w:spacing w:after="0"/>
              <w:rPr>
                <w:sz w:val="20"/>
                <w:szCs w:val="20"/>
                <w:color w:val="auto"/>
              </w:rPr>
            </w:pPr>
            <w:r>
              <w:rPr>
                <w:rFonts w:ascii="Arial" w:cs="Arial" w:eastAsia="Arial" w:hAnsi="Arial"/>
                <w:sz w:val="22"/>
                <w:szCs w:val="22"/>
                <w:u w:val="single" w:color="auto"/>
                <w:color w:val="auto"/>
              </w:rPr>
              <w:t>Indebtedness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60"/>
          </w:cols>
          <w:pgMar w:left="260" w:top="1172" w:right="579" w:bottom="0" w:gutter="0" w:footer="0" w:header="0"/>
        </w:sectPr>
      </w:pPr>
    </w:p>
    <w:p>
      <w:pPr>
        <w:ind w:left="10840"/>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060"/>
          </w:cols>
          <w:pgMar w:left="260" w:top="1172" w:right="579" w:bottom="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22"/>
          <w:szCs w:val="22"/>
          <w:color w:val="auto"/>
        </w:rPr>
        <w:t>80</w:t>
      </w: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line="206" w:lineRule="exact"/>
              <w:rPr>
                <w:sz w:val="20"/>
                <w:szCs w:val="20"/>
                <w:color w:val="auto"/>
              </w:rPr>
            </w:pPr>
            <w:r>
              <w:rPr>
                <w:rFonts w:ascii="Arial" w:cs="Arial" w:eastAsia="Arial" w:hAnsi="Arial"/>
                <w:sz w:val="22"/>
                <w:szCs w:val="22"/>
                <w:color w:val="010000"/>
              </w:rPr>
              <w:t>SECTION 8.02</w:t>
            </w:r>
          </w:p>
        </w:tc>
        <w:tc>
          <w:tcPr>
            <w:tcW w:w="3220" w:type="dxa"/>
            <w:vAlign w:val="bottom"/>
            <w:gridSpan w:val="2"/>
          </w:tcPr>
          <w:p>
            <w:pPr>
              <w:spacing w:after="0" w:line="206" w:lineRule="exact"/>
              <w:rPr>
                <w:sz w:val="20"/>
                <w:szCs w:val="20"/>
                <w:color w:val="auto"/>
              </w:rPr>
            </w:pPr>
            <w:r>
              <w:rPr>
                <w:rFonts w:ascii="Arial" w:cs="Arial" w:eastAsia="Arial" w:hAnsi="Arial"/>
                <w:sz w:val="22"/>
                <w:szCs w:val="22"/>
                <w:color w:val="auto"/>
              </w:rPr>
              <w:t>Fundamental Changes</w:t>
            </w:r>
          </w:p>
        </w:tc>
        <w:tc>
          <w:tcPr>
            <w:tcW w:w="0" w:type="dxa"/>
            <w:vAlign w:val="bottom"/>
          </w:tcPr>
          <w:p>
            <w:pPr>
              <w:spacing w:after="0"/>
              <w:rPr>
                <w:sz w:val="1"/>
                <w:szCs w:val="1"/>
                <w:color w:val="auto"/>
              </w:rPr>
            </w:pPr>
          </w:p>
        </w:tc>
      </w:tr>
      <w:tr>
        <w:trPr>
          <w:trHeight w:val="723"/>
        </w:trPr>
        <w:tc>
          <w:tcPr>
            <w:tcW w:w="2540" w:type="dxa"/>
            <w:vAlign w:val="bottom"/>
            <w:vMerge w:val="restart"/>
          </w:tcPr>
          <w:p>
            <w:pPr>
              <w:spacing w:after="0"/>
              <w:rPr>
                <w:sz w:val="20"/>
                <w:szCs w:val="20"/>
                <w:color w:val="auto"/>
              </w:rPr>
            </w:pPr>
            <w:r>
              <w:rPr>
                <w:rFonts w:ascii="Arial" w:cs="Arial" w:eastAsia="Arial" w:hAnsi="Arial"/>
                <w:sz w:val="14"/>
                <w:szCs w:val="14"/>
                <w:color w:val="auto"/>
              </w:rPr>
              <w:t>ACTIVE 214387177</w:t>
            </w:r>
          </w:p>
        </w:tc>
        <w:tc>
          <w:tcPr>
            <w:tcW w:w="1920" w:type="dxa"/>
            <w:vAlign w:val="bottom"/>
            <w:tcBorders>
              <w:top w:val="single" w:sz="8" w:color="auto"/>
            </w:tcBorders>
          </w:tcPr>
          <w:p>
            <w:pPr>
              <w:spacing w:after="0"/>
              <w:rPr>
                <w:sz w:val="24"/>
                <w:szCs w:val="24"/>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164"/>
        </w:trPr>
        <w:tc>
          <w:tcPr>
            <w:tcW w:w="254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383" w:right="57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8.03</w:t>
            </w:r>
          </w:p>
        </w:tc>
        <w:tc>
          <w:tcPr>
            <w:tcW w:w="7440" w:type="dxa"/>
            <w:vAlign w:val="bottom"/>
            <w:gridSpan w:val="30"/>
          </w:tcPr>
          <w:p>
            <w:pPr>
              <w:spacing w:after="0"/>
              <w:rPr>
                <w:sz w:val="20"/>
                <w:szCs w:val="20"/>
                <w:color w:val="auto"/>
              </w:rPr>
            </w:pPr>
            <w:r>
              <w:rPr>
                <w:rFonts w:ascii="Arial" w:cs="Arial" w:eastAsia="Arial" w:hAnsi="Arial"/>
                <w:sz w:val="22"/>
                <w:szCs w:val="22"/>
                <w:color w:val="auto"/>
              </w:rPr>
              <w:t>Material Change in Business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8.04</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7"/>
              </w:rPr>
              <w:t>Liens</w:t>
            </w:r>
          </w:p>
        </w:tc>
        <w:tc>
          <w:tcPr>
            <w:tcW w:w="2000" w:type="dxa"/>
            <w:vAlign w:val="bottom"/>
            <w:tcBorders>
              <w:top w:val="single" w:sz="8" w:color="auto"/>
            </w:tcBorders>
            <w:gridSpan w:val="19"/>
          </w:tcPr>
          <w:p>
            <w:pPr>
              <w:spacing w:after="0"/>
              <w:rPr>
                <w:sz w:val="24"/>
                <w:szCs w:val="24"/>
                <w:color w:val="auto"/>
              </w:rPr>
            </w:pPr>
          </w:p>
        </w:tc>
        <w:tc>
          <w:tcPr>
            <w:tcW w:w="4960" w:type="dxa"/>
            <w:vAlign w:val="bottom"/>
            <w:gridSpan w:val="10"/>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8.05</w:t>
            </w:r>
          </w:p>
        </w:tc>
        <w:tc>
          <w:tcPr>
            <w:tcW w:w="7440" w:type="dxa"/>
            <w:vAlign w:val="bottom"/>
            <w:gridSpan w:val="30"/>
          </w:tcPr>
          <w:p>
            <w:pPr>
              <w:spacing w:after="0"/>
              <w:rPr>
                <w:sz w:val="20"/>
                <w:szCs w:val="20"/>
                <w:color w:val="auto"/>
              </w:rPr>
            </w:pPr>
            <w:r>
              <w:rPr>
                <w:rFonts w:ascii="Arial" w:cs="Arial" w:eastAsia="Arial" w:hAnsi="Arial"/>
                <w:sz w:val="22"/>
                <w:szCs w:val="22"/>
                <w:color w:val="auto"/>
              </w:rPr>
              <w:t>Asset Dispositions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8.06</w:t>
            </w:r>
          </w:p>
        </w:tc>
        <w:tc>
          <w:tcPr>
            <w:tcW w:w="10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5"/>
              </w:rPr>
              <w:t>Investments</w:t>
            </w:r>
          </w:p>
        </w:tc>
        <w:tc>
          <w:tcPr>
            <w:tcW w:w="560" w:type="dxa"/>
            <w:vAlign w:val="bottom"/>
            <w:tcBorders>
              <w:top w:val="single" w:sz="8" w:color="auto"/>
            </w:tcBorders>
            <w:gridSpan w:val="7"/>
          </w:tcPr>
          <w:p>
            <w:pPr>
              <w:spacing w:after="0"/>
              <w:rPr>
                <w:sz w:val="24"/>
                <w:szCs w:val="24"/>
                <w:color w:val="auto"/>
              </w:rPr>
            </w:pPr>
          </w:p>
        </w:tc>
        <w:tc>
          <w:tcPr>
            <w:tcW w:w="5840" w:type="dxa"/>
            <w:vAlign w:val="bottom"/>
            <w:gridSpan w:val="17"/>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8.07</w:t>
            </w:r>
          </w:p>
        </w:tc>
        <w:tc>
          <w:tcPr>
            <w:tcW w:w="158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6"/>
              </w:rPr>
              <w:t>Swap Agreements</w:t>
            </w:r>
          </w:p>
        </w:tc>
        <w:tc>
          <w:tcPr>
            <w:tcW w:w="5860" w:type="dxa"/>
            <w:vAlign w:val="bottom"/>
            <w:gridSpan w:val="18"/>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8.08</w:t>
            </w:r>
          </w:p>
        </w:tc>
        <w:tc>
          <w:tcPr>
            <w:tcW w:w="7440" w:type="dxa"/>
            <w:vAlign w:val="bottom"/>
            <w:gridSpan w:val="30"/>
          </w:tcPr>
          <w:p>
            <w:pPr>
              <w:spacing w:after="0"/>
              <w:rPr>
                <w:sz w:val="20"/>
                <w:szCs w:val="20"/>
                <w:color w:val="auto"/>
              </w:rPr>
            </w:pPr>
            <w:r>
              <w:rPr>
                <w:rFonts w:ascii="Arial" w:cs="Arial" w:eastAsia="Arial" w:hAnsi="Arial"/>
                <w:sz w:val="22"/>
                <w:szCs w:val="22"/>
                <w:color w:val="auto"/>
              </w:rPr>
              <w:t>Restricted Payments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86</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8.09</w:t>
            </w:r>
          </w:p>
        </w:tc>
        <w:tc>
          <w:tcPr>
            <w:tcW w:w="7440" w:type="dxa"/>
            <w:vAlign w:val="bottom"/>
            <w:gridSpan w:val="30"/>
          </w:tcPr>
          <w:p>
            <w:pPr>
              <w:spacing w:after="0"/>
              <w:rPr>
                <w:sz w:val="20"/>
                <w:szCs w:val="20"/>
                <w:color w:val="auto"/>
              </w:rPr>
            </w:pPr>
            <w:r>
              <w:rPr>
                <w:rFonts w:ascii="Arial" w:cs="Arial" w:eastAsia="Arial" w:hAnsi="Arial"/>
                <w:sz w:val="22"/>
                <w:szCs w:val="22"/>
                <w:color w:val="auto"/>
              </w:rPr>
              <w:t>Financial Covenants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87</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8.10</w:t>
            </w:r>
          </w:p>
        </w:tc>
        <w:tc>
          <w:tcPr>
            <w:tcW w:w="364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92"/>
              </w:rPr>
              <w:t>Limitation on Transactions with Affiliates</w:t>
            </w:r>
          </w:p>
        </w:tc>
        <w:tc>
          <w:tcPr>
            <w:tcW w:w="3800" w:type="dxa"/>
            <w:vAlign w:val="bottom"/>
            <w:gridSpan w:val="7"/>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8.11</w:t>
            </w:r>
          </w:p>
        </w:tc>
        <w:tc>
          <w:tcPr>
            <w:tcW w:w="7440" w:type="dxa"/>
            <w:vAlign w:val="bottom"/>
            <w:gridSpan w:val="30"/>
          </w:tcPr>
          <w:p>
            <w:pPr>
              <w:spacing w:after="0"/>
              <w:rPr>
                <w:sz w:val="20"/>
                <w:szCs w:val="20"/>
                <w:color w:val="auto"/>
              </w:rPr>
            </w:pPr>
            <w:r>
              <w:rPr>
                <w:rFonts w:ascii="Arial" w:cs="Arial" w:eastAsia="Arial" w:hAnsi="Arial"/>
                <w:sz w:val="22"/>
                <w:szCs w:val="22"/>
                <w:color w:val="auto"/>
              </w:rPr>
              <w:t>Restrictive Agreements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8.12</w:t>
            </w:r>
          </w:p>
        </w:tc>
        <w:tc>
          <w:tcPr>
            <w:tcW w:w="142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22"/>
                <w:szCs w:val="22"/>
                <w:color w:val="auto"/>
                <w:w w:val="86"/>
              </w:rPr>
              <w:t>Use of Proceeds</w:t>
            </w:r>
          </w:p>
        </w:tc>
        <w:tc>
          <w:tcPr>
            <w:tcW w:w="600" w:type="dxa"/>
            <w:vAlign w:val="bottom"/>
            <w:tcBorders>
              <w:top w:val="single" w:sz="8" w:color="auto"/>
            </w:tcBorders>
            <w:gridSpan w:val="6"/>
          </w:tcPr>
          <w:p>
            <w:pPr>
              <w:spacing w:after="0"/>
              <w:rPr>
                <w:sz w:val="24"/>
                <w:szCs w:val="24"/>
                <w:color w:val="auto"/>
              </w:rPr>
            </w:pPr>
          </w:p>
        </w:tc>
        <w:tc>
          <w:tcPr>
            <w:tcW w:w="5420" w:type="dxa"/>
            <w:vAlign w:val="bottom"/>
            <w:gridSpan w:val="13"/>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89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8.13</w:t>
            </w:r>
          </w:p>
        </w:tc>
        <w:tc>
          <w:tcPr>
            <w:tcW w:w="7440" w:type="dxa"/>
            <w:vAlign w:val="bottom"/>
            <w:gridSpan w:val="30"/>
          </w:tcPr>
          <w:p>
            <w:pPr>
              <w:spacing w:after="0"/>
              <w:rPr>
                <w:sz w:val="20"/>
                <w:szCs w:val="20"/>
                <w:color w:val="auto"/>
              </w:rPr>
            </w:pPr>
            <w:r>
              <w:rPr>
                <w:rFonts w:ascii="Arial" w:cs="Arial" w:eastAsia="Arial" w:hAnsi="Arial"/>
                <w:sz w:val="22"/>
                <w:szCs w:val="22"/>
                <w:color w:val="auto"/>
              </w:rPr>
              <w:t>Changes to Fiscal Year</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90</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8.14</w:t>
            </w:r>
          </w:p>
        </w:tc>
        <w:tc>
          <w:tcPr>
            <w:tcW w:w="5260" w:type="dxa"/>
            <w:vAlign w:val="bottom"/>
            <w:tcBorders>
              <w:bottom w:val="single" w:sz="8" w:color="auto"/>
            </w:tcBorders>
            <w:gridSpan w:val="25"/>
          </w:tcPr>
          <w:p>
            <w:pPr>
              <w:spacing w:after="0"/>
              <w:rPr>
                <w:sz w:val="20"/>
                <w:szCs w:val="20"/>
                <w:color w:val="auto"/>
              </w:rPr>
            </w:pPr>
            <w:r>
              <w:rPr>
                <w:rFonts w:ascii="Arial" w:cs="Arial" w:eastAsia="Arial" w:hAnsi="Arial"/>
                <w:sz w:val="22"/>
                <w:szCs w:val="22"/>
                <w:color w:val="auto"/>
                <w:w w:val="88"/>
              </w:rPr>
              <w:t>Amendments to Documents Governing Certain Indebtedness</w:t>
            </w:r>
          </w:p>
        </w:tc>
        <w:tc>
          <w:tcPr>
            <w:tcW w:w="2180" w:type="dxa"/>
            <w:vAlign w:val="bottom"/>
            <w:gridSpan w:val="5"/>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8.15</w:t>
            </w:r>
          </w:p>
        </w:tc>
        <w:tc>
          <w:tcPr>
            <w:tcW w:w="3160" w:type="dxa"/>
            <w:vAlign w:val="bottom"/>
            <w:tcBorders>
              <w:bottom w:val="single" w:sz="8" w:color="auto"/>
            </w:tcBorders>
            <w:gridSpan w:val="22"/>
          </w:tcPr>
          <w:p>
            <w:pPr>
              <w:spacing w:after="0"/>
              <w:rPr>
                <w:sz w:val="20"/>
                <w:szCs w:val="20"/>
                <w:color w:val="auto"/>
              </w:rPr>
            </w:pPr>
            <w:r>
              <w:rPr>
                <w:rFonts w:ascii="Arial" w:cs="Arial" w:eastAsia="Arial" w:hAnsi="Arial"/>
                <w:sz w:val="22"/>
                <w:szCs w:val="22"/>
                <w:color w:val="auto"/>
                <w:w w:val="90"/>
              </w:rPr>
              <w:t>Limit on Credit Support Instruments</w:t>
            </w:r>
          </w:p>
        </w:tc>
        <w:tc>
          <w:tcPr>
            <w:tcW w:w="4280" w:type="dxa"/>
            <w:vAlign w:val="bottom"/>
            <w:gridSpan w:val="8"/>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90</w:t>
            </w:r>
          </w:p>
        </w:tc>
      </w:tr>
      <w:tr>
        <w:trPr>
          <w:trHeight w:val="773"/>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0"/>
          </w:tcPr>
          <w:p>
            <w:pPr>
              <w:jc w:val="center"/>
              <w:ind w:right="3580"/>
              <w:spacing w:after="0"/>
              <w:rPr>
                <w:sz w:val="20"/>
                <w:szCs w:val="20"/>
                <w:color w:val="auto"/>
              </w:rPr>
            </w:pPr>
            <w:r>
              <w:rPr>
                <w:rFonts w:ascii="Arial" w:cs="Arial" w:eastAsia="Arial" w:hAnsi="Arial"/>
                <w:sz w:val="22"/>
                <w:szCs w:val="22"/>
                <w:color w:val="010000"/>
                <w:w w:val="98"/>
              </w:rPr>
              <w:t>ARTICLE IX</w:t>
            </w:r>
          </w:p>
        </w:tc>
        <w:tc>
          <w:tcPr>
            <w:tcW w:w="1160" w:type="dxa"/>
            <w:vAlign w:val="bottom"/>
          </w:tcPr>
          <w:p>
            <w:pPr>
              <w:spacing w:after="0"/>
              <w:rPr>
                <w:sz w:val="24"/>
                <w:szCs w:val="24"/>
                <w:color w:val="auto"/>
              </w:rPr>
            </w:pPr>
          </w:p>
        </w:tc>
      </w:tr>
      <w:tr>
        <w:trPr>
          <w:trHeight w:val="72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60" w:type="dxa"/>
            <w:vAlign w:val="bottom"/>
            <w:gridSpan w:val="23"/>
          </w:tcPr>
          <w:p>
            <w:pPr>
              <w:jc w:val="center"/>
              <w:ind w:right="2360"/>
              <w:spacing w:after="0"/>
              <w:rPr>
                <w:sz w:val="20"/>
                <w:szCs w:val="20"/>
                <w:color w:val="auto"/>
              </w:rPr>
            </w:pPr>
            <w:r>
              <w:rPr>
                <w:rFonts w:ascii="Arial" w:cs="Arial" w:eastAsia="Arial" w:hAnsi="Arial"/>
                <w:sz w:val="22"/>
                <w:szCs w:val="22"/>
                <w:color w:val="auto"/>
                <w:w w:val="93"/>
              </w:rPr>
              <w:t>EVENTS OF DEFAULT AND REMEDIES</w:t>
            </w:r>
          </w:p>
        </w:tc>
        <w:tc>
          <w:tcPr>
            <w:tcW w:w="1160" w:type="dxa"/>
            <w:vAlign w:val="bottom"/>
          </w:tcPr>
          <w:p>
            <w:pPr>
              <w:spacing w:after="0"/>
              <w:rPr>
                <w:sz w:val="24"/>
                <w:szCs w:val="24"/>
                <w:color w:val="auto"/>
              </w:rPr>
            </w:pPr>
          </w:p>
        </w:tc>
      </w:tr>
      <w:tr>
        <w:trPr>
          <w:trHeight w:val="692"/>
        </w:trPr>
        <w:tc>
          <w:tcPr>
            <w:tcW w:w="2520" w:type="dxa"/>
            <w:vAlign w:val="bottom"/>
          </w:tcPr>
          <w:p>
            <w:pPr>
              <w:spacing w:after="0"/>
              <w:rPr>
                <w:sz w:val="20"/>
                <w:szCs w:val="20"/>
                <w:color w:val="auto"/>
              </w:rPr>
            </w:pPr>
            <w:r>
              <w:rPr>
                <w:rFonts w:ascii="Arial" w:cs="Arial" w:eastAsia="Arial" w:hAnsi="Arial"/>
                <w:sz w:val="22"/>
                <w:szCs w:val="22"/>
                <w:color w:val="010000"/>
              </w:rPr>
              <w:t>SECTION 9.01</w:t>
            </w:r>
          </w:p>
        </w:tc>
        <w:tc>
          <w:tcPr>
            <w:tcW w:w="7440" w:type="dxa"/>
            <w:vAlign w:val="bottom"/>
            <w:gridSpan w:val="30"/>
          </w:tcPr>
          <w:p>
            <w:pPr>
              <w:spacing w:after="0"/>
              <w:rPr>
                <w:sz w:val="20"/>
                <w:szCs w:val="20"/>
                <w:color w:val="auto"/>
              </w:rPr>
            </w:pPr>
            <w:r>
              <w:rPr>
                <w:rFonts w:ascii="Arial" w:cs="Arial" w:eastAsia="Arial" w:hAnsi="Arial"/>
                <w:sz w:val="22"/>
                <w:szCs w:val="22"/>
                <w:color w:val="auto"/>
              </w:rPr>
              <w:t>Events of Default and Remedies</w:t>
            </w: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90</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9.02</w:t>
            </w:r>
          </w:p>
        </w:tc>
        <w:tc>
          <w:tcPr>
            <w:tcW w:w="2780" w:type="dxa"/>
            <w:vAlign w:val="bottom"/>
            <w:tcBorders>
              <w:top w:val="single" w:sz="8" w:color="auto"/>
            </w:tcBorders>
            <w:gridSpan w:val="21"/>
          </w:tcPr>
          <w:p>
            <w:pPr>
              <w:spacing w:after="0"/>
              <w:rPr>
                <w:sz w:val="20"/>
                <w:szCs w:val="20"/>
                <w:color w:val="auto"/>
              </w:rPr>
            </w:pPr>
            <w:r>
              <w:rPr>
                <w:rFonts w:ascii="Arial" w:cs="Arial" w:eastAsia="Arial" w:hAnsi="Arial"/>
                <w:sz w:val="22"/>
                <w:szCs w:val="22"/>
                <w:color w:val="auto"/>
              </w:rPr>
              <w:t>Right of Setoff</w:t>
            </w:r>
          </w:p>
        </w:tc>
        <w:tc>
          <w:tcPr>
            <w:tcW w:w="4660" w:type="dxa"/>
            <w:vAlign w:val="bottom"/>
            <w:gridSpan w:val="9"/>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94</w:t>
            </w:r>
          </w:p>
        </w:tc>
      </w:tr>
      <w:tr>
        <w:trPr>
          <w:trHeight w:val="20"/>
        </w:trPr>
        <w:tc>
          <w:tcPr>
            <w:tcW w:w="25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9.03</w:t>
            </w:r>
          </w:p>
        </w:tc>
        <w:tc>
          <w:tcPr>
            <w:tcW w:w="140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86"/>
              </w:rPr>
              <w:t>Other Remedies</w:t>
            </w:r>
          </w:p>
        </w:tc>
        <w:tc>
          <w:tcPr>
            <w:tcW w:w="6040" w:type="dxa"/>
            <w:vAlign w:val="bottom"/>
            <w:gridSpan w:val="20"/>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9.04</w:t>
            </w:r>
          </w:p>
        </w:tc>
        <w:tc>
          <w:tcPr>
            <w:tcW w:w="5580" w:type="dxa"/>
            <w:vAlign w:val="bottom"/>
            <w:tcBorders>
              <w:bottom w:val="single" w:sz="8" w:color="auto"/>
            </w:tcBorders>
            <w:gridSpan w:val="27"/>
          </w:tcPr>
          <w:p>
            <w:pPr>
              <w:spacing w:after="0"/>
              <w:rPr>
                <w:sz w:val="20"/>
                <w:szCs w:val="20"/>
                <w:color w:val="auto"/>
              </w:rPr>
            </w:pPr>
            <w:r>
              <w:rPr>
                <w:rFonts w:ascii="Arial" w:cs="Arial" w:eastAsia="Arial" w:hAnsi="Arial"/>
                <w:sz w:val="22"/>
                <w:szCs w:val="22"/>
                <w:color w:val="auto"/>
                <w:w w:val="92"/>
              </w:rPr>
              <w:t>Application of Moneys During Continuation of Event of Default</w:t>
            </w:r>
          </w:p>
        </w:tc>
        <w:tc>
          <w:tcPr>
            <w:tcW w:w="1860" w:type="dxa"/>
            <w:vAlign w:val="bottom"/>
            <w:gridSpan w:val="3"/>
          </w:tcPr>
          <w:p>
            <w:pPr>
              <w:spacing w:after="0"/>
              <w:rPr>
                <w:sz w:val="24"/>
                <w:szCs w:val="24"/>
                <w:color w:val="auto"/>
              </w:rPr>
            </w:pPr>
          </w:p>
        </w:tc>
        <w:tc>
          <w:tcPr>
            <w:tcW w:w="1160" w:type="dxa"/>
            <w:vAlign w:val="bottom"/>
          </w:tcPr>
          <w:p>
            <w:pPr>
              <w:jc w:val="center"/>
              <w:ind w:left="712"/>
              <w:spacing w:after="0"/>
              <w:rPr>
                <w:sz w:val="20"/>
                <w:szCs w:val="20"/>
                <w:color w:val="auto"/>
              </w:rPr>
            </w:pPr>
            <w:r>
              <w:rPr>
                <w:rFonts w:ascii="Arial" w:cs="Arial" w:eastAsia="Arial" w:hAnsi="Arial"/>
                <w:sz w:val="22"/>
                <w:szCs w:val="22"/>
                <w:color w:val="auto"/>
                <w:w w:val="89"/>
              </w:rPr>
              <w:t>94</w:t>
            </w:r>
          </w:p>
        </w:tc>
      </w:tr>
      <w:tr>
        <w:trPr>
          <w:trHeight w:val="773"/>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0"/>
          </w:tcPr>
          <w:p>
            <w:pPr>
              <w:jc w:val="center"/>
              <w:ind w:right="3580"/>
              <w:spacing w:after="0"/>
              <w:rPr>
                <w:sz w:val="20"/>
                <w:szCs w:val="20"/>
                <w:color w:val="auto"/>
              </w:rPr>
            </w:pPr>
            <w:r>
              <w:rPr>
                <w:rFonts w:ascii="Arial" w:cs="Arial" w:eastAsia="Arial" w:hAnsi="Arial"/>
                <w:sz w:val="22"/>
                <w:szCs w:val="22"/>
                <w:color w:val="010000"/>
                <w:w w:val="96"/>
              </w:rPr>
              <w:t>ARTICLE X</w:t>
            </w:r>
          </w:p>
        </w:tc>
        <w:tc>
          <w:tcPr>
            <w:tcW w:w="1160" w:type="dxa"/>
            <w:vAlign w:val="bottom"/>
          </w:tcPr>
          <w:p>
            <w:pPr>
              <w:spacing w:after="0"/>
              <w:rPr>
                <w:sz w:val="24"/>
                <w:szCs w:val="24"/>
                <w:color w:val="auto"/>
              </w:rPr>
            </w:pPr>
          </w:p>
        </w:tc>
      </w:tr>
      <w:tr>
        <w:trPr>
          <w:trHeight w:val="72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15"/>
          </w:tcPr>
          <w:p>
            <w:pPr>
              <w:jc w:val="center"/>
              <w:ind w:right="2940"/>
              <w:spacing w:after="0"/>
              <w:rPr>
                <w:sz w:val="20"/>
                <w:szCs w:val="20"/>
                <w:color w:val="auto"/>
              </w:rPr>
            </w:pPr>
            <w:r>
              <w:rPr>
                <w:rFonts w:ascii="Arial" w:cs="Arial" w:eastAsia="Arial" w:hAnsi="Arial"/>
                <w:sz w:val="22"/>
                <w:szCs w:val="22"/>
                <w:color w:val="auto"/>
                <w:w w:val="98"/>
              </w:rPr>
              <w:t>ADMINISTRATIVE AGENT</w:t>
            </w:r>
          </w:p>
        </w:tc>
        <w:tc>
          <w:tcPr>
            <w:tcW w:w="1160" w:type="dxa"/>
            <w:vAlign w:val="bottom"/>
          </w:tcPr>
          <w:p>
            <w:pPr>
              <w:spacing w:after="0"/>
              <w:rPr>
                <w:sz w:val="24"/>
                <w:szCs w:val="24"/>
                <w:color w:val="auto"/>
              </w:rPr>
            </w:pPr>
          </w:p>
        </w:tc>
      </w:tr>
      <w:tr>
        <w:trPr>
          <w:trHeight w:val="95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0"/>
          </w:tcPr>
          <w:p>
            <w:pPr>
              <w:jc w:val="center"/>
              <w:ind w:right="3580"/>
              <w:spacing w:after="0"/>
              <w:rPr>
                <w:sz w:val="20"/>
                <w:szCs w:val="20"/>
                <w:color w:val="auto"/>
              </w:rPr>
            </w:pPr>
            <w:r>
              <w:rPr>
                <w:rFonts w:ascii="Arial" w:cs="Arial" w:eastAsia="Arial" w:hAnsi="Arial"/>
                <w:sz w:val="22"/>
                <w:szCs w:val="22"/>
                <w:color w:val="auto"/>
                <w:w w:val="98"/>
              </w:rPr>
              <w:t>ARTICLE XI</w:t>
            </w:r>
          </w:p>
        </w:tc>
        <w:tc>
          <w:tcPr>
            <w:tcW w:w="1160" w:type="dxa"/>
            <w:vAlign w:val="bottom"/>
          </w:tcPr>
          <w:p>
            <w:pPr>
              <w:spacing w:after="0"/>
              <w:rPr>
                <w:sz w:val="24"/>
                <w:szCs w:val="24"/>
                <w:color w:val="auto"/>
              </w:rPr>
            </w:pPr>
          </w:p>
        </w:tc>
      </w:tr>
      <w:tr>
        <w:trPr>
          <w:trHeight w:val="729"/>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2"/>
          </w:tcPr>
          <w:p>
            <w:pPr>
              <w:jc w:val="center"/>
              <w:ind w:right="3120"/>
              <w:spacing w:after="0"/>
              <w:rPr>
                <w:sz w:val="20"/>
                <w:szCs w:val="20"/>
                <w:color w:val="auto"/>
              </w:rPr>
            </w:pPr>
            <w:r>
              <w:rPr>
                <w:rFonts w:ascii="Arial" w:cs="Arial" w:eastAsia="Arial" w:hAnsi="Arial"/>
                <w:sz w:val="22"/>
                <w:szCs w:val="22"/>
                <w:color w:val="auto"/>
                <w:w w:val="96"/>
              </w:rPr>
              <w:t>MISCELLANEOUS</w:t>
            </w:r>
          </w:p>
        </w:tc>
        <w:tc>
          <w:tcPr>
            <w:tcW w:w="1160" w:type="dxa"/>
            <w:vAlign w:val="bottom"/>
          </w:tcPr>
          <w:p>
            <w:pPr>
              <w:spacing w:after="0"/>
              <w:rPr>
                <w:sz w:val="24"/>
                <w:szCs w:val="24"/>
                <w:color w:val="auto"/>
              </w:rPr>
            </w:pPr>
          </w:p>
        </w:tc>
      </w:tr>
      <w:tr>
        <w:trPr>
          <w:trHeight w:val="692"/>
        </w:trPr>
        <w:tc>
          <w:tcPr>
            <w:tcW w:w="2520" w:type="dxa"/>
            <w:vAlign w:val="bottom"/>
          </w:tcPr>
          <w:p>
            <w:pPr>
              <w:spacing w:after="0"/>
              <w:rPr>
                <w:sz w:val="20"/>
                <w:szCs w:val="20"/>
                <w:color w:val="auto"/>
              </w:rPr>
            </w:pPr>
            <w:r>
              <w:rPr>
                <w:rFonts w:ascii="Arial" w:cs="Arial" w:eastAsia="Arial" w:hAnsi="Arial"/>
                <w:sz w:val="22"/>
                <w:szCs w:val="22"/>
                <w:color w:val="010000"/>
              </w:rPr>
              <w:t>SECTION 11.01</w:t>
            </w:r>
          </w:p>
        </w:tc>
        <w:tc>
          <w:tcPr>
            <w:tcW w:w="7440" w:type="dxa"/>
            <w:vAlign w:val="bottom"/>
            <w:gridSpan w:val="30"/>
          </w:tcPr>
          <w:p>
            <w:pPr>
              <w:spacing w:after="0"/>
              <w:rPr>
                <w:sz w:val="20"/>
                <w:szCs w:val="20"/>
                <w:color w:val="auto"/>
              </w:rPr>
            </w:pPr>
            <w:r>
              <w:rPr>
                <w:rFonts w:ascii="Arial" w:cs="Arial" w:eastAsia="Arial" w:hAnsi="Arial"/>
                <w:sz w:val="22"/>
                <w:szCs w:val="22"/>
                <w:color w:val="auto"/>
                <w:w w:val="99"/>
              </w:rPr>
              <w:t>Waiver; Amendments; Joinder; Release of Guarantors; Release of Collateral</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102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11.02</w:t>
            </w:r>
          </w:p>
        </w:tc>
        <w:tc>
          <w:tcPr>
            <w:tcW w:w="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7"/>
              </w:rPr>
              <w:t>Notices</w:t>
            </w:r>
          </w:p>
        </w:tc>
        <w:tc>
          <w:tcPr>
            <w:tcW w:w="5920" w:type="dxa"/>
            <w:vAlign w:val="bottom"/>
            <w:tcBorders>
              <w:top w:val="single" w:sz="8" w:color="auto"/>
            </w:tcBorders>
            <w:gridSpan w:val="27"/>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103</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11.03</w:t>
            </w:r>
          </w:p>
        </w:tc>
        <w:tc>
          <w:tcPr>
            <w:tcW w:w="128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4"/>
              </w:rPr>
              <w:t>Expenses, Etc.</w:t>
            </w:r>
          </w:p>
        </w:tc>
        <w:tc>
          <w:tcPr>
            <w:tcW w:w="6160" w:type="dxa"/>
            <w:vAlign w:val="bottom"/>
            <w:gridSpan w:val="23"/>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106</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11.04</w:t>
            </w:r>
          </w:p>
        </w:tc>
        <w:tc>
          <w:tcPr>
            <w:tcW w:w="7440" w:type="dxa"/>
            <w:vAlign w:val="bottom"/>
            <w:gridSpan w:val="30"/>
          </w:tcPr>
          <w:p>
            <w:pPr>
              <w:spacing w:after="0"/>
              <w:rPr>
                <w:sz w:val="20"/>
                <w:szCs w:val="20"/>
                <w:color w:val="auto"/>
              </w:rPr>
            </w:pPr>
            <w:r>
              <w:rPr>
                <w:rFonts w:ascii="Arial" w:cs="Arial" w:eastAsia="Arial" w:hAnsi="Arial"/>
                <w:sz w:val="22"/>
                <w:szCs w:val="22"/>
                <w:color w:val="auto"/>
              </w:rPr>
              <w:t>Indemnity</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106</w:t>
            </w:r>
          </w:p>
        </w:tc>
      </w:tr>
      <w:tr>
        <w:trPr>
          <w:trHeight w:val="20"/>
        </w:trPr>
        <w:tc>
          <w:tcPr>
            <w:tcW w:w="25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11.05</w:t>
            </w:r>
          </w:p>
        </w:tc>
        <w:tc>
          <w:tcPr>
            <w:tcW w:w="7440" w:type="dxa"/>
            <w:vAlign w:val="bottom"/>
            <w:gridSpan w:val="30"/>
          </w:tcPr>
          <w:p>
            <w:pPr>
              <w:spacing w:after="0"/>
              <w:rPr>
                <w:sz w:val="20"/>
                <w:szCs w:val="20"/>
                <w:color w:val="auto"/>
              </w:rPr>
            </w:pPr>
            <w:r>
              <w:rPr>
                <w:rFonts w:ascii="Arial" w:cs="Arial" w:eastAsia="Arial" w:hAnsi="Arial"/>
                <w:sz w:val="22"/>
                <w:szCs w:val="22"/>
                <w:color w:val="auto"/>
              </w:rPr>
              <w:t>Successors and Assigns</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108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11.06</w:t>
            </w:r>
          </w:p>
        </w:tc>
        <w:tc>
          <w:tcPr>
            <w:tcW w:w="2040" w:type="dxa"/>
            <w:vAlign w:val="bottom"/>
            <w:tcBorders>
              <w:top w:val="single" w:sz="8" w:color="auto"/>
            </w:tcBorders>
            <w:gridSpan w:val="18"/>
          </w:tcPr>
          <w:p>
            <w:pPr>
              <w:spacing w:after="0"/>
              <w:rPr>
                <w:sz w:val="20"/>
                <w:szCs w:val="20"/>
                <w:color w:val="auto"/>
              </w:rPr>
            </w:pPr>
            <w:r>
              <w:rPr>
                <w:rFonts w:ascii="Arial" w:cs="Arial" w:eastAsia="Arial" w:hAnsi="Arial"/>
                <w:sz w:val="22"/>
                <w:szCs w:val="22"/>
                <w:color w:val="auto"/>
              </w:rPr>
              <w:t>Confidentiality</w:t>
            </w:r>
          </w:p>
        </w:tc>
        <w:tc>
          <w:tcPr>
            <w:tcW w:w="5400" w:type="dxa"/>
            <w:vAlign w:val="bottom"/>
            <w:gridSpan w:val="12"/>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112</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11.07</w:t>
            </w:r>
          </w:p>
        </w:tc>
        <w:tc>
          <w:tcPr>
            <w:tcW w:w="130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Survival</w:t>
            </w:r>
          </w:p>
        </w:tc>
        <w:tc>
          <w:tcPr>
            <w:tcW w:w="6140" w:type="dxa"/>
            <w:vAlign w:val="bottom"/>
            <w:gridSpan w:val="22"/>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113</w:t>
            </w:r>
          </w:p>
        </w:tc>
      </w:tr>
      <w:tr>
        <w:trPr>
          <w:trHeight w:val="20"/>
        </w:trPr>
        <w:tc>
          <w:tcPr>
            <w:tcW w:w="25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11.08</w:t>
            </w:r>
          </w:p>
        </w:tc>
        <w:tc>
          <w:tcPr>
            <w:tcW w:w="136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0"/>
              </w:rPr>
              <w:t>Governing Law</w:t>
            </w:r>
          </w:p>
        </w:tc>
        <w:tc>
          <w:tcPr>
            <w:tcW w:w="6080" w:type="dxa"/>
            <w:vAlign w:val="bottom"/>
            <w:gridSpan w:val="21"/>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11.09</w:t>
            </w:r>
          </w:p>
        </w:tc>
        <w:tc>
          <w:tcPr>
            <w:tcW w:w="2400" w:type="dxa"/>
            <w:vAlign w:val="bottom"/>
            <w:tcBorders>
              <w:bottom w:val="single" w:sz="8" w:color="auto"/>
            </w:tcBorders>
            <w:gridSpan w:val="19"/>
          </w:tcPr>
          <w:p>
            <w:pPr>
              <w:spacing w:after="0"/>
              <w:rPr>
                <w:sz w:val="20"/>
                <w:szCs w:val="20"/>
                <w:color w:val="auto"/>
              </w:rPr>
            </w:pPr>
            <w:r>
              <w:rPr>
                <w:rFonts w:ascii="Arial" w:cs="Arial" w:eastAsia="Arial" w:hAnsi="Arial"/>
                <w:sz w:val="22"/>
                <w:szCs w:val="22"/>
                <w:color w:val="auto"/>
                <w:w w:val="86"/>
              </w:rPr>
              <w:t>Independence of Covenants</w:t>
            </w:r>
          </w:p>
        </w:tc>
        <w:tc>
          <w:tcPr>
            <w:tcW w:w="5040" w:type="dxa"/>
            <w:vAlign w:val="bottom"/>
            <w:gridSpan w:val="11"/>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11.10</w:t>
            </w:r>
          </w:p>
        </w:tc>
        <w:tc>
          <w:tcPr>
            <w:tcW w:w="538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89"/>
              </w:rPr>
              <w:t>Counterparts; Integration; Effectiveness; Electronic Execution</w:t>
            </w:r>
          </w:p>
        </w:tc>
        <w:tc>
          <w:tcPr>
            <w:tcW w:w="2060" w:type="dxa"/>
            <w:vAlign w:val="bottom"/>
            <w:gridSpan w:val="4"/>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114</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11.11</w:t>
            </w:r>
          </w:p>
        </w:tc>
        <w:tc>
          <w:tcPr>
            <w:tcW w:w="104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9"/>
              </w:rPr>
              <w:t>Severability</w:t>
            </w:r>
          </w:p>
        </w:tc>
        <w:tc>
          <w:tcPr>
            <w:tcW w:w="6400" w:type="dxa"/>
            <w:vAlign w:val="bottom"/>
            <w:gridSpan w:val="24"/>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11.12</w:t>
            </w:r>
          </w:p>
        </w:tc>
        <w:tc>
          <w:tcPr>
            <w:tcW w:w="5820" w:type="dxa"/>
            <w:vAlign w:val="bottom"/>
            <w:tcBorders>
              <w:bottom w:val="single" w:sz="8" w:color="auto"/>
            </w:tcBorders>
            <w:gridSpan w:val="28"/>
          </w:tcPr>
          <w:p>
            <w:pPr>
              <w:spacing w:after="0"/>
              <w:rPr>
                <w:sz w:val="20"/>
                <w:szCs w:val="20"/>
                <w:color w:val="auto"/>
              </w:rPr>
            </w:pPr>
            <w:r>
              <w:rPr>
                <w:rFonts w:ascii="Arial" w:cs="Arial" w:eastAsia="Arial" w:hAnsi="Arial"/>
                <w:sz w:val="22"/>
                <w:szCs w:val="22"/>
                <w:color w:val="auto"/>
                <w:w w:val="89"/>
              </w:rPr>
              <w:t>Conflicts Between This Agreement and the Other Loan Documents</w:t>
            </w:r>
          </w:p>
        </w:tc>
        <w:tc>
          <w:tcPr>
            <w:tcW w:w="1620" w:type="dxa"/>
            <w:vAlign w:val="bottom"/>
            <w:gridSpan w:val="2"/>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11.13</w:t>
            </w:r>
          </w:p>
        </w:tc>
        <w:tc>
          <w:tcPr>
            <w:tcW w:w="7440" w:type="dxa"/>
            <w:vAlign w:val="bottom"/>
            <w:gridSpan w:val="30"/>
          </w:tcPr>
          <w:p>
            <w:pPr>
              <w:spacing w:after="0"/>
              <w:rPr>
                <w:sz w:val="20"/>
                <w:szCs w:val="20"/>
                <w:color w:val="auto"/>
              </w:rPr>
            </w:pPr>
            <w:r>
              <w:rPr>
                <w:rFonts w:ascii="Arial" w:cs="Arial" w:eastAsia="Arial" w:hAnsi="Arial"/>
                <w:sz w:val="22"/>
                <w:szCs w:val="22"/>
                <w:color w:val="auto"/>
              </w:rPr>
              <w:t>Headings</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115</w:t>
            </w:r>
          </w:p>
        </w:tc>
      </w:tr>
      <w:tr>
        <w:trPr>
          <w:trHeight w:val="20"/>
        </w:trPr>
        <w:tc>
          <w:tcPr>
            <w:tcW w:w="2520" w:type="dxa"/>
            <w:vAlign w:val="bottom"/>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11.14</w:t>
            </w:r>
          </w:p>
        </w:tc>
        <w:tc>
          <w:tcPr>
            <w:tcW w:w="7440" w:type="dxa"/>
            <w:vAlign w:val="bottom"/>
            <w:gridSpan w:val="30"/>
          </w:tcPr>
          <w:p>
            <w:pPr>
              <w:spacing w:after="0"/>
              <w:rPr>
                <w:sz w:val="20"/>
                <w:szCs w:val="20"/>
                <w:color w:val="auto"/>
              </w:rPr>
            </w:pPr>
            <w:r>
              <w:rPr>
                <w:rFonts w:ascii="Arial" w:cs="Arial" w:eastAsia="Arial" w:hAnsi="Arial"/>
                <w:sz w:val="22"/>
                <w:szCs w:val="22"/>
                <w:color w:val="auto"/>
              </w:rPr>
              <w:t>Limitation of Interest</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115</w:t>
            </w:r>
          </w:p>
        </w:tc>
      </w:tr>
      <w:tr>
        <w:trPr>
          <w:trHeight w:val="20"/>
        </w:trPr>
        <w:tc>
          <w:tcPr>
            <w:tcW w:w="2520" w:type="dxa"/>
            <w:vAlign w:val="bottom"/>
          </w:tcPr>
          <w:p>
            <w:pPr>
              <w:spacing w:after="0" w:line="20" w:lineRule="exact"/>
              <w:rPr>
                <w:sz w:val="1"/>
                <w:szCs w:val="1"/>
                <w:color w:val="auto"/>
              </w:rPr>
            </w:pPr>
          </w:p>
        </w:tc>
        <w:tc>
          <w:tcPr>
            <w:tcW w:w="1760" w:type="dxa"/>
            <w:vAlign w:val="bottom"/>
            <w:tcBorders>
              <w:right w:val="single" w:sz="8" w:color="auto"/>
            </w:tcBorders>
            <w:gridSpan w:val="1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11.15</w:t>
            </w:r>
          </w:p>
        </w:tc>
        <w:tc>
          <w:tcPr>
            <w:tcW w:w="7440" w:type="dxa"/>
            <w:vAlign w:val="bottom"/>
            <w:gridSpan w:val="30"/>
          </w:tcPr>
          <w:p>
            <w:pPr>
              <w:spacing w:after="0"/>
              <w:rPr>
                <w:sz w:val="20"/>
                <w:szCs w:val="20"/>
                <w:color w:val="auto"/>
              </w:rPr>
            </w:pPr>
            <w:r>
              <w:rPr>
                <w:rFonts w:ascii="Arial" w:cs="Arial" w:eastAsia="Arial" w:hAnsi="Arial"/>
                <w:sz w:val="22"/>
                <w:szCs w:val="22"/>
                <w:color w:val="auto"/>
              </w:rPr>
              <w:t>Submission to Jurisdiction; Consent to Service of Process</w:t>
            </w: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115</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11.16</w:t>
            </w:r>
          </w:p>
        </w:tc>
        <w:tc>
          <w:tcPr>
            <w:tcW w:w="176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2"/>
                <w:szCs w:val="22"/>
                <w:color w:val="auto"/>
                <w:w w:val="90"/>
              </w:rPr>
              <w:t>Waiver of Jury Trial</w:t>
            </w:r>
          </w:p>
        </w:tc>
        <w:tc>
          <w:tcPr>
            <w:tcW w:w="3220" w:type="dxa"/>
            <w:vAlign w:val="bottom"/>
            <w:tcBorders>
              <w:top w:val="single" w:sz="8" w:color="auto"/>
            </w:tcBorders>
            <w:gridSpan w:val="10"/>
          </w:tcPr>
          <w:p>
            <w:pPr>
              <w:spacing w:after="0"/>
              <w:rPr>
                <w:sz w:val="24"/>
                <w:szCs w:val="24"/>
                <w:color w:val="auto"/>
              </w:rPr>
            </w:pPr>
          </w:p>
        </w:tc>
        <w:tc>
          <w:tcPr>
            <w:tcW w:w="2460" w:type="dxa"/>
            <w:vAlign w:val="bottom"/>
            <w:gridSpan w:val="6"/>
          </w:tcPr>
          <w:p>
            <w:pPr>
              <w:spacing w:after="0"/>
              <w:rPr>
                <w:sz w:val="24"/>
                <w:szCs w:val="24"/>
                <w:color w:val="auto"/>
              </w:rPr>
            </w:pPr>
          </w:p>
        </w:tc>
        <w:tc>
          <w:tcPr>
            <w:tcW w:w="1160" w:type="dxa"/>
            <w:vAlign w:val="bottom"/>
          </w:tcPr>
          <w:p>
            <w:pPr>
              <w:jc w:val="center"/>
              <w:ind w:left="732"/>
              <w:spacing w:after="0"/>
              <w:rPr>
                <w:sz w:val="20"/>
                <w:szCs w:val="20"/>
                <w:color w:val="auto"/>
              </w:rPr>
            </w:pPr>
            <w:r>
              <w:rPr>
                <w:rFonts w:ascii="Arial" w:cs="Arial" w:eastAsia="Arial" w:hAnsi="Arial"/>
                <w:sz w:val="22"/>
                <w:szCs w:val="22"/>
                <w:color w:val="auto"/>
                <w:w w:val="87"/>
              </w:rPr>
              <w:t>117</w:t>
            </w:r>
          </w:p>
        </w:tc>
      </w:tr>
    </w:tbl>
    <w:p>
      <w:pPr>
        <w:sectPr>
          <w:pgSz w:w="11900" w:h="16838" w:orient="portrait"/>
          <w:cols w:equalWidth="0" w:num="1">
            <w:col w:w="11120"/>
          </w:cols>
          <w:pgMar w:left="260" w:top="1143" w:right="519" w:bottom="0" w:gutter="0" w:footer="0" w:header="0"/>
        </w:sectPr>
      </w:pPr>
    </w:p>
    <w:bookmarkStart w:id="187" w:name="page188"/>
    <w:bookmarkEnd w:id="18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11.17</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Judgment Currency</w:t>
            </w:r>
          </w:p>
        </w:tc>
        <w:tc>
          <w:tcPr>
            <w:tcW w:w="680" w:type="dxa"/>
            <w:vAlign w:val="bottom"/>
          </w:tcPr>
          <w:p>
            <w:pPr>
              <w:spacing w:after="0"/>
              <w:rPr>
                <w:sz w:val="21"/>
                <w:szCs w:val="21"/>
                <w:color w:val="auto"/>
              </w:rPr>
            </w:pPr>
          </w:p>
        </w:tc>
        <w:tc>
          <w:tcPr>
            <w:tcW w:w="6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11.18</w:t>
            </w:r>
          </w:p>
        </w:tc>
        <w:tc>
          <w:tcPr>
            <w:tcW w:w="2380" w:type="dxa"/>
            <w:vAlign w:val="bottom"/>
            <w:gridSpan w:val="3"/>
          </w:tcPr>
          <w:p>
            <w:pPr>
              <w:spacing w:after="0"/>
              <w:rPr>
                <w:sz w:val="20"/>
                <w:szCs w:val="20"/>
                <w:color w:val="auto"/>
              </w:rPr>
            </w:pPr>
            <w:r>
              <w:rPr>
                <w:rFonts w:ascii="Arial" w:cs="Arial" w:eastAsia="Arial" w:hAnsi="Arial"/>
                <w:sz w:val="22"/>
                <w:szCs w:val="22"/>
                <w:color w:val="auto"/>
              </w:rPr>
              <w:t>USA Patriot Act</w:t>
            </w:r>
          </w:p>
        </w:tc>
        <w:tc>
          <w:tcPr>
            <w:tcW w:w="6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0"/>
        </w:trPr>
        <w:tc>
          <w:tcPr>
            <w:tcW w:w="2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11.19</w:t>
            </w:r>
          </w:p>
        </w:tc>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0"/>
              </w:rPr>
              <w:t>Appointment for Perfection</w:t>
            </w:r>
          </w:p>
        </w:tc>
        <w:tc>
          <w:tcPr>
            <w:tcW w:w="6220" w:type="dxa"/>
            <w:vAlign w:val="bottom"/>
          </w:tcPr>
          <w:p>
            <w:pPr>
              <w:jc w:val="right"/>
              <w:spacing w:after="0"/>
              <w:rPr>
                <w:sz w:val="20"/>
                <w:szCs w:val="20"/>
                <w:color w:val="auto"/>
              </w:rPr>
            </w:pPr>
            <w:r>
              <w:rPr>
                <w:rFonts w:ascii="Arial" w:cs="Arial" w:eastAsia="Arial" w:hAnsi="Arial"/>
                <w:sz w:val="22"/>
                <w:szCs w:val="22"/>
                <w:color w:val="auto"/>
              </w:rPr>
              <w:t>117</w:t>
            </w:r>
          </w:p>
        </w:tc>
      </w:tr>
    </w:tbl>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140"/>
          </w:cols>
          <w:pgMar w:left="240" w:top="89" w:right="519" w:bottom="1440" w:gutter="0" w:footer="0" w:header="0"/>
        </w:sectPr>
      </w:pPr>
    </w:p>
    <w:bookmarkStart w:id="188" w:name="page189"/>
    <w:bookmarkEnd w:id="188"/>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010000"/>
              </w:rPr>
              <w:t>SECTION 11.20</w:t>
            </w:r>
          </w:p>
        </w:tc>
        <w:tc>
          <w:tcPr>
            <w:tcW w:w="6240" w:type="dxa"/>
            <w:vAlign w:val="bottom"/>
            <w:gridSpan w:val="4"/>
          </w:tcPr>
          <w:p>
            <w:pPr>
              <w:spacing w:after="0"/>
              <w:rPr>
                <w:sz w:val="20"/>
                <w:szCs w:val="20"/>
                <w:color w:val="auto"/>
              </w:rPr>
            </w:pPr>
            <w:r>
              <w:rPr>
                <w:rFonts w:ascii="Arial" w:cs="Arial" w:eastAsia="Arial" w:hAnsi="Arial"/>
                <w:sz w:val="22"/>
                <w:szCs w:val="22"/>
                <w:color w:val="auto"/>
              </w:rPr>
              <w:t>Payments Set Aside</w:t>
            </w:r>
          </w:p>
        </w:tc>
        <w:tc>
          <w:tcPr>
            <w:tcW w:w="236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11.21</w:t>
            </w: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97"/>
              </w:rPr>
              <w:t>No Fiduciary Duty</w:t>
            </w:r>
          </w:p>
        </w:tc>
        <w:tc>
          <w:tcPr>
            <w:tcW w:w="45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0"/>
        </w:trPr>
        <w:tc>
          <w:tcPr>
            <w:tcW w:w="25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11.22</w:t>
            </w: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5"/>
              </w:rPr>
              <w:t>Release of Guarantors</w:t>
            </w:r>
          </w:p>
        </w:tc>
        <w:tc>
          <w:tcPr>
            <w:tcW w:w="43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77"/>
        </w:trPr>
        <w:tc>
          <w:tcPr>
            <w:tcW w:w="2520" w:type="dxa"/>
            <w:vAlign w:val="bottom"/>
          </w:tcPr>
          <w:p>
            <w:pPr>
              <w:spacing w:after="0"/>
              <w:rPr>
                <w:sz w:val="20"/>
                <w:szCs w:val="20"/>
                <w:color w:val="auto"/>
              </w:rPr>
            </w:pPr>
            <w:r>
              <w:rPr>
                <w:rFonts w:ascii="Arial" w:cs="Arial" w:eastAsia="Arial" w:hAnsi="Arial"/>
                <w:sz w:val="22"/>
                <w:szCs w:val="22"/>
                <w:color w:val="010000"/>
              </w:rPr>
              <w:t>SECTION 11.23</w:t>
            </w:r>
          </w:p>
        </w:tc>
        <w:tc>
          <w:tcPr>
            <w:tcW w:w="62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0"/>
              </w:rPr>
              <w:t>Acknowledgement and Consent to Bail-In of EEA Financial Institutions</w:t>
            </w:r>
          </w:p>
        </w:tc>
        <w:tc>
          <w:tcPr>
            <w:tcW w:w="2360" w:type="dxa"/>
            <w:vAlign w:val="bottom"/>
          </w:tcPr>
          <w:p>
            <w:pPr>
              <w:jc w:val="right"/>
              <w:spacing w:after="0"/>
              <w:rPr>
                <w:sz w:val="20"/>
                <w:szCs w:val="20"/>
                <w:color w:val="auto"/>
              </w:rPr>
            </w:pPr>
            <w:r>
              <w:rPr>
                <w:rFonts w:ascii="Arial" w:cs="Arial" w:eastAsia="Arial" w:hAnsi="Arial"/>
                <w:sz w:val="22"/>
                <w:szCs w:val="22"/>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SCHEDULE</w:t>
      </w:r>
    </w:p>
    <w:p>
      <w:pPr>
        <w:spacing w:after="0" w:line="274"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22"/>
          <w:szCs w:val="22"/>
          <w:color w:val="auto"/>
        </w:rPr>
        <w:t>SCHEDULE 2.01</w:t>
      </w:r>
      <w:r>
        <w:rPr>
          <w:sz w:val="20"/>
          <w:szCs w:val="20"/>
          <w:color w:val="auto"/>
        </w:rPr>
        <w:tab/>
      </w:r>
      <w:r>
        <w:rPr>
          <w:rFonts w:ascii="Arial" w:cs="Arial" w:eastAsia="Arial" w:hAnsi="Arial"/>
          <w:sz w:val="19"/>
          <w:szCs w:val="19"/>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iv</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140"/>
          </w:cols>
          <w:pgMar w:left="240" w:top="1399" w:right="51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TERM LOAN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TERM LOAN CREDIT AGREEMENT, dated as of May 4, 2016, is among WEATHERFORD INTERNATIONAL LTD., a Bermuda exempted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WIL-Ireland</w:t>
      </w:r>
      <w:r>
        <w:rPr>
          <w:rFonts w:ascii="Arial" w:cs="Arial" w:eastAsia="Arial" w:hAnsi="Arial"/>
          <w:sz w:val="22"/>
          <w:szCs w:val="22"/>
          <w:color w:val="auto"/>
        </w:rPr>
        <w:t>”), the Lenders from time to time party hereto and JPMORGAN CHASE BANK, N.A., as administrative agent for the Lenders.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hereby agree as follows: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DEFINITIONS; ACCOUNTING TERMS; INTERPRETATION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meanings: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 Senior Notes</w:t>
      </w:r>
      <w:r>
        <w:rPr>
          <w:rFonts w:ascii="Arial" w:cs="Arial" w:eastAsia="Arial" w:hAnsi="Arial"/>
          <w:sz w:val="22"/>
          <w:szCs w:val="22"/>
          <w:color w:val="auto"/>
        </w:rPr>
        <w:t>” means the 9.625% Senior Notes due March 1, 2019 issued by the Borrower.</w:t>
      </w:r>
    </w:p>
    <w:p>
      <w:pPr>
        <w:spacing w:after="0" w:line="22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Deposit Account</w:t>
      </w:r>
      <w:r>
        <w:rPr>
          <w:rFonts w:ascii="Arial" w:cs="Arial" w:eastAsia="Arial" w:hAnsi="Arial"/>
          <w:sz w:val="22"/>
          <w:szCs w:val="22"/>
          <w:color w:val="auto"/>
        </w:rPr>
        <w:t>” means any deposit account that is (a) subject to a deposit account control agreement in form and substance reasonably acceptable to the Administrative Agent, which establishes the Administrative Agent’s “control” (within the meaning of Section 9-104 of the Uniform Commercial Code) with respect to such deposit account and (b) subject to other documentation reasonably satisfactory to the Administrative Agent that does not permit any withdrawals from such deposit account except to Redeem any of the 2019 Senior Notes.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any acquisition (whether by purchase, merger, consolidation or otherwise) of property or series of related acquisitions of property that constitutes (i) assets comprising all or substantially all or any significant portion of a business or operating unit of a business, or (ii) all or substantially all of the Capital Stock of a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Added Guarantor</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7.08(h)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Financial Covenant</w:t>
      </w:r>
      <w:r>
        <w:rPr>
          <w:rFonts w:ascii="Arial" w:cs="Arial" w:eastAsia="Arial" w:hAnsi="Arial"/>
          <w:sz w:val="19"/>
          <w:szCs w:val="19"/>
          <w:color w:val="auto"/>
        </w:rPr>
        <w:t>” means any affirmative or negative “maintenance” financial covenant contained in any Other Debt Agreement applicable to WIL-Ireland or any Restricted Subsidiary (regardless of whether such provision is labeled or otherwise characterized as a “financial covenant”), including any defined terms as used therein, the subject matter of which either</w:t>
      </w:r>
    </w:p>
    <w:p>
      <w:pPr>
        <w:spacing w:after="0" w:line="1" w:lineRule="exact"/>
        <w:rPr>
          <w:sz w:val="20"/>
          <w:szCs w:val="20"/>
          <w:color w:val="auto"/>
        </w:rPr>
      </w:pPr>
    </w:p>
    <w:p>
      <w:pPr>
        <w:jc w:val="both"/>
        <w:ind w:firstLine="8"/>
        <w:spacing w:after="0" w:line="244" w:lineRule="auto"/>
        <w:tabs>
          <w:tab w:leader="none" w:pos="30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is similar to that of any of the Financial Covenants or the related definitions contained in this Agreement, but contains one or more percentages, amounts, formulas or other provisions that are more restrictive as to WIL-Ireland or any Restricted Subsidiary or more beneficial to the holder or holders of any Indebtedness to which such Other Debt Agreement relates than as set forth herein (and such covenant or similar restriction shall be deemed an Additional Financial Covenant only to the extent that it is more restrictive or more beneficial) or (b) is different from the subject matter of any of the Financial Covenants or the related definitions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585" w:right="239" w:bottom="1440" w:gutter="0" w:footer="0" w:header="0"/>
        </w:sectPr>
      </w:pPr>
    </w:p>
    <w:bookmarkStart w:id="190" w:name="page191"/>
    <w:bookmarkEnd w:id="19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JPMorgan in its capacity as administrative agent for the Lenders and any successor in such capacity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specified Person, any other Person that, directly or indirectly, controls, is controlled by or is under direct or indirect common control with, such specified Person. For the purposes of this definition, “control” (including, with correlative meanings, the terms “controlling” and “controlled”), when used with respect to any Person, means the power to direct the management and policies of such Person, directly or indirectly, whether through the ownership of voting securities, by contract or otherwise.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Guaranty</w:t>
      </w:r>
      <w:r>
        <w:rPr>
          <w:rFonts w:ascii="Arial" w:cs="Arial" w:eastAsia="Arial" w:hAnsi="Arial"/>
          <w:sz w:val="22"/>
          <w:szCs w:val="22"/>
          <w:color w:val="auto"/>
        </w:rPr>
        <w:t>” means that certain Affiliate Guaranty, dated as of the Effective Date, by and among WIL-Ireland and the other Guarantors party thereto in favor of the Administrative Agent, for the benefit of itself and the other holders of the Secured Obligations.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at any time, the sum of the Commitments of all Lenders at such time. The amount of the Aggregate Commitments as of the Effective Date is $500,000,000.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Term Loan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greatest of (a) the Prime Rate in effect on such day,</w:t>
      </w:r>
    </w:p>
    <w:p>
      <w:pPr>
        <w:spacing w:after="0" w:line="56" w:lineRule="exact"/>
        <w:rPr>
          <w:sz w:val="20"/>
          <w:szCs w:val="20"/>
          <w:color w:val="auto"/>
        </w:rPr>
      </w:pPr>
    </w:p>
    <w:p>
      <w:pPr>
        <w:jc w:val="both"/>
        <w:ind w:firstLine="8"/>
        <w:spacing w:after="0" w:line="257" w:lineRule="auto"/>
        <w:tabs>
          <w:tab w:leader="none" w:pos="316"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NYFRB Rate in effect on such day plus ½ of 1% and (c) the Adjusted LIBO Rate for a one 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and Restatement Agreement</w:t>
      </w:r>
      <w:r>
        <w:rPr>
          <w:rFonts w:ascii="Arial" w:cs="Arial" w:eastAsia="Arial" w:hAnsi="Arial"/>
          <w:sz w:val="22"/>
          <w:szCs w:val="22"/>
          <w:color w:val="auto"/>
        </w:rPr>
        <w:t>” means that certain Amendment and Restatement Agreement, dated as of May 4, 2016, WIL-Ireland, the Borrower, Restricted Subsidiaries party thereto, the required lenders party thereto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191" w:name="page192"/>
    <w:bookmarkEnd w:id="191"/>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WIL-Ireland or any of its Subsidiaries from time to time concerning or relating to bribery or corruption.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means, for any day, with respect to any Eurodollar Loan or ABR Loan, as the case may be, the applicable rate per annum set forth below under the captions “LIBOR Margin” or “ABR Margin”, as the case may be, based upon the Specified Senior Leverage Ratio as of the most recently ended Fiscal Quarter for which financial statements are available:</w:t>
      </w:r>
    </w:p>
    <w:p>
      <w:pPr>
        <w:spacing w:after="0" w:line="257" w:lineRule="exact"/>
        <w:rPr>
          <w:sz w:val="20"/>
          <w:szCs w:val="20"/>
          <w:color w:val="auto"/>
        </w:rPr>
      </w:pPr>
    </w:p>
    <w:tbl>
      <w:tblPr>
        <w:tblLayout w:type="fixed"/>
        <w:tblInd w:w="2250" w:type="dxa"/>
        <w:tblCellMar>
          <w:top w:w="0" w:type="dxa"/>
          <w:left w:w="0" w:type="dxa"/>
          <w:bottom w:w="0" w:type="dxa"/>
          <w:right w:w="0" w:type="dxa"/>
        </w:tblCellMar>
      </w:tblPr>
      <w:tr>
        <w:trPr>
          <w:trHeight w:val="242"/>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Category</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Specified Senior Leverage</w:t>
            </w:r>
          </w:p>
        </w:tc>
        <w:tc>
          <w:tcPr>
            <w:tcW w:w="166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color w:val="auto"/>
              </w:rPr>
              <w:t>LIBOR Margin</w:t>
            </w:r>
          </w:p>
        </w:tc>
        <w:tc>
          <w:tcPr>
            <w:tcW w:w="160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color w:val="auto"/>
              </w:rPr>
              <w:t>ABR Margin</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Ratio</w:t>
            </w:r>
          </w:p>
        </w:tc>
        <w:tc>
          <w:tcPr>
            <w:tcW w:w="16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Category 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&lt; 1.00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1.425%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0.425%</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Category 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 1.00 to 1.00 but &lt; 2.00 to</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2.30%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Category 3</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 2.00 to 1.00 but &lt; 2.50 to</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2.70%</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1.70%</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continue"/>
          </w:tcPr>
          <w:p>
            <w:pPr>
              <w:spacing w:after="0"/>
              <w:rPr>
                <w:sz w:val="10"/>
                <w:szCs w:val="10"/>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Category 4</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 2.50 to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2.20%</w:t>
            </w:r>
          </w:p>
        </w:tc>
        <w:tc>
          <w:tcPr>
            <w:tcW w:w="0" w:type="dxa"/>
            <w:vAlign w:val="bottom"/>
          </w:tcPr>
          <w:p>
            <w:pPr>
              <w:spacing w:after="0"/>
              <w:rPr>
                <w:sz w:val="1"/>
                <w:szCs w:val="1"/>
                <w:color w:val="auto"/>
              </w:rPr>
            </w:pP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at any time WIL-Ireland fails to deliver the quarterly or annual financial statements or related certificates required under this Agreement on or before the date such statements or certificates are due, Category 4 shall be deemed applicable for the period commencing three Business Days after such required date of delivery and ending on the date which is three Business Days after such statements or certificates are actually delivered, after which the Category shall be determined in accordance with the table above as applicable.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 as otherwise provided in the paragraph below, adjustments, if any, to the Category then in effect shall be effective three Business Days after the Administrative Agent has received the applicable financial statements and related certificates and shall apply until the date immediately preceding the effective date of the next such change.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Category 2 shall be deemed to be applicable until the Administrative Agent’s receipt of the applicable financial statements for the first Fiscal Quarter ending after the Effective Date, and adjustments to the Category then in effect shall thereafter be effected in accordance with the preceding paragraphs.</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any Lender, (a) at any time prior to the funding of the Loans, the percentage (carried out to the twelfth decimal place) of the Aggregate Commitments represented by such Lender’s Commitment and (b) at any time thereafter, the percentage (carried out to the twelfth decimal place) of the aggregate principal amount of the Loans represented by the principal amount of such Lender’s Loans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that a Defaulting Lender shall exist, “Applicable Percentage” shall mean the percentage of the aggregate principal amount of the Loans (disregarding any Defaulting Lender’s Loans at such time) represented by the principal amount of such Lender’s Loans at such time. The Applicable Percentage of each Lender as of the Effective Date is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192" w:name="page193"/>
    <w:bookmarkEnd w:id="19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Appointment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agreement entered into by a Lender and an assignee (with the consent of any party whose consent is required by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Receivables Amount</w:t>
      </w:r>
      <w:r>
        <w:rPr>
          <w:rFonts w:ascii="Arial" w:cs="Arial" w:eastAsia="Arial" w:hAnsi="Arial"/>
          <w:sz w:val="22"/>
          <w:szCs w:val="22"/>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w:t>
      </w:r>
      <w:r>
        <w:rPr>
          <w:rFonts w:ascii="Arial" w:cs="Arial" w:eastAsia="Arial" w:hAnsi="Arial"/>
          <w:sz w:val="22"/>
          <w:szCs w:val="22"/>
          <w:color w:val="auto"/>
        </w:rPr>
        <w:t>” means each and any of the following bank services provided to WIL-Ireland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 Agreements</w:t>
      </w:r>
      <w:r>
        <w:rPr>
          <w:rFonts w:ascii="Arial" w:cs="Arial" w:eastAsia="Arial" w:hAnsi="Arial"/>
          <w:sz w:val="22"/>
          <w:szCs w:val="22"/>
          <w:color w:val="auto"/>
        </w:rPr>
        <w:t>” means any agreement entered into by WIL-Ireland or any Restricted Subsidiary in connection with Banking Services.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Banking Services Obligations</w:t>
      </w:r>
      <w:r>
        <w:rPr>
          <w:rFonts w:ascii="Arial" w:cs="Arial" w:eastAsia="Arial" w:hAnsi="Arial"/>
          <w:sz w:val="22"/>
          <w:szCs w:val="22"/>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or hereafter in effect, or any successor thereto, as hereafter amended.</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examiner,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3" w:name="page194"/>
    <w:bookmarkEnd w:id="193"/>
    <w:p>
      <w:pPr>
        <w:jc w:val="both"/>
        <w:ind w:right="20"/>
        <w:spacing w:after="0" w:line="263" w:lineRule="auto"/>
        <w:rPr>
          <w:sz w:val="20"/>
          <w:szCs w:val="20"/>
          <w:color w:val="auto"/>
        </w:rPr>
      </w:pPr>
      <w:r>
        <w:rPr>
          <w:rFonts w:ascii="Arial" w:cs="Arial" w:eastAsia="Arial" w:hAnsi="Arial"/>
          <w:sz w:val="22"/>
          <w:szCs w:val="22"/>
          <w:color w:val="auto"/>
        </w:rPr>
        <w:t>on its assets or permit such Person (or such Governmental Authority or instrumentality) to reject, repudiate, disavow or disaffirm any contracts or agreements made by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of America (or any successor).</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with respect to any Person, the board of directors (or other governing body) of such Person (or of its (managing) general partner or managing member, as the case may be), or any committee thereof duly authorized to act on behalf of such board of directors (or other governing body).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of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Type made, converted or continued on the same date and, in the case of Eurodollar Loans, as to which a single Interest Period is in effect.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the Initial Borrowing in accordance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that is not a Saturday, Sunday or other day on which commercial banks in New York City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banks are not open for dealings in Dollar deposits in the London interbank market.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means, as to any Person, any lease in respect of which the rental obligation of such Person constitutes a Capital Lease Obligation.</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w:t>
      </w:r>
      <w:r>
        <w:rPr>
          <w:rFonts w:ascii="Arial" w:cs="Arial" w:eastAsia="Arial" w:hAnsi="Arial"/>
          <w:sz w:val="19"/>
          <w:szCs w:val="19"/>
          <w:color w:val="auto"/>
        </w:rPr>
        <w:t>” means, with respect to any Person, the obligation of such Person to pay rent or other amounts under a lease of (or other agreement conveying the right to use) real or personal property that is required to be classified and accounted for as a capital lease obligation on a balance sheet of such Person under GAAP and, for purposes of this Agreement, the amount of such obligation at any date shall be the capitalized amount thereof at such date, determined in accordance with GAAP.</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78" w:lineRule="auto"/>
        <w:tabs>
          <w:tab w:leader="none" w:pos="1068" w:val="left"/>
        </w:tabs>
        <w:numPr>
          <w:ilvl w:val="0"/>
          <w:numId w:val="220"/>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60" w:lineRule="exact"/>
        <w:rPr>
          <w:rFonts w:ascii="Arial" w:cs="Arial" w:eastAsia="Arial" w:hAnsi="Arial"/>
          <w:sz w:val="21"/>
          <w:szCs w:val="21"/>
          <w:color w:val="auto"/>
        </w:rPr>
      </w:pPr>
    </w:p>
    <w:p>
      <w:pPr>
        <w:ind w:firstLine="656"/>
        <w:spacing w:after="0" w:line="276" w:lineRule="auto"/>
        <w:tabs>
          <w:tab w:leader="none" w:pos="114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095" w:val="left"/>
        </w:tabs>
        <w:numPr>
          <w:ilvl w:val="0"/>
          <w:numId w:val="220"/>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69" w:lineRule="exact"/>
        <w:rPr>
          <w:rFonts w:ascii="Arial" w:cs="Arial" w:eastAsia="Arial" w:hAnsi="Arial"/>
          <w:sz w:val="21"/>
          <w:szCs w:val="21"/>
          <w:color w:val="auto"/>
        </w:rPr>
      </w:pPr>
    </w:p>
    <w:p>
      <w:pPr>
        <w:ind w:right="20" w:firstLine="656"/>
        <w:spacing w:after="0" w:line="358" w:lineRule="auto"/>
        <w:tabs>
          <w:tab w:leader="none" w:pos="116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90" w:lineRule="exact"/>
        <w:rPr>
          <w:rFonts w:ascii="Arial" w:cs="Arial" w:eastAsia="Arial" w:hAnsi="Arial"/>
          <w:sz w:val="19"/>
          <w:szCs w:val="19"/>
          <w:color w:val="auto"/>
        </w:rPr>
      </w:pPr>
    </w:p>
    <w:p>
      <w:pPr>
        <w:ind w:firstLine="656"/>
        <w:spacing w:after="0" w:line="301" w:lineRule="auto"/>
        <w:tabs>
          <w:tab w:leader="none" w:pos="1082" w:val="left"/>
        </w:tabs>
        <w:numPr>
          <w:ilvl w:val="0"/>
          <w:numId w:val="220"/>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37" w:lineRule="exact"/>
        <w:rPr>
          <w:rFonts w:ascii="Arial" w:cs="Arial" w:eastAsia="Arial" w:hAnsi="Arial"/>
          <w:sz w:val="21"/>
          <w:szCs w:val="21"/>
          <w:color w:val="auto"/>
        </w:rPr>
      </w:pPr>
    </w:p>
    <w:p>
      <w:pPr>
        <w:jc w:val="both"/>
        <w:ind w:firstLine="656"/>
        <w:spacing w:after="0" w:line="260" w:lineRule="auto"/>
        <w:tabs>
          <w:tab w:leader="none" w:pos="108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in the case of any Restricted Subsidiary that is organized under the laws of a jurisdiction outside the United States of America, other investments that are analogous to the foregoing, are of comparable credit quality and are customarily used by companies in the jurisdiction of such Restricted Subsidiary for cash management purposes.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5" w:name="page196"/>
    <w:bookmarkEnd w:id="19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 (a) in the case of the Weatherford Parent Company,</w:t>
      </w:r>
    </w:p>
    <w:p>
      <w:pPr>
        <w:spacing w:after="0" w:line="56" w:lineRule="exact"/>
        <w:rPr>
          <w:sz w:val="20"/>
          <w:szCs w:val="20"/>
          <w:color w:val="auto"/>
        </w:rPr>
      </w:pPr>
    </w:p>
    <w:p>
      <w:pPr>
        <w:jc w:val="both"/>
        <w:ind w:firstLine="8"/>
        <w:spacing w:after="0" w:line="283" w:lineRule="auto"/>
        <w:tabs>
          <w:tab w:leader="none" w:pos="26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any “person” (as such term is used in Sections 13(d) and 14(d) of the Exchange Act as in effect on the Effective Date) or related persons constituting a “group” (as such term is used in Rule 13d-5 under the Exchange Act in effect on the Effective Date) is or becomes the “beneficial owner” (as defined in Rules 13d-3 and 13d-5 under the Exchange Act, as in effect on the Effective Date), directly or indirectly, of 50% or more of the total voting power of the Voting Stock of the Weatherford Parent Company, except as a result of a Redomestication; (ii) the shareholders of the Weatherford Parent Company approve any plan of liquidation, winding up or dissolution of the Weatherford Parent Company, except in connection with a Redomestication; (iii) the Weatherford Parent Company Disposes of all or substantially all of its assets to any Person other than an Obligor or a Restricted Subsidiary organized in a Specified Jurisdiction that, concurrently with such Disposition, becomes a Guarantor in accordance with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except in connection with a Redomestication; or (iv) during any period of twelve consecutive months, individuals who, at the beginning of such period, constituted the Board of Directors of the Weatherford Parent Company (together with any new directors whose appointment or election by such Board of Directors or whose nomination for election by the shareholders of the Weatherford Parent Company, as applicable, was approved by a vote of not less than a majority of the directors then still in office who were either directors at the beginning of such period or whose appointment, election or nomination for election was previously so approved) cease for any reason to constitute a majority of the Board of Directors of the Weatherford Parent Company then in office, but excluding from the foregoing clause any change in the composition or membership of the Board of Directors of the Weatherford Parent Company resulting solely from the addition thereto or removal therefrom of directors to the extent necessary for the Weatherford Parent Company to comply with the United States Sarbanes Oxley Act of 2002 or the rules and regulations of any stock exchange on which the Weatherford Parent Company’s securities are listed, pursuant to the recommendation of the Weatherford Parent Company’s legal counsel; or (b) in the case of any other Obligor Party, except in a transaction permitted by </w:t>
      </w:r>
      <w:r>
        <w:rPr>
          <w:rFonts w:ascii="Arial" w:cs="Arial" w:eastAsia="Arial" w:hAnsi="Arial"/>
          <w:sz w:val="19"/>
          <w:szCs w:val="19"/>
          <w:u w:val="single" w:color="auto"/>
          <w:color w:val="auto"/>
        </w:rPr>
        <w:t>Section 8.02</w:t>
      </w:r>
      <w:r>
        <w:rPr>
          <w:rFonts w:ascii="Arial" w:cs="Arial" w:eastAsia="Arial" w:hAnsi="Arial"/>
          <w:sz w:val="19"/>
          <w:szCs w:val="19"/>
          <w:color w:val="auto"/>
        </w:rPr>
        <w:t>, the Weatherford Parent Company ceases to own, after giving effect to such event or series of events, directly or indirectly, 100% of the issued and outstanding Capital Stock of each class of such Obligor Party.</w:t>
      </w:r>
    </w:p>
    <w:p>
      <w:pPr>
        <w:spacing w:after="0" w:line="17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Event</w:t>
      </w:r>
      <w:r>
        <w:rPr>
          <w:rFonts w:ascii="Arial" w:cs="Arial" w:eastAsia="Arial" w:hAnsi="Arial"/>
          <w:sz w:val="22"/>
          <w:szCs w:val="22"/>
          <w:color w:val="auto"/>
        </w:rPr>
        <w:t>” means (a) the execution of any definitive agreement which when fully performed by the parties thereto, would result in a Change of Control; or (b) the commencement of a tender offer pursuant to Section 14(d) of the Exchange Act that would result in a Change of Control if completed.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Citi Credit Documents</w:t>
      </w:r>
      <w:r>
        <w:rPr>
          <w:rFonts w:ascii="Arial" w:cs="Arial" w:eastAsia="Arial" w:hAnsi="Arial"/>
          <w:sz w:val="19"/>
          <w:szCs w:val="19"/>
          <w:color w:val="auto"/>
        </w:rPr>
        <w:t>” means, collectively, (a) that certain Credit and Guaranty Agreement, dated as of March 3, 2014, among WIL-Bermuda, WIL-Delaware, WIL-Ireland (successor-in-interest to Weatherford International Ltd., a Swiss joint stock company), the lenders party thereto from time to time and Citicorp USA, Inc., as administrative agent and as issuing bank, and (b) that certain Continuing Agreement for Standby Letters of Credit, dated March 3, 2014, among WIL-Bermuda, WIL-Delaware, WIL-Ireland (successor-in-interest to Weatherford International Ltd., a Swiss joint stock company) and Citibank, N.A.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United States Internal Revenue Code of 1986, as amended, and the regulations promulgated thereunder.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6" w:name="page197"/>
    <w:bookmarkEnd w:id="196"/>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any and all property owned, leased or operated by an Obligor covered by the Collateral Documents and any and all other property of any Obligor,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commitment of such Lender to make a Loan to the Borrower on the Effective Date in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caption “Commitment”.</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11.02(e)(ii)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with respect to any fiscal period, a certificate of a Principal Financial Officer of WIL-Ireland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certifying as to (a) whether a Default has occurred and, if a Default has occurred, specifying the details thereof and any action taken or proposed to be taken with respect thereto, (b) setting forth reasonably detailed calculations demonstrating compliance with the Financial Covenants for such period, (c) attaching a summary report with respect to all Specified Letters of Credit, including all undrawn amounts thereunder, as of the last day of such period, (d) identifying all Material Specified Subsidiaries, (e) specifying whether any Material Specified Subsidiaries are organized in jurisdictions other than Specified Jurisdictions or Excluded Jurisdictions, (f) stating whether any change in GAAP or in the application thereof has occurred since the date of WIL-Ireland’s consolidated financial statements most recently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and, if any such change has occurred, specifying the effect of such change on the financial statements accompanying such certificate, (g) any changes to exhibits or schedules to any Collateral Document as required by such Collateral Document and (h) the calculation of the Borrower’s Consolidated Net Worth (as defined in each of the Existing Senior Notes Indentures and, if in effect at the applicable time, each of the Citi Credit Documents) as of the last day of such fiscal period in accordance with each of the Existing Senior Notes Indentures and, if in effect at the applicable time, each of the Citi Credit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197" w:name="page198"/>
    <w:bookmarkEnd w:id="197"/>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Adjusted EBITDA</w:t>
      </w:r>
      <w:r>
        <w:rPr>
          <w:rFonts w:ascii="Arial" w:cs="Arial" w:eastAsia="Arial" w:hAnsi="Arial"/>
          <w:sz w:val="19"/>
          <w:szCs w:val="19"/>
          <w:color w:val="auto"/>
        </w:rPr>
        <w:t xml:space="preserve">” means, for any period and with respect to any Reference Group, Consolidated Net Income of such Reference Group for such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(a) the following expenses or charges (without duplication) and to the extent deducted from revenues in determining Consolidated Net Income of such Reference Group for such period: (i) Consolidated Interest Expense, (ii) expense for income taxes, (iii) depreciation, (iv) amortization, (v) 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litigation, settlement and judgment costs and expenses (provided that the aggregate amount of all amounts added back pursuant to this clause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(excluding any such amounts attributable to Fiscal Quarters ending on or prior to March 31, 2016), shall not exceed</w:t>
      </w:r>
    </w:p>
    <w:p>
      <w:pPr>
        <w:spacing w:after="0" w:line="2" w:lineRule="exact"/>
        <w:rPr>
          <w:sz w:val="20"/>
          <w:szCs w:val="20"/>
          <w:color w:val="auto"/>
        </w:rPr>
      </w:pPr>
    </w:p>
    <w:p>
      <w:pPr>
        <w:jc w:val="both"/>
        <w:ind w:firstLine="8"/>
        <w:spacing w:after="0" w:line="281" w:lineRule="auto"/>
        <w:tabs>
          <w:tab w:leader="none" w:pos="33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$400,000,000 during the term of this Agreement and (z) $100,000,000 in any Testing Period), (vi) any non-cash losses or charges under Swap Agreements resulting from the application of FASB ASC 815, (vii) non-cash compensation expenses or costs related to any management equity plan or stock option plan or any other management or employee benefit plan or agreement, (viii) fees, expenses, premiums and similar charges incurred in connection with this Agreement, the Revolving Credit Agreement and the Transactions, and (ix) all other non-cash charges, expenses or losses </w:t>
      </w:r>
      <w:r>
        <w:rPr>
          <w:rFonts w:ascii="Arial" w:cs="Arial" w:eastAsia="Arial" w:hAnsi="Arial"/>
          <w:sz w:val="19"/>
          <w:szCs w:val="19"/>
          <w:i w:val="1"/>
          <w:iCs w:val="1"/>
          <w:color w:val="auto"/>
        </w:rPr>
        <w:t>minus</w:t>
      </w:r>
      <w:r>
        <w:rPr>
          <w:rFonts w:ascii="Arial" w:cs="Arial" w:eastAsia="Arial" w:hAnsi="Arial"/>
          <w:sz w:val="19"/>
          <w:szCs w:val="19"/>
          <w:color w:val="auto"/>
        </w:rPr>
        <w:t>, (b) the following items of income or gains (without duplication) to the extent included in Consolidated Net Income of such Reference Group for such period, (i) interest income,</w:t>
      </w:r>
    </w:p>
    <w:p>
      <w:pPr>
        <w:spacing w:after="0" w:line="4" w:lineRule="exact"/>
        <w:rPr>
          <w:rFonts w:ascii="Arial" w:cs="Arial" w:eastAsia="Arial" w:hAnsi="Arial"/>
          <w:sz w:val="19"/>
          <w:szCs w:val="19"/>
          <w:color w:val="auto"/>
        </w:rPr>
      </w:pPr>
    </w:p>
    <w:p>
      <w:pPr>
        <w:jc w:val="both"/>
        <w:ind w:firstLine="8"/>
        <w:spacing w:after="0" w:line="287" w:lineRule="auto"/>
        <w:tabs>
          <w:tab w:leader="none" w:pos="32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income tax benefits (to the extent not netted from tax expense), (iii) any cash payments made during such period in respect of non-cash items described in clause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above subsequent to the Fiscal Quarter in which such non-cash expenses or losses were incurred (iv) any non-cash gains under Swap Agreements resulting from the application of FASB ASC 815 and (v) all other non-cash income or gains, all calculated for such Reference Group in accordance with GAAP on a consolidated basis. For the purposes of calculating Consolidated Adjusted EBITDA of any Reference Group for any Testing Period if at any time during such Testing Period any member of the applicable Reference Group shall have made any Material Acquisition or Material Disposition, Consolidated Adjusted EBITDA of such Reference Group for such Testing Period shall be calculated after giving effect thereto on a pro forma basis as if such Material Acquisition or Material Disposition had occurred on the first day of such Testing Period.</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for any period and with respect to any Reference Group, the interest expense (including interest expense under Capital Lease Obligations that is treated as interest in accordance with GAAP) of such Reference Group calculated on a consolidated basis for such period with respect to (a) all outstanding Indebtedness of such Reference Group and all outstanding letters of credit, bank guaranties and bankers’ acceptances of such Reference Group, in each case allocable to such period in accordance with GAAP (including all commissions, discounts and other fees and charges owed with respect to letters of credit and bankers acceptance financing; amortization of original issue discount resulting from the issuance of indebtedness at less than par; financing fees (including arrangement, amendment and contract fees), debt issuance costs, commissions and expenses and, in each case, the amortization thereof; and net costs under interest rate Swap Agreements to the extent such net costs are allocable to such period in accordance with GAAP; but excluding any interest that is paid in kind by adding the amount thereof to the principal amount of the related Indebtedness) and (b) the interest, yield, discount or costs, as applicable, payable on all Attributable Receivables Amounts of such Reference Group and attributable to such period. In the event that any member of such Reference Group shall have completed a Material Acquisition or a Material Disposition at any time during any Testing Period, Consolidated Interest Expense shall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22"/>
          <w:szCs w:val="22"/>
          <w:color w:val="auto"/>
        </w:rPr>
        <w:t>for such period on a pro forma basis as if such Material Acquisition or Material Disposition, and any related incurrence or repayment of Indebtedness, had occurred at the beginning of such Testing Period.</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and with respect to any Reference Group, the net income (or loss) of such Reference Group calculated in accordance with GAAP on a consolidated basis (without duplication)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without duplication: (a) the income (or loss) of any Person accrued prior to the date such Person became a Restricted Subsidiary of a member of such Reference Group, or is merged into or consolidated with a member of such Reference Group or such Person’s assets are acquired by any member of such Reference Group; (b) the income (or loss) of any Person that is not a Restricted Subsidiary of any member of such Reference Group, or that is accounted for by the equity method of accounting (provided that Consolidated Net Income of such Reference Group for such period shall be increased by the amount of dividends or distributions or other payments that are actually paid in cash or Cash Equivalents to any member of such Reference Group by such Person during such period); (c) the undistributed earnings of any Restricted Subsidiary of any member of such Reference Group to the extent that the declaration or payment of dividends or similar distributions by such Restricted Subsidiary is not at the time permitted by operation of the terms of its organizational documents or any contractual obligation (other than the Loan Documents) or Requirement of Law applicable to such Restricted Subsidiary; and (d) the cumulative effect of a change in accounting principles and changes as a result of the adoption or modification of accounting policies during such period to the extent included in Consolidated Net Income of such Reference Group for such period.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or any Lender.</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the occurrence of any event that with the giving of notice or the passage of time or both would become an Event of Default.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any Lender that (a) has failed, within two Business Days of the date required to be funded or paid, to (i) fund any portion of its Loans or (ii) pay over to any Credit Party any other amount required to be paid by it hereunder, unless, in the case of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Obligor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or (c) has become, or whose Lender Parent has become, the subject of a Bankruptcy Event or a Bail-In Action.</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Assets</w:t>
      </w:r>
      <w:r>
        <w:rPr>
          <w:rFonts w:ascii="Arial" w:cs="Arial" w:eastAsia="Arial" w:hAnsi="Arial"/>
          <w:sz w:val="22"/>
          <w:szCs w:val="22"/>
          <w:color w:val="auto"/>
        </w:rPr>
        <w:t>” means the assets described in a writing delivered to the Administrative Agent and the Lenders prior to the Effective Date and identified in such writing as the Designated Assets.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199" w:name="page200"/>
    <w:bookmarkEnd w:id="199"/>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Joint Venture</w:t>
      </w:r>
      <w:r>
        <w:rPr>
          <w:rFonts w:ascii="Arial" w:cs="Arial" w:eastAsia="Arial" w:hAnsi="Arial"/>
          <w:sz w:val="19"/>
          <w:szCs w:val="19"/>
          <w:color w:val="auto"/>
        </w:rPr>
        <w:t>” means the potential joint venture involving the Designated Assets that is described in the same writing delivered to the Administrative Agent and the Lenders prior to the Effective Date that describes the Designated Assets.</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Joint Venture Investments Basket</w:t>
      </w:r>
      <w:r>
        <w:rPr>
          <w:rFonts w:ascii="Arial" w:cs="Arial" w:eastAsia="Arial" w:hAnsi="Arial"/>
          <w:sz w:val="22"/>
          <w:szCs w:val="22"/>
          <w:color w:val="auto"/>
        </w:rPr>
        <w:t xml:space="preserve">” means, at any date of determination, an amount equal to the sum of (a) $25,000,000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if such date is on or after the first anniversary of the Effective Date, $25,000,000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if such date is on or after the second anniversary of the Effective Date, $25,000,000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 if such date is on or after the third anniversary of the Effective Date, $25,000,000.</w:t>
      </w:r>
    </w:p>
    <w:p>
      <w:pPr>
        <w:spacing w:after="0" w:line="188"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Dispose</w:t>
      </w:r>
      <w:r>
        <w:rPr>
          <w:rFonts w:ascii="Arial" w:cs="Arial" w:eastAsia="Arial" w:hAnsi="Arial"/>
          <w:sz w:val="22"/>
          <w:szCs w:val="22"/>
          <w:color w:val="auto"/>
        </w:rPr>
        <w:t>” means to sell, lease, assign, exchange, convey or otherwise transfer (excluding the granting of a Lien on) any property. “Disposition” has a meaning correlative thereto.</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later of (i) the Revolving Credit Extended Maturity Date and (ii)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later of (i) the Revolving Credit Extended Maturity Date and the (ii)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States of America.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of WIL-Ireland organized under the laws of a jurisdiction located in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Collateral Party</w:t>
      </w:r>
      <w:r>
        <w:rPr>
          <w:rFonts w:ascii="Arial" w:cs="Arial" w:eastAsia="Arial" w:hAnsi="Arial"/>
          <w:sz w:val="22"/>
          <w:szCs w:val="22"/>
          <w:color w:val="auto"/>
        </w:rPr>
        <w:t>” means each Obligor that agrees to provide security governed by Netherlands law.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Pledge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ECP</w:t>
      </w:r>
      <w:r>
        <w:rPr>
          <w:rFonts w:ascii="Arial" w:cs="Arial" w:eastAsia="Arial" w:hAnsi="Arial"/>
          <w:sz w:val="22"/>
          <w:szCs w:val="22"/>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00" w:name="page201"/>
    <w:bookmarkEnd w:id="200"/>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each party hereto has executed and delivered this Agreement and the other conditions set forth in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are first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System</w:t>
      </w:r>
      <w:r>
        <w:rPr>
          <w:rFonts w:ascii="Arial" w:cs="Arial" w:eastAsia="Arial" w:hAnsi="Arial"/>
          <w:sz w:val="22"/>
          <w:szCs w:val="22"/>
          <w:color w:val="auto"/>
        </w:rPr>
        <w:t>” means any electronic system, including e-mail, e-fax, Intralinks®, ClearPar®, Debt Domain, Syndtrak and any other Internet or extranet-based site, whether such electronic system is owned, operated or hosted by the Administrative Agent and any of its Related Parties or any other Person, providing for access to data protected by passcodes or other security system.</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Requirements of Law, relating in any way to the protection of the environment, preservation or reclamation of natural resources, the management, release or threatened release of any Hazardous Material or to health and safety with respect to exposure to Hazardous Materials.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(including any liability for damages, costs of environmental remediation, fines, penalties or indemnities), of WIL-Ireland or any of its Subsidiaries resulting from (a) violation of any Environmental Law,</w:t>
      </w:r>
    </w:p>
    <w:p>
      <w:pPr>
        <w:spacing w:after="0" w:line="1" w:lineRule="exact"/>
        <w:rPr>
          <w:sz w:val="20"/>
          <w:szCs w:val="20"/>
          <w:color w:val="auto"/>
        </w:rPr>
      </w:pPr>
    </w:p>
    <w:p>
      <w:pPr>
        <w:jc w:val="both"/>
        <w:ind w:firstLine="8"/>
        <w:spacing w:after="0" w:line="302" w:lineRule="auto"/>
        <w:tabs>
          <w:tab w:leader="none" w:pos="33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United States Employee Retirement Income Security Act of 1974, as amended from time to time, and all rules, regulations, rulings and interpretations adopted by the U.S. Department of Labor thereunder.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1" w:name="page202"/>
    <w:bookmarkEnd w:id="201"/>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 each member of a controlled group of corporations and each trade or business (whether or not incorporated) under common control which, together with WIL-Ireland or the Borrower, would be treated as a single employer at any time within the preceding six years under Section 414 of the Code and (b) any Subsidiary of any of the Obligors.</w:t>
      </w:r>
    </w:p>
    <w:p>
      <w:pPr>
        <w:spacing w:after="0" w:line="1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w:t>
      </w:r>
    </w:p>
    <w:p>
      <w:pPr>
        <w:spacing w:after="0" w:line="1" w:lineRule="exact"/>
        <w:rPr>
          <w:sz w:val="20"/>
          <w:szCs w:val="20"/>
          <w:color w:val="auto"/>
        </w:rPr>
      </w:pPr>
    </w:p>
    <w:p>
      <w:pPr>
        <w:jc w:val="both"/>
        <w:ind w:firstLine="8"/>
        <w:spacing w:after="0" w:line="256" w:lineRule="auto"/>
        <w:tabs>
          <w:tab w:leader="none" w:pos="312"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the filing pursuant to Section 412(c) of the Code or Section 302(c) of ERISA of an application for a waiver of the minimum funding standard with respect to any Plan; (d) the incurrence by WIL-Ireland, the Borrower or any ERISA Affiliate of any liability under Title IV of ERISA with respect to the termination of any Plan; (e) the receipt by WIL-Ireland, the Borrower or any ERISA Affiliate from the PBGC or a plan administrator of any notice relating to an intention to terminate any Plan or to appoint a trustee to administer any Plan; (f) the incurrence by WIL-Ireland, the Borrower or any ERISA Affiliate of any liability with respect to the withdrawal or partial withdrawal from any Plan or Multiemployer Plan; (g) the receipt by any Multiemployer Plan from WIL-Ireland, the Borrower or any ERISA Affiliate of any notice, concerning the imposition upon WIL-Ireland, the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(h) any Foreign Plan Event.</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means, for any Fiscal Quarter, the excess, if any, of (a) the sum, without duplication, of</w:t>
      </w:r>
    </w:p>
    <w:p>
      <w:pPr>
        <w:spacing w:after="0" w:line="22" w:lineRule="exact"/>
        <w:rPr>
          <w:sz w:val="20"/>
          <w:szCs w:val="20"/>
          <w:color w:val="auto"/>
        </w:rPr>
      </w:pPr>
    </w:p>
    <w:p>
      <w:pPr>
        <w:jc w:val="both"/>
        <w:ind w:firstLine="8"/>
        <w:spacing w:after="0" w:line="285" w:lineRule="auto"/>
        <w:tabs>
          <w:tab w:leader="none" w:pos="26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Consolidated Net Income for the WIL-Ireland Group for such Fiscal Quarter, (ii) the amount of all non-cash charges (including depreciation and amortization) deducted in arriving at such Consolidated Net Income, (iii) decreases in Working Capital for such Fiscal Quarter, and (iv) the aggregate net amount of non-cash loss on the disposition of property by WIL-Ireland and its Restricted Subsidiaries during such Fiscal Quarter (other than sales of inventory in the ordinary course of business), to the extent deducted in arriving at such Consolidated Net Income over (b) the sum, without duplication, of (i) the amount of all non-cash credits included in arriving at such Consolidated Net Income, (ii) the aggregate amount actually paid by WIL-Ireland and its Restricted Subsidiaries in cash during such Fiscal Quarter on account of capital expenditures, (iii) the aggregate amount of all regularly scheduled principal payments of Long-Term Debt (including the Loans) of WIL-Ireland and its Restricted Subsidiaries made during such Fiscal Quarter (other than in respect of any revolving credit facility to the extent there is not an equivalent permanent reduction in commitments thereunder), (iv) increases in Working Capital for such Fiscal Quarter, and (v) the aggregate net amount of non-cash gain on the disposition of property by WIL-Ireland and its Restricted Subsidiaries during such Fiscal Quarter (other than sales of inventory in the ordinary course of business), to the extent included in arriving at such Consolidated Net Income;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clause (b)(ii), such amount shall exclude the principal amount of Indebtedness incurred in connection with such expenditures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02" w:name="page203"/>
    <w:bookmarkEnd w:id="202"/>
    <w:p>
      <w:pPr>
        <w:jc w:val="both"/>
        <w:spacing w:after="0" w:line="253" w:lineRule="auto"/>
        <w:rPr>
          <w:sz w:val="20"/>
          <w:szCs w:val="20"/>
          <w:color w:val="auto"/>
        </w:rPr>
      </w:pPr>
      <w:r>
        <w:rPr>
          <w:rFonts w:ascii="Arial" w:cs="Arial" w:eastAsia="Arial" w:hAnsi="Arial"/>
          <w:sz w:val="22"/>
          <w:szCs w:val="22"/>
          <w:color w:val="auto"/>
        </w:rPr>
        <w:t>and (B) in the case of clauses (b)(ii) and (b)(iii), such amounts shall exclude any such expenditures or payments financed with insurance proceeds, issuances of Capital Stock by WIL-Ireland (other than Disqualified Capital Stock), or the proceeds of Dispositions of assets.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Account</w:t>
      </w:r>
      <w:r>
        <w:rPr>
          <w:rFonts w:ascii="Arial" w:cs="Arial" w:eastAsia="Arial" w:hAnsi="Arial"/>
          <w:sz w:val="22"/>
          <w:szCs w:val="22"/>
          <w:color w:val="auto"/>
        </w:rPr>
        <w:t>” means any deposit account of an Obligor that is used solely for payroll funding and other employee wage and benefit payments (including flexible spending accounts), tax payments, escrow or trust purposes and any other fiduciary accounts.</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xml:space="preserve">” means, collectively, (a) any Capital Stock in any Foreign Subsidiary, joint venture or non-wholly owned Foreign Subsidiary of an Obligor that, in each case, is not organized in a Specified Jurisdiction; (b) any contract, instrument, lease, licenses,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asset will only constitute an Excluded Asset under this clause (b)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(b); (c) any property, to the extent the granting of a Lien therein is prohibited by any Requirement of Law or would require governmental or third-party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upon the ineffectiveness, lapse or termination of such prohibition or the granting of such governmental or third-party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Requirement of Law; (g) other customary exclusions under applicable local law or in applicable local jurisdictions consented to by the Administrative Agent and set forth in the Collateral Documents; (h) shares of WIL-Ireland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interests in real property;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3" w:name="page204"/>
    <w:bookmarkEnd w:id="203"/>
    <w:p>
      <w:pPr>
        <w:jc w:val="both"/>
        <w:ind w:firstLine="8"/>
        <w:spacing w:after="0" w:line="258" w:lineRule="auto"/>
        <w:tabs>
          <w:tab w:leader="none" w:pos="33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any asset or property, the granting of a security interest in which would result in material adverse tax consequences to any Obligor as reasonably determined by the Borrower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immediately upon the ineffectiveness, lapse or termination of such prohibition or the granting of such third-party consent or waiver, as applicable, such assets shall automatically constitute Collateral (but only to the extent such assets do not otherwise constitute Excluded Assets hereunder); (m) Excluded Accounts and (n) those assets as to which the Administrative Agent agrees (in consultation with the Borrower) that the cost of obtaining such a security interest or perfection thereof are excessive in relation to the benefit to the Secured Parties of the security to be afforded thereby.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Jurisdictions</w:t>
      </w:r>
      <w:r>
        <w:rPr>
          <w:rFonts w:ascii="Arial" w:cs="Arial" w:eastAsia="Arial" w:hAnsi="Arial"/>
          <w:sz w:val="22"/>
          <w:szCs w:val="22"/>
          <w:color w:val="auto"/>
        </w:rPr>
        <w:t xml:space="preserve">” means the countries or other jurisdictions identified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hereto.</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Obligor, any Specified Swap Obligation if, and to the extent that, all or a portion of the guarantee of such Obligor of, or the grant by such Obligor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ECP at the time the guarantee of such Obligor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or any other recipient of any payment to be made by or on account of any obligation of the Borrower or any Guarantor under any Loan Document, (a) any taxes imposed on (or measured by reference to, in whole or in part) its income, profits, capital or net worth (but excluding withholding Taxes for purposes of this subsection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Borrower, the Administrative Agent, any Lender or any other such recipient is located or otherwise conducting business activity,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4" w:name="page205"/>
    <w:bookmarkEnd w:id="204"/>
    <w:p>
      <w:pPr>
        <w:jc w:val="both"/>
        <w:ind w:firstLine="8"/>
        <w:spacing w:after="0" w:line="284" w:lineRule="auto"/>
        <w:tabs>
          <w:tab w:leader="none" w:pos="3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in the case of a Lender (other than an assignee pursuant to an assignment required by the Borrower under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any withholding tax that is imposed on amounts payable to such Lender at the time such Lender becomes a party to this Agreement (or designates a new lending office) or would have been so imposed if the Borrower were a United States corporation, except to the extent that such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(d) in the case of any Lender that becomes a party to this Agreement after the Effective Date (or designates a new lending office after the Effective Date) without the prior written consent of the Borrower to the extent required by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(other than (i) a Lender that becomes a party to this Agreement or designates a new lending office when an Event of Default has occurred and is continuing,</w:t>
      </w:r>
    </w:p>
    <w:p>
      <w:pPr>
        <w:spacing w:after="0" w:line="2" w:lineRule="exact"/>
        <w:rPr>
          <w:rFonts w:ascii="Arial" w:cs="Arial" w:eastAsia="Arial" w:hAnsi="Arial"/>
          <w:sz w:val="19"/>
          <w:szCs w:val="19"/>
          <w:color w:val="auto"/>
        </w:rPr>
      </w:pPr>
    </w:p>
    <w:p>
      <w:pPr>
        <w:jc w:val="both"/>
        <w:ind w:firstLine="8"/>
        <w:spacing w:after="0" w:line="287" w:lineRule="auto"/>
        <w:tabs>
          <w:tab w:leader="none" w:pos="32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a Lender that designates a new lending office after the Effective Date pursuant to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(iii) an assignee pursuant to an assignment by a Lender under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and (iv) an assignee pursuant to an assignment required by the Borrower under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any withholding tax that is imposed on amounts payable to such Lender pursuant to any Loan Document (and including any additional withholding tax that is imposed on amounts payable to such Lender as a result of a change in treaty, law or regulation), (e) in the case of a Lender, any withholding tax imposed on amounts payable to such Lender immediately after it changes its jurisdiction of organization and/or tax residency, except to the extent payments to, or for the benefit of, such Lender were subject to a withholding tax for which an Obligor was responsible immediately prior to the Lender’s change in jurisdiction and/or tax residency, (f) any withholding tax attributable to such Lender’s failure to comply with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4.02(e)</w:t>
      </w:r>
      <w:r>
        <w:rPr>
          <w:rFonts w:ascii="Arial" w:cs="Arial" w:eastAsia="Arial" w:hAnsi="Arial"/>
          <w:sz w:val="19"/>
          <w:szCs w:val="19"/>
          <w:color w:val="auto"/>
        </w:rPr>
        <w:t xml:space="preserve"> and (g) any United States federal withholding Taxes imposed by FATCA.</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specified in the Revolving Credit Agreement.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Senior Notes</w:t>
      </w:r>
      <w:r>
        <w:rPr>
          <w:rFonts w:ascii="Arial" w:cs="Arial" w:eastAsia="Arial" w:hAnsi="Arial"/>
          <w:sz w:val="21"/>
          <w:szCs w:val="21"/>
          <w:color w:val="auto"/>
        </w:rPr>
        <w:t>” means, collectively, (a) the 2019 Senior Notes, (b) the 6.350% Senior Notes due June 15, 2017 issued by WIL-Delaware, (c) the 6.800% Senior Notes due June 15, 2037 issued by WIL-Delaware, (d) the 6.500% Senior Notes due August 1, 2036 issued by the Borrower, (e) the 6.000% Senior Notes due March 15, 2018 issued by the Borrower, (f) the 7.000% Senior Notes due March 15, 2038 issued by the Borrower, (g) the 9.875% Senior Notes due March 1, 2039 issued by the Borrower, (h) the 5.125% Senior Notes due September 15, 2020 issued by the Borrower, (i) the 6.750% Senior Notes due September 15, 2040 issued by the Borrower, (j) the 4.500% Senior Notes due April 15, 2022 issued by the Borrower, and (k) the 5.950% Senior Notes due April 15, 2042 issued by the Borrower.</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 Indentures</w:t>
      </w:r>
      <w:r>
        <w:rPr>
          <w:rFonts w:ascii="Arial" w:cs="Arial" w:eastAsia="Arial" w:hAnsi="Arial"/>
          <w:sz w:val="22"/>
          <w:szCs w:val="22"/>
          <w:color w:val="auto"/>
        </w:rPr>
        <w:t>” means, collectively, (a) that certain Indenture, dated as of June 18, 2007, among WIL-Delaware, as issuer, the Borrower, as guarantor, and Deutsche Bank Trust Company Americas, as trustee, and (b) that certain Indenture, dated as of October 1, 2003, among the Borrower, as issuer, WIL-Delaware, as guarantor, and Deutsche Bank Trust Company Americas, as trustee, in each case, as supplemented or otherwise modified by all supplemental indentures thereto or any other document supplementing or modifying the terms of such Indentures prior to the Effective Date. In addition, to the extent the Borrower enters into any other indenture after the Effective Date that contains any exception similar to that found in the last sentence of Section 10.5 of each Indenture described in the immediately preceding sentence, the term “Existing Senior Notes Indentures” shall be deem to include each such other indenture (in addition to the Indentures described in the immediately preceding sentence).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05" w:name="page206"/>
    <w:bookmarkEnd w:id="205"/>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Intergovernmental Agreement as defined in Treasury Regulation Section 1.1471-1T(b)(67) or any successor provisions.</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Covenants</w:t>
      </w:r>
      <w:r>
        <w:rPr>
          <w:rFonts w:ascii="Arial" w:cs="Arial" w:eastAsia="Arial" w:hAnsi="Arial"/>
          <w:sz w:val="22"/>
          <w:szCs w:val="22"/>
          <w:color w:val="auto"/>
        </w:rPr>
        <w:t xml:space="preserve">” means those covenants set forth in </w:t>
      </w:r>
      <w:r>
        <w:rPr>
          <w:rFonts w:ascii="Arial" w:cs="Arial" w:eastAsia="Arial" w:hAnsi="Arial"/>
          <w:sz w:val="22"/>
          <w:szCs w:val="22"/>
          <w:u w:val="single" w:color="auto"/>
          <w:color w:val="auto"/>
        </w:rPr>
        <w:t>Section 8.09</w:t>
      </w:r>
      <w:r>
        <w:rPr>
          <w:rFonts w:ascii="Arial" w:cs="Arial" w:eastAsia="Arial" w:hAnsi="Arial"/>
          <w:sz w:val="22"/>
          <w:szCs w:val="22"/>
          <w:color w:val="auto"/>
        </w:rPr>
        <w:t xml:space="preserve"> and any Additional Financial Covenants included in this Agreement from time to time pursuant to </w:t>
      </w:r>
      <w:r>
        <w:rPr>
          <w:rFonts w:ascii="Arial" w:cs="Arial" w:eastAsia="Arial" w:hAnsi="Arial"/>
          <w:sz w:val="22"/>
          <w:szCs w:val="22"/>
          <w:u w:val="single" w:color="auto"/>
          <w:color w:val="auto"/>
        </w:rPr>
        <w:t>Section 7.10</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Fiscal Quarter of WIL-Ireland, ending on the last day of each March, June, September and December.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WIL-Ireland, ending on December 31 of each year.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the United States of America or any State thereof.</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Plan</w:t>
      </w:r>
      <w:r>
        <w:rPr>
          <w:rFonts w:ascii="Arial" w:cs="Arial" w:eastAsia="Arial" w:hAnsi="Arial"/>
          <w:sz w:val="19"/>
          <w:szCs w:val="19"/>
          <w:color w:val="auto"/>
        </w:rPr>
        <w:t>” means any employee pension benefit plan (within the meaning of Section 3(2) of ERISA, whether or not subject to ERISA) that is not subject to United States law, that is maintained or contributed to by WIL-Ireland, the Borrower or any ERISA Affiliate or with respect to which WIL-Ireland, the Borrower or any ERISA Affiliate may have any liability.</w:t>
      </w:r>
    </w:p>
    <w:p>
      <w:pPr>
        <w:spacing w:after="0" w:line="1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Plan Event</w:t>
      </w:r>
      <w:r>
        <w:rPr>
          <w:rFonts w:ascii="Arial" w:cs="Arial" w:eastAsia="Arial" w:hAnsi="Arial"/>
          <w:sz w:val="21"/>
          <w:szCs w:val="21"/>
          <w:color w:val="auto"/>
        </w:rPr>
        <w:t>” means with respect to any Foreign Plan, (i) the failure to make or, if applicable, accrue in accordance with normal accounting practices, any employer or employee contributions required by applicable law or by the terms of such Foreign Plan, (ii) the failure to register or loss of good standing with applicable regulatory authorities of any such Foreign Plan required to be registered, (iii) the failure of any Foreign Plan to comply with any material provisions of applicable law and regulations or with the material terms of such Foreign Plan, or (iv) a final determination that WIL-Ireland, the Borrower or any ERISA Affiliate are responsible for a deficit or funding shortfall in a Foreign Plan.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of WIL-Ireland which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6" w:name="page207"/>
    <w:bookmarkEnd w:id="206"/>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Indebtedness</w:t>
      </w:r>
      <w:r>
        <w:rPr>
          <w:rFonts w:ascii="Arial" w:cs="Arial" w:eastAsia="Arial" w:hAnsi="Arial"/>
          <w:sz w:val="22"/>
          <w:szCs w:val="22"/>
          <w:color w:val="auto"/>
        </w:rPr>
        <w:t>” means, with respect to any Reference Group as of any date, the sum, without duplication, of (a) all Indebtedness of the type described in clauses (a), (b), (d) and (g) of the definition thereof of any member of such Reference Group, other than any such Indebtedness that is Subordinated, and (b) all Guarantees by any member of such Reference Group with respect to any of the foregoing types of Indebtedness (whether or not the primary obligor is a member of such Reference Group), other than any such Guarantee that is Subordinated.</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w:t>
      </w:r>
    </w:p>
    <w:p>
      <w:pPr>
        <w:spacing w:after="0" w:line="3" w:lineRule="exact"/>
        <w:rPr>
          <w:sz w:val="20"/>
          <w:szCs w:val="20"/>
          <w:color w:val="auto"/>
        </w:rPr>
      </w:pPr>
    </w:p>
    <w:p>
      <w:pPr>
        <w:ind w:left="260" w:hanging="252"/>
        <w:spacing w:after="0"/>
        <w:tabs>
          <w:tab w:leader="none" w:pos="26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to pay or purchase, or to advance or supply funds for the primary purpose of the payment or purchase of, any such Indebtedness,</w:t>
      </w:r>
    </w:p>
    <w:p>
      <w:pPr>
        <w:spacing w:after="0" w:line="38" w:lineRule="exact"/>
        <w:rPr>
          <w:rFonts w:ascii="Arial" w:cs="Arial" w:eastAsia="Arial" w:hAnsi="Arial"/>
          <w:sz w:val="19"/>
          <w:szCs w:val="19"/>
          <w:color w:val="auto"/>
        </w:rPr>
      </w:pPr>
    </w:p>
    <w:p>
      <w:pPr>
        <w:jc w:val="both"/>
        <w:ind w:firstLine="8"/>
        <w:spacing w:after="0" w:line="286" w:lineRule="auto"/>
        <w:tabs>
          <w:tab w:leader="none" w:pos="333"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provided, however, that notwithstanding the foregoing, support letters delivered for audit purposes (to the extent consistent with past practices of WIL-Ireland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5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means each Holdco Guarantor and each other Restricted Subsidiary that enters into a Guaranty Agreement with respect to the Secured Obligations. The Guarantors as of the Effective Date are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07" w:name="page208"/>
    <w:bookmarkEnd w:id="207"/>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Agreements</w:t>
      </w:r>
      <w:r>
        <w:rPr>
          <w:rFonts w:ascii="Arial" w:cs="Arial" w:eastAsia="Arial" w:hAnsi="Arial"/>
          <w:sz w:val="19"/>
          <w:szCs w:val="19"/>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Guarantor</w:t>
      </w:r>
      <w:r>
        <w:rPr>
          <w:rFonts w:ascii="Arial" w:cs="Arial" w:eastAsia="Arial" w:hAnsi="Arial"/>
          <w:sz w:val="22"/>
          <w:szCs w:val="22"/>
          <w:color w:val="auto"/>
        </w:rPr>
        <w:t>” means each of WIL-Ireland, WIL-Delaware, Weatherford Investment (Luxembourg) S.à.r.l, a Luxembourg limited liability company, Weatherford International Holding (Bermuda) Ltd., a Bermuda exempted company, Weatherford Bermuda Holdings Ltd., a Bermuda exempted company, and Weatherford Products GmbH, a Switzerland limited liability company.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Hostile Acquisition</w:t>
      </w:r>
      <w:r>
        <w:rPr>
          <w:rFonts w:ascii="Arial" w:cs="Arial" w:eastAsia="Arial" w:hAnsi="Arial"/>
          <w:sz w:val="22"/>
          <w:szCs w:val="22"/>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Hungary Pledge Registries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Hypothecary Representative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Incorporated Financial Covenant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7.10(b)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8" w:name="page209"/>
    <w:bookmarkEnd w:id="208"/>
    <w:p>
      <w:pPr>
        <w:jc w:val="both"/>
        <w:spacing w:after="0" w:line="312" w:lineRule="auto"/>
        <w:rPr>
          <w:sz w:val="20"/>
          <w:szCs w:val="20"/>
          <w:color w:val="auto"/>
        </w:rPr>
      </w:pPr>
      <w:r>
        <w:rPr>
          <w:rFonts w:ascii="Arial" w:cs="Arial" w:eastAsia="Arial" w:hAnsi="Arial"/>
          <w:sz w:val="19"/>
          <w:szCs w:val="19"/>
          <w:color w:val="auto"/>
        </w:rPr>
        <w:t>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any Taxes imposed on or with respect to any payment made by or on account of any obligation of the Borrower or any Guarantor under any Loan Document, other than Excluded Taxes and Other Taxes.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Borrowing</w:t>
      </w:r>
      <w:r>
        <w:rPr>
          <w:rFonts w:ascii="Arial" w:cs="Arial" w:eastAsia="Arial" w:hAnsi="Arial"/>
          <w:sz w:val="19"/>
          <w:szCs w:val="19"/>
          <w:color w:val="auto"/>
        </w:rPr>
        <w:t xml:space="preserve">” means the borrowing of the Loans from the Lenders on the Effective Date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the Borrowing in accordance with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last day of each March, June, September and December and the Maturity Date,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 Eurodollar Borrowing, the period commencing on the date of such Borrowing and ending on the numerically corresponding day in the calendar month that is one week or one, two, three or six months (or, with the consent of each Lender, twelve months) thereafter,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Rate</w:t>
      </w:r>
      <w:r>
        <w:rPr>
          <w:rFonts w:ascii="Arial" w:cs="Arial" w:eastAsia="Arial" w:hAnsi="Arial"/>
          <w:sz w:val="22"/>
          <w:szCs w:val="22"/>
          <w:color w:val="auto"/>
        </w:rPr>
        <w:t xml:space="preserve">” means, at any time, for any Impacted Interest Period, the rate per annum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Interpolated Rate shall be less than zero, such rate shall be deemed to be zero for purposes of this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09" w:name="page210"/>
    <w:bookmarkEnd w:id="209"/>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 (d) capital contribution or other investment by such Person in any other Person or (e) purchase or other acquisition (in one transaction or a series of transactions) of any assets of any other Person constituting a business unit.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w:t>
      </w:r>
      <w:r>
        <w:rPr>
          <w:rFonts w:ascii="Arial" w:cs="Arial" w:eastAsia="Arial" w:hAnsi="Arial"/>
          <w:sz w:val="22"/>
          <w:szCs w:val="22"/>
          <w:color w:val="auto"/>
        </w:rPr>
        <w:t>” means the International Swaps and Derivatives Association,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w:t>
      </w:r>
      <w:r>
        <w:rPr>
          <w:rFonts w:ascii="Arial" w:cs="Arial" w:eastAsia="Arial" w:hAnsi="Arial"/>
          <w:sz w:val="22"/>
          <w:szCs w:val="22"/>
          <w:color w:val="auto"/>
        </w:rPr>
        <w:t>” means JPMorgan Chase Bank, N.A. and its successors.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Land Rig Sale</w:t>
      </w:r>
      <w:r>
        <w:rPr>
          <w:rFonts w:ascii="Arial" w:cs="Arial" w:eastAsia="Arial" w:hAnsi="Arial"/>
          <w:sz w:val="19"/>
          <w:szCs w:val="19"/>
          <w:color w:val="auto"/>
        </w:rPr>
        <w:t>” means the Disposition of all or a portion of the land drilling business of WIL-Ireland and its Subsidiaries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means JPMorgan, Deutsche Bank Securities Inc., Wells Fargo Securities, LLC, The Bank of Tokyo-Mitsubishi UFJ, Ltd., Citigroup Global Markets Inc. and Morgan Stanley Senior Funding, Inc.</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Parent</w:t>
      </w:r>
      <w:r>
        <w:rPr>
          <w:rFonts w:ascii="Arial" w:cs="Arial" w:eastAsia="Arial" w:hAnsi="Arial"/>
          <w:sz w:val="22"/>
          <w:szCs w:val="22"/>
          <w:color w:val="auto"/>
        </w:rPr>
        <w:t>” means, with respect to any Lender, any Person as to which such Lender is, directly or indirectly, a subsidiary.</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means, with respect to any Eurodollar Borrowing for any applicable Interest Period, the LIBO Screen Rate at approximately 11:00 a.m., London time, two Business Days prior to the commencement of such Interest Period; provided that if a LIBO Screen Rate shall not be available at such time for such Interest Period (the “</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21"/>
          <w:szCs w:val="21"/>
          <w:u w:val="single" w:color="auto"/>
          <w:color w:val="auto"/>
        </w:rPr>
        <w:t>Section 2.11</w:t>
      </w:r>
      <w:r>
        <w:rPr>
          <w:rFonts w:ascii="Arial" w:cs="Arial" w:eastAsia="Arial" w:hAnsi="Arial"/>
          <w:sz w:val="21"/>
          <w:szCs w:val="21"/>
          <w:color w:val="auto"/>
        </w:rPr>
        <w:t>.</w:t>
      </w:r>
    </w:p>
    <w:p>
      <w:pPr>
        <w:spacing w:after="0" w:line="176" w:lineRule="exact"/>
        <w:rPr>
          <w:sz w:val="20"/>
          <w:szCs w:val="20"/>
          <w:color w:val="auto"/>
        </w:rPr>
      </w:pPr>
    </w:p>
    <w:p>
      <w:pPr>
        <w:ind w:right="1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Screen Rate</w:t>
      </w:r>
      <w:r>
        <w:rPr>
          <w:rFonts w:ascii="Arial" w:cs="Arial" w:eastAsia="Arial" w:hAnsi="Arial"/>
          <w:sz w:val="21"/>
          <w:szCs w:val="21"/>
          <w:color w:val="auto"/>
        </w:rPr>
        <w:t>”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or any successor or substitute page on such screen that displays such rate, or on the appropriate page of such other information service that publishes such rate from time to time selected by the Administrative Agent in its reasonable discretion), provided that if the LIBO Screen Rate shall be less than zero, such rate shall be deemed to be zero for the purposes of this Agreement. When 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0" w:name="page211"/>
    <w:bookmarkEnd w:id="210"/>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xml:space="preserve">” means any lien, mortgage, deed of trust, pledge, security interest, charge or encumbrance of any kind, including any conditional sale or other title retention agreement or any lease (excluding, however, any lease that is not a Capital Lease) in the nature thereof (whether voluntary or involuntary and whether imposed or created by operation of law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collectively, this Agreement, any Notes issued pursuant to this Agreement, the Guaranty Agreements, the Collateral Documents, and all instruments, certificates and agreements now or hereafter executed or delivered by any Obligor to the Administrative Agent, or any Lender pursuant to or in connection with any of the foregoing, and all amendments, modifications, renewals, extensions, increases and rearrangements of, and substitutions for, any of the foregoing.</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Debt</w:t>
      </w:r>
      <w:r>
        <w:rPr>
          <w:rFonts w:ascii="Arial" w:cs="Arial" w:eastAsia="Arial" w:hAnsi="Arial"/>
          <w:sz w:val="22"/>
          <w:szCs w:val="22"/>
          <w:color w:val="auto"/>
        </w:rPr>
        <w:t>” means any Indebtedness that, in accordance with GAAP, constitutes (or, when incurred, constituted) a long-term liability.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Acquisition</w:t>
      </w:r>
      <w:r>
        <w:rPr>
          <w:rFonts w:ascii="Arial" w:cs="Arial" w:eastAsia="Arial" w:hAnsi="Arial"/>
          <w:sz w:val="22"/>
          <w:szCs w:val="22"/>
          <w:color w:val="auto"/>
        </w:rPr>
        <w:t>” means, with respect to any Reference Group, any acquisition of property permitted hereunder (other than an acquisition of property in the ordinary course of business) involving the payment of consideration by any member of such Reference Group in excess of $20,000,000.</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WIL-Ireland and its Restricted Subsidiaries, taken as a whole, or (b) a material adverse effect on (i) the ability of the Obligors to collectively perform their payment or other material obligations hereunder or under the Notes and other Loan Documents or (ii) the ability of the Administrative Agent or the Lenders to realize the material benefits intended to be provided by the Obligors under the Loan Documents.</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Disposition</w:t>
      </w:r>
      <w:r>
        <w:rPr>
          <w:rFonts w:ascii="Arial" w:cs="Arial" w:eastAsia="Arial" w:hAnsi="Arial"/>
          <w:sz w:val="22"/>
          <w:szCs w:val="22"/>
          <w:color w:val="auto"/>
        </w:rPr>
        <w:t>” means, with respect to any Reference Group, any Disposition of property that involves the receipt of consideration by any member of such Reference Group in excess of $20,000,000.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11" w:name="page212"/>
    <w:bookmarkEnd w:id="211"/>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(a) the Revolving Credit Facility, (b) Indebtedness (other than the Loans) of any one or more of WIL-Ireland and its Restricted Subsidiaries in an aggregate principal amount exceeding $100,000,000 and (c) obligations in respect of one or more Swap Agreements of any one or more of WIL-Ireland and its Restricted Subsidiaries in an aggregate principal amount exceeding $100,000,000.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means real property located in the United States of America, Canada or the United Kingdom owned by any Obligor with a net book value in excess of $10,000,000 and that is not an Excluded Asset.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Specified Subsidiary</w:t>
      </w:r>
      <w:r>
        <w:rPr>
          <w:rFonts w:ascii="Arial" w:cs="Arial" w:eastAsia="Arial" w:hAnsi="Arial"/>
          <w:sz w:val="19"/>
          <w:szCs w:val="19"/>
          <w:color w:val="auto"/>
        </w:rPr>
        <w:t xml:space="preserve">” means (a) any Restricted Subsidiary that, together with its own consolidated Restricted Subsidiaries, as of the last day of any Fiscal Quarter ended for which financial statements have been delivered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of this Agreement (i) had assets representing more than 2.5% of the Total Specified Asset Value as of such date or (ii) generated more than 2.5% of Consolidated Adjusted EBITDA of the Specified Group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 each Material Specified Subsidiary and (b) each other Restricted Subsidiary that, together with its own consolidated Restricted Subsidiaries, either (i) has total assets in excess of 5% of the total assets of WIL-Ireland and its consolidated Restricted Subsidiaries or (ii) has gross revenues in excess of 5% of the consolidated gross revenues of WIL-Ireland and its consolidated Restricted Subsidiaries based, in each case, on the most recent audited consolidated financial statements of WIL-Ireland. Notwithstanding the foregoing, WIL-Delaware and the Borrower shall be deemed to be Material Subsidiaries.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July 13, 2020.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Instruments</w:t>
      </w:r>
      <w:r>
        <w:rPr>
          <w:rFonts w:ascii="Arial" w:cs="Arial" w:eastAsia="Arial" w:hAnsi="Arial"/>
          <w:sz w:val="22"/>
          <w:szCs w:val="22"/>
          <w:color w:val="auto"/>
        </w:rPr>
        <w:t>” means such title reports, title insurance policies (with endorsements), evidence of zoning compliance, property insurance, flood certifications and flood insurance (and, if applicable FEMA form acknowledgements of insurance), opinions of counsel,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xml:space="preserve">” means, collectively, (a) the instruments described on </w:t>
      </w:r>
      <w:r>
        <w:rPr>
          <w:rFonts w:ascii="Arial" w:cs="Arial" w:eastAsia="Arial" w:hAnsi="Arial"/>
          <w:sz w:val="22"/>
          <w:szCs w:val="22"/>
          <w:u w:val="single" w:color="auto"/>
          <w:color w:val="auto"/>
        </w:rPr>
        <w:t>Schedule 1.01D</w:t>
      </w:r>
      <w:r>
        <w:rPr>
          <w:rFonts w:ascii="Arial" w:cs="Arial" w:eastAsia="Arial" w:hAnsi="Arial"/>
          <w:sz w:val="22"/>
          <w:szCs w:val="22"/>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or supplement thereto.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12" w:name="page213"/>
    <w:bookmarkEnd w:id="21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plan covered by Title IV of ERISA which is a “multiemployer plan” (as such term is defined in Section 4001(a)(3)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Weatherford Parent</w:t>
      </w:r>
      <w:r>
        <w:rPr>
          <w:rFonts w:ascii="Arial" w:cs="Arial" w:eastAsia="Arial" w:hAnsi="Arial"/>
          <w:sz w:val="21"/>
          <w:szCs w:val="21"/>
          <w:color w:val="auto"/>
        </w:rPr>
        <w:t xml:space="preserve">” has the meaning specified in clause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the term “Redomestication”.</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means any Lender that does not approve any consent, waiver or amendment that (i) requires the approval of each Lender or each affected Lender in accordance with the terms of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and (ii) has been approved by the Required Lenders.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made by the Borrower in favor of a Lender evidencing the Loan made by such Lender,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collectively, all unpaid principal of and accrued and unpaid interest on the Loans,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WIL-Ireland and its Subsidiaries to any of the Lenders, the Administrative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Obligors</w:t>
      </w:r>
      <w:r>
        <w:rPr>
          <w:rFonts w:ascii="Arial" w:cs="Arial" w:eastAsia="Arial" w:hAnsi="Arial"/>
          <w:sz w:val="22"/>
          <w:szCs w:val="22"/>
          <w:color w:val="auto"/>
        </w:rPr>
        <w:t>” means the Obligor Parties and any other Guarantors, and “</w:t>
      </w:r>
      <w:r>
        <w:rPr>
          <w:rFonts w:ascii="Arial" w:cs="Arial" w:eastAsia="Arial" w:hAnsi="Arial"/>
          <w:sz w:val="22"/>
          <w:szCs w:val="22"/>
          <w:u w:val="single" w:color="auto"/>
          <w:color w:val="auto"/>
        </w:rPr>
        <w:t>Obligor</w:t>
      </w:r>
      <w:r>
        <w:rPr>
          <w:rFonts w:ascii="Arial" w:cs="Arial" w:eastAsia="Arial" w:hAnsi="Arial"/>
          <w:sz w:val="22"/>
          <w:szCs w:val="22"/>
          <w:color w:val="auto"/>
        </w:rPr>
        <w:t>” means any of them.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 Parties</w:t>
      </w:r>
      <w:r>
        <w:rPr>
          <w:rFonts w:ascii="Arial" w:cs="Arial" w:eastAsia="Arial" w:hAnsi="Arial"/>
          <w:sz w:val="22"/>
          <w:szCs w:val="22"/>
          <w:color w:val="auto"/>
        </w:rPr>
        <w:t>” means the Borrower and WIL-Ireland, and “</w:t>
      </w:r>
      <w:r>
        <w:rPr>
          <w:rFonts w:ascii="Arial" w:cs="Arial" w:eastAsia="Arial" w:hAnsi="Arial"/>
          <w:sz w:val="22"/>
          <w:szCs w:val="22"/>
          <w:u w:val="single" w:color="auto"/>
          <w:color w:val="auto"/>
        </w:rPr>
        <w:t>Obligor Party</w:t>
      </w:r>
      <w:r>
        <w:rPr>
          <w:rFonts w:ascii="Arial" w:cs="Arial" w:eastAsia="Arial" w:hAnsi="Arial"/>
          <w:sz w:val="22"/>
          <w:szCs w:val="22"/>
          <w:color w:val="auto"/>
        </w:rPr>
        <w:t>” means any of them.</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3" w:name="page214"/>
    <w:bookmarkEnd w:id="213"/>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Debt Agreement</w:t>
      </w:r>
      <w:r>
        <w:rPr>
          <w:rFonts w:ascii="Arial" w:cs="Arial" w:eastAsia="Arial" w:hAnsi="Arial"/>
          <w:sz w:val="22"/>
          <w:szCs w:val="22"/>
          <w:color w:val="auto"/>
        </w:rPr>
        <w:t>” means any agreement, instrument or other document governing any Indebtedness for borrowed money of any Obligor (other than intercompany Indebtedness).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Subsidiaries Group</w:t>
      </w:r>
      <w:r>
        <w:rPr>
          <w:rFonts w:ascii="Arial" w:cs="Arial" w:eastAsia="Arial" w:hAnsi="Arial"/>
          <w:sz w:val="22"/>
          <w:szCs w:val="22"/>
          <w:color w:val="auto"/>
        </w:rPr>
        <w:t>” means, collectively, all of the Restricted Subsidiaries of WIL-Ireland that are not Specified Group Members.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Subsidiaries Group Member</w:t>
      </w:r>
      <w:r>
        <w:rPr>
          <w:rFonts w:ascii="Arial" w:cs="Arial" w:eastAsia="Arial" w:hAnsi="Arial"/>
          <w:sz w:val="22"/>
          <w:szCs w:val="22"/>
          <w:color w:val="auto"/>
        </w:rPr>
        <w:t>” means any member of the Other Subsidiaries Group.</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any and all present or future stamp or documentary taxes or any other excise or property taxes, charges or similar levies, other than Excluded Taxes, arising from any payment made hereunder or from the execution, delivery or enforcement of, or otherwise with respect to, this Agreement, but only to the extent that any of the foregoing is imposed by</w:t>
      </w:r>
    </w:p>
    <w:p>
      <w:pPr>
        <w:spacing w:after="0" w:line="1" w:lineRule="exact"/>
        <w:rPr>
          <w:sz w:val="20"/>
          <w:szCs w:val="20"/>
          <w:color w:val="auto"/>
        </w:rPr>
      </w:pPr>
    </w:p>
    <w:p>
      <w:pPr>
        <w:jc w:val="both"/>
        <w:ind w:firstLine="8"/>
        <w:spacing w:after="0" w:line="244" w:lineRule="auto"/>
        <w:tabs>
          <w:tab w:leader="none" w:pos="288" w:val="left"/>
        </w:tabs>
        <w:numPr>
          <w:ilvl w:val="0"/>
          <w:numId w:val="231"/>
        </w:numPr>
        <w:rPr>
          <w:rFonts w:ascii="Arial" w:cs="Arial" w:eastAsia="Arial" w:hAnsi="Arial"/>
          <w:sz w:val="22"/>
          <w:szCs w:val="22"/>
          <w:color w:val="auto"/>
        </w:rPr>
      </w:pPr>
      <w:r>
        <w:rPr>
          <w:rFonts w:ascii="Arial" w:cs="Arial" w:eastAsia="Arial" w:hAnsi="Arial"/>
          <w:sz w:val="22"/>
          <w:szCs w:val="22"/>
          <w:color w:val="auto"/>
        </w:rPr>
        <w:t>Bermuda, Switzerland, the United States or any other jurisdiction in which the Borrower is organized or is resident for tax purposes or any other jurisdiction in which the Borrower is Redomesticated or is resident for tax purposes with respect to a Foreign Lender, or (ii) Bermuda, Switzerland, or any other jurisdiction in which the Borrower is organized or is resident for tax purposes or any other jurisdiction (other than the United States) in which the Borrower is Redomesticated or is resident for tax purposes with respect to a Lender which is not a Foreign Lender.</w:t>
      </w:r>
    </w:p>
    <w:p>
      <w:pPr>
        <w:spacing w:after="0" w:line="1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Parallel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in Full</w:t>
      </w:r>
      <w:r>
        <w:rPr>
          <w:rFonts w:ascii="Arial" w:cs="Arial" w:eastAsia="Arial" w:hAnsi="Arial"/>
          <w:sz w:val="19"/>
          <w:szCs w:val="19"/>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any Obligor) shall have been paid in full in cash.</w:t>
      </w:r>
    </w:p>
    <w:p>
      <w:pPr>
        <w:spacing w:after="0" w:line="13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entity succeeding to any or all of its functions under ERISA.</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xml:space="preserve">” means any Acquisition (other than a Hostile Acquisition) by WIL-Ireland or a Restricted Subsidiary if (a) at the time of and immediately after giving effect thereto, (i) no Default has occurred and is continuing or would result therefrom, (ii) WIL-Ireland and its Restricted Subsidiaries are in compliance with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4" w:name="page215"/>
    <w:bookmarkEnd w:id="214"/>
    <w:p>
      <w:pPr>
        <w:jc w:val="both"/>
        <w:ind w:firstLine="8"/>
        <w:spacing w:after="0" w:line="286" w:lineRule="auto"/>
        <w:tabs>
          <w:tab w:leader="none" w:pos="394"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WIL-Ireland is in compliance, on a pro forma basis, with the Financial Covenants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the applicable Testing Period and, if the aggregate consideration paid in respect of such Acquisition exceeds $50,000,000, WIL-Ireland shall have delivered to the Administrative Agent a certificate of a Principal Financial Officer to such effect, together with all relevant financial information, statements and projections reasonably requested by the Administrative Agent, (b) all actions required to be taken with respect to such acquired or newly formed Subsidiary under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shall have been taken or will be taken within the time periods set forth therein, (c) if such Acquisition involves a merger, consolidation or amalgamation of WIL-Ireland or a Restricted Subsidiary with any other Person, such Acquisition is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and (d) the aggregate consideration paid in respect of such Acquisition, when taken together with the aggregate consideration paid in respect of all other Acquisitions consummated since the Effective Date, does not exceed (i) with respect to Acquisitions consummated by any of the Other Subsidiaries Group Members, $100,000,000, and (ii) with respect to Acquisitions consummated by WIL-Ireland and any of the Specified Group Members, the Permitted Acquisitions Basket at the time of such Acquisition.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Acquisitions Basket</w:t>
      </w:r>
      <w:r>
        <w:rPr>
          <w:rFonts w:ascii="Arial" w:cs="Arial" w:eastAsia="Arial" w:hAnsi="Arial"/>
          <w:sz w:val="19"/>
          <w:szCs w:val="19"/>
          <w:color w:val="auto"/>
        </w:rPr>
        <w:t xml:space="preserve">” means, at any date of determination, an amount equal to the sum of (a) $200,000,000 </w:t>
      </w:r>
      <w:r>
        <w:rPr>
          <w:rFonts w:ascii="Arial" w:cs="Arial" w:eastAsia="Arial" w:hAnsi="Arial"/>
          <w:sz w:val="19"/>
          <w:szCs w:val="19"/>
          <w:u w:val="single" w:color="auto"/>
          <w:color w:val="auto"/>
        </w:rPr>
        <w:t>plus</w:t>
      </w:r>
    </w:p>
    <w:p>
      <w:pPr>
        <w:spacing w:after="0" w:line="56" w:lineRule="exact"/>
        <w:rPr>
          <w:sz w:val="20"/>
          <w:szCs w:val="20"/>
          <w:color w:val="auto"/>
        </w:rPr>
      </w:pPr>
    </w:p>
    <w:p>
      <w:pPr>
        <w:jc w:val="both"/>
        <w:ind w:firstLine="8"/>
        <w:spacing w:after="0" w:line="244" w:lineRule="auto"/>
        <w:tabs>
          <w:tab w:leader="none" w:pos="31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if such date is on or after the first anniversary of the Effective Date, $200,000,000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if such date is on or after the second anniversary of the Effective Date, $200,000,000,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the amount of net cash proceeds from issuances of Capital Stock (other than Disqualified Capital Stock) by WIL-Ireland to the extent such net cash proceeds are used to pay consideration in respect of Acquisitions.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Existing Indebtedness</w:t>
      </w:r>
      <w:r>
        <w:rPr>
          <w:rFonts w:ascii="Arial" w:cs="Arial" w:eastAsia="Arial" w:hAnsi="Arial"/>
          <w:sz w:val="22"/>
          <w:szCs w:val="22"/>
          <w:color w:val="auto"/>
        </w:rPr>
        <w:t xml:space="preserve">” means (i) the Indebtedness of WIL-Ireland and its Restricted Subsidiaries (other than Indebtedness of the type described in </w:t>
      </w:r>
      <w:r>
        <w:rPr>
          <w:rFonts w:ascii="Arial" w:cs="Arial" w:eastAsia="Arial" w:hAnsi="Arial"/>
          <w:sz w:val="22"/>
          <w:szCs w:val="22"/>
          <w:u w:val="single" w:color="auto"/>
          <w:color w:val="auto"/>
        </w:rPr>
        <w:t>Section 8.01(m)</w:t>
      </w:r>
      <w:r>
        <w:rPr>
          <w:rFonts w:ascii="Arial" w:cs="Arial" w:eastAsia="Arial" w:hAnsi="Arial"/>
          <w:sz w:val="22"/>
          <w:szCs w:val="22"/>
          <w:color w:val="auto"/>
        </w:rPr>
        <w:t xml:space="preserve">) existing as of the Effective Date and identified on </w:t>
      </w:r>
      <w:r>
        <w:rPr>
          <w:rFonts w:ascii="Arial" w:cs="Arial" w:eastAsia="Arial" w:hAnsi="Arial"/>
          <w:sz w:val="22"/>
          <w:szCs w:val="22"/>
          <w:u w:val="single" w:color="auto"/>
          <w:color w:val="auto"/>
        </w:rPr>
        <w:t>Schedule 8.01</w:t>
      </w:r>
      <w:r>
        <w:rPr>
          <w:rFonts w:ascii="Arial" w:cs="Arial" w:eastAsia="Arial" w:hAnsi="Arial"/>
          <w:sz w:val="22"/>
          <w:szCs w:val="22"/>
          <w:color w:val="auto"/>
        </w:rPr>
        <w:t xml:space="preserve"> and (ii) the Existing Senior Notes.</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Factoring Customers</w:t>
      </w:r>
      <w:r>
        <w:rPr>
          <w:rFonts w:ascii="Arial" w:cs="Arial" w:eastAsia="Arial" w:hAnsi="Arial"/>
          <w:sz w:val="19"/>
          <w:szCs w:val="19"/>
          <w:color w:val="auto"/>
        </w:rPr>
        <w:t>” means the Persons identified to the Administrative Agent in writing on or prior to the Effective Date, as such Persons may be updated from time to time by WIL-Ireland with the approval of the Administrative Agent.</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Factoring Transaction Documents</w:t>
      </w:r>
      <w:r>
        <w:rPr>
          <w:rFonts w:ascii="Arial" w:cs="Arial" w:eastAsia="Arial" w:hAnsi="Arial"/>
          <w:sz w:val="22"/>
          <w:szCs w:val="22"/>
          <w:color w:val="auto"/>
        </w:rPr>
        <w:t>” means each of the documents and agreements entered into in connection with any Permitted Factoring Transaction.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Factoring Transactions</w:t>
      </w:r>
      <w:r>
        <w:rPr>
          <w:rFonts w:ascii="Arial" w:cs="Arial" w:eastAsia="Arial" w:hAnsi="Arial"/>
          <w:sz w:val="21"/>
          <w:szCs w:val="21"/>
          <w:color w:val="auto"/>
        </w:rPr>
        <w:t>” means receivables purchase facilities and factoring transactions entered into by WIL-Ireland or any Restricted Subsidiary with respect to Receivables originated by WIL-Ireland or such Restricted Subsidiary in the ordinary course of business and owing by one or more Permitted Factoring Customers, which receivables purchase facilities and factoring transaction give rise to Attributable Receivables Amounts that are non-recourse to WIL-Ireland and its Restricted Subsidiaries other than limited recourse customary for receivables purchase facilities and factoring transactions of the same kind, provided that the aggregate face amount of all receivables sold or transferred pursuant to Permitted Factoring Transactions shall not exceed $300,000,000 in any Fiscal Year.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5" w:name="page216"/>
    <w:bookmarkEnd w:id="2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without duplication:</w:t>
      </w:r>
    </w:p>
    <w:p>
      <w:pPr>
        <w:spacing w:after="0" w:line="220" w:lineRule="exact"/>
        <w:rPr>
          <w:sz w:val="20"/>
          <w:szCs w:val="20"/>
          <w:color w:val="auto"/>
        </w:rPr>
      </w:pPr>
    </w:p>
    <w:p>
      <w:pPr>
        <w:jc w:val="both"/>
        <w:ind w:firstLine="656"/>
        <w:spacing w:after="0" w:line="251" w:lineRule="auto"/>
        <w:tabs>
          <w:tab w:leader="none" w:pos="1082"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Liens for Taxes or unpaid utilities (i) not yet delinquent or which can thereafter be paid without penalty, (ii) 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Taxes referenced in this clause (ii), adequate reserves with respect thereto are maintained on the books of WIL-Ireland or its Subsidiaries, to the extent required by GAAP) or (iii) imposed by any foreign Governmental Authority and attaching solely to assets with a fair market value not in excess of $50,000,000 in the aggregate at any one time;</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77" w:lineRule="exact"/>
        <w:rPr>
          <w:rFonts w:ascii="Arial" w:cs="Arial" w:eastAsia="Arial" w:hAnsi="Arial"/>
          <w:sz w:val="22"/>
          <w:szCs w:val="22"/>
          <w:color w:val="auto"/>
        </w:rPr>
      </w:pPr>
    </w:p>
    <w:p>
      <w:pPr>
        <w:ind w:right="20" w:firstLine="656"/>
        <w:spacing w:after="0" w:line="358" w:lineRule="auto"/>
        <w:tabs>
          <w:tab w:leader="none" w:pos="114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pledges or deposits made in compliance with, or deemed trusts arising in connection with, workers’ compensation, unemployment insurance, old age benefits, pension, employment or other social security laws or regulations;</w:t>
      </w:r>
    </w:p>
    <w:p>
      <w:pPr>
        <w:spacing w:after="0" w:line="90" w:lineRule="exact"/>
        <w:rPr>
          <w:rFonts w:ascii="Arial" w:cs="Arial" w:eastAsia="Arial" w:hAnsi="Arial"/>
          <w:sz w:val="19"/>
          <w:szCs w:val="19"/>
          <w:color w:val="auto"/>
        </w:rPr>
      </w:pPr>
    </w:p>
    <w:p>
      <w:pPr>
        <w:jc w:val="both"/>
        <w:ind w:firstLine="656"/>
        <w:spacing w:after="0" w:line="251" w:lineRule="auto"/>
        <w:tabs>
          <w:tab w:leader="none" w:pos="10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WIL-Ireland or any of its Restricted Subsidiaries;</w:t>
      </w:r>
    </w:p>
    <w:p>
      <w:pPr>
        <w:spacing w:after="0" w:line="189" w:lineRule="exact"/>
        <w:rPr>
          <w:rFonts w:ascii="Arial" w:cs="Arial" w:eastAsia="Arial" w:hAnsi="Arial"/>
          <w:sz w:val="22"/>
          <w:szCs w:val="22"/>
          <w:color w:val="auto"/>
        </w:rPr>
      </w:pPr>
    </w:p>
    <w:p>
      <w:pPr>
        <w:jc w:val="both"/>
        <w:ind w:firstLine="656"/>
        <w:spacing w:after="0" w:line="278" w:lineRule="auto"/>
        <w:tabs>
          <w:tab w:leader="none" w:pos="1203" w:val="left"/>
        </w:tabs>
        <w:numPr>
          <w:ilvl w:val="0"/>
          <w:numId w:val="234"/>
        </w:numPr>
        <w:rPr>
          <w:rFonts w:ascii="Arial" w:cs="Arial" w:eastAsia="Arial" w:hAnsi="Arial"/>
          <w:sz w:val="21"/>
          <w:szCs w:val="21"/>
          <w:color w:val="auto"/>
        </w:rPr>
      </w:pPr>
      <w:r>
        <w:rPr>
          <w:rFonts w:ascii="Arial" w:cs="Arial" w:eastAsia="Arial" w:hAnsi="Arial"/>
          <w:sz w:val="21"/>
          <w:szCs w:val="21"/>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60" w:lineRule="exact"/>
        <w:rPr>
          <w:rFonts w:ascii="Arial" w:cs="Arial" w:eastAsia="Arial" w:hAnsi="Arial"/>
          <w:sz w:val="21"/>
          <w:szCs w:val="21"/>
          <w:color w:val="auto"/>
        </w:rPr>
      </w:pPr>
    </w:p>
    <w:p>
      <w:pPr>
        <w:jc w:val="both"/>
        <w:ind w:firstLine="656"/>
        <w:spacing w:after="0" w:line="250" w:lineRule="auto"/>
        <w:tabs>
          <w:tab w:leader="none" w:pos="1085"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Liens on the assets (and related insurance proceeds) of any entity or asset (and related insurance proceeds) existing at the time such asset or entity is acquired by WIL-Ireland or any of its Restricted Subsidiaries, whether by merger, amalgamation, consolidation, purchase of assets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Liens are not created, incurred or assumed by such entity in contemplation of such entity’s being acquired by WIL-Ireland or any of its Restricted Subsidiaries, (ii) such Liens do not extend to any other assets of WIL-Ireland or any of its Restricted Subsidiaries and (iii) the Indebtedness secured by such Liens is permitted pursuant to this Agreement;</w:t>
      </w:r>
    </w:p>
    <w:p>
      <w:pPr>
        <w:spacing w:after="0" w:line="188" w:lineRule="exact"/>
        <w:rPr>
          <w:rFonts w:ascii="Arial" w:cs="Arial" w:eastAsia="Arial" w:hAnsi="Arial"/>
          <w:sz w:val="22"/>
          <w:szCs w:val="22"/>
          <w:color w:val="auto"/>
        </w:rPr>
      </w:pPr>
    </w:p>
    <w:p>
      <w:pPr>
        <w:jc w:val="both"/>
        <w:ind w:firstLine="656"/>
        <w:spacing w:after="0" w:line="294" w:lineRule="auto"/>
        <w:tabs>
          <w:tab w:leader="none" w:pos="1215"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WIL-Ireland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w:t>
      </w:r>
      <w:r>
        <w:rPr>
          <w:rFonts w:ascii="Arial" w:cs="Arial" w:eastAsia="Arial" w:hAnsi="Arial"/>
          <w:sz w:val="19"/>
          <w:szCs w:val="19"/>
          <w:u w:val="single" w:color="auto"/>
          <w:color w:val="auto"/>
        </w:rPr>
        <w:t>Section 8.01(m)</w:t>
      </w:r>
      <w:r>
        <w:rPr>
          <w:rFonts w:ascii="Arial" w:cs="Arial" w:eastAsia="Arial" w:hAnsi="Arial"/>
          <w:sz w:val="19"/>
          <w:szCs w:val="19"/>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16" w:name="page217"/>
    <w:bookmarkEnd w:id="216"/>
    <w:p>
      <w:pPr>
        <w:jc w:val="both"/>
        <w:ind w:firstLine="656"/>
        <w:spacing w:after="0" w:line="251" w:lineRule="auto"/>
        <w:tabs>
          <w:tab w:leader="none" w:pos="121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Liens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$50,000,000 at any one time securing letters of credit or letter of credit facilities supporting such obligations);</w:t>
      </w:r>
    </w:p>
    <w:p>
      <w:pPr>
        <w:spacing w:after="0" w:line="189" w:lineRule="exact"/>
        <w:rPr>
          <w:rFonts w:ascii="Arial" w:cs="Arial" w:eastAsia="Arial" w:hAnsi="Arial"/>
          <w:sz w:val="22"/>
          <w:szCs w:val="22"/>
          <w:color w:val="auto"/>
        </w:rPr>
      </w:pPr>
    </w:p>
    <w:p>
      <w:pPr>
        <w:ind w:firstLine="656"/>
        <w:spacing w:after="0" w:line="276" w:lineRule="auto"/>
        <w:tabs>
          <w:tab w:leader="none" w:pos="105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leases or subleases granted to others not interfering in any material respect with the business of WIL-Ireland or any of its Restricted Subsidiaries;</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Liens to secure obligations arising from statutory or regulatory requirements;</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3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interest or title of a lessor in property (and proceeds (including proceeds from insurance) of, and improvements, accessions and upgrades to, such property) subject to any Capital Lease Obligation or operating lease which obligation or lease, in each case, is permitted under this Agreement;</w:t>
      </w:r>
    </w:p>
    <w:p>
      <w:pPr>
        <w:spacing w:after="0" w:line="177" w:lineRule="exact"/>
        <w:rPr>
          <w:rFonts w:ascii="Arial" w:cs="Arial" w:eastAsia="Arial" w:hAnsi="Arial"/>
          <w:sz w:val="22"/>
          <w:szCs w:val="22"/>
          <w:color w:val="auto"/>
        </w:rPr>
      </w:pPr>
    </w:p>
    <w:p>
      <w:pPr>
        <w:ind w:firstLine="656"/>
        <w:spacing w:after="0" w:line="358" w:lineRule="auto"/>
        <w:tabs>
          <w:tab w:leader="none" w:pos="1086" w:val="left"/>
        </w:tabs>
        <w:numPr>
          <w:ilvl w:val="0"/>
          <w:numId w:val="235"/>
        </w:numPr>
        <w:rPr>
          <w:rFonts w:ascii="Arial" w:cs="Arial" w:eastAsia="Arial" w:hAnsi="Arial"/>
          <w:sz w:val="19"/>
          <w:szCs w:val="19"/>
          <w:color w:val="auto"/>
        </w:rPr>
      </w:pPr>
      <w:r>
        <w:rPr>
          <w:rFonts w:ascii="Arial" w:cs="Arial" w:eastAsia="Arial" w:hAnsi="Arial"/>
          <w:sz w:val="19"/>
          <w:szCs w:val="19"/>
          <w:color w:val="auto"/>
        </w:rPr>
        <w:t>Liens in favor of collecting or payor banks having a right of setoff, revocation, refund or chargeback with respect to money or instruments of WIL-Ireland or any of its Restricted Subsidiaries on deposit with or in possession of such bank;</w:t>
      </w:r>
    </w:p>
    <w:p>
      <w:pPr>
        <w:spacing w:after="0" w:line="104" w:lineRule="exact"/>
        <w:rPr>
          <w:rFonts w:ascii="Arial" w:cs="Arial" w:eastAsia="Arial" w:hAnsi="Arial"/>
          <w:sz w:val="19"/>
          <w:szCs w:val="19"/>
          <w:color w:val="auto"/>
        </w:rPr>
      </w:pPr>
    </w:p>
    <w:p>
      <w:pPr>
        <w:ind w:right="20" w:firstLine="656"/>
        <w:spacing w:after="0" w:line="276" w:lineRule="auto"/>
        <w:tabs>
          <w:tab w:leader="none" w:pos="11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Liens on the cash deposited in an Acceptable Deposit Account pursuant to the definition of “Extended Maturity Date” (as defined in the Revolving Credit Agreement);</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Liens solely on any cash earnest money deposits or escrow arrangements made by WIL-Ireland or any of its Restricted Subsidiaries in connection with any letter of intent or purchase agreement relating to any acquisition of property permitted hereunder; and</w:t>
      </w:r>
    </w:p>
    <w:p>
      <w:pPr>
        <w:spacing w:after="0" w:line="177" w:lineRule="exact"/>
        <w:rPr>
          <w:rFonts w:ascii="Arial" w:cs="Arial" w:eastAsia="Arial" w:hAnsi="Arial"/>
          <w:sz w:val="22"/>
          <w:szCs w:val="22"/>
          <w:color w:val="auto"/>
        </w:rPr>
      </w:pPr>
    </w:p>
    <w:p>
      <w:pPr>
        <w:jc w:val="both"/>
        <w:ind w:firstLine="656"/>
        <w:spacing w:after="0" w:line="270" w:lineRule="auto"/>
        <w:tabs>
          <w:tab w:leader="none" w:pos="1202" w:val="left"/>
        </w:tabs>
        <w:numPr>
          <w:ilvl w:val="0"/>
          <w:numId w:val="235"/>
        </w:numPr>
        <w:rPr>
          <w:rFonts w:ascii="Arial" w:cs="Arial" w:eastAsia="Arial" w:hAnsi="Arial"/>
          <w:sz w:val="21"/>
          <w:szCs w:val="21"/>
          <w:color w:val="auto"/>
        </w:rPr>
      </w:pPr>
      <w:r>
        <w:rPr>
          <w:rFonts w:ascii="Arial" w:cs="Arial" w:eastAsia="Arial" w:hAnsi="Arial"/>
          <w:sz w:val="21"/>
          <w:szCs w:val="21"/>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w:t>
      </w:r>
    </w:p>
    <w:p>
      <w:pPr>
        <w:spacing w:after="0" w:line="16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means Indebtedness (for purposes of this definition, “</w:t>
      </w:r>
      <w:r>
        <w:rPr>
          <w:rFonts w:ascii="Arial" w:cs="Arial" w:eastAsia="Arial" w:hAnsi="Arial"/>
          <w:sz w:val="19"/>
          <w:szCs w:val="19"/>
          <w:u w:val="single" w:color="auto"/>
          <w:color w:val="auto"/>
        </w:rPr>
        <w:t>New Indebtedness</w:t>
      </w:r>
      <w:r>
        <w:rPr>
          <w:rFonts w:ascii="Arial" w:cs="Arial" w:eastAsia="Arial" w:hAnsi="Arial"/>
          <w:sz w:val="19"/>
          <w:szCs w:val="19"/>
          <w:color w:val="auto"/>
        </w:rPr>
        <w:t>”) incurred in exchange for, or the proceeds of which are used to extend, refinance, replace, defease, discharge, refund or otherwise retire for value any other Indebtedness (for purposes of this definition, the “</w:t>
      </w:r>
      <w:r>
        <w:rPr>
          <w:rFonts w:ascii="Arial" w:cs="Arial" w:eastAsia="Arial" w:hAnsi="Arial"/>
          <w:sz w:val="19"/>
          <w:szCs w:val="19"/>
          <w:u w:val="single" w:color="auto"/>
          <w:color w:val="auto"/>
        </w:rPr>
        <w:t>Refinanced Indebtedness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which for purposes of Refinancing Indebtedness of the type described in Section 8.01(b), shall be deemed to be $1,500,000,000)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91 days after the Maturity Date,</w:t>
      </w:r>
    </w:p>
    <w:p>
      <w:pPr>
        <w:spacing w:after="0" w:line="8" w:lineRule="exact"/>
        <w:rPr>
          <w:sz w:val="20"/>
          <w:szCs w:val="20"/>
          <w:color w:val="auto"/>
        </w:rPr>
      </w:pPr>
    </w:p>
    <w:p>
      <w:pPr>
        <w:jc w:val="both"/>
        <w:ind w:right="20" w:firstLine="8"/>
        <w:spacing w:after="0" w:line="244" w:lineRule="auto"/>
        <w:tabs>
          <w:tab w:leader="none" w:pos="32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the New Indebtedness has a Weighted Average Life to Maturity that is no shorter than the period beginning on the date of incurrence of the New Indebtedness and ending after the Maturity Date, (d) the New Indebtedness is not incurred or Guaranteed by any Person that was not an obligor on the Refinanced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 the event that the Refinanced Indebtedness is of the type described 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7" w:name="page218"/>
    <w:bookmarkEnd w:id="217"/>
    <w:p>
      <w:pPr>
        <w:jc w:val="both"/>
        <w:ind w:firstLine="648"/>
        <w:spacing w:after="0" w:line="288" w:lineRule="auto"/>
        <w:rPr>
          <w:sz w:val="20"/>
          <w:szCs w:val="20"/>
          <w:color w:val="auto"/>
        </w:rPr>
      </w:pP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the New Indebtedness may be Guaranteed by any Obligor and (ii) in the event that the Refinanced Indebtedness is of the type described in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the definition of “Permitted Existing Indebtedness”, the New Indebtedness may be incurred or Guaranteed by WIL-Ireland, WIL-Bermuda, WIL-Delaware or any Other Subsidiaries Group Member; and</w:t>
      </w:r>
    </w:p>
    <w:p>
      <w:pPr>
        <w:spacing w:after="0" w:line="1" w:lineRule="exact"/>
        <w:rPr>
          <w:sz w:val="20"/>
          <w:szCs w:val="20"/>
          <w:color w:val="auto"/>
        </w:rPr>
      </w:pPr>
    </w:p>
    <w:p>
      <w:pPr>
        <w:ind w:firstLine="8"/>
        <w:spacing w:after="0" w:line="246" w:lineRule="auto"/>
        <w:tabs>
          <w:tab w:leader="none" w:pos="30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if the Refinanced Indebtedness is subordinated in right of payment to the Obligations, the New Indebtedness is subordinated in right of payment to the Obligations to at least the same extent as the Refinanced Indebtedness.</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0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 employee pension benefit plan, as defined in Section 3(2) of ERISA, which is covered by Title IV of ERISA or subject to the minimum funding standards under Section 412 of the Code or Section 302 of ERISA and at any time within the preceding six years has been (a) sponsored, maintained or contributed to by WIL-Ireland, the Borrower or any ERISA Affiliate for employees of WIL-Ireland, the Borrower or any ERISA Affiliate or (b) maintained pursuant to a collective bargaining agreement or any other arrangement under which more than one employer makes contributions and to which WIL-Ireland, the Borrower or any ERISA Affiliate is or was then making or accruing an obligation to make contributions.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Agreements</w:t>
      </w:r>
      <w:r>
        <w:rPr>
          <w:rFonts w:ascii="Arial" w:cs="Arial" w:eastAsia="Arial" w:hAnsi="Arial"/>
          <w:sz w:val="19"/>
          <w:szCs w:val="19"/>
          <w:color w:val="auto"/>
        </w:rPr>
        <w:t xml:space="preserve">” means, collectively, (a) the agreements and other instruments described on </w:t>
      </w:r>
      <w:r>
        <w:rPr>
          <w:rFonts w:ascii="Arial" w:cs="Arial" w:eastAsia="Arial" w:hAnsi="Arial"/>
          <w:sz w:val="19"/>
          <w:szCs w:val="19"/>
          <w:u w:val="single" w:color="auto"/>
          <w:color w:val="auto"/>
        </w:rPr>
        <w:t>Schedule 1.01E</w:t>
      </w:r>
      <w:r>
        <w:rPr>
          <w:rFonts w:ascii="Arial" w:cs="Arial" w:eastAsia="Arial" w:hAnsi="Arial"/>
          <w:sz w:val="19"/>
          <w:szCs w:val="19"/>
          <w:color w:val="auto"/>
        </w:rPr>
        <w:t xml:space="preserve"> hereto and</w:t>
      </w:r>
    </w:p>
    <w:p>
      <w:pPr>
        <w:spacing w:after="0" w:line="56" w:lineRule="exact"/>
        <w:rPr>
          <w:sz w:val="20"/>
          <w:szCs w:val="20"/>
          <w:color w:val="auto"/>
        </w:rPr>
      </w:pPr>
    </w:p>
    <w:p>
      <w:pPr>
        <w:jc w:val="both"/>
        <w:ind w:firstLine="8"/>
        <w:spacing w:after="0" w:line="302" w:lineRule="auto"/>
        <w:tabs>
          <w:tab w:leader="none" w:pos="317" w:val="left"/>
        </w:tabs>
        <w:numPr>
          <w:ilvl w:val="0"/>
          <w:numId w:val="238"/>
        </w:numPr>
        <w:rPr>
          <w:rFonts w:ascii="Arial" w:cs="Arial" w:eastAsia="Arial" w:hAnsi="Arial"/>
          <w:sz w:val="19"/>
          <w:szCs w:val="19"/>
          <w:color w:val="auto"/>
        </w:rPr>
      </w:pPr>
      <w:r>
        <w:rPr>
          <w:rFonts w:ascii="Arial" w:cs="Arial" w:eastAsia="Arial" w:hAnsi="Arial"/>
          <w:sz w:val="19"/>
          <w:szCs w:val="19"/>
          <w:color w:val="auto"/>
        </w:rPr>
        <w:t>any other pledge agreement, charge over shares or other similar agreement or instrument in form and substance satisfactory to the Administrative Agent in favor of the Administrative Agent for the benefit of itself and the other Secured Parties, in any such case, pursuant to which any Person grants Liens on any Capital Stock owned by such Person to secure the Secured Obligations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Subsidiary</w:t>
      </w:r>
      <w:r>
        <w:rPr>
          <w:rFonts w:ascii="Arial" w:cs="Arial" w:eastAsia="Arial" w:hAnsi="Arial"/>
          <w:sz w:val="22"/>
          <w:szCs w:val="22"/>
          <w:color w:val="auto"/>
        </w:rPr>
        <w:t>” means a direct Subsidiary of an Obligor that is organized in a Specified Jurisdiction and is not itself an Obligor.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Personal Property Securities Act 2009</w:t>
      </w:r>
      <w:r>
        <w:rPr>
          <w:rFonts w:ascii="Arial" w:cs="Arial" w:eastAsia="Arial" w:hAnsi="Arial"/>
          <w:sz w:val="22"/>
          <w:szCs w:val="22"/>
          <w:color w:val="auto"/>
        </w:rPr>
        <w:t xml:space="preserve"> (Cth) of Australia.</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the rate of interest per annum publicly announced from time to time by the JPMorgan (for so long as it is the Administrative Agent) or any successor administrative agent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hereto as its prime rate in effect at its principal office in New York City; each change in the Prime Rate shall be effective from and including the date such change is publicly announced by the such Person as being effective.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18" w:name="page219"/>
    <w:bookmarkEnd w:id="21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Officer</w:t>
      </w:r>
      <w:r>
        <w:rPr>
          <w:rFonts w:ascii="Arial" w:cs="Arial" w:eastAsia="Arial" w:hAnsi="Arial"/>
          <w:sz w:val="22"/>
          <w:szCs w:val="22"/>
          <w:color w:val="auto"/>
        </w:rPr>
        <w:t>” means, with respect to any Obligor Party, any director, any manager, the chief financial officer, the treasurer or the principal accounting officer of such Obligor Party.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w:t>
      </w:r>
      <w:r>
        <w:rPr>
          <w:rFonts w:ascii="Arial" w:cs="Arial" w:eastAsia="Arial" w:hAnsi="Arial"/>
          <w:sz w:val="22"/>
          <w:szCs w:val="22"/>
          <w:color w:val="auto"/>
        </w:rPr>
        <w:t>” means any right to payment of WIL-Ireland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Related Security</w:t>
      </w:r>
      <w:r>
        <w:rPr>
          <w:rFonts w:ascii="Arial" w:cs="Arial" w:eastAsia="Arial" w:hAnsi="Arial"/>
          <w:sz w:val="22"/>
          <w:szCs w:val="2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and (b) any Lender, as applicable.</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w:t>
      </w:r>
      <w:r>
        <w:rPr>
          <w:rFonts w:ascii="Arial" w:cs="Arial" w:eastAsia="Arial" w:hAnsi="Arial"/>
          <w:sz w:val="21"/>
          <w:szCs w:val="21"/>
          <w:color w:val="auto"/>
        </w:rPr>
        <w:t>” means, with respect to any Indebtedness, the redemption, purchase, defeasance, prepayment or other acquisition or retirement for value of such Indebtedness. The term “</w:t>
      </w:r>
      <w:r>
        <w:rPr>
          <w:rFonts w:ascii="Arial" w:cs="Arial" w:eastAsia="Arial" w:hAnsi="Arial"/>
          <w:sz w:val="21"/>
          <w:szCs w:val="21"/>
          <w:u w:val="single" w:color="auto"/>
          <w:color w:val="auto"/>
        </w:rPr>
        <w:t>Redeem</w:t>
      </w:r>
      <w:r>
        <w:rPr>
          <w:rFonts w:ascii="Arial" w:cs="Arial" w:eastAsia="Arial" w:hAnsi="Arial"/>
          <w:sz w:val="21"/>
          <w:szCs w:val="21"/>
          <w:color w:val="auto"/>
        </w:rPr>
        <w:t>” has a meaning correlative thereto.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Redomestication</w:t>
      </w:r>
      <w:r>
        <w:rPr>
          <w:rFonts w:ascii="Arial" w:cs="Arial" w:eastAsia="Arial" w:hAnsi="Arial"/>
          <w:sz w:val="22"/>
          <w:szCs w:val="22"/>
          <w:color w:val="auto"/>
        </w:rPr>
        <w:t>” means:</w:t>
      </w:r>
    </w:p>
    <w:p>
      <w:pPr>
        <w:spacing w:after="0" w:line="220" w:lineRule="exact"/>
        <w:rPr>
          <w:sz w:val="20"/>
          <w:szCs w:val="20"/>
          <w:color w:val="auto"/>
        </w:rPr>
      </w:pPr>
    </w:p>
    <w:p>
      <w:pPr>
        <w:jc w:val="both"/>
        <w:ind w:firstLine="656"/>
        <w:spacing w:after="0" w:line="264" w:lineRule="auto"/>
        <w:tabs>
          <w:tab w:leader="none" w:pos="1163"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75" w:lineRule="exact"/>
        <w:rPr>
          <w:rFonts w:ascii="Arial" w:cs="Arial" w:eastAsia="Arial" w:hAnsi="Arial"/>
          <w:sz w:val="21"/>
          <w:szCs w:val="21"/>
          <w:color w:val="auto"/>
        </w:rPr>
      </w:pPr>
    </w:p>
    <w:p>
      <w:pPr>
        <w:jc w:val="both"/>
        <w:ind w:firstLine="656"/>
        <w:spacing w:after="0" w:line="278" w:lineRule="auto"/>
        <w:tabs>
          <w:tab w:leader="none" w:pos="135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60" w:lineRule="exact"/>
        <w:rPr>
          <w:rFonts w:ascii="Arial" w:cs="Arial" w:eastAsia="Arial" w:hAnsi="Arial"/>
          <w:sz w:val="21"/>
          <w:szCs w:val="21"/>
          <w:color w:val="auto"/>
        </w:rPr>
      </w:pPr>
    </w:p>
    <w:p>
      <w:pPr>
        <w:ind w:right="20" w:firstLine="656"/>
        <w:spacing w:after="0" w:line="301" w:lineRule="auto"/>
        <w:tabs>
          <w:tab w:leader="none" w:pos="1082"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the formation of a Person that becomes, as part of the transaction or series of related transactions, the direct or indirect owner of 100% of the voting shares of the Weatherford Parent Company (the “</w:t>
      </w:r>
      <w:r>
        <w:rPr>
          <w:rFonts w:ascii="Arial" w:cs="Arial" w:eastAsia="Arial" w:hAnsi="Arial"/>
          <w:sz w:val="21"/>
          <w:szCs w:val="21"/>
          <w:u w:val="single" w:color="auto"/>
          <w:color w:val="auto"/>
        </w:rPr>
        <w:t>New Weatherford Parent</w:t>
      </w:r>
      <w:r>
        <w:rPr>
          <w:rFonts w:ascii="Arial" w:cs="Arial" w:eastAsia="Arial" w:hAnsi="Arial"/>
          <w:sz w:val="21"/>
          <w:szCs w:val="2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if, as a result thereof:</w:t>
      </w:r>
    </w:p>
    <w:p>
      <w:pPr>
        <w:spacing w:after="0" w:line="220" w:lineRule="exact"/>
        <w:rPr>
          <w:sz w:val="20"/>
          <w:szCs w:val="20"/>
          <w:color w:val="auto"/>
        </w:rPr>
      </w:pPr>
    </w:p>
    <w:p>
      <w:pPr>
        <w:jc w:val="both"/>
        <w:ind w:firstLine="656"/>
        <w:spacing w:after="0" w:line="278" w:lineRule="auto"/>
        <w:tabs>
          <w:tab w:leader="none" w:pos="1107"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in the case of any action specified in clause </w:t>
      </w:r>
      <w:r>
        <w:rPr>
          <w:rFonts w:ascii="Arial" w:cs="Arial" w:eastAsia="Arial" w:hAnsi="Arial"/>
          <w:sz w:val="21"/>
          <w:szCs w:val="21"/>
          <w:u w:val="single" w:color="auto"/>
          <w:color w:val="auto"/>
        </w:rPr>
        <w:t>(a)</w:t>
      </w:r>
      <w:r>
        <w:rPr>
          <w:rFonts w:ascii="Arial" w:cs="Arial" w:eastAsia="Arial" w:hAnsi="Arial"/>
          <w:sz w:val="21"/>
          <w:szCs w:val="21"/>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19" w:name="page220"/>
    <w:bookmarkEnd w:id="219"/>
    <w:p>
      <w:pPr>
        <w:ind w:right="20" w:firstLine="656"/>
        <w:spacing w:after="0" w:line="301" w:lineRule="auto"/>
        <w:tabs>
          <w:tab w:leader="none" w:pos="126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in the case of any action specified in clause </w:t>
      </w:r>
      <w:r>
        <w:rPr>
          <w:rFonts w:ascii="Arial" w:cs="Arial" w:eastAsia="Arial" w:hAnsi="Arial"/>
          <w:sz w:val="21"/>
          <w:szCs w:val="21"/>
          <w:u w:val="single" w:color="auto"/>
          <w:color w:val="auto"/>
        </w:rPr>
        <w:t>(b)</w:t>
      </w:r>
      <w:r>
        <w:rPr>
          <w:rFonts w:ascii="Arial" w:cs="Arial" w:eastAsia="Arial" w:hAnsi="Arial"/>
          <w:sz w:val="21"/>
          <w:szCs w:val="21"/>
          <w:color w:val="auto"/>
        </w:rPr>
        <w:t>, the entity that constituted the Weatherford Parent Company immediately prior thereto (but disregarding for this purpose any change in its jurisdiction of organization); or</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in the case of any action specified in clause </w:t>
      </w:r>
      <w:r>
        <w:rPr>
          <w:rFonts w:ascii="Arial" w:cs="Arial" w:eastAsia="Arial" w:hAnsi="Arial"/>
          <w:sz w:val="22"/>
          <w:szCs w:val="22"/>
          <w:u w:val="single" w:color="auto"/>
          <w:color w:val="auto"/>
        </w:rPr>
        <w:t>(c)</w:t>
      </w:r>
      <w:r>
        <w:rPr>
          <w:rFonts w:ascii="Arial" w:cs="Arial" w:eastAsia="Arial" w:hAnsi="Arial"/>
          <w:sz w:val="22"/>
          <w:szCs w:val="22"/>
          <w:color w:val="auto"/>
        </w:rPr>
        <w:t>, the New Weatherford Parent,</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any such case the “</w:t>
      </w:r>
      <w:r>
        <w:rPr>
          <w:rFonts w:ascii="Arial" w:cs="Arial" w:eastAsia="Arial" w:hAnsi="Arial"/>
          <w:sz w:val="19"/>
          <w:szCs w:val="19"/>
          <w:u w:val="single" w:color="auto"/>
          <w:color w:val="auto"/>
        </w:rPr>
        <w:t>Surviving Person</w:t>
      </w:r>
      <w:r>
        <w:rPr>
          <w:rFonts w:ascii="Arial" w:cs="Arial" w:eastAsia="Arial" w:hAnsi="Arial"/>
          <w:sz w:val="19"/>
          <w:szCs w:val="19"/>
          <w:color w:val="auto"/>
        </w:rPr>
        <w:t xml:space="preserve">”) is a corporation or other entity, validly incorporated or formed and existing in good standing (to the extent the concept of good standing is applicable) (1) under the laws of the State of Delaware or another State of the United States, the United Kingdom, Switzerland or The Kingdom of the Netherlands, (2) under the laws of any other member country of the European Union (but only to the extent that (x) each Lender can legally do business with,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or (3) with the consent of all of the Lenders (such consent not to be unreasonably withheld), under the laws of any other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 Change of Control (disregarding the phrase “except as a result of a Redomestication” contained in clause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of the definition of “Change of Control” for these purposes) result from any of the actions specified in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and (II) the Surviving Person shall have delivered to the Administrative Agent:</w:t>
      </w:r>
    </w:p>
    <w:p>
      <w:pPr>
        <w:spacing w:after="0" w:line="167" w:lineRule="exact"/>
        <w:rPr>
          <w:sz w:val="20"/>
          <w:szCs w:val="20"/>
          <w:color w:val="auto"/>
        </w:rPr>
      </w:pPr>
    </w:p>
    <w:p>
      <w:pPr>
        <w:ind w:left="1100" w:hanging="444"/>
        <w:spacing w:after="0"/>
        <w:tabs>
          <w:tab w:leader="none" w:pos="110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 certificate to the effect that, both before and after giving effect to such transaction, no Default or Event of Default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exists;</w:t>
      </w:r>
    </w:p>
    <w:p>
      <w:pPr>
        <w:spacing w:after="0" w:line="215" w:lineRule="exact"/>
        <w:rPr>
          <w:sz w:val="20"/>
          <w:szCs w:val="20"/>
          <w:color w:val="auto"/>
        </w:rPr>
      </w:pPr>
    </w:p>
    <w:p>
      <w:pPr>
        <w:jc w:val="both"/>
        <w:ind w:firstLine="656"/>
        <w:spacing w:after="0" w:line="260" w:lineRule="auto"/>
        <w:tabs>
          <w:tab w:leader="none" w:pos="114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77" w:lineRule="exact"/>
        <w:rPr>
          <w:rFonts w:ascii="Arial" w:cs="Arial" w:eastAsia="Arial" w:hAnsi="Arial"/>
          <w:sz w:val="22"/>
          <w:szCs w:val="22"/>
          <w:color w:val="auto"/>
        </w:rPr>
      </w:pPr>
    </w:p>
    <w:p>
      <w:pPr>
        <w:ind w:left="1160" w:hanging="504"/>
        <w:spacing w:after="0"/>
        <w:tabs>
          <w:tab w:leader="none" w:pos="116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if applicable, the documents required by </w:t>
      </w:r>
      <w:r>
        <w:rPr>
          <w:rFonts w:ascii="Arial" w:cs="Arial" w:eastAsia="Arial" w:hAnsi="Arial"/>
          <w:sz w:val="22"/>
          <w:szCs w:val="22"/>
          <w:u w:val="single" w:color="auto"/>
          <w:color w:val="auto"/>
        </w:rPr>
        <w:t>Section 8.02(b)</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26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Group</w:t>
      </w:r>
      <w:r>
        <w:rPr>
          <w:rFonts w:ascii="Arial" w:cs="Arial" w:eastAsia="Arial" w:hAnsi="Arial"/>
          <w:sz w:val="19"/>
          <w:szCs w:val="19"/>
          <w:color w:val="auto"/>
        </w:rPr>
        <w:t>” means the Specified Group, the WIL-Ireland Group or the Other Subsidiaries Group, as applicable.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11.05(b)(iv)</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0" w:name="page221"/>
    <w:bookmarkEnd w:id="220"/>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Board (respecting reserve requirements), as the same is from time to time in effect,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(respecting eligible securities and margin requirements), as the same is from time to time in effect,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(respecting margin credit extended by banks), as the same is from time to time in effect,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Board (respecting borrowers who obtain margin credit), as the same is from time to time in effect,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(a) prior to the funding of the Loans, Lenders having more than fifty percent (50%) of the Aggregate Commitments and (b) thereafter, Lenders holding more than fifty percent (50%) of the aggregate principal amount of the Loans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prior to the funding of the Loans, the Commitment of any Defaulting Lender shall be excluded for purposes of making a determination of Required Lenders and (y) thereafter, the principal amount of the Loan made by any Defaulting Lender shall be excluded for purposes of making a determination of Required Lenders.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with respect to any Obligor, any director, any manager, the president, the chief financial officer, the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 any dividend or other distribution (whether in cash, securities or other property) on account of any Capital Stock of WIL-Ireland or any Restricted Subsidiary, (b) any payment (whether in cash, securities or other property), including any sinking fund or similar deposit, on account of the purchase, redemption, retirement, acquisition, cancellation or termination of any Capital Stock of WIL-Ireland or any Restricted Subsidiary, (c) any voluntary Redemption of any Indebtedness prior to the stated maturity thereof or (d) any payment in violation of any subordination terms of any Indebtedness.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21" w:name="page222"/>
    <w:bookmarkEnd w:id="221"/>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 Basket</w:t>
      </w:r>
      <w:r>
        <w:rPr>
          <w:rFonts w:ascii="Arial" w:cs="Arial" w:eastAsia="Arial" w:hAnsi="Arial"/>
          <w:sz w:val="22"/>
          <w:szCs w:val="22"/>
          <w:color w:val="auto"/>
        </w:rPr>
        <w:t>” means, at any time, an amount equal to 50% of the cumulative amount of Excess Cash Flow of WIL-Ireland and its Restricted Subsidiaries for each Fiscal Quarter ending on or after the Effective Date and prior to such time (taken as one accounting period), commencing with the Fiscal Quarter ending June 30, 2016.</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WIL-Ireland that is not an Unrestricted Subsidiary. For the avoidance of doubt, the Borrower and each Guarantor (other than WIL-Ireland) shall be a Restricted Subsidiary.</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means any agreement or other arrangement that prohibits, limits, restricts or imposes any condition upon (a) the ability of any Obligor or any Specified Group Member to create, incur or permit to exist any Lien upon any of its property or assets (i) in favor of the Administrative Agent and the other Secured Parties to secure any of the Secured Obligations or</w:t>
      </w:r>
    </w:p>
    <w:p>
      <w:pPr>
        <w:spacing w:after="0" w:line="1" w:lineRule="exact"/>
        <w:rPr>
          <w:sz w:val="20"/>
          <w:szCs w:val="20"/>
          <w:color w:val="auto"/>
        </w:rPr>
      </w:pPr>
    </w:p>
    <w:p>
      <w:pPr>
        <w:jc w:val="both"/>
        <w:ind w:firstLine="8"/>
        <w:spacing w:after="0" w:line="244" w:lineRule="auto"/>
        <w:tabs>
          <w:tab w:leader="none" w:pos="33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in favor of the Revolving Credit Agent and other holders of the Revolving Credit Obligations to secure any of the Revolving Credit Obligations or (b) the ability of any Specified Group Member to pay any dividends or other distributions with respect to its Capital Stock to, or to make or repay any loans or advances to, or to Dispose of any assets to, any Obligor or any other Specified Group Member that is located in a Specified Jurisdiction, or, in each case, which requires the consent of any other Person in connection therewith.</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Agent</w:t>
      </w:r>
      <w:r>
        <w:rPr>
          <w:rFonts w:ascii="Arial" w:cs="Arial" w:eastAsia="Arial" w:hAnsi="Arial"/>
          <w:sz w:val="22"/>
          <w:szCs w:val="22"/>
          <w:color w:val="auto"/>
        </w:rPr>
        <w:t>” means the Administrative Agent (as defined in the Revolving Credit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Agreement</w:t>
      </w:r>
      <w:r>
        <w:rPr>
          <w:rFonts w:ascii="Arial" w:cs="Arial" w:eastAsia="Arial" w:hAnsi="Arial"/>
          <w:sz w:val="22"/>
          <w:szCs w:val="22"/>
          <w:color w:val="auto"/>
        </w:rPr>
        <w:t>” means that certain Amended and Restated Credit Agreement dated as of the Effective Date, by and among WIL-Ireland, the Borrower, the other borrowers identified therein, the lenders from time to time party thereto and JPMorgan, as administrative agent thereunder.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Documents</w:t>
      </w:r>
      <w:r>
        <w:rPr>
          <w:rFonts w:ascii="Arial" w:cs="Arial" w:eastAsia="Arial" w:hAnsi="Arial"/>
          <w:sz w:val="22"/>
          <w:szCs w:val="22"/>
          <w:color w:val="auto"/>
        </w:rPr>
        <w:t>” means the Loan Documents (as defined in the Revolving Credit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Extended Maturity Date</w:t>
      </w:r>
      <w:r>
        <w:rPr>
          <w:rFonts w:ascii="Arial" w:cs="Arial" w:eastAsia="Arial" w:hAnsi="Arial"/>
          <w:sz w:val="22"/>
          <w:szCs w:val="22"/>
          <w:color w:val="auto"/>
        </w:rPr>
        <w:t>” means the Extended Maturity Date (as defined in the Revolving Credit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 means the revolving credit facility provided for pursuant to the Revolving Credit Agreement and the other Revolving Credit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Obligations</w:t>
      </w:r>
      <w:r>
        <w:rPr>
          <w:rFonts w:ascii="Arial" w:cs="Arial" w:eastAsia="Arial" w:hAnsi="Arial"/>
          <w:sz w:val="21"/>
          <w:szCs w:val="21"/>
          <w:color w:val="auto"/>
        </w:rPr>
        <w:t>” means the Guaranteed Obligations (as defined in the Revolving Credit Agreement).</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Group, a division of McGraw-Hill, Inc., or any successor to the ratings agency business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the subject or target of any Sanctions (at the time of this Agreement, Crimea, Cuba, Iran, North Korea, Sudan and Syria).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2" w:name="page223"/>
    <w:bookmarkEnd w:id="222"/>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Australian Department of Foreign Affairs and Trade or any other relevant sanctions authority,</w:t>
      </w:r>
    </w:p>
    <w:p>
      <w:pPr>
        <w:spacing w:after="0" w:line="3" w:lineRule="exact"/>
        <w:rPr>
          <w:sz w:val="20"/>
          <w:szCs w:val="20"/>
          <w:color w:val="auto"/>
        </w:rPr>
      </w:pPr>
    </w:p>
    <w:p>
      <w:pPr>
        <w:ind w:right="20" w:firstLine="8"/>
        <w:spacing w:after="0" w:line="246" w:lineRule="auto"/>
        <w:tabs>
          <w:tab w:leader="none" w:pos="31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any Person operating, organized or resident in a Sanctioned Country or (c) any Person owned or controlled by any such Person or Persons described in the foregoing clauses (a) or (b).</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the Australian Commonwealth Government, any European Union member state, the Hong Kong Monetary Authority or any other relevant sanctions authority.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or any governmental authority succeeding to the functions of said Commission.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xml:space="preserve">” means (a) all Obligations and (b) to the extent not constituting Debt (as defined in each of the Existing Senior Notes Indentures and each of the Citi Credit Documents), all Swap Obligations and Banking Services Obligations owing to one or more Lenders or their respective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“Secured Obligations” shall not include, with respect to any Obligor, any Excluded Swap Obligations of such Obligor.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means the holders of the Secured Obligations from time to time and shall include (i) each Lender in respect of its Loans, (ii) the Administrative Agent and the Lenders in respect of all other present and future obligations and liabilities of WIL-Ireland and each Restricted Subsidiary of every type and description arising under or in connection with this Agreement or any other Loan Document, (iii) each Lender and Affiliate of such Lender in respect of Swap Agreements and Banking Services Agreements (to the extent the Swap Obligations and Banking Services Obligations arising thereunder do not constitute Debt (as defined in each of the Existing Senior Notes Indentures and each of the Citi Credit Documents)) entered into with such Person by WIL-Ireland or any Restricted Subsidiary, (iv) each Indemnitee in respect of the obligations and liabilities of the Borrowers to such Person hereunder and under the other Loan Documents, and (v) their respective successors and (in the case of a Lender, permitted) transferees and assigns.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Agreements</w:t>
      </w:r>
      <w:r>
        <w:rPr>
          <w:rFonts w:ascii="Arial" w:cs="Arial" w:eastAsia="Arial" w:hAnsi="Arial"/>
          <w:sz w:val="19"/>
          <w:szCs w:val="19"/>
          <w:color w:val="auto"/>
        </w:rPr>
        <w:t xml:space="preserve">” means, collectively, (a) the agreement and other instruments described on </w:t>
      </w:r>
      <w:r>
        <w:rPr>
          <w:rFonts w:ascii="Arial" w:cs="Arial" w:eastAsia="Arial" w:hAnsi="Arial"/>
          <w:sz w:val="19"/>
          <w:szCs w:val="19"/>
          <w:u w:val="single" w:color="auto"/>
          <w:color w:val="auto"/>
        </w:rPr>
        <w:t>Schedule 1.01F</w:t>
      </w:r>
      <w:r>
        <w:rPr>
          <w:rFonts w:ascii="Arial" w:cs="Arial" w:eastAsia="Arial" w:hAnsi="Arial"/>
          <w:sz w:val="19"/>
          <w:szCs w:val="19"/>
          <w:color w:val="auto"/>
        </w:rPr>
        <w:t xml:space="preserve"> hereto,</w:t>
      </w:r>
    </w:p>
    <w:p>
      <w:pPr>
        <w:spacing w:after="0" w:line="56" w:lineRule="exact"/>
        <w:rPr>
          <w:sz w:val="20"/>
          <w:szCs w:val="20"/>
          <w:color w:val="auto"/>
        </w:rPr>
      </w:pPr>
    </w:p>
    <w:p>
      <w:pPr>
        <w:jc w:val="both"/>
        <w:ind w:firstLine="8"/>
        <w:spacing w:after="0" w:line="302" w:lineRule="auto"/>
        <w:tabs>
          <w:tab w:leader="none" w:pos="33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US Security Agreement and (c) any other security agreement, charge or other similar agreement in form and substance satisfactory to the Administrative Agent in favor of the Administrative Agent for the benefit of itself and the other Secured Parties, in any such case, pursuant to which any Obligor grants Liens on the property of such Obligor to secure the Secured Obligations.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Signing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3" w:name="page224"/>
    <w:bookmarkEnd w:id="223"/>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in reference to any Person as of any date, (i) the fair value of the assets of such Person, at a fair valuation, will, as of such date, exceed its debts and liabilities (subordinated, contingent or otherwise); (ii)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w:t>
      </w:r>
    </w:p>
    <w:p>
      <w:pPr>
        <w:spacing w:after="0" w:line="3" w:lineRule="exact"/>
        <w:rPr>
          <w:sz w:val="20"/>
          <w:szCs w:val="20"/>
          <w:color w:val="auto"/>
        </w:rPr>
      </w:pPr>
    </w:p>
    <w:p>
      <w:pPr>
        <w:jc w:val="both"/>
        <w:ind w:firstLine="8"/>
        <w:spacing w:after="0" w:line="244" w:lineRule="auto"/>
        <w:tabs>
          <w:tab w:leader="none" w:pos="387" w:val="left"/>
        </w:tabs>
        <w:numPr>
          <w:ilvl w:val="0"/>
          <w:numId w:val="247"/>
        </w:numPr>
        <w:rPr>
          <w:rFonts w:ascii="Arial" w:cs="Arial" w:eastAsia="Arial" w:hAnsi="Arial"/>
          <w:sz w:val="22"/>
          <w:szCs w:val="22"/>
          <w:color w:val="auto"/>
        </w:rPr>
      </w:pPr>
      <w:r>
        <w:rPr>
          <w:rFonts w:ascii="Arial" w:cs="Arial" w:eastAsia="Arial" w:hAnsi="Arial"/>
          <w:sz w:val="22"/>
          <w:szCs w:val="22"/>
          <w:color w:val="auto"/>
        </w:rPr>
        <w:t>such Person will, as of such date, be able to pay its debts and liabilities (subordinated, contingent or otherwise), as such debts and liabilities become absolute and matured; and (iv) such Person will not, as of such date, have unreasonably small capital with which to conduct the business in which it is engaged as such business is now conducted and is proposed to be conducted after the Effective Date.</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Asset Coverage Ratio</w:t>
      </w:r>
      <w:r>
        <w:rPr>
          <w:rFonts w:ascii="Arial" w:cs="Arial" w:eastAsia="Arial" w:hAnsi="Arial"/>
          <w:sz w:val="22"/>
          <w:szCs w:val="22"/>
          <w:color w:val="auto"/>
        </w:rPr>
        <w:t>” means, as of any date of determination, the ratio of (a) Total Specified Asset Value as of such date to (b) Specified Senior Indebtedness as of such date.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Consolidated Adjusted EBITDA</w:t>
      </w:r>
      <w:r>
        <w:rPr>
          <w:rFonts w:ascii="Arial" w:cs="Arial" w:eastAsia="Arial" w:hAnsi="Arial"/>
          <w:sz w:val="19"/>
          <w:szCs w:val="19"/>
          <w:color w:val="auto"/>
        </w:rPr>
        <w:t>” means, with respect to any period, the Consolidated Adjusted EBITDA of the Specified Group for such period, adjusted as necessary to exclude amounts attributable to the Borrower and WIL-Delaware.</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Event of Default</w:t>
      </w:r>
      <w:r>
        <w:rPr>
          <w:rFonts w:ascii="Arial" w:cs="Arial" w:eastAsia="Arial" w:hAnsi="Arial"/>
          <w:sz w:val="22"/>
          <w:szCs w:val="22"/>
          <w:color w:val="auto"/>
        </w:rPr>
        <w:t xml:space="preserve">” means an Event of Default pursuant to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(but only as a result of a breach of a Financial Covenant),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(j)</w:t>
      </w:r>
      <w:r>
        <w:rPr>
          <w:rFonts w:ascii="Arial" w:cs="Arial" w:eastAsia="Arial" w:hAnsi="Arial"/>
          <w:sz w:val="22"/>
          <w:szCs w:val="22"/>
          <w:color w:val="auto"/>
        </w:rPr>
        <w:t xml:space="preserve">, </w:t>
      </w:r>
      <w:r>
        <w:rPr>
          <w:rFonts w:ascii="Arial" w:cs="Arial" w:eastAsia="Arial" w:hAnsi="Arial"/>
          <w:sz w:val="22"/>
          <w:szCs w:val="22"/>
          <w:u w:val="single" w:color="auto"/>
          <w:color w:val="auto"/>
        </w:rPr>
        <w:t>(k)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(l)</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Group</w:t>
      </w:r>
      <w:r>
        <w:rPr>
          <w:rFonts w:ascii="Arial" w:cs="Arial" w:eastAsia="Arial" w:hAnsi="Arial"/>
          <w:sz w:val="22"/>
          <w:szCs w:val="22"/>
          <w:color w:val="auto"/>
        </w:rPr>
        <w:t>” mean, collectively, the Specified Obligors and their Restricted Subsidiaries.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Group Member</w:t>
      </w:r>
      <w:r>
        <w:rPr>
          <w:rFonts w:ascii="Arial" w:cs="Arial" w:eastAsia="Arial" w:hAnsi="Arial"/>
          <w:sz w:val="22"/>
          <w:szCs w:val="22"/>
          <w:color w:val="auto"/>
        </w:rPr>
        <w:t>” means any member of the Specified Group.</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Jurisdiction</w:t>
      </w:r>
      <w:r>
        <w:rPr>
          <w:rFonts w:ascii="Arial" w:cs="Arial" w:eastAsia="Arial" w:hAnsi="Arial"/>
          <w:sz w:val="19"/>
          <w:szCs w:val="19"/>
          <w:color w:val="auto"/>
        </w:rPr>
        <w:t xml:space="preserve">” means the United States of America (or any state thereof), Canada (or any province or territory thereof), the United Kingdom, Ireland, Switzerland, Luxembourg, Bermuda, the British Virgin Islands, the Netherlands, Argentina, Australia, Norway and certain other jurisdictions to be identified from time to time by the Administrative Agent in accordance with </w:t>
      </w:r>
      <w:r>
        <w:rPr>
          <w:rFonts w:ascii="Arial" w:cs="Arial" w:eastAsia="Arial" w:hAnsi="Arial"/>
          <w:sz w:val="19"/>
          <w:szCs w:val="19"/>
          <w:u w:val="single" w:color="auto"/>
          <w:color w:val="auto"/>
        </w:rPr>
        <w:t>Section 7.08(b)</w:t>
      </w:r>
      <w:r>
        <w:rPr>
          <w:rFonts w:ascii="Arial" w:cs="Arial" w:eastAsia="Arial" w:hAnsi="Arial"/>
          <w:sz w:val="19"/>
          <w:szCs w:val="19"/>
          <w:color w:val="auto"/>
        </w:rPr>
        <w:t>. In no event shall any Excluded Jurisdiction be or become a Specified Jurisdiction.</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Letter of Credit</w:t>
      </w:r>
      <w:r>
        <w:rPr>
          <w:rFonts w:ascii="Arial" w:cs="Arial" w:eastAsia="Arial" w:hAnsi="Arial"/>
          <w:sz w:val="22"/>
          <w:szCs w:val="22"/>
          <w:color w:val="auto"/>
        </w:rPr>
        <w:t>” means any standby letter of credit, bank guaranty or similar instrument that (a) has been issued for the account of any Specified Group Member or (b) with respect to which any Specified Group Member is otherwise required to reimburse the issuing institution for any amounts drawn on such letter or credit or otherwise provide any guarantee with respect to such letter of credit.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Leverage and LC Ratio</w:t>
      </w:r>
      <w:r>
        <w:rPr>
          <w:rFonts w:ascii="Arial" w:cs="Arial" w:eastAsia="Arial" w:hAnsi="Arial"/>
          <w:sz w:val="22"/>
          <w:szCs w:val="22"/>
          <w:color w:val="auto"/>
        </w:rPr>
        <w:t>” means, as of the last day of any Fiscal Quarter, the ratio of (a) the sum of (i) Specified Senior Indebtedness as of such date and (ii) the aggregate undrawn amount of all Specified Letters of Credit as of such date to (b) Specified Consolidated Adjusted EBITDA for the Testing Period ending on such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Obligor</w:t>
      </w:r>
      <w:r>
        <w:rPr>
          <w:rFonts w:ascii="Arial" w:cs="Arial" w:eastAsia="Arial" w:hAnsi="Arial"/>
          <w:sz w:val="22"/>
          <w:szCs w:val="22"/>
          <w:color w:val="auto"/>
        </w:rPr>
        <w:t>” means any Obligor other than WIL-Ireland, the Borrower and WIL-Delaware.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4" w:name="page225"/>
    <w:bookmarkEnd w:id="224"/>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Senior Indebtedness</w:t>
      </w:r>
      <w:r>
        <w:rPr>
          <w:rFonts w:ascii="Arial" w:cs="Arial" w:eastAsia="Arial" w:hAnsi="Arial"/>
          <w:sz w:val="19"/>
          <w:szCs w:val="19"/>
          <w:color w:val="auto"/>
        </w:rPr>
        <w:t xml:space="preserve">” means, as of any date of determination, the aggregate principal amount of all Funded Indebtedness (which, for purposes of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only, shall include Indebtedness of the type described in clause (c) of the definition thereof) of the Specified Group as of such date, other than Funded Indebtedness of the Borrower and WIL-Delaware (but, for the avoidance of doubt, including any Funded Indebtedness consisting of Guarantees by Specified Group Members (other than the Borrower and WIL-Delaware) of Funded Indebtedness of the Borrower and WIL-Delaware).</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Senior Leverage Ratio</w:t>
      </w:r>
      <w:r>
        <w:rPr>
          <w:rFonts w:ascii="Arial" w:cs="Arial" w:eastAsia="Arial" w:hAnsi="Arial"/>
          <w:sz w:val="21"/>
          <w:szCs w:val="21"/>
          <w:color w:val="auto"/>
        </w:rPr>
        <w:t>” means, as of the last day of any Fiscal Quarter, the ratio of (a) Specified Senior Indebtedness as of such date to (b) Specified Consolidated Adjusted EBITDA for the Testing Period ending on such date.</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Swap Obligation</w:t>
      </w:r>
      <w:r>
        <w:rPr>
          <w:rFonts w:ascii="Arial" w:cs="Arial" w:eastAsia="Arial" w:hAnsi="Arial"/>
          <w:sz w:val="22"/>
          <w:szCs w:val="22"/>
          <w:color w:val="auto"/>
        </w:rPr>
        <w:t>” means, with respect to any Obligor,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w:t>
      </w:r>
      <w:r>
        <w:rPr>
          <w:rFonts w:ascii="Arial" w:cs="Arial" w:eastAsia="Arial" w:hAnsi="Arial"/>
          <w:sz w:val="21"/>
          <w:szCs w:val="21"/>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that is Subordinated.</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 Unless the context otherwise clearly requires, references in this Agreement to a “Subsidiary” or the “Subsidiaries” refer to a Subsidiary or the Subsidiaries of WIL-Ireland.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5" w:name="page226"/>
    <w:bookmarkEnd w:id="22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Person</w:t>
      </w:r>
      <w:r>
        <w:rPr>
          <w:rFonts w:ascii="Arial" w:cs="Arial" w:eastAsia="Arial" w:hAnsi="Arial"/>
          <w:sz w:val="22"/>
          <w:szCs w:val="22"/>
          <w:color w:val="auto"/>
        </w:rPr>
        <w:t>” has the meaning specified in the definition of “</w:t>
      </w:r>
      <w:r>
        <w:rPr>
          <w:rFonts w:ascii="Arial" w:cs="Arial" w:eastAsia="Arial" w:hAnsi="Arial"/>
          <w:sz w:val="22"/>
          <w:szCs w:val="22"/>
          <w:u w:val="single" w:color="auto"/>
          <w:color w:val="auto"/>
        </w:rPr>
        <w:t>Redomestication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WIL-Ireland or its Subsidiaries shall be a Swap Agreement.</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Obligations</w:t>
      </w:r>
      <w:r>
        <w:rPr>
          <w:rFonts w:ascii="Arial" w:cs="Arial" w:eastAsia="Arial" w:hAnsi="Arial"/>
          <w:sz w:val="22"/>
          <w:szCs w:val="22"/>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Obligor</w:t>
      </w:r>
      <w:r>
        <w:rPr>
          <w:rFonts w:ascii="Arial" w:cs="Arial" w:eastAsia="Arial" w:hAnsi="Arial"/>
          <w:sz w:val="22"/>
          <w:szCs w:val="22"/>
          <w:color w:val="auto"/>
        </w:rPr>
        <w:t>” means any Guarantor organized under the laws of Switzerland or, if different, deemed resident in Switzerland for Swiss Withholding Tax purposes.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Withholding Tax</w:t>
      </w:r>
      <w:r>
        <w:rPr>
          <w:rFonts w:ascii="Arial" w:cs="Arial" w:eastAsia="Arial" w:hAnsi="Arial"/>
          <w:sz w:val="22"/>
          <w:szCs w:val="22"/>
          <w:color w:val="auto"/>
        </w:rPr>
        <w:t>” means any Taxes levied pursuant to the Swiss Federal Act on Withholding Tax (Bundesgesetz über die Verrechnungssteuer vom 13. Oktober 1965, SR 642.21), as amended from time to time.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imposed by any Governmental Authority.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means any period of four consecutive Fiscal Quarters (whether or not such quarters are all within the same Fiscal Year).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means, as of the last day of any Fiscal Quarter, the ratio of (a) the aggregate principal amount of Funded Indebtedness of the WIL-Ireland Group as of such date to (b) the Consolidated Adjusted EBITDA of the WIL-Ireland Group for the Testing Period ending on such date.</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Specified Asset Value</w:t>
      </w:r>
      <w:r>
        <w:rPr>
          <w:rFonts w:ascii="Arial" w:cs="Arial" w:eastAsia="Arial" w:hAnsi="Arial"/>
          <w:sz w:val="19"/>
          <w:szCs w:val="19"/>
          <w:color w:val="auto"/>
        </w:rPr>
        <w:t>” means, as of any date of determination, the book value of all assets of the Specified Group on a consolidated basis as of such date, adjusted as necessary to exclude amounts attributable to the Borrower and WIL-Delaware.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the transactions contemplated by the Loan Documents and the Revolving Credit Documents.</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26" w:name="page227"/>
    <w:bookmarkEnd w:id="226"/>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 any Subsidiary which WIL-Ireland has designated in writing to the Administrative Agent to be an Unrestricted Subsidiary pursuant to </w:t>
      </w:r>
      <w:r>
        <w:rPr>
          <w:rFonts w:ascii="Arial" w:cs="Arial" w:eastAsia="Arial" w:hAnsi="Arial"/>
          <w:sz w:val="22"/>
          <w:szCs w:val="22"/>
          <w:u w:val="single" w:color="auto"/>
          <w:color w:val="auto"/>
        </w:rPr>
        <w:t>Section 7.09</w:t>
      </w:r>
      <w:r>
        <w:rPr>
          <w:rFonts w:ascii="Arial" w:cs="Arial" w:eastAsia="Arial" w:hAnsi="Arial"/>
          <w:sz w:val="22"/>
          <w:szCs w:val="22"/>
          <w:color w:val="auto"/>
        </w:rPr>
        <w:t xml:space="preserve"> and (b) any direct or indirect Subsidiary of any Subsidiary described in clause (a), in each case that meets the following requirements:</w:t>
      </w:r>
    </w:p>
    <w:p>
      <w:pPr>
        <w:spacing w:after="0" w:line="186" w:lineRule="exact"/>
        <w:rPr>
          <w:sz w:val="20"/>
          <w:szCs w:val="20"/>
          <w:color w:val="auto"/>
        </w:rPr>
      </w:pPr>
    </w:p>
    <w:p>
      <w:pPr>
        <w:ind w:left="1680" w:hanging="375"/>
        <w:spacing w:after="0"/>
        <w:tabs>
          <w:tab w:leader="none" w:pos="168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such Subsidiary shall have no Indebtedness with recourse to WIL-Ireland or any Restricted Subsidiary;</w:t>
      </w:r>
    </w:p>
    <w:p>
      <w:pPr>
        <w:spacing w:after="0" w:line="244" w:lineRule="exact"/>
        <w:rPr>
          <w:rFonts w:ascii="Arial" w:cs="Arial" w:eastAsia="Arial" w:hAnsi="Arial"/>
          <w:sz w:val="21"/>
          <w:szCs w:val="21"/>
          <w:color w:val="auto"/>
        </w:rPr>
      </w:pPr>
    </w:p>
    <w:p>
      <w:pPr>
        <w:ind w:left="660" w:firstLine="645"/>
        <w:spacing w:after="0" w:line="276" w:lineRule="auto"/>
        <w:tabs>
          <w:tab w:leader="none" w:pos="1752" w:val="left"/>
        </w:tabs>
        <w:numPr>
          <w:ilvl w:val="0"/>
          <w:numId w:val="248"/>
        </w:numPr>
        <w:rPr>
          <w:rFonts w:ascii="Arial" w:cs="Arial" w:eastAsia="Arial" w:hAnsi="Arial"/>
          <w:sz w:val="22"/>
          <w:szCs w:val="22"/>
          <w:color w:val="auto"/>
        </w:rPr>
      </w:pPr>
      <w:r>
        <w:rPr>
          <w:rFonts w:ascii="Arial" w:cs="Arial" w:eastAsia="Arial" w:hAnsi="Arial"/>
          <w:sz w:val="22"/>
          <w:szCs w:val="22"/>
          <w:color w:val="auto"/>
        </w:rPr>
        <w:t xml:space="preserve">such Subsidiary is not party to any agreement, contract, arrangement or understanding with WIL-Ireland or any Restricted Subsidiary that violates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866" w:val="left"/>
        </w:tabs>
        <w:numPr>
          <w:ilvl w:val="0"/>
          <w:numId w:val="248"/>
        </w:numPr>
        <w:rPr>
          <w:rFonts w:ascii="Arial" w:cs="Arial" w:eastAsia="Arial" w:hAnsi="Arial"/>
          <w:sz w:val="21"/>
          <w:szCs w:val="21"/>
          <w:color w:val="auto"/>
        </w:rPr>
      </w:pPr>
      <w:r>
        <w:rPr>
          <w:rFonts w:ascii="Arial" w:cs="Arial" w:eastAsia="Arial" w:hAnsi="Arial"/>
          <w:sz w:val="21"/>
          <w:szCs w:val="21"/>
          <w:color w:val="auto"/>
        </w:rPr>
        <w:t>such Subsidiary is a Person with respect to which neither WIL-Ireland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WIL-Ireland or any of its Restricted Subsidiaries and such Subsidiary pursuant to which such Subsidiary sells products or provides services to WIL-Ireland or such Restricted Subsidiary in the ordinary course of business are not included in this clause (B));</w:t>
      </w:r>
    </w:p>
    <w:p>
      <w:pPr>
        <w:spacing w:after="0" w:line="175" w:lineRule="exact"/>
        <w:rPr>
          <w:rFonts w:ascii="Arial" w:cs="Arial" w:eastAsia="Arial" w:hAnsi="Arial"/>
          <w:sz w:val="21"/>
          <w:szCs w:val="21"/>
          <w:color w:val="auto"/>
        </w:rPr>
      </w:pPr>
    </w:p>
    <w:p>
      <w:pPr>
        <w:jc w:val="both"/>
        <w:ind w:left="660" w:firstLine="645"/>
        <w:spacing w:after="0" w:line="260" w:lineRule="auto"/>
        <w:tabs>
          <w:tab w:leader="none" w:pos="197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such Subsidiary does not, either individually or together with other Subsidiaries that are designated as Unrestricted Subsidiaries, own or operate, directly or indirectly, all or substantially all of the assets of WIL-Ireland and its Subsidiaries; and</w:t>
      </w:r>
    </w:p>
    <w:p>
      <w:pPr>
        <w:spacing w:after="0" w:line="177" w:lineRule="exact"/>
        <w:rPr>
          <w:rFonts w:ascii="Arial" w:cs="Arial" w:eastAsia="Arial" w:hAnsi="Arial"/>
          <w:sz w:val="22"/>
          <w:szCs w:val="22"/>
          <w:color w:val="auto"/>
        </w:rPr>
      </w:pPr>
    </w:p>
    <w:p>
      <w:pPr>
        <w:ind w:left="1840" w:hanging="535"/>
        <w:spacing w:after="0"/>
        <w:tabs>
          <w:tab w:leader="none" w:pos="184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such Subsidiary does not hold any Capital Stock in, or any Indebtedness of, WIL-Ireland or any Restricted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(including under the Financial Covenants), WIL-Ireland shall be in default of the applicable covenant.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Security Agreement</w:t>
      </w:r>
      <w:r>
        <w:rPr>
          <w:rFonts w:ascii="Arial" w:cs="Arial" w:eastAsia="Arial" w:hAnsi="Arial"/>
          <w:sz w:val="22"/>
          <w:szCs w:val="22"/>
          <w:color w:val="auto"/>
        </w:rPr>
        <w:t>” means that certain U.S. Pledge and Security Agreement, dated as of the Effective Date, by and among the Obligors listed on the signature pages thereto and the Administrative Agent.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means, with respect to any Person, shares of any class or classes of Capital Stock in such Person entitling holders thereof (whether at all times or only so long as no senior class of stock has voting power by reason of any contingency) to vote in the election of members of the Board of Directors or other governing body of such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7" w:name="page228"/>
    <w:bookmarkEnd w:id="227"/>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Parent Company</w:t>
      </w:r>
      <w:r>
        <w:rPr>
          <w:rFonts w:ascii="Arial" w:cs="Arial" w:eastAsia="Arial" w:hAnsi="Arial"/>
          <w:sz w:val="19"/>
          <w:szCs w:val="19"/>
          <w:color w:val="auto"/>
        </w:rPr>
        <w:t>” means WIL-Ireland or, if a Redomestication has occurred subsequent to the Effective Date and prior to the event in question on the date of determination, the Surviving Person resulting from such Redomestication.</w:t>
      </w:r>
    </w:p>
    <w:p>
      <w:pPr>
        <w:spacing w:after="0" w:line="1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92"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Wholly-Owned Subsidiary</w:t>
      </w:r>
      <w:r>
        <w:rPr>
          <w:rFonts w:ascii="Arial" w:cs="Arial" w:eastAsia="Arial" w:hAnsi="Arial"/>
          <w:sz w:val="21"/>
          <w:szCs w:val="21"/>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“Wholly-Owned Subsidiary” or the “</w:t>
      </w:r>
      <w:r>
        <w:rPr>
          <w:rFonts w:ascii="Arial" w:cs="Arial" w:eastAsia="Arial" w:hAnsi="Arial"/>
          <w:sz w:val="21"/>
          <w:szCs w:val="21"/>
          <w:u w:val="single" w:color="auto"/>
          <w:color w:val="auto"/>
        </w:rPr>
        <w:t>Wholly</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Owned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Subsidiaries</w:t>
      </w:r>
      <w:r>
        <w:rPr>
          <w:rFonts w:ascii="Arial" w:cs="Arial" w:eastAsia="Arial" w:hAnsi="Arial"/>
          <w:sz w:val="21"/>
          <w:szCs w:val="21"/>
          <w:color w:val="auto"/>
        </w:rPr>
        <w:t>” refer to a Wholly-Owned Subsidiary or Wholly-Owned Subsidiaries of WIL-Ireland.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WIL-Delaware</w:t>
      </w:r>
      <w:r>
        <w:rPr>
          <w:rFonts w:ascii="Arial" w:cs="Arial" w:eastAsia="Arial" w:hAnsi="Arial"/>
          <w:sz w:val="22"/>
          <w:szCs w:val="22"/>
          <w:color w:val="auto"/>
        </w:rPr>
        <w:t>” means Weatherford International, LLC, a Delaware limited liability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WIL-Ireland</w:t>
      </w:r>
      <w:r>
        <w:rPr>
          <w:rFonts w:ascii="Arial" w:cs="Arial" w:eastAsia="Arial" w:hAnsi="Arial"/>
          <w:sz w:val="21"/>
          <w:szCs w:val="21"/>
          <w:color w:val="auto"/>
        </w:rPr>
        <w:t xml:space="preserve">” has the meaning specified in the introductory paragraph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Redomestication occurs subsequent to the Effective Date and WIL-Ireland is not the Surviving Person resulting from such Redomestication, the term “WIL-Ireland” shall refer to the Surviving Person resulting from such Redomestication.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WIL-Ireland Group</w:t>
      </w:r>
      <w:r>
        <w:rPr>
          <w:rFonts w:ascii="Arial" w:cs="Arial" w:eastAsia="Arial" w:hAnsi="Arial"/>
          <w:sz w:val="22"/>
          <w:szCs w:val="22"/>
          <w:color w:val="auto"/>
        </w:rPr>
        <w:t>” means, collectively, WIL-Ireland and its Restricted Subsidiaries.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w:t>
      </w:r>
      <w:r>
        <w:rPr>
          <w:rFonts w:ascii="Arial" w:cs="Arial" w:eastAsia="Arial" w:hAnsi="Arial"/>
          <w:sz w:val="22"/>
          <w:szCs w:val="22"/>
          <w:color w:val="auto"/>
        </w:rPr>
        <w:t>” means, at any date, the excess of current assets of WIL-Ireland and its Restricted Subsidiaries on such date over current liabilities of WIL-Ireland and its Restricted Subsidiaries on such date, all determined on a consolidated basis in accordance with GAAP.</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Types of Borrowings</w:t>
      </w:r>
      <w:r>
        <w:rPr>
          <w:rFonts w:ascii="Arial" w:cs="Arial" w:eastAsia="Arial" w:hAnsi="Arial"/>
          <w:sz w:val="19"/>
          <w:szCs w:val="19"/>
          <w:color w:val="auto"/>
        </w:rPr>
        <w:t>. Borrowings hereunder are distinguished by “Type”. The “Type” of a Loan refers to the determination whether such Loan is a part of a Loan bearing interest at the Adjusted LIBO Rate or at the Alternate Base Rate.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Accounting Terms; Changes in GAAP.</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28" w:name="page229"/>
    <w:bookmarkEnd w:id="228"/>
    <w:p>
      <w:pPr>
        <w:jc w:val="both"/>
        <w:ind w:firstLine="1305"/>
        <w:spacing w:after="0" w:line="284" w:lineRule="auto"/>
        <w:tabs>
          <w:tab w:leader="none" w:pos="2185"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WIL-Ireland notifies the Administrative Agent that WIL-Ireland requests an amendment to any provision hereof to eliminate the effect of any change occurring after the Effective Date in GAAP or in the application thereof on the operation of such provision (or if the Administrative Agent notifies WIL-Ireland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jc w:val="both"/>
        <w:ind w:firstLine="1305"/>
        <w:spacing w:after="0" w:line="244" w:lineRule="auto"/>
        <w:tabs>
          <w:tab w:leader="none" w:pos="2197"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2015 in a manner consistent with the treatment of such leases under generally accepted accounting principles in the United States of America as in effect on December 31, 2015, notwithstanding any modifications or interpretive changes thereto that may occur thereafter.</w:t>
      </w:r>
    </w:p>
    <w:p>
      <w:pPr>
        <w:spacing w:after="0" w:line="235" w:lineRule="exact"/>
        <w:rPr>
          <w:rFonts w:ascii="Arial" w:cs="Arial" w:eastAsia="Arial" w:hAnsi="Arial"/>
          <w:sz w:val="22"/>
          <w:szCs w:val="22"/>
          <w:color w:val="auto"/>
        </w:rPr>
      </w:pPr>
    </w:p>
    <w:p>
      <w:pPr>
        <w:jc w:val="both"/>
        <w:ind w:firstLine="1305"/>
        <w:spacing w:after="0" w:line="290" w:lineRule="auto"/>
        <w:tabs>
          <w:tab w:leader="none" w:pos="2185" w:val="left"/>
        </w:tabs>
        <w:numPr>
          <w:ilvl w:val="0"/>
          <w:numId w:val="249"/>
        </w:numPr>
        <w:rPr>
          <w:rFonts w:ascii="Arial" w:cs="Arial" w:eastAsia="Arial" w:hAnsi="Arial"/>
          <w:sz w:val="19"/>
          <w:szCs w:val="19"/>
          <w:color w:val="auto"/>
        </w:rPr>
      </w:pPr>
      <w:r>
        <w:rPr>
          <w:rFonts w:ascii="Arial" w:cs="Arial" w:eastAsia="Arial" w:hAnsi="Arial"/>
          <w:sz w:val="19"/>
          <w:szCs w:val="19"/>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WIL-Ireland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7" w:lineRule="exact"/>
        <w:rPr>
          <w:rFonts w:ascii="Arial" w:cs="Arial" w:eastAsia="Arial" w:hAnsi="Arial"/>
          <w:sz w:val="19"/>
          <w:szCs w:val="19"/>
          <w:color w:val="auto"/>
        </w:rPr>
      </w:pPr>
    </w:p>
    <w:p>
      <w:pPr>
        <w:jc w:val="both"/>
        <w:ind w:firstLine="1305"/>
        <w:spacing w:after="0" w:line="288" w:lineRule="auto"/>
        <w:tabs>
          <w:tab w:leader="none" w:pos="219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All pro forma computations required to be made hereunder giving effect to any acquisition or Disposition</w:t>
      </w:r>
      <w:r>
        <w:rPr>
          <w:rFonts w:ascii="Arial" w:cs="Arial" w:eastAsia="Arial" w:hAnsi="Arial"/>
          <w:sz w:val="19"/>
          <w:szCs w:val="19"/>
          <w:color w:val="002060"/>
        </w:rPr>
        <w:t>,</w:t>
      </w:r>
      <w:r>
        <w:rPr>
          <w:rFonts w:ascii="Arial" w:cs="Arial" w:eastAsia="Arial" w:hAnsi="Arial"/>
          <w:sz w:val="19"/>
          <w:szCs w:val="19"/>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(including under the Existing Credit Agreement),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29" w:name="page230"/>
    <w:bookmarkEnd w:id="229"/>
    <w:p>
      <w:pPr>
        <w:jc w:val="both"/>
        <w:spacing w:after="0" w:line="253" w:lineRule="auto"/>
        <w:rPr>
          <w:sz w:val="20"/>
          <w:szCs w:val="20"/>
          <w:color w:val="auto"/>
        </w:rPr>
      </w:pPr>
      <w:r>
        <w:rPr>
          <w:rFonts w:ascii="Arial" w:cs="Arial" w:eastAsia="Arial" w:hAnsi="Arial"/>
          <w:sz w:val="22"/>
          <w:szCs w:val="22"/>
          <w:color w:val="auto"/>
        </w:rPr>
        <w:t>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Interpretation</w:t>
      </w:r>
      <w:r>
        <w:rPr>
          <w:rFonts w:ascii="Arial" w:cs="Arial" w:eastAsia="Arial" w:hAnsi="Arial"/>
          <w:sz w:val="22"/>
          <w:szCs w:val="22"/>
          <w:color w:val="auto"/>
        </w:rPr>
        <w:t>.</w:t>
      </w:r>
    </w:p>
    <w:p>
      <w:pPr>
        <w:spacing w:after="0" w:line="260" w:lineRule="exact"/>
        <w:rPr>
          <w:sz w:val="20"/>
          <w:szCs w:val="20"/>
          <w:color w:val="auto"/>
        </w:rPr>
      </w:pPr>
    </w:p>
    <w:p>
      <w:pPr>
        <w:ind w:left="1820" w:hanging="515"/>
        <w:spacing w:after="0"/>
        <w:tabs>
          <w:tab w:leader="none" w:pos="182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In this Agreement unless the context indicates otherwise;</w:t>
      </w:r>
    </w:p>
    <w:p>
      <w:pPr>
        <w:spacing w:after="0" w:line="260" w:lineRule="exact"/>
        <w:rPr>
          <w:rFonts w:ascii="Arial" w:cs="Arial" w:eastAsia="Arial" w:hAnsi="Arial"/>
          <w:sz w:val="22"/>
          <w:szCs w:val="22"/>
          <w:color w:val="auto"/>
        </w:rPr>
      </w:pPr>
    </w:p>
    <w:p>
      <w:pPr>
        <w:ind w:left="2800" w:hanging="847"/>
        <w:spacing w:after="0"/>
        <w:tabs>
          <w:tab w:leader="none" w:pos="280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defined;</w:t>
      </w:r>
    </w:p>
    <w:p>
      <w:pPr>
        <w:spacing w:after="0" w:line="242" w:lineRule="exact"/>
        <w:rPr>
          <w:rFonts w:ascii="Arial" w:cs="Arial" w:eastAsia="Arial" w:hAnsi="Arial"/>
          <w:sz w:val="19"/>
          <w:szCs w:val="19"/>
          <w:color w:val="auto"/>
        </w:rPr>
      </w:pPr>
    </w:p>
    <w:p>
      <w:pPr>
        <w:ind w:left="2860" w:hanging="907"/>
        <w:spacing w:after="0"/>
        <w:tabs>
          <w:tab w:leader="none" w:pos="28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any pronoun shall include the corresponding masculine, feminine and neuter forms;</w:t>
      </w:r>
    </w:p>
    <w:p>
      <w:pPr>
        <w:spacing w:after="0" w:line="260" w:lineRule="exact"/>
        <w:rPr>
          <w:rFonts w:ascii="Arial" w:cs="Arial" w:eastAsia="Arial" w:hAnsi="Arial"/>
          <w:sz w:val="22"/>
          <w:szCs w:val="22"/>
          <w:color w:val="auto"/>
        </w:rPr>
      </w:pPr>
    </w:p>
    <w:p>
      <w:pPr>
        <w:ind w:left="660" w:firstLine="1293"/>
        <w:spacing w:after="0" w:line="263" w:lineRule="auto"/>
        <w:tabs>
          <w:tab w:leader="none" w:pos="2929"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Agreement in its entirety and not to any particular Article, Section or other subdivision hereof;</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917" w:val="left"/>
        </w:tabs>
        <w:numPr>
          <w:ilvl w:val="1"/>
          <w:numId w:val="250"/>
        </w:numPr>
        <w:rPr>
          <w:rFonts w:ascii="Arial" w:cs="Arial" w:eastAsia="Arial" w:hAnsi="Arial"/>
          <w:sz w:val="22"/>
          <w:szCs w:val="22"/>
          <w:color w:val="auto"/>
        </w:rPr>
      </w:pPr>
      <w:r>
        <w:rPr>
          <w:rFonts w:ascii="Arial" w:cs="Arial" w:eastAsia="Arial" w:hAnsi="Arial"/>
          <w:sz w:val="22"/>
          <w:szCs w:val="22"/>
          <w:color w:val="auto"/>
        </w:rPr>
        <w:t xml:space="preserve">any reference to any Person includes such Person’s successors and assigns, including any Person that becomes a successor to WIL-Ireland as a result of a Redomestication, and reference to a Person in a particular capacity excludes such Person in any other capacity or individually,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clause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is intended to authorize any assignment not otherwise permitted by this Agreement;</w:t>
      </w:r>
    </w:p>
    <w:p>
      <w:pPr>
        <w:spacing w:after="0" w:line="228" w:lineRule="exact"/>
        <w:rPr>
          <w:rFonts w:ascii="Arial" w:cs="Arial" w:eastAsia="Arial" w:hAnsi="Arial"/>
          <w:sz w:val="22"/>
          <w:szCs w:val="22"/>
          <w:color w:val="auto"/>
        </w:rPr>
      </w:pPr>
    </w:p>
    <w:p>
      <w:pPr>
        <w:jc w:val="both"/>
        <w:ind w:left="660" w:firstLine="1293"/>
        <w:spacing w:after="0" w:line="297" w:lineRule="auto"/>
        <w:tabs>
          <w:tab w:leader="none" w:pos="2857" w:val="left"/>
        </w:tabs>
        <w:numPr>
          <w:ilvl w:val="1"/>
          <w:numId w:val="250"/>
        </w:numPr>
        <w:rPr>
          <w:rFonts w:ascii="Arial" w:cs="Arial" w:eastAsia="Arial" w:hAnsi="Arial"/>
          <w:sz w:val="19"/>
          <w:szCs w:val="19"/>
          <w:color w:val="auto"/>
        </w:rPr>
      </w:pPr>
      <w:r>
        <w:rPr>
          <w:rFonts w:ascii="Arial" w:cs="Arial" w:eastAsia="Arial" w:hAnsi="Arial"/>
          <w:sz w:val="19"/>
          <w:szCs w:val="19"/>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 and any reference to any Note or other note includes any note issued pursuant hereto in extension or renewal thereof and in substitution or replacement therefor;</w:t>
      </w:r>
    </w:p>
    <w:p>
      <w:pPr>
        <w:spacing w:after="0" w:line="187" w:lineRule="exact"/>
        <w:rPr>
          <w:rFonts w:ascii="Arial" w:cs="Arial" w:eastAsia="Arial" w:hAnsi="Arial"/>
          <w:sz w:val="19"/>
          <w:szCs w:val="19"/>
          <w:color w:val="auto"/>
        </w:rPr>
      </w:pPr>
    </w:p>
    <w:p>
      <w:pPr>
        <w:ind w:left="660" w:firstLine="1293"/>
        <w:spacing w:after="0" w:line="263" w:lineRule="auto"/>
        <w:tabs>
          <w:tab w:leader="none" w:pos="2917"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any reference to any Article, Section, page, Schedule or Exhibit means such Article, Section or page hereof or such Schedule or Exhibit hereto;</w:t>
      </w:r>
    </w:p>
    <w:p>
      <w:pPr>
        <w:spacing w:after="0" w:line="215" w:lineRule="exact"/>
        <w:rPr>
          <w:rFonts w:ascii="Arial" w:cs="Arial" w:eastAsia="Arial" w:hAnsi="Arial"/>
          <w:sz w:val="22"/>
          <w:szCs w:val="22"/>
          <w:color w:val="auto"/>
        </w:rPr>
      </w:pPr>
    </w:p>
    <w:p>
      <w:pPr>
        <w:ind w:left="660" w:firstLine="1293"/>
        <w:spacing w:after="0" w:line="263" w:lineRule="auto"/>
        <w:tabs>
          <w:tab w:leader="none" w:pos="271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words “including”, “include” and “includes” shall be deemed to be followed by the phrase “without limitation” and the term “or” is not exclusive;</w:t>
      </w:r>
    </w:p>
    <w:p>
      <w:pPr>
        <w:spacing w:after="0" w:line="215" w:lineRule="exact"/>
        <w:rPr>
          <w:rFonts w:ascii="Arial" w:cs="Arial" w:eastAsia="Arial" w:hAnsi="Arial"/>
          <w:sz w:val="22"/>
          <w:szCs w:val="22"/>
          <w:color w:val="auto"/>
        </w:rPr>
      </w:pPr>
    </w:p>
    <w:p>
      <w:pPr>
        <w:ind w:left="660" w:firstLine="1293"/>
        <w:spacing w:after="0" w:line="263" w:lineRule="auto"/>
        <w:tabs>
          <w:tab w:leader="none" w:pos="2632" w:val="left"/>
        </w:tabs>
        <w:numPr>
          <w:ilvl w:val="1"/>
          <w:numId w:val="250"/>
        </w:numPr>
        <w:rPr>
          <w:rFonts w:ascii="Arial" w:cs="Arial" w:eastAsia="Arial" w:hAnsi="Arial"/>
          <w:sz w:val="22"/>
          <w:szCs w:val="22"/>
          <w:color w:val="auto"/>
        </w:rPr>
      </w:pPr>
      <w:r>
        <w:rPr>
          <w:rFonts w:ascii="Arial" w:cs="Arial" w:eastAsia="Arial" w:hAnsi="Arial"/>
          <w:sz w:val="22"/>
          <w:szCs w:val="22"/>
          <w:color w:val="auto"/>
        </w:rPr>
        <w:t>with respect to the determination of any period of time, except as expressly provided to the contrary, the word “from” means “from and including” and the word “to” means “to but excluding”;</w:t>
      </w:r>
    </w:p>
    <w:p>
      <w:pPr>
        <w:spacing w:after="0" w:line="215" w:lineRule="exact"/>
        <w:rPr>
          <w:rFonts w:ascii="Arial" w:cs="Arial" w:eastAsia="Arial" w:hAnsi="Arial"/>
          <w:sz w:val="22"/>
          <w:szCs w:val="22"/>
          <w:color w:val="auto"/>
        </w:rPr>
      </w:pPr>
    </w:p>
    <w:p>
      <w:pPr>
        <w:ind w:left="2480" w:hanging="527"/>
        <w:spacing w:after="0"/>
        <w:tabs>
          <w:tab w:leader="none" w:pos="248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word “will” shall be construed to have the same meaning and effect as the word “shall”;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0" w:name="page231"/>
    <w:bookmarkEnd w:id="230"/>
    <w:p>
      <w:pPr>
        <w:ind w:left="660" w:firstLine="1293"/>
        <w:spacing w:after="0" w:line="263" w:lineRule="auto"/>
        <w:tabs>
          <w:tab w:leader="none" w:pos="2435" w:val="left"/>
        </w:tabs>
        <w:numPr>
          <w:ilvl w:val="1"/>
          <w:numId w:val="251"/>
        </w:numPr>
        <w:rPr>
          <w:rFonts w:ascii="Arial" w:cs="Arial" w:eastAsia="Arial" w:hAnsi="Arial"/>
          <w:sz w:val="22"/>
          <w:szCs w:val="22"/>
          <w:color w:val="auto"/>
        </w:rPr>
      </w:pPr>
      <w:r>
        <w:rPr>
          <w:rFonts w:ascii="Arial" w:cs="Arial" w:eastAsia="Arial" w:hAnsi="Arial"/>
          <w:sz w:val="22"/>
          <w:szCs w:val="22"/>
          <w:color w:val="auto"/>
        </w:rPr>
        <w:t>any reference to any law, rule or regulation means such as amended, modified, codified or reenacted, in whole or in part, and in effect from time to time; and</w:t>
      </w:r>
    </w:p>
    <w:p>
      <w:pPr>
        <w:spacing w:after="0" w:line="215" w:lineRule="exact"/>
        <w:rPr>
          <w:rFonts w:ascii="Arial" w:cs="Arial" w:eastAsia="Arial" w:hAnsi="Arial"/>
          <w:sz w:val="22"/>
          <w:szCs w:val="22"/>
          <w:color w:val="auto"/>
        </w:rPr>
      </w:pPr>
    </w:p>
    <w:p>
      <w:pPr>
        <w:ind w:left="660" w:right="20" w:firstLine="1293"/>
        <w:spacing w:after="0" w:line="343" w:lineRule="auto"/>
        <w:tabs>
          <w:tab w:leader="none" w:pos="2523"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145" w:lineRule="exact"/>
        <w:rPr>
          <w:rFonts w:ascii="Arial" w:cs="Arial" w:eastAsia="Arial" w:hAnsi="Arial"/>
          <w:sz w:val="19"/>
          <w:szCs w:val="19"/>
          <w:color w:val="auto"/>
        </w:rPr>
      </w:pPr>
    </w:p>
    <w:p>
      <w:pPr>
        <w:ind w:firstLine="1305"/>
        <w:spacing w:after="0" w:line="263" w:lineRule="auto"/>
        <w:tabs>
          <w:tab w:leader="none" w:pos="1873"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Article and Section headings herein and in the Table of Contents are for convenience only and shall not affect the construction hereof.</w:t>
      </w:r>
    </w:p>
    <w:p>
      <w:pPr>
        <w:spacing w:after="0" w:line="215" w:lineRule="exact"/>
        <w:rPr>
          <w:rFonts w:ascii="Arial" w:cs="Arial" w:eastAsia="Arial" w:hAnsi="Arial"/>
          <w:sz w:val="22"/>
          <w:szCs w:val="22"/>
          <w:color w:val="auto"/>
        </w:rPr>
      </w:pPr>
    </w:p>
    <w:p>
      <w:pPr>
        <w:ind w:firstLine="1305"/>
        <w:spacing w:after="0" w:line="263" w:lineRule="auto"/>
        <w:tabs>
          <w:tab w:leader="none" w:pos="181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No provision of this Agreement shall be interpreted or construed against any Person solely because that Person or its legal representative drafted such provision.</w:t>
      </w:r>
    </w:p>
    <w:p>
      <w:pPr>
        <w:spacing w:after="0" w:line="215" w:lineRule="exact"/>
        <w:rPr>
          <w:rFonts w:ascii="Arial" w:cs="Arial" w:eastAsia="Arial" w:hAnsi="Arial"/>
          <w:sz w:val="22"/>
          <w:szCs w:val="22"/>
          <w:color w:val="auto"/>
        </w:rPr>
      </w:pPr>
    </w:p>
    <w:p>
      <w:pPr>
        <w:jc w:val="both"/>
        <w:ind w:right="20" w:firstLine="1305"/>
        <w:spacing w:after="0" w:line="312" w:lineRule="auto"/>
        <w:tabs>
          <w:tab w:leader="none" w:pos="191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COMMITMENTS; LOANS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61" w:lineRule="auto"/>
        <w:tabs>
          <w:tab w:leader="none" w:pos="2052" w:val="left"/>
        </w:tabs>
        <w:numPr>
          <w:ilvl w:val="0"/>
          <w:numId w:val="253"/>
        </w:numPr>
        <w:rPr>
          <w:rFonts w:ascii="Arial" w:cs="Arial" w:eastAsia="Arial" w:hAnsi="Arial"/>
          <w:sz w:val="21"/>
          <w:szCs w:val="21"/>
          <w:color w:val="auto"/>
        </w:rPr>
      </w:pPr>
      <w:r>
        <w:rPr>
          <w:rFonts w:ascii="Arial" w:cs="Arial" w:eastAsia="Arial" w:hAnsi="Arial"/>
          <w:sz w:val="21"/>
          <w:szCs w:val="21"/>
          <w:color w:val="auto"/>
        </w:rPr>
        <w:t>Subject to the terms and conditions set forth herein, each Lender agrees to make a single term loan denominated in Dollars to the Borrower (each such loan, a “</w:t>
      </w:r>
      <w:r>
        <w:rPr>
          <w:rFonts w:ascii="Arial" w:cs="Arial" w:eastAsia="Arial" w:hAnsi="Arial"/>
          <w:sz w:val="21"/>
          <w:szCs w:val="21"/>
          <w:u w:val="single" w:color="auto"/>
          <w:color w:val="auto"/>
        </w:rPr>
        <w:t>Loan</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Loans</w:t>
      </w:r>
      <w:r>
        <w:rPr>
          <w:rFonts w:ascii="Arial" w:cs="Arial" w:eastAsia="Arial" w:hAnsi="Arial"/>
          <w:sz w:val="21"/>
          <w:szCs w:val="21"/>
          <w:color w:val="auto"/>
        </w:rPr>
        <w:t>”), on the Effective Date in a principal amount equal to such Lender’s Commitment. The Borrower may make only one borrowing of Loans hereunder, which shall consist of Loans requested to be made simultaneously by the Lenders on the Effective Date in accordance with their respective Applicable Percentages, provided that the Initial Borrowing of Loans hereunder may consist of more than one Type. Amounts borrowed under this Section 2.01(a) and repaid or prepaid may not be reborrowed.</w:t>
      </w:r>
    </w:p>
    <w:p>
      <w:pPr>
        <w:spacing w:after="0" w:line="220" w:lineRule="exact"/>
        <w:rPr>
          <w:rFonts w:ascii="Arial" w:cs="Arial" w:eastAsia="Arial" w:hAnsi="Arial"/>
          <w:sz w:val="21"/>
          <w:szCs w:val="21"/>
          <w:color w:val="auto"/>
        </w:rPr>
      </w:pPr>
    </w:p>
    <w:p>
      <w:pPr>
        <w:jc w:val="both"/>
        <w:ind w:right="20" w:firstLine="1305"/>
        <w:spacing w:after="0" w:line="253" w:lineRule="auto"/>
        <w:tabs>
          <w:tab w:leader="none" w:pos="183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xml:space="preserve">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its Loan as required.</w:t>
      </w:r>
    </w:p>
    <w:p>
      <w:pPr>
        <w:spacing w:after="0" w:line="226" w:lineRule="exact"/>
        <w:rPr>
          <w:rFonts w:ascii="Arial" w:cs="Arial" w:eastAsia="Arial" w:hAnsi="Arial"/>
          <w:sz w:val="22"/>
          <w:szCs w:val="22"/>
          <w:color w:val="auto"/>
        </w:rPr>
      </w:pPr>
    </w:p>
    <w:p>
      <w:pPr>
        <w:jc w:val="both"/>
        <w:ind w:firstLine="1305"/>
        <w:spacing w:after="0" w:line="265" w:lineRule="auto"/>
        <w:tabs>
          <w:tab w:leader="none" w:pos="1816" w:val="left"/>
        </w:tabs>
        <w:numPr>
          <w:ilvl w:val="0"/>
          <w:numId w:val="253"/>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each Borrowing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 to repay such Loan in accordance with the terms of this Agreement.</w:t>
      </w:r>
    </w:p>
    <w:p>
      <w:pPr>
        <w:spacing w:after="0" w:line="216" w:lineRule="exact"/>
        <w:rPr>
          <w:rFonts w:ascii="Arial" w:cs="Arial" w:eastAsia="Arial" w:hAnsi="Arial"/>
          <w:sz w:val="21"/>
          <w:szCs w:val="21"/>
          <w:color w:val="auto"/>
        </w:rPr>
      </w:pPr>
    </w:p>
    <w:p>
      <w:pPr>
        <w:jc w:val="both"/>
        <w:ind w:firstLine="1305"/>
        <w:spacing w:after="0" w:line="248" w:lineRule="auto"/>
        <w:tabs>
          <w:tab w:leader="none" w:pos="1877"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xml:space="preserve">At the commencement of each Interest Period for any Eurodollar Borrowing, such Borrowing shall be in an aggregate amount that is an integral multiple of $1,000,000 and not less than $10,000,000. At the time that each ABR Borrowing is made, such ABR Borrowing shall be in an aggregate amount that is an integral multiple of $1,000,000 and not less than $10,000,000. Borrowings of more than one Type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shall not at any time be more than a total of ten Eurodollar Borrowings outstanding.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1" w:name="page232"/>
    <w:bookmarkEnd w:id="231"/>
    <w:p>
      <w:pPr>
        <w:ind w:right="20" w:firstLine="1305"/>
        <w:spacing w:after="0" w:line="287" w:lineRule="auto"/>
        <w:tabs>
          <w:tab w:leader="none" w:pos="1851" w:val="left"/>
        </w:tabs>
        <w:numPr>
          <w:ilvl w:val="0"/>
          <w:numId w:val="254"/>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the Borrower shall not be entitled to elect to convert or continue any Borrowing if the Interest Period requested with respect thereto would end after the Maturity Date.</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Request for Initial Borrowing of Loans</w:t>
      </w:r>
      <w:r>
        <w:rPr>
          <w:rFonts w:ascii="Arial" w:cs="Arial" w:eastAsia="Arial" w:hAnsi="Arial"/>
          <w:sz w:val="22"/>
          <w:szCs w:val="22"/>
          <w:color w:val="auto"/>
        </w:rPr>
        <w:t xml:space="preserve">. To request the Initial Borrowing, the Borrower shall notify the Administrative Agent (and the Administrative Agent shall promptly thereafter notify the Lenders) of such request in writing (a) in the event the Loans are to be made initially as Eurodollar Loans, not later than 11:00 a.m., New York City time, three Business Days before the Effective Date, or (b) in the event the Loans are to be made initially as ABR Loans, not later than 11:30 a.m., New York City time, on the Effective Date. Such Borrowing Request shall be irrevocable and shall specify the following information in compliance with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34" w:lineRule="exact"/>
        <w:rPr>
          <w:sz w:val="20"/>
          <w:szCs w:val="20"/>
          <w:color w:val="auto"/>
        </w:rPr>
      </w:pPr>
    </w:p>
    <w:p>
      <w:pPr>
        <w:ind w:left="2420" w:hanging="467"/>
        <w:spacing w:after="0"/>
        <w:tabs>
          <w:tab w:leader="none" w:pos="242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aggregate principal amount of the Initial Borrowing, which shall be $500,000,000;</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date of the Initial Borrowing, which shall be the Effective Date;</w:t>
      </w:r>
    </w:p>
    <w:p>
      <w:pPr>
        <w:spacing w:after="0" w:line="260" w:lineRule="exact"/>
        <w:rPr>
          <w:rFonts w:ascii="Arial" w:cs="Arial" w:eastAsia="Arial" w:hAnsi="Arial"/>
          <w:sz w:val="22"/>
          <w:szCs w:val="22"/>
          <w:color w:val="auto"/>
        </w:rPr>
      </w:pPr>
    </w:p>
    <w:p>
      <w:pPr>
        <w:ind w:left="2600" w:hanging="647"/>
        <w:spacing w:after="0"/>
        <w:tabs>
          <w:tab w:leader="none" w:pos="260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whether the Loans are to be made as an ABR Borrowing or one or more Eurodollar Borrowings or a</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combination thereof;</w:t>
      </w:r>
    </w:p>
    <w:p>
      <w:pPr>
        <w:spacing w:after="0" w:line="242" w:lineRule="exact"/>
        <w:rPr>
          <w:rFonts w:ascii="Arial" w:cs="Arial" w:eastAsia="Arial" w:hAnsi="Arial"/>
          <w:sz w:val="19"/>
          <w:szCs w:val="19"/>
          <w:color w:val="auto"/>
        </w:rPr>
      </w:pPr>
    </w:p>
    <w:p>
      <w:pPr>
        <w:ind w:left="660" w:firstLine="1293"/>
        <w:spacing w:after="0" w:line="263" w:lineRule="auto"/>
        <w:tabs>
          <w:tab w:leader="none" w:pos="2584"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 and</w:t>
      </w:r>
    </w:p>
    <w:p>
      <w:pPr>
        <w:spacing w:after="0" w:line="215" w:lineRule="exact"/>
        <w:rPr>
          <w:rFonts w:ascii="Arial" w:cs="Arial" w:eastAsia="Arial" w:hAnsi="Arial"/>
          <w:sz w:val="22"/>
          <w:szCs w:val="22"/>
          <w:color w:val="auto"/>
        </w:rPr>
      </w:pPr>
    </w:p>
    <w:p>
      <w:pPr>
        <w:ind w:left="660" w:firstLine="1293"/>
        <w:spacing w:after="0" w:line="263" w:lineRule="auto"/>
        <w:tabs>
          <w:tab w:leader="none" w:pos="248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the location and number of the account of the Borrower to which funds are to be disbursed, which shall comply with the requirements of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no election as to the Type of Borrowing is specified, then the Loans shall be made as an ABR Borrowing. If no Interest Period is specified with respect to any requested Eurodollar Borrowing, then the Borrower shall be deemed to have selected an Interest Period of one month’s duration. Promptly following receipt of the Borrowing Request in accordance with this Section, the Administrative Agent shall advise each Lender of the details thereof and of the amount of such Lender’s Loan to be made as part of the Initial Borrowing.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2.03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61" w:lineRule="auto"/>
        <w:tabs>
          <w:tab w:leader="none" w:pos="1831"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Each Lender shall make the Loan to be made by it hereunder on the Effective Date thereof by wire transfer of immediately available funds (i) by 12:00 noon, New York City time, in the event the Initial Borrowing consists of Eurodollar Loans and (ii) by 1:30 p.m., New York City time, in the event the Initial Borrowing consists of ABR Loans, to the account of the Administrative Agent most recently designated by it for such purpose by notice to the Lenders. The Administrative Agent shall make such Loans available to the Borrower by promptly crediting the amounts so received in like funds to an account of the Borrower designated by the Borrower in the Borrowing Request.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2" w:name="page233"/>
    <w:bookmarkEnd w:id="232"/>
    <w:p>
      <w:pPr>
        <w:jc w:val="both"/>
        <w:ind w:firstLine="1305"/>
        <w:spacing w:after="0" w:line="287" w:lineRule="auto"/>
        <w:tabs>
          <w:tab w:leader="none" w:pos="188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Effective Date (or, in the event the Loans are to be made initially as ABR Loans, prior to 12:30 p.m., New York City time, on the Effective Date) that such Lender shall not make available to the Administrative Agent such Lender’s ratable portion of the Initial Borrowing, the Administrative Agent may assume that such Lender has made such ratable portion available on such date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may, in reliance upon such assumption, make available to the Borrower a corresponding amount. In such event, if a Lender has not in fact made its share of the Initial Borrowing available to the Administrative Agent, then the Borrower and the applicable Lender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(A) the Federal Funds Effective Rate and (B) a rate determined by the Administrative Agent in accordance with banking industry rules on interbank compensation or (ii) in the case of the Borrower, the interest rate applicable to the Loans comprising the Initial Borrowing. If such Lender pays such amount to the Administrative Agent, then such amount shall constitute such Lender’s Loan.</w:t>
      </w:r>
    </w:p>
    <w:p>
      <w:pPr>
        <w:spacing w:after="0" w:line="200" w:lineRule="exact"/>
        <w:rPr>
          <w:rFonts w:ascii="Arial" w:cs="Arial" w:eastAsia="Arial" w:hAnsi="Arial"/>
          <w:sz w:val="19"/>
          <w:szCs w:val="19"/>
          <w:color w:val="auto"/>
        </w:rPr>
      </w:pPr>
    </w:p>
    <w:p>
      <w:pPr>
        <w:jc w:val="both"/>
        <w:ind w:firstLine="1305"/>
        <w:spacing w:after="0" w:line="312" w:lineRule="auto"/>
        <w:tabs>
          <w:tab w:leader="none" w:pos="193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(i) Any Lender may, with notice to the Administrative Agent and WIL-Ireland, fulfill its Commitment by causing an Affiliate of such Lender to act as the Lender in respect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the Loans made to the Borrower in accordance with the terms of this Agreement.</w:t>
      </w:r>
    </w:p>
    <w:p>
      <w:pPr>
        <w:spacing w:after="0" w:line="174" w:lineRule="exact"/>
        <w:rPr>
          <w:rFonts w:ascii="Arial" w:cs="Arial" w:eastAsia="Arial" w:hAnsi="Arial"/>
          <w:sz w:val="19"/>
          <w:szCs w:val="19"/>
          <w:color w:val="auto"/>
        </w:rPr>
      </w:pPr>
    </w:p>
    <w:p>
      <w:pPr>
        <w:jc w:val="both"/>
        <w:ind w:left="660" w:firstLine="1293"/>
        <w:spacing w:after="0" w:line="286" w:lineRule="auto"/>
        <w:tabs>
          <w:tab w:leader="none" w:pos="229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 xml:space="preserve">As a condition to any Lender being permitted to fulfill its Commitment by causing an Affiliate of such Lender to act as the Lender under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such Affiliate must comply with </w:t>
      </w:r>
      <w:r>
        <w:rPr>
          <w:rFonts w:ascii="Arial" w:cs="Arial" w:eastAsia="Arial" w:hAnsi="Arial"/>
          <w:sz w:val="19"/>
          <w:szCs w:val="19"/>
          <w:u w:val="single" w:color="auto"/>
          <w:color w:val="auto"/>
        </w:rPr>
        <w:t>Sections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4.02(e)</w:t>
      </w:r>
      <w:r>
        <w:rPr>
          <w:rFonts w:ascii="Arial" w:cs="Arial" w:eastAsia="Arial" w:hAnsi="Arial"/>
          <w:sz w:val="19"/>
          <w:szCs w:val="19"/>
          <w:color w:val="auto"/>
        </w:rPr>
        <w:t xml:space="preserve"> as if it were a Lender that became a party to this Agreement pursuant to an Assignment and Assumption executed on the first date on which such Commitment is being fulfilled by such Affiliate. Additionally, in applying the provisions of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the definition of “Excluded Taxes”, such Affiliate shall be treated as a Lender that executed an Assignment and Assumption on the first date on which such Commitment is fulfilled by such Affiliate. Notwithstanding anything in this Agreement to the contrary, an Affiliate acting as a Lender under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not be entitled to any greater gross-up or indemnity under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than that to which the applicable Lender would have been entitled had such Affiliate not acted as a Lender under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if an Affiliate is acting as a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solely as a result of a Lender being unable to fulfill its Commitment to the Borrower due to a Requirement of Law, such Affiliate shall be entitled to a gross-up or indemnification to the same extent that would have resulted had such Lender made an assignment to such Affiliate under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Moreover, nothing in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construed as making an Affiliate of any Lender a beneficial owner of payments received as a result of such Affiliate’s fulfillment of such Lender’s Commitment to the extent the arrangement between such Lender and such Affiliate is one whereby such Affiliate is merely acting as an agent for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3" w:name="page234"/>
    <w:bookmarkEnd w:id="233"/>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867" w:val="left"/>
        </w:tabs>
        <w:numPr>
          <w:ilvl w:val="0"/>
          <w:numId w:val="258"/>
        </w:numPr>
        <w:rPr>
          <w:rFonts w:ascii="Arial" w:cs="Arial" w:eastAsia="Arial" w:hAnsi="Arial"/>
          <w:sz w:val="21"/>
          <w:szCs w:val="21"/>
          <w:color w:val="auto"/>
        </w:rPr>
      </w:pPr>
      <w:r>
        <w:rPr>
          <w:rFonts w:ascii="Arial" w:cs="Arial" w:eastAsia="Arial" w:hAnsi="Arial"/>
          <w:sz w:val="21"/>
          <w:szCs w:val="21"/>
          <w:color w:val="auto"/>
        </w:rPr>
        <w:t xml:space="preserve">The Loans made on the Effective Date may consist of one or more Borrowings, which shall be of the Types (whether one or more) specified in the Borrowing Request and, in the case of a Eurodollar Borrowing, shall have initial Interest Period(s) as specified in the Borrowing Request or as otherwise provided pursuant to </w:t>
      </w:r>
      <w:r>
        <w:rPr>
          <w:rFonts w:ascii="Arial" w:cs="Arial" w:eastAsia="Arial" w:hAnsi="Arial"/>
          <w:sz w:val="21"/>
          <w:szCs w:val="21"/>
          <w:u w:val="single" w:color="auto"/>
          <w:color w:val="auto"/>
        </w:rPr>
        <w:t>Section 2.02</w:t>
      </w:r>
      <w:r>
        <w:rPr>
          <w:rFonts w:ascii="Arial" w:cs="Arial" w:eastAsia="Arial" w:hAnsi="Arial"/>
          <w:sz w:val="21"/>
          <w:szCs w:val="21"/>
          <w:color w:val="auto"/>
        </w:rPr>
        <w:t xml:space="preserve">. Thereafter, the Borrower may, at any time and from time to time, elect to convert any Borrowing to one or more different Types or to continue such Borrowing and, in the case of a Eurodollar Borrowing, may elect Interest Periods therefor, all as provided in this Section;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connection with any such election, the Borrower shall be subject to all applicable payment obligations set forth in </w:t>
      </w:r>
      <w:r>
        <w:rPr>
          <w:rFonts w:ascii="Arial" w:cs="Arial" w:eastAsia="Arial" w:hAnsi="Arial"/>
          <w:sz w:val="21"/>
          <w:szCs w:val="21"/>
          <w:u w:val="single" w:color="auto"/>
          <w:color w:val="auto"/>
        </w:rPr>
        <w:t>Section 2.13</w:t>
      </w:r>
      <w:r>
        <w:rPr>
          <w:rFonts w:ascii="Arial" w:cs="Arial" w:eastAsia="Arial" w:hAnsi="Arial"/>
          <w:sz w:val="21"/>
          <w:szCs w:val="21"/>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20" w:lineRule="exact"/>
        <w:rPr>
          <w:rFonts w:ascii="Arial" w:cs="Arial" w:eastAsia="Arial" w:hAnsi="Arial"/>
          <w:sz w:val="21"/>
          <w:szCs w:val="21"/>
          <w:color w:val="auto"/>
        </w:rPr>
      </w:pPr>
    </w:p>
    <w:p>
      <w:pPr>
        <w:jc w:val="both"/>
        <w:ind w:firstLine="1305"/>
        <w:spacing w:after="0" w:line="246" w:lineRule="auto"/>
        <w:tabs>
          <w:tab w:leader="none" w:pos="1943"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To make an election pursuant to this Section, the Borrower shall notify the Administrative Agent of such election by telephone (i) in the event the Loans are to be converted to or continued as Eurodollar Loans, not later than 11:30 a.m., New York City time, three Business Days before the requested date of conversion or continuation, or (ii) in the event the Loans are to be converted to ABR Loans, not later than 11:00 a.m., New York City time, on the requested date of conversion. Each such telephonic Interest Election Request shall be irrevocable and shall be confirmed promptly by hand delivery or by facsimile transmission or electronic transmission (in .pdf format) to the Administrative Agent of a written Interest Election Request signed by the Borrower.</w:t>
      </w:r>
    </w:p>
    <w:p>
      <w:pPr>
        <w:spacing w:after="0" w:line="237" w:lineRule="exact"/>
        <w:rPr>
          <w:rFonts w:ascii="Arial" w:cs="Arial" w:eastAsia="Arial" w:hAnsi="Arial"/>
          <w:sz w:val="22"/>
          <w:szCs w:val="22"/>
          <w:color w:val="auto"/>
        </w:rPr>
      </w:pPr>
    </w:p>
    <w:p>
      <w:pPr>
        <w:ind w:left="1880" w:hanging="575"/>
        <w:spacing w:after="0"/>
        <w:tabs>
          <w:tab w:leader="none" w:pos="188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jc w:val="both"/>
        <w:ind w:left="660" w:firstLine="1293"/>
        <w:spacing w:after="0" w:line="312" w:lineRule="auto"/>
        <w:tabs>
          <w:tab w:leader="none" w:pos="2601" w:val="left"/>
        </w:tabs>
        <w:numPr>
          <w:ilvl w:val="1"/>
          <w:numId w:val="258"/>
        </w:numPr>
        <w:rPr>
          <w:rFonts w:ascii="Arial" w:cs="Arial" w:eastAsia="Arial" w:hAnsi="Arial"/>
          <w:sz w:val="19"/>
          <w:szCs w:val="19"/>
          <w:color w:val="auto"/>
        </w:rPr>
      </w:pPr>
      <w:r>
        <w:rPr>
          <w:rFonts w:ascii="Arial" w:cs="Arial" w:eastAsia="Arial" w:hAnsi="Arial"/>
          <w:sz w:val="19"/>
          <w:szCs w:val="19"/>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below shall be specified for each resulting Borrowing);</w:t>
      </w:r>
    </w:p>
    <w:p>
      <w:pPr>
        <w:spacing w:after="0" w:line="174" w:lineRule="exact"/>
        <w:rPr>
          <w:rFonts w:ascii="Arial" w:cs="Arial" w:eastAsia="Arial" w:hAnsi="Arial"/>
          <w:sz w:val="19"/>
          <w:szCs w:val="19"/>
          <w:color w:val="auto"/>
        </w:rPr>
      </w:pPr>
    </w:p>
    <w:p>
      <w:pPr>
        <w:ind w:left="2540" w:hanging="587"/>
        <w:spacing w:after="0"/>
        <w:tabs>
          <w:tab w:leader="none" w:pos="2540" w:val="left"/>
        </w:tabs>
        <w:numPr>
          <w:ilvl w:val="1"/>
          <w:numId w:val="258"/>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242" w:lineRule="exact"/>
        <w:rPr>
          <w:rFonts w:ascii="Arial" w:cs="Arial" w:eastAsia="Arial" w:hAnsi="Arial"/>
          <w:sz w:val="19"/>
          <w:szCs w:val="19"/>
          <w:color w:val="auto"/>
        </w:rPr>
      </w:pPr>
    </w:p>
    <w:p>
      <w:pPr>
        <w:ind w:left="2500" w:hanging="547"/>
        <w:spacing w:after="0"/>
        <w:tabs>
          <w:tab w:leader="none" w:pos="250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Eurodollar Borrowing; and</w:t>
      </w:r>
    </w:p>
    <w:p>
      <w:pPr>
        <w:spacing w:after="0" w:line="260" w:lineRule="exact"/>
        <w:rPr>
          <w:rFonts w:ascii="Arial" w:cs="Arial" w:eastAsia="Arial" w:hAnsi="Arial"/>
          <w:sz w:val="22"/>
          <w:szCs w:val="22"/>
          <w:color w:val="auto"/>
        </w:rPr>
      </w:pPr>
    </w:p>
    <w:p>
      <w:pPr>
        <w:ind w:left="660" w:firstLine="1293"/>
        <w:spacing w:after="0" w:line="343" w:lineRule="auto"/>
        <w:tabs>
          <w:tab w:leader="none" w:pos="2516" w:val="left"/>
        </w:tabs>
        <w:numPr>
          <w:ilvl w:val="1"/>
          <w:numId w:val="258"/>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4" w:name="page235"/>
    <w:bookmarkEnd w:id="234"/>
    <w:p>
      <w:pPr>
        <w:spacing w:after="0" w:line="263"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75" w:lineRule="exact"/>
        <w:rPr>
          <w:sz w:val="20"/>
          <w:szCs w:val="20"/>
          <w:color w:val="auto"/>
        </w:rPr>
      </w:pPr>
    </w:p>
    <w:p>
      <w:pPr>
        <w:ind w:firstLine="1305"/>
        <w:spacing w:after="0" w:line="263" w:lineRule="auto"/>
        <w:tabs>
          <w:tab w:leader="none" w:pos="1829" w:val="left"/>
        </w:tabs>
        <w:numPr>
          <w:ilvl w:val="0"/>
          <w:numId w:val="259"/>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215" w:lineRule="exact"/>
        <w:rPr>
          <w:rFonts w:ascii="Arial" w:cs="Arial" w:eastAsia="Arial" w:hAnsi="Arial"/>
          <w:sz w:val="22"/>
          <w:szCs w:val="22"/>
          <w:color w:val="auto"/>
        </w:rPr>
      </w:pPr>
    </w:p>
    <w:p>
      <w:pPr>
        <w:jc w:val="both"/>
        <w:ind w:firstLine="1305"/>
        <w:spacing w:after="0" w:line="246" w:lineRule="auto"/>
        <w:tabs>
          <w:tab w:leader="none" w:pos="1773" w:val="left"/>
        </w:tabs>
        <w:numPr>
          <w:ilvl w:val="0"/>
          <w:numId w:val="259"/>
        </w:numPr>
        <w:rPr>
          <w:rFonts w:ascii="Arial" w:cs="Arial" w:eastAsia="Arial" w:hAnsi="Arial"/>
          <w:sz w:val="22"/>
          <w:szCs w:val="22"/>
          <w:color w:val="auto"/>
        </w:rPr>
      </w:pPr>
      <w:r>
        <w:rPr>
          <w:rFonts w:ascii="Arial" w:cs="Arial" w:eastAsia="Arial" w:hAnsi="Arial"/>
          <w:sz w:val="22"/>
          <w:szCs w:val="22"/>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(1) no outstanding Borrowing may be converted to or continued as a Eurodollar Borrowing and (2) unless repaid, each Eurodollar Borrowing shall be converted to an ABR Borrowing at the end of the Interest Period applicable thereto.</w:t>
      </w:r>
    </w:p>
    <w:p>
      <w:pPr>
        <w:spacing w:after="0" w:line="23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Termination of Commitments</w:t>
      </w:r>
      <w:r>
        <w:rPr>
          <w:rFonts w:ascii="Arial" w:cs="Arial" w:eastAsia="Arial" w:hAnsi="Arial"/>
          <w:sz w:val="22"/>
          <w:szCs w:val="22"/>
          <w:color w:val="auto"/>
        </w:rPr>
        <w:t>. The Commitments shall be automatically and permanently reduced to zero after giving effect to the Initial Borrowing on the Effective Date.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Repayment of Loans; Amortization; Evidence of Debt.</w:t>
      </w:r>
    </w:p>
    <w:p>
      <w:pPr>
        <w:spacing w:after="0" w:line="260" w:lineRule="exact"/>
        <w:rPr>
          <w:sz w:val="20"/>
          <w:szCs w:val="20"/>
          <w:color w:val="auto"/>
        </w:rPr>
      </w:pPr>
    </w:p>
    <w:p>
      <w:pPr>
        <w:ind w:firstLine="1305"/>
        <w:spacing w:after="0" w:line="263" w:lineRule="auto"/>
        <w:tabs>
          <w:tab w:leader="none" w:pos="1845"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to the Administrative Agent for the account of each Lender the then unpaid principal amount of the Loan of such Lender on the Maturity Date.</w:t>
      </w:r>
    </w:p>
    <w:p>
      <w:pPr>
        <w:spacing w:after="0" w:line="215" w:lineRule="exact"/>
        <w:rPr>
          <w:rFonts w:ascii="Arial" w:cs="Arial" w:eastAsia="Arial" w:hAnsi="Arial"/>
          <w:sz w:val="22"/>
          <w:szCs w:val="22"/>
          <w:color w:val="auto"/>
        </w:rPr>
      </w:pPr>
    </w:p>
    <w:p>
      <w:pPr>
        <w:ind w:firstLine="1305"/>
        <w:spacing w:after="0" w:line="263" w:lineRule="auto"/>
        <w:tabs>
          <w:tab w:leader="none" w:pos="1847"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On the last day of each March, June, September and December (commencing on the last day of September 2016), the Borrower shall repay the Loans in an amount equal to $12,500,000.</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90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the Loan made by such Lender, including the amounts of principal and interest payable and paid to such Lender from time to time hereunder.</w:t>
      </w:r>
    </w:p>
    <w:p>
      <w:pPr>
        <w:spacing w:after="0" w:line="226" w:lineRule="exact"/>
        <w:rPr>
          <w:rFonts w:ascii="Arial" w:cs="Arial" w:eastAsia="Arial" w:hAnsi="Arial"/>
          <w:sz w:val="22"/>
          <w:szCs w:val="22"/>
          <w:color w:val="auto"/>
        </w:rPr>
      </w:pPr>
    </w:p>
    <w:p>
      <w:pPr>
        <w:jc w:val="both"/>
        <w:ind w:firstLine="1305"/>
        <w:spacing w:after="0" w:line="265" w:lineRule="auto"/>
        <w:tabs>
          <w:tab w:leader="none" w:pos="1812"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16" w:lineRule="exact"/>
        <w:rPr>
          <w:rFonts w:ascii="Arial" w:cs="Arial" w:eastAsia="Arial" w:hAnsi="Arial"/>
          <w:sz w:val="21"/>
          <w:szCs w:val="21"/>
          <w:color w:val="auto"/>
        </w:rPr>
      </w:pPr>
    </w:p>
    <w:p>
      <w:pPr>
        <w:jc w:val="both"/>
        <w:ind w:firstLine="1305"/>
        <w:spacing w:after="0" w:line="250" w:lineRule="auto"/>
        <w:tabs>
          <w:tab w:leader="none" w:pos="1753"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w:t>
      </w:r>
      <w:r>
        <w:rPr>
          <w:rFonts w:ascii="Arial" w:cs="Arial" w:eastAsia="Arial" w:hAnsi="Arial"/>
          <w:sz w:val="22"/>
          <w:szCs w:val="22"/>
          <w:u w:val="single" w:color="auto"/>
          <w:color w:val="auto"/>
        </w:rPr>
        <w:t>Section 2.07(c)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2.07(d)</w:t>
      </w:r>
      <w:r>
        <w:rPr>
          <w:rFonts w:ascii="Arial" w:cs="Arial" w:eastAsia="Arial" w:hAnsi="Arial"/>
          <w:sz w:val="22"/>
          <w:szCs w:val="22"/>
          <w:color w:val="auto"/>
        </w:rPr>
        <w:t xml:space="preserve"> of this Section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847" w:right="239" w:bottom="1440" w:gutter="0" w:footer="0" w:header="0"/>
        </w:sectPr>
      </w:pPr>
    </w:p>
    <w:bookmarkStart w:id="235" w:name="page236"/>
    <w:bookmarkEnd w:id="235"/>
    <w:p>
      <w:pPr>
        <w:jc w:val="both"/>
        <w:ind w:firstLine="1305"/>
        <w:spacing w:after="0" w:line="263" w:lineRule="auto"/>
        <w:tabs>
          <w:tab w:leader="none" w:pos="1822" w:val="left"/>
        </w:tabs>
        <w:numPr>
          <w:ilvl w:val="0"/>
          <w:numId w:val="261"/>
        </w:numPr>
        <w:rPr>
          <w:rFonts w:ascii="Arial" w:cs="Arial" w:eastAsia="Arial" w:hAnsi="Arial"/>
          <w:sz w:val="21"/>
          <w:szCs w:val="21"/>
          <w:color w:val="auto"/>
        </w:rPr>
      </w:pPr>
      <w:r>
        <w:rPr>
          <w:rFonts w:ascii="Arial" w:cs="Arial" w:eastAsia="Arial" w:hAnsi="Arial"/>
          <w:sz w:val="21"/>
          <w:szCs w:val="21"/>
          <w:color w:val="auto"/>
        </w:rPr>
        <w:t xml:space="preserve">After the Effective Date, any Lender by written notice to the Borrower (with a copy to the Administrative Agent) may request that the Loan made by it be evidenced by a Note. In such event, the Borrower shall prepare, execute and deliver to such Lender a Note payable to the order of such Lender and its permitted assigns. Thereafter, the Loan evidenced by such Note and interest thereon shall at all times (including after assignment pursuant to </w:t>
      </w:r>
      <w:r>
        <w:rPr>
          <w:rFonts w:ascii="Arial" w:cs="Arial" w:eastAsia="Arial" w:hAnsi="Arial"/>
          <w:sz w:val="21"/>
          <w:szCs w:val="21"/>
          <w:u w:val="single" w:color="auto"/>
          <w:color w:val="auto"/>
        </w:rPr>
        <w:t>Section 11.05</w:t>
      </w:r>
      <w:r>
        <w:rPr>
          <w:rFonts w:ascii="Arial" w:cs="Arial" w:eastAsia="Arial" w:hAnsi="Arial"/>
          <w:sz w:val="21"/>
          <w:szCs w:val="21"/>
          <w:color w:val="auto"/>
        </w:rPr>
        <w:t>) be represented by one or more Notes payable to the order of such Lender and its permitted assigns.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806"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Subject to prior notice in accordance with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the Borrower shall have the right at any time and from time to time to prepay any Borrowing in whole or in part, without premium or penalty (but subject to any amounts payable under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86" w:lineRule="auto"/>
        <w:tabs>
          <w:tab w:leader="none" w:pos="1894"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by telephone (promptly confirmed by hand delivery, facsimile or electronic transmission (in .pdf format)) of any prepayment hereunder (i) in the case of prepayment of a Eurodollar Borrowing, not later than 11:00 a.m., New York City time, one Business Day before the date of prepayment or (ii) in the case of prepayment of an ABR Borrowing, not later than 11:30 a.m., New York City time, on the same Business Day as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prepayment delivered by the Borrower may state that such notice is conditioned upon the effectiveness of other credit facilities or the closing of a securities offering (or any combination thereof), in which case such notice may be revoked by the Borrower (by notice to the Administrative Agent on or prior to the specified prepayment date) if such condition is not satisfied. Promptly following receipt of any such notice relating to a Borrowing, the Administrative Agent shall advise the Lenders of the contents thereof. Each partial prepayment of any Borrowing shall be in an aggregate amount that is an integral multiple of $1,000,000 and not less than $10,000,000.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All prepayments under, and each failure to make a prepayment specified in any prepayment notice delivered pursuant to, this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right="20" w:firstLine="1305"/>
        <w:spacing w:after="0" w:line="287" w:lineRule="auto"/>
        <w:tabs>
          <w:tab w:leader="none" w:pos="1788" w:val="left"/>
        </w:tabs>
        <w:numPr>
          <w:ilvl w:val="0"/>
          <w:numId w:val="262"/>
        </w:numPr>
        <w:rPr>
          <w:rFonts w:ascii="Arial" w:cs="Arial" w:eastAsia="Arial" w:hAnsi="Arial"/>
          <w:sz w:val="21"/>
          <w:szCs w:val="21"/>
          <w:color w:val="auto"/>
        </w:rPr>
      </w:pPr>
      <w:r>
        <w:rPr>
          <w:rFonts w:ascii="Arial" w:cs="Arial" w:eastAsia="Arial" w:hAnsi="Arial"/>
          <w:sz w:val="21"/>
          <w:szCs w:val="21"/>
          <w:color w:val="auto"/>
        </w:rPr>
        <w:t>On the date that a Change of Control occurs, the Commitments shall terminate and the Borrower shall prepay the principal amount of the Loans and all accrued and unpaid interest thereon in immediately available funds.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63" w:lineRule="auto"/>
        <w:tabs>
          <w:tab w:leader="none" w:pos="182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6" w:name="page237"/>
    <w:bookmarkEnd w:id="236"/>
    <w:p>
      <w:pPr>
        <w:jc w:val="both"/>
        <w:ind w:firstLine="1305"/>
        <w:spacing w:after="0" w:line="253" w:lineRule="auto"/>
        <w:tabs>
          <w:tab w:leader="none" w:pos="1755"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Fees paid shall not be refundable under any circumstances (unless otherwise agreed by the Administrative Agent with respect to fees payable to the Administrative Agent for its own account).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Interest.</w:t>
      </w:r>
    </w:p>
    <w:p>
      <w:pPr>
        <w:spacing w:after="0" w:line="260" w:lineRule="exact"/>
        <w:rPr>
          <w:sz w:val="20"/>
          <w:szCs w:val="20"/>
          <w:color w:val="auto"/>
        </w:rPr>
      </w:pPr>
    </w:p>
    <w:p>
      <w:pPr>
        <w:ind w:left="1780" w:hanging="475"/>
        <w:spacing w:after="0"/>
        <w:tabs>
          <w:tab w:leader="none" w:pos="178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Loans comprising each ABR Borrowing shall bear interest at the Alternate Base Rate plus the Applicable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Margin.</w:t>
      </w:r>
    </w:p>
    <w:p>
      <w:pPr>
        <w:spacing w:after="0" w:line="242" w:lineRule="exact"/>
        <w:rPr>
          <w:sz w:val="20"/>
          <w:szCs w:val="20"/>
          <w:color w:val="auto"/>
        </w:rPr>
      </w:pPr>
    </w:p>
    <w:p>
      <w:pPr>
        <w:ind w:firstLine="1305"/>
        <w:spacing w:after="0" w:line="263" w:lineRule="auto"/>
        <w:tabs>
          <w:tab w:leader="none" w:pos="1763"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Loans comprising each Eurodollar Borrowing shall bear interest at the Adjusted LIBO Rate for the Interest Period in effect for such Borrowing plus the Applicable Margin.</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178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2.000% plus the rate otherwise applicable to such Loan as provided in </w:t>
      </w:r>
      <w:r>
        <w:rPr>
          <w:rFonts w:ascii="Arial" w:cs="Arial" w:eastAsia="Arial" w:hAnsi="Arial"/>
          <w:sz w:val="19"/>
          <w:szCs w:val="19"/>
          <w:u w:val="single" w:color="auto"/>
          <w:color w:val="auto"/>
        </w:rPr>
        <w:t>Sections 2.10(a)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2.10(b)</w:t>
      </w:r>
      <w:r>
        <w:rPr>
          <w:rFonts w:ascii="Arial" w:cs="Arial" w:eastAsia="Arial" w:hAnsi="Arial"/>
          <w:sz w:val="19"/>
          <w:szCs w:val="19"/>
          <w:color w:val="auto"/>
        </w:rPr>
        <w:t xml:space="preserve"> or (ii) in the case of any other amount, 2.000% plus the rate applicable to ABR Borrowings as provided in </w:t>
      </w:r>
      <w:r>
        <w:rPr>
          <w:rFonts w:ascii="Arial" w:cs="Arial" w:eastAsia="Arial" w:hAnsi="Arial"/>
          <w:sz w:val="19"/>
          <w:szCs w:val="19"/>
          <w:u w:val="single" w:color="auto"/>
          <w:color w:val="auto"/>
        </w:rPr>
        <w:t>Section 2.10(a)</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firstLine="1305"/>
        <w:spacing w:after="0" w:line="297" w:lineRule="auto"/>
        <w:tabs>
          <w:tab w:leader="none" w:pos="176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shall be payable on demand, (ii) in the event of any repayment or prepayment of any Eurodollar Loan,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179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in accordance with the terms hereof, and such determination shall be presumed correct absent manifest error.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If prior to the commencement of any Interest Period for a Eurodollar Borrowing:</w:t>
      </w:r>
    </w:p>
    <w:p>
      <w:pPr>
        <w:spacing w:after="0" w:line="295" w:lineRule="exact"/>
        <w:rPr>
          <w:sz w:val="20"/>
          <w:szCs w:val="20"/>
          <w:color w:val="auto"/>
        </w:rPr>
      </w:pPr>
    </w:p>
    <w:p>
      <w:pPr>
        <w:jc w:val="both"/>
        <w:ind w:firstLine="1305"/>
        <w:spacing w:after="0" w:line="253" w:lineRule="auto"/>
        <w:tabs>
          <w:tab w:leader="none" w:pos="1936"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Administrative Agent reasonably determines (which determination shall be presumed correct absent manifest error) that adequate and reasonable means do not exist for ascertaining the Adjusted LIBO Rate or the LIBO Rate, as applicable, for such Interest Period;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7" w:name="page238"/>
    <w:bookmarkEnd w:id="237"/>
    <w:p>
      <w:pPr>
        <w:jc w:val="both"/>
        <w:ind w:right="20" w:firstLine="1305"/>
        <w:spacing w:after="0" w:line="253" w:lineRule="auto"/>
        <w:tabs>
          <w:tab w:leader="none" w:pos="180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Eurodollar Borrowing for such Interest Period;</w:t>
      </w:r>
    </w:p>
    <w:p>
      <w:pPr>
        <w:spacing w:after="0" w:line="200" w:lineRule="exact"/>
        <w:rPr>
          <w:sz w:val="20"/>
          <w:szCs w:val="20"/>
          <w:color w:val="auto"/>
        </w:rPr>
      </w:pPr>
    </w:p>
    <w:p>
      <w:pPr>
        <w:spacing w:after="0" w:line="24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then the Administrative Agent shall give written notice (by facsimile transmission or electronic transmission (in .pdf format)) thereof to the Borrower and the Lenders as promptly as practicable thereafter and, until the Administrative Agent notifies the Borrower and the Lenders that the circumstances giving rise to such notice no longer exist, (i) any Interest Election Request that requests the conversion of any ABR Borrowing to, or continuation of any Eurodollar Borrowing as, a Eurodollar Borrowing shall be ineffective, and, in the case of any request for the continuation of a Eurodollar Borrowing, such Eurodollar Borrowing shall on the last day of the then current Interest Period applicable thereto be converted to an ABR Borrowing and (ii) if any Borrowing Request requests a Eurodollar Borrowing, such Borrowing shall be made as an ABR Borrowing.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60" w:lineRule="exact"/>
        <w:rPr>
          <w:sz w:val="20"/>
          <w:szCs w:val="20"/>
          <w:color w:val="auto"/>
        </w:rPr>
      </w:pPr>
    </w:p>
    <w:p>
      <w:pPr>
        <w:ind w:left="1760" w:hanging="455"/>
        <w:spacing w:after="0"/>
        <w:tabs>
          <w:tab w:leader="none" w:pos="176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60" w:lineRule="exact"/>
        <w:rPr>
          <w:rFonts w:ascii="Arial" w:cs="Arial" w:eastAsia="Arial" w:hAnsi="Arial"/>
          <w:sz w:val="22"/>
          <w:szCs w:val="22"/>
          <w:color w:val="auto"/>
        </w:rPr>
      </w:pPr>
    </w:p>
    <w:p>
      <w:pPr>
        <w:jc w:val="both"/>
        <w:ind w:left="660" w:firstLine="1293"/>
        <w:spacing w:after="0" w:line="250" w:lineRule="auto"/>
        <w:tabs>
          <w:tab w:leader="none" w:pos="2559" w:val="left"/>
        </w:tabs>
        <w:numPr>
          <w:ilvl w:val="2"/>
          <w:numId w:val="269"/>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w:t>
      </w:r>
    </w:p>
    <w:p>
      <w:pPr>
        <w:spacing w:after="0" w:line="228" w:lineRule="exact"/>
        <w:rPr>
          <w:rFonts w:ascii="Arial" w:cs="Arial" w:eastAsia="Arial" w:hAnsi="Arial"/>
          <w:sz w:val="22"/>
          <w:szCs w:val="22"/>
          <w:color w:val="auto"/>
        </w:rPr>
      </w:pPr>
    </w:p>
    <w:p>
      <w:pPr>
        <w:ind w:left="660" w:firstLine="1293"/>
        <w:spacing w:after="0" w:line="263" w:lineRule="auto"/>
        <w:tabs>
          <w:tab w:leader="none" w:pos="2453" w:val="left"/>
        </w:tabs>
        <w:numPr>
          <w:ilvl w:val="2"/>
          <w:numId w:val="269"/>
        </w:numPr>
        <w:rPr>
          <w:rFonts w:ascii="Arial" w:cs="Arial" w:eastAsia="Arial" w:hAnsi="Arial"/>
          <w:sz w:val="22"/>
          <w:szCs w:val="22"/>
          <w:color w:val="auto"/>
        </w:rPr>
      </w:pPr>
      <w:r>
        <w:rPr>
          <w:rFonts w:ascii="Arial" w:cs="Arial" w:eastAsia="Arial" w:hAnsi="Arial"/>
          <w:sz w:val="22"/>
          <w:szCs w:val="22"/>
          <w:color w:val="auto"/>
        </w:rPr>
        <w:t>impose on any Lender or the London interbank market any other condition, cost or expense (other than Taxes) affecting this Agreement or Eurodollar Loans made by such Lender; or</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2"/>
          <w:numId w:val="269"/>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w:t>
      </w:r>
    </w:p>
    <w:p>
      <w:pPr>
        <w:spacing w:after="0" w:line="56" w:lineRule="exact"/>
        <w:rPr>
          <w:rFonts w:ascii="Arial" w:cs="Arial" w:eastAsia="Arial" w:hAnsi="Arial"/>
          <w:sz w:val="19"/>
          <w:szCs w:val="19"/>
          <w:color w:val="auto"/>
        </w:rPr>
      </w:pPr>
    </w:p>
    <w:p>
      <w:pPr>
        <w:jc w:val="both"/>
        <w:ind w:left="660" w:hanging="4"/>
        <w:spacing w:after="0" w:line="245" w:lineRule="auto"/>
        <w:tabs>
          <w:tab w:leader="none" w:pos="967"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through (g) of the definition of “Excluded Taxes”, (C) Connection Income Taxes, and (D) Other Taxes) on its loans, loan principal, letters of credit, commitments, or other obligations, or its deposits, reserves, other liabilities or capital attributable thereto;</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continuing, converting into or maintaining any Loan (or of maintaining its obligation to make any such Loan) or to reduce the amount of any sum received or receivable by such Recipient hereunder (whether of principal, interest or otherwise), then upon written request of such Recipient (with a copy to the Administrative Agent), the Borrower shall pay to such Person such additional amount or amounts as shall compensate such Recipient for such additional costs incurred or reduction suffered.</w:t>
      </w:r>
    </w:p>
    <w:p>
      <w:pPr>
        <w:spacing w:after="0" w:line="147" w:lineRule="exact"/>
        <w:rPr>
          <w:sz w:val="20"/>
          <w:szCs w:val="20"/>
          <w:color w:val="auto"/>
        </w:rPr>
      </w:pPr>
    </w:p>
    <w:p>
      <w:pPr>
        <w:jc w:val="both"/>
        <w:ind w:firstLine="1305"/>
        <w:spacing w:after="0" w:line="294" w:lineRule="auto"/>
        <w:tabs>
          <w:tab w:leader="none" w:pos="179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of such Lender (with a copy to the Administrative Agent), the Borrower shall pay to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8" w:name="page239"/>
    <w:bookmarkEnd w:id="238"/>
    <w:p>
      <w:pPr>
        <w:spacing w:after="0" w:line="263" w:lineRule="auto"/>
        <w:rPr>
          <w:sz w:val="20"/>
          <w:szCs w:val="20"/>
          <w:color w:val="auto"/>
        </w:rPr>
      </w:pPr>
      <w:r>
        <w:rPr>
          <w:rFonts w:ascii="Arial" w:cs="Arial" w:eastAsia="Arial" w:hAnsi="Arial"/>
          <w:sz w:val="22"/>
          <w:szCs w:val="22"/>
          <w:color w:val="auto"/>
        </w:rPr>
        <w:t>Lender such additional amount or amounts as shall compensate such Lender or such Lender’s holding company for any such reduction suffered.</w:t>
      </w:r>
    </w:p>
    <w:p>
      <w:pPr>
        <w:spacing w:after="0" w:line="215" w:lineRule="exact"/>
        <w:rPr>
          <w:sz w:val="20"/>
          <w:szCs w:val="20"/>
          <w:color w:val="auto"/>
        </w:rPr>
      </w:pPr>
    </w:p>
    <w:p>
      <w:pPr>
        <w:jc w:val="both"/>
        <w:ind w:firstLine="1305"/>
        <w:spacing w:after="0" w:line="259" w:lineRule="auto"/>
        <w:tabs>
          <w:tab w:leader="none" w:pos="1854" w:val="left"/>
        </w:tabs>
        <w:numPr>
          <w:ilvl w:val="0"/>
          <w:numId w:val="272"/>
        </w:numPr>
        <w:rPr>
          <w:rFonts w:ascii="Arial" w:cs="Arial" w:eastAsia="Arial" w:hAnsi="Arial"/>
          <w:sz w:val="21"/>
          <w:szCs w:val="21"/>
          <w:color w:val="auto"/>
        </w:rPr>
      </w:pPr>
      <w:r>
        <w:rPr>
          <w:rFonts w:ascii="Arial" w:cs="Arial" w:eastAsia="Arial" w:hAnsi="Arial"/>
          <w:sz w:val="21"/>
          <w:szCs w:val="21"/>
          <w:color w:val="auto"/>
        </w:rPr>
        <w:t xml:space="preserve">A certificate of a Lender setting forth the amount or amounts necessary to compensate such Lender or its holding company, as the case may be, as specified in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2.12(b)</w:t>
      </w:r>
      <w:r>
        <w:rPr>
          <w:rFonts w:ascii="Arial" w:cs="Arial" w:eastAsia="Arial" w:hAnsi="Arial"/>
          <w:sz w:val="21"/>
          <w:szCs w:val="21"/>
          <w:color w:val="auto"/>
        </w:rPr>
        <w:t xml:space="preserve">, along with (i) a calculation of such amount or amounts, (ii) a description of the specific Change in Law that justifies such amounts due and (iii) such other pertinent information related to the foregoing as the Borrower may reasonably request, shall be delivered to the Borrower and shall be presumed correct absent manifest error. Any Lender’s determination of any such amount or amounts shall be made in good faith (and not on an arbitrary or capricious basis) and substantially consistent with similarly situated customers of such Lender under agreements having provisions similar to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2.12(b)</w:t>
      </w:r>
      <w:r>
        <w:rPr>
          <w:rFonts w:ascii="Arial" w:cs="Arial" w:eastAsia="Arial" w:hAnsi="Arial"/>
          <w:sz w:val="21"/>
          <w:szCs w:val="21"/>
          <w:color w:val="auto"/>
        </w:rPr>
        <w:t>, as applicable, after consideration of such factors as such Lender then reasonably determines to be relevant. The Borrower shall pay such Lender the correct amount shown as due on any such certificate within 10 days after receipt thereof.</w:t>
      </w:r>
    </w:p>
    <w:p>
      <w:pPr>
        <w:spacing w:after="0" w:line="220" w:lineRule="exact"/>
        <w:rPr>
          <w:rFonts w:ascii="Arial" w:cs="Arial" w:eastAsia="Arial" w:hAnsi="Arial"/>
          <w:sz w:val="21"/>
          <w:szCs w:val="21"/>
          <w:color w:val="auto"/>
        </w:rPr>
      </w:pPr>
    </w:p>
    <w:p>
      <w:pPr>
        <w:jc w:val="both"/>
        <w:ind w:firstLine="1305"/>
        <w:spacing w:after="0" w:line="246" w:lineRule="auto"/>
        <w:tabs>
          <w:tab w:leader="none" w:pos="177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compensate a Lender pursuant to this Section for any increased costs or reductions incurred more than 120 days prior to the date that such Lender delivers written notice to the Borrower of the Change in Law giving rise to such increased costs or reductions and of such Lender’s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237" w:lineRule="exact"/>
        <w:rPr>
          <w:rFonts w:ascii="Arial" w:cs="Arial" w:eastAsia="Arial" w:hAnsi="Arial"/>
          <w:sz w:val="22"/>
          <w:szCs w:val="22"/>
          <w:color w:val="auto"/>
        </w:rPr>
      </w:pPr>
    </w:p>
    <w:p>
      <w:pPr>
        <w:ind w:left="1760" w:hanging="455"/>
        <w:spacing w:after="0"/>
        <w:tabs>
          <w:tab w:leader="none" w:pos="176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Each Lender requesting compensation under this Section shall comply with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(for a reason other than the failure of a Lender to fund a Loan or a portion thereof required to be funded hereunder) to borrow, convert, continue or prepay any Eurodollar Loan on the date specified in any notice delivered pursuant hereto (regardless of whether such notice may be revoked under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and is revoked in accordance therewith), or (d) the assignment of any Eurodollar Loan other than on the last day of the Interest Period applicable thereto as a result of an assignment required by the Borrower pursuant to </w:t>
      </w:r>
      <w:r>
        <w:rPr>
          <w:rFonts w:ascii="Arial" w:cs="Arial" w:eastAsia="Arial" w:hAnsi="Arial"/>
          <w:sz w:val="19"/>
          <w:szCs w:val="19"/>
          <w:u w:val="single" w:color="auto"/>
          <w:color w:val="auto"/>
        </w:rPr>
        <w:t>Section 4.03(b)</w:t>
      </w:r>
      <w:r>
        <w:rPr>
          <w:rFonts w:ascii="Arial" w:cs="Arial" w:eastAsia="Arial" w:hAnsi="Arial"/>
          <w:sz w:val="19"/>
          <w:szCs w:val="19"/>
          <w:color w:val="auto"/>
        </w:rPr>
        <w:t>, then, in any such event, upon written demand by a Lender (with a copy to the Administrative Agent) the Borrower shall compensate each Lender for the loss, cost and expense attributable to such event. In the case of a Eurodollar Loan, such loss, cost or expense to any Lender shall be deemed to include an amount reasonably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market.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39" w:name="page240"/>
    <w:bookmarkEnd w:id="239"/>
    <w:p>
      <w:pPr>
        <w:jc w:val="both"/>
        <w:spacing w:after="0" w:line="302" w:lineRule="auto"/>
        <w:rPr>
          <w:sz w:val="20"/>
          <w:szCs w:val="20"/>
          <w:color w:val="auto"/>
        </w:rPr>
      </w:pPr>
      <w:r>
        <w:rPr>
          <w:rFonts w:ascii="Arial" w:cs="Arial" w:eastAsia="Arial" w:hAnsi="Arial"/>
          <w:sz w:val="19"/>
          <w:szCs w:val="19"/>
          <w:color w:val="auto"/>
        </w:rPr>
        <w:t>A certificate of any Lender setting forth in reasonable detail any amount or amounts that such Lender is entitled to receive pursuant to this Section shall be delivered to the Borrower (with a copy to the Administrative Agent) and shall be presumed correct absent manifest error, and shall set forth a calculation of such amounts and such other information as the Borrower may reasonably request. The Borrower shall pay such Lender the amount shown as due on any such certificate within 10 days after receipt thereof.</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[RESERVED]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4" w:lineRule="auto"/>
        <w:tabs>
          <w:tab w:leader="none" w:pos="1841"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any Loan Document to the contrary, if any Lender becomes a Defaulting Lender, then, for so long as such Lender is a Defaulting Lender, the Commitment and Loan of such Defaulting Lender shall not be included in determining whether the Required Lenders have taken or may take any action hereunder (including any consent to any amendment, waiver or other modification pursuant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provisions of this clause (a) shall not apply to the vote of a Defaulting Lender (that funded in full its initial Commitment when due) in the case of an amendment, waiver or other modification described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for which such Defaulting Lender’s consent is expressly required.</w:t>
      </w:r>
    </w:p>
    <w:p>
      <w:pPr>
        <w:spacing w:after="0" w:line="190" w:lineRule="exact"/>
        <w:rPr>
          <w:rFonts w:ascii="Arial" w:cs="Arial" w:eastAsia="Arial" w:hAnsi="Arial"/>
          <w:sz w:val="19"/>
          <w:szCs w:val="19"/>
          <w:color w:val="auto"/>
        </w:rPr>
      </w:pPr>
    </w:p>
    <w:p>
      <w:pPr>
        <w:jc w:val="both"/>
        <w:ind w:firstLine="1305"/>
        <w:spacing w:after="0" w:line="271" w:lineRule="auto"/>
        <w:tabs>
          <w:tab w:leader="none" w:pos="1896" w:val="left"/>
        </w:tabs>
        <w:numPr>
          <w:ilvl w:val="0"/>
          <w:numId w:val="273"/>
        </w:numPr>
        <w:rPr>
          <w:rFonts w:ascii="Arial" w:cs="Arial" w:eastAsia="Arial" w:hAnsi="Arial"/>
          <w:sz w:val="21"/>
          <w:szCs w:val="21"/>
          <w:color w:val="auto"/>
        </w:rPr>
      </w:pPr>
      <w:r>
        <w:rPr>
          <w:rFonts w:ascii="Arial" w:cs="Arial" w:eastAsia="Arial" w:hAnsi="Arial"/>
          <w:sz w:val="21"/>
          <w:szCs w:val="21"/>
          <w:color w:val="auto"/>
        </w:rPr>
        <w:t xml:space="preserve">The rights and remedies against, and with respect to, a Defaulting Lender under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are in addition to, and cumulative and not in limitation of, all other rights and remedies that the Administrative Agent and each Lender, the Borrower or any other Obligor may at any time have against, or with respect to, such Defaulting Lender.</w:t>
      </w:r>
    </w:p>
    <w:p>
      <w:pPr>
        <w:spacing w:after="0" w:line="208" w:lineRule="exact"/>
        <w:rPr>
          <w:rFonts w:ascii="Arial" w:cs="Arial" w:eastAsia="Arial" w:hAnsi="Arial"/>
          <w:sz w:val="21"/>
          <w:szCs w:val="21"/>
          <w:color w:val="auto"/>
        </w:rPr>
      </w:pPr>
    </w:p>
    <w:p>
      <w:pPr>
        <w:jc w:val="both"/>
        <w:ind w:firstLine="1305"/>
        <w:spacing w:after="0" w:line="271" w:lineRule="auto"/>
        <w:tabs>
          <w:tab w:leader="none" w:pos="1856"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In the event that the Administrative Agent and the Borrower agree in writing that a Lender is no longer a Defaulting Lender, then the Administrative Agent will so notify the parties hereto, whereupon as of the effective date specified in such notice and subject to any conditions set forth therein, such Lender will cease to be a Defaulting Lender.</w:t>
      </w:r>
    </w:p>
    <w:p>
      <w:pPr>
        <w:spacing w:after="0" w:line="16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[RESERVED]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 PRO RATA TREATMENT; TAXES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0" w:lineRule="auto"/>
        <w:tabs>
          <w:tab w:leader="none" w:pos="179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The Borrower shall make each payment required to be made by it hereunder (whether of principal, interest or fees, or of amounts payable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270 Park Avenue, New York,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payments pursuant to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0" w:name="page241"/>
    <w:bookmarkEnd w:id="240"/>
    <w:p>
      <w:pPr>
        <w:jc w:val="both"/>
        <w:spacing w:after="0" w:line="263" w:lineRule="auto"/>
        <w:rPr>
          <w:sz w:val="20"/>
          <w:szCs w:val="20"/>
          <w:color w:val="auto"/>
        </w:rPr>
      </w:pPr>
      <w:r>
        <w:rPr>
          <w:rFonts w:ascii="Arial" w:cs="Arial" w:eastAsia="Arial" w:hAnsi="Arial"/>
          <w:sz w:val="22"/>
          <w:szCs w:val="22"/>
          <w:color w:val="auto"/>
        </w:rPr>
        <w:t>thereof. If any payment hereunder shall be due on a day that is not a Business Day, the date for payment shall be extended to the next succeeding Business Day, and, in the case of any payment accruing interest,</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interest thereon shall be payable for the period of such extension. All payments hereunder of principal or interest in respect of any Loan (or of any breakage indemnity in respect of any Loan) and all other payments hereunder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234" w:lineRule="exact"/>
        <w:rPr>
          <w:sz w:val="20"/>
          <w:szCs w:val="20"/>
          <w:color w:val="auto"/>
        </w:rPr>
      </w:pPr>
    </w:p>
    <w:p>
      <w:pPr>
        <w:jc w:val="both"/>
        <w:ind w:firstLine="1305"/>
        <w:spacing w:after="0" w:line="263" w:lineRule="auto"/>
        <w:tabs>
          <w:tab w:leader="none" w:pos="1865" w:val="left"/>
        </w:tabs>
        <w:numPr>
          <w:ilvl w:val="0"/>
          <w:numId w:val="275"/>
        </w:numPr>
        <w:rPr>
          <w:rFonts w:ascii="Arial" w:cs="Arial" w:eastAsia="Arial" w:hAnsi="Arial"/>
          <w:sz w:val="21"/>
          <w:szCs w:val="21"/>
          <w:color w:val="auto"/>
        </w:rPr>
      </w:pPr>
      <w:r>
        <w:rPr>
          <w:rFonts w:ascii="Arial" w:cs="Arial" w:eastAsia="Arial" w:hAnsi="Arial"/>
          <w:sz w:val="21"/>
          <w:szCs w:val="21"/>
          <w:color w:val="auto"/>
        </w:rPr>
        <w:t xml:space="preserve">If at any time insufficient funds are received by and available to the Administrative Agent to pay fully all amounts of principal, interest and fees then due hereunder, such funds shall be applied (i)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21"/>
          <w:szCs w:val="21"/>
          <w:i w:val="1"/>
          <w:iCs w:val="1"/>
          <w:color w:val="auto"/>
        </w:rPr>
        <w:t>second</w:t>
      </w:r>
      <w:r>
        <w:rPr>
          <w:rFonts w:ascii="Arial" w:cs="Arial" w:eastAsia="Arial" w:hAnsi="Arial"/>
          <w:sz w:val="21"/>
          <w:szCs w:val="21"/>
          <w:color w:val="auto"/>
        </w:rPr>
        <w:t>, towards payment of principal then due hereunder, ratably among the parties entitled thereto in accordance with the amounts of principal then due to such parties.</w:t>
      </w:r>
    </w:p>
    <w:p>
      <w:pPr>
        <w:spacing w:after="0" w:line="216" w:lineRule="exact"/>
        <w:rPr>
          <w:rFonts w:ascii="Arial" w:cs="Arial" w:eastAsia="Arial" w:hAnsi="Arial"/>
          <w:sz w:val="21"/>
          <w:szCs w:val="21"/>
          <w:color w:val="auto"/>
        </w:rPr>
      </w:pPr>
    </w:p>
    <w:p>
      <w:pPr>
        <w:jc w:val="both"/>
        <w:ind w:firstLine="1305"/>
        <w:spacing w:after="0" w:line="286" w:lineRule="auto"/>
        <w:tabs>
          <w:tab w:leader="none" w:pos="1788"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3" w:lineRule="exact"/>
        <w:rPr>
          <w:rFonts w:ascii="Arial" w:cs="Arial" w:eastAsia="Arial" w:hAnsi="Arial"/>
          <w:sz w:val="19"/>
          <w:szCs w:val="19"/>
          <w:color w:val="auto"/>
        </w:rPr>
      </w:pPr>
    </w:p>
    <w:p>
      <w:pPr>
        <w:jc w:val="both"/>
        <w:ind w:firstLine="1305"/>
        <w:spacing w:after="0" w:line="290" w:lineRule="auto"/>
        <w:tabs>
          <w:tab w:leader="none" w:pos="180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that the Borrower shall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1" w:name="page242"/>
    <w:bookmarkEnd w:id="241"/>
    <w:p>
      <w:pPr>
        <w:jc w:val="both"/>
        <w:ind w:firstLine="1305"/>
        <w:spacing w:after="0" w:line="285" w:lineRule="auto"/>
        <w:tabs>
          <w:tab w:leader="none" w:pos="1951" w:val="left"/>
        </w:tabs>
        <w:numPr>
          <w:ilvl w:val="1"/>
          <w:numId w:val="276"/>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11.04(b)</w:t>
      </w:r>
      <w:r>
        <w:rPr>
          <w:rFonts w:ascii="Arial" w:cs="Arial" w:eastAsia="Arial" w:hAnsi="Arial"/>
          <w:sz w:val="19"/>
          <w:szCs w:val="19"/>
          <w:color w:val="auto"/>
        </w:rPr>
        <w:t>,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the Administrative Agent under such Section until all such unsatisfied obligations are fully paid, and/or (ii) hold any such amounts in a segregated account as cash collateral for, and application to, any future funding obligations of such Lender under any such Section, in the case of each of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w:t>
      </w:r>
    </w:p>
    <w:p>
      <w:pPr>
        <w:ind w:left="320" w:hanging="312"/>
        <w:spacing w:after="0"/>
        <w:tabs>
          <w:tab w:leader="none" w:pos="320" w:val="left"/>
        </w:tabs>
        <w:numPr>
          <w:ilvl w:val="0"/>
          <w:numId w:val="277"/>
        </w:numPr>
        <w:rPr>
          <w:rFonts w:ascii="Arial" w:cs="Arial" w:eastAsia="Arial" w:hAnsi="Arial"/>
          <w:sz w:val="22"/>
          <w:szCs w:val="22"/>
          <w:u w:val="single" w:color="auto"/>
          <w:color w:val="auto"/>
        </w:rPr>
      </w:pPr>
      <w:r>
        <w:rPr>
          <w:rFonts w:ascii="Arial" w:cs="Arial" w:eastAsia="Arial" w:hAnsi="Arial"/>
          <w:sz w:val="22"/>
          <w:szCs w:val="22"/>
          <w:color w:val="auto"/>
        </w:rPr>
        <w:t>above, in any order as determined by the Administrative Agent in its discretion.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Taxes/Additional Payments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60" w:lineRule="auto"/>
        <w:tabs>
          <w:tab w:leader="none" w:pos="1809" w:val="left"/>
        </w:tabs>
        <w:numPr>
          <w:ilvl w:val="0"/>
          <w:numId w:val="278"/>
        </w:numPr>
        <w:rPr>
          <w:rFonts w:ascii="Arial" w:cs="Arial" w:eastAsia="Arial" w:hAnsi="Arial"/>
          <w:sz w:val="21"/>
          <w:szCs w:val="21"/>
          <w:color w:val="auto"/>
        </w:rPr>
      </w:pPr>
      <w:r>
        <w:rPr>
          <w:rFonts w:ascii="Arial" w:cs="Arial" w:eastAsia="Arial" w:hAnsi="Arial"/>
          <w:sz w:val="21"/>
          <w:szCs w:val="21"/>
          <w:color w:val="auto"/>
        </w:rPr>
        <w:t xml:space="preserve">Any and all payments by or on account of any obligation of the Borrower hereunder shall be made free and clear of and without deduction for any Indemnified Taxes or Other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Lender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221" w:lineRule="exact"/>
        <w:rPr>
          <w:rFonts w:ascii="Arial" w:cs="Arial" w:eastAsia="Arial" w:hAnsi="Arial"/>
          <w:sz w:val="21"/>
          <w:szCs w:val="21"/>
          <w:color w:val="auto"/>
        </w:rPr>
      </w:pPr>
    </w:p>
    <w:p>
      <w:pPr>
        <w:jc w:val="both"/>
        <w:ind w:firstLine="1305"/>
        <w:spacing w:after="0" w:line="288" w:lineRule="auto"/>
        <w:tabs>
          <w:tab w:leader="none" w:pos="1775"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The Borrower shall indemnify the Administrative Agent and each Lender, within 20 days after written demand therefor, for the full amount of any Indemnified Taxes or Other Taxes paid by the Administrative Agent or such Lender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liable for any penalties, interest or expenses that result from the failure of the Administrative Agent or a Lender to notify the Borrower of the Indemnified Taxes or Other Taxes within a reasonable period of time after becoming aware of such Indemnified or Other Taxes. A certificate as to the amount of such payment or liability delivered to the Borrower by a Lender or by the Administrative Agent on its own behalf or on behalf of a Lender, shall be presumed correct absent manifest error.</w:t>
      </w:r>
    </w:p>
    <w:p>
      <w:pPr>
        <w:spacing w:after="0" w:line="200" w:lineRule="exact"/>
        <w:rPr>
          <w:rFonts w:ascii="Arial" w:cs="Arial" w:eastAsia="Arial" w:hAnsi="Arial"/>
          <w:sz w:val="19"/>
          <w:szCs w:val="19"/>
          <w:color w:val="auto"/>
        </w:rPr>
      </w:pPr>
    </w:p>
    <w:p>
      <w:pPr>
        <w:jc w:val="both"/>
        <w:ind w:firstLine="1305"/>
        <w:spacing w:after="0" w:line="247" w:lineRule="auto"/>
        <w:tabs>
          <w:tab w:leader="none" w:pos="1903"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Any Lender that is entitled to an exemption from or reduction of withholding tax under the law of the jurisdiction in which the Borrower is organized, tax resident or otherwise located, or any treaty to which any such jurisdiction is a party, with respect to payments under this Agreement shall deliver to the Borrower (with a copy to the Administrative Agent), at the time or times prescribed by applicable law, such properly completed and executed documentation prescribed by applicable law (or otherwise reasonably requested by the Borrower) as shall permit such payments to be made without withholding or at a reduced rate.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2" w:name="page243"/>
    <w:bookmarkEnd w:id="242"/>
    <w:p>
      <w:pPr>
        <w:jc w:val="both"/>
        <w:ind w:firstLine="1305"/>
        <w:spacing w:after="0" w:line="286" w:lineRule="auto"/>
        <w:tabs>
          <w:tab w:leader="none" w:pos="180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If the Administrative Agent or a Lender determines, in its sole discretion, that it has received a refund of any Taxes paid by the Borrower or with respect to which the Borrower has paid additional amounts pursuant to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it shall pay over such refund to the Borrower (but only to the extent of indemnity payments made, or additional amounts paid, by the Borrower under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or such Lender, agrees to repay promptly the amount paid over to the Borrower (plus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rFonts w:ascii="Arial" w:cs="Arial" w:eastAsia="Arial" w:hAnsi="Arial"/>
          <w:sz w:val="19"/>
          <w:szCs w:val="19"/>
          <w:color w:val="auto"/>
        </w:rPr>
      </w:pPr>
    </w:p>
    <w:p>
      <w:pPr>
        <w:jc w:val="both"/>
        <w:ind w:firstLine="1305"/>
        <w:spacing w:after="0" w:line="258" w:lineRule="exact"/>
        <w:tabs>
          <w:tab w:leader="none" w:pos="199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the foregoing, each Lender shall deliver to the Borrower and the Administrative Agent on the Effective Date or upon the effectiveness of any Assignment and Assumption by which it becomes a party to this Agreement (unless an Event of Default under </w:t>
      </w:r>
      <w:r>
        <w:rPr>
          <w:rFonts w:ascii="Arial" w:cs="Arial" w:eastAsia="Arial" w:hAnsi="Arial"/>
          <w:sz w:val="21"/>
          <w:szCs w:val="21"/>
          <w:u w:val="single" w:color="auto"/>
          <w:color w:val="auto"/>
        </w:rPr>
        <w:t>Section 9.01(a)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9.01(g)</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9.01(h)</w:t>
      </w:r>
      <w:r>
        <w:rPr>
          <w:rFonts w:ascii="Arial" w:cs="Arial" w:eastAsia="Arial" w:hAnsi="Arial"/>
          <w:sz w:val="21"/>
          <w:szCs w:val="21"/>
          <w:color w:val="auto"/>
        </w:rPr>
        <w:t xml:space="preserve"> has occurred and is continuing on the effective date of such Assignment and Assumption) (i) two duly completed copies of United States Internal Revenue Service Form W-8ECI, W</w:t>
      </w:r>
      <w:r>
        <w:rPr>
          <w:rFonts w:ascii="MS PGothic" w:cs="MS PGothic" w:eastAsia="MS PGothic" w:hAnsi="MS PGothic"/>
          <w:sz w:val="21"/>
          <w:szCs w:val="21"/>
          <w:color w:val="auto"/>
        </w:rPr>
        <w:t>‑</w:t>
      </w:r>
      <w:r>
        <w:rPr>
          <w:rFonts w:ascii="Arial" w:cs="Arial" w:eastAsia="Arial" w:hAnsi="Arial"/>
          <w:sz w:val="21"/>
          <w:szCs w:val="21"/>
          <w:color w:val="auto"/>
        </w:rPr>
        <w:t>8BEN, W-8BEN-E, W-8EXP, W-8IMY or W-9, or other applicable governmental form, as the case may be, certifying in each case that such Lender is entitled to receive payments under this Agreement and the Notes payable to it without deduction or withholding of any United States federal income Taxes, as if the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 Each Lender which delivers to the Borrower and the Administrative Agent a Form W-8ECI, W-8BEN, W-8BEN-E, W</w:t>
      </w:r>
      <w:r>
        <w:rPr>
          <w:rFonts w:ascii="MS PGothic" w:cs="MS PGothic" w:eastAsia="MS PGothic" w:hAnsi="MS PGothic"/>
          <w:sz w:val="21"/>
          <w:szCs w:val="21"/>
          <w:color w:val="auto"/>
        </w:rPr>
        <w:t>‑</w:t>
      </w:r>
      <w:r>
        <w:rPr>
          <w:rFonts w:ascii="Arial" w:cs="Arial" w:eastAsia="Arial" w:hAnsi="Arial"/>
          <w:sz w:val="21"/>
          <w:szCs w:val="21"/>
          <w:color w:val="auto"/>
        </w:rPr>
        <w:t>8EXP, W-8IMY or W-9, or other applicable governmental form pursuant to the preceding sentence further undertakes to deliver to the Borrower and the Administrative Agent two further copies of such form on or before the date that any such form expires (currently, three successive calendar years for Form W-8BEN, W-8BEN-E or Form W-8ECI) or becomes obsolete or after the occurrence of any event requiring a change in the most recent form so delivered by it, and such amendments thereto or extensions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848" w:right="239" w:bottom="1440" w:gutter="0" w:footer="0" w:header="0"/>
        </w:sectPr>
      </w:pPr>
    </w:p>
    <w:bookmarkStart w:id="243" w:name="page244"/>
    <w:bookmarkEnd w:id="243"/>
    <w:p>
      <w:pPr>
        <w:jc w:val="both"/>
        <w:spacing w:after="0" w:line="286" w:lineRule="auto"/>
        <w:rPr>
          <w:sz w:val="20"/>
          <w:szCs w:val="20"/>
          <w:color w:val="auto"/>
        </w:rPr>
      </w:pPr>
      <w:r>
        <w:rPr>
          <w:rFonts w:ascii="Arial" w:cs="Arial" w:eastAsia="Arial" w:hAnsi="Arial"/>
          <w:sz w:val="19"/>
          <w:szCs w:val="19"/>
          <w:color w:val="auto"/>
        </w:rPr>
        <w:t>or renewals thereof as may reasonably be requested by the Borrower and the Administrative Agent, in each case certifying that such Lender is entitled to receive payments under this Agreement without deduction or withholding of any United States federal income Taxes, unless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and the Administrative Agent such documentation prescribed by applicable law (including as prescribed by Section 1471(b)(3)(C)(i) of the Code) and such additional documentation reasonably requested by the Borrower and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200" w:lineRule="exact"/>
        <w:rPr>
          <w:sz w:val="20"/>
          <w:szCs w:val="20"/>
          <w:color w:val="auto"/>
        </w:rPr>
      </w:pPr>
    </w:p>
    <w:p>
      <w:pPr>
        <w:spacing w:after="0" w:line="260" w:lineRule="exact"/>
        <w:rPr>
          <w:sz w:val="20"/>
          <w:szCs w:val="20"/>
          <w:color w:val="auto"/>
        </w:rPr>
      </w:pPr>
    </w:p>
    <w:p>
      <w:pPr>
        <w:jc w:val="both"/>
        <w:ind w:firstLine="1305"/>
        <w:spacing w:after="0" w:line="248" w:lineRule="auto"/>
        <w:tabs>
          <w:tab w:leader="none" w:pos="185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The Borrower will remit to the appropriate Governmental Authority, prior to delinquency, all Indemnified Taxes and Other Taxes payable in respect of any payment. Within 30 days after the date of any payment of Indemnified Taxes or Other Taxes, the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232" w:lineRule="exact"/>
        <w:rPr>
          <w:rFonts w:ascii="Arial" w:cs="Arial" w:eastAsia="Arial" w:hAnsi="Arial"/>
          <w:sz w:val="22"/>
          <w:szCs w:val="22"/>
          <w:color w:val="auto"/>
        </w:rPr>
      </w:pPr>
    </w:p>
    <w:p>
      <w:pPr>
        <w:ind w:left="1780" w:hanging="475"/>
        <w:spacing w:after="0"/>
        <w:tabs>
          <w:tab w:leader="none" w:pos="178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jc w:val="both"/>
        <w:ind w:firstLine="1305"/>
        <w:spacing w:after="0" w:line="288" w:lineRule="auto"/>
        <w:tabs>
          <w:tab w:leader="none" w:pos="1793"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11.05(c)</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847" w:right="239" w:bottom="1440" w:gutter="0" w:footer="0" w:header="0"/>
        </w:sectPr>
      </w:pPr>
    </w:p>
    <w:bookmarkStart w:id="244" w:name="page245"/>
    <w:bookmarkEnd w:id="244"/>
    <w:p>
      <w:pPr>
        <w:ind w:left="660"/>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763" w:val="left"/>
        </w:tabs>
        <w:numPr>
          <w:ilvl w:val="1"/>
          <w:numId w:val="281"/>
        </w:numPr>
        <w:rPr>
          <w:rFonts w:ascii="Arial" w:cs="Arial" w:eastAsia="Arial" w:hAnsi="Arial"/>
          <w:sz w:val="21"/>
          <w:szCs w:val="21"/>
          <w:color w:val="auto"/>
        </w:rPr>
      </w:pPr>
      <w:r>
        <w:rPr>
          <w:rFonts w:ascii="Arial" w:cs="Arial" w:eastAsia="Arial" w:hAnsi="Arial"/>
          <w:sz w:val="21"/>
          <w:szCs w:val="21"/>
          <w:color w:val="auto"/>
        </w:rPr>
        <w:t xml:space="preserve">If any Lender requests compensation under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then such Lender shall use reasonable efforts to designate a different lending office for funding or booking its Loan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4.02</w:t>
      </w:r>
      <w:r>
        <w:rPr>
          <w:rFonts w:ascii="Arial" w:cs="Arial" w:eastAsia="Arial" w:hAnsi="Arial"/>
          <w:sz w:val="21"/>
          <w:szCs w:val="21"/>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24" w:lineRule="exact"/>
        <w:rPr>
          <w:rFonts w:ascii="Arial" w:cs="Arial" w:eastAsia="Arial" w:hAnsi="Arial"/>
          <w:sz w:val="21"/>
          <w:szCs w:val="21"/>
          <w:color w:val="auto"/>
        </w:rPr>
      </w:pPr>
    </w:p>
    <w:p>
      <w:pPr>
        <w:ind w:left="1800" w:hanging="495"/>
        <w:spacing w:after="0"/>
        <w:tabs>
          <w:tab w:leader="none" w:pos="1800" w:val="left"/>
        </w:tabs>
        <w:numPr>
          <w:ilvl w:val="1"/>
          <w:numId w:val="281"/>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(including for Taxes under Section 2.12(a)(iii)), or</w:t>
      </w:r>
    </w:p>
    <w:p>
      <w:pPr>
        <w:spacing w:after="0" w:line="56" w:lineRule="exact"/>
        <w:rPr>
          <w:rFonts w:ascii="Arial" w:cs="Arial" w:eastAsia="Arial" w:hAnsi="Arial"/>
          <w:sz w:val="19"/>
          <w:szCs w:val="19"/>
          <w:color w:val="auto"/>
        </w:rPr>
      </w:pPr>
    </w:p>
    <w:p>
      <w:pPr>
        <w:jc w:val="both"/>
        <w:ind w:firstLine="8"/>
        <w:spacing w:after="0" w:line="284" w:lineRule="auto"/>
        <w:tabs>
          <w:tab w:leader="none" w:pos="321"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the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(iii) any Lender becomes a Defaulting Lender, or (iv) any Lender fails to provide its consent to a Redomestication under the laws of a jurisdiction (other than the United Kingdom, The Kingdom of the Netherlands, Luxembourg or Switzerland) outside of the United States, or (v) any Lender is a Non-Consenting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if such assignee is not already a Lender hereunder, the Borrower shall have received the prior written consent of the Administrative Agent, which consent shall not be unreasonably withheld, conditioned or delayed, (2)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(3) in the case of any such assignment resulting from a claim for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if it does not execute and deliver an Assignment and Assumption to the Administrative Agent within one Business Day after having received a written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5" w:name="page246"/>
    <w:bookmarkEnd w:id="245"/>
    <w:p>
      <w:pPr>
        <w:ind w:left="660"/>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Financial Assistance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7" w:lineRule="auto"/>
        <w:tabs>
          <w:tab w:leader="none" w:pos="1759" w:val="left"/>
        </w:tabs>
        <w:numPr>
          <w:ilvl w:val="0"/>
          <w:numId w:val="283"/>
        </w:numPr>
        <w:rPr>
          <w:rFonts w:ascii="Arial" w:cs="Arial" w:eastAsia="Arial" w:hAnsi="Arial"/>
          <w:sz w:val="19"/>
          <w:szCs w:val="19"/>
          <w:color w:val="auto"/>
        </w:rPr>
      </w:pPr>
      <w:r>
        <w:rPr>
          <w:rFonts w:ascii="Arial" w:cs="Arial" w:eastAsia="Arial" w:hAnsi="Arial"/>
          <w:sz w:val="19"/>
          <w:szCs w:val="19"/>
          <w:color w:val="auto"/>
        </w:rPr>
        <w:t>If and to the extent that a payment in fulfilling a liability of any Swiss Obligor under this Agreement other than such Swiss Obligor’s own liabilities or liabilities of one of its Wholly-Owned Subsidiaries would, at the time payment is due, under Swiss law and practice (inter alia, prohibiting capital repayments or restricting profit distributions) not be permitted (such obligations, “</w:t>
      </w:r>
      <w:r>
        <w:rPr>
          <w:rFonts w:ascii="Arial" w:cs="Arial" w:eastAsia="Arial" w:hAnsi="Arial"/>
          <w:sz w:val="19"/>
          <w:szCs w:val="19"/>
          <w:u w:val="single" w:color="auto"/>
          <w:color w:val="auto"/>
        </w:rPr>
        <w:t>Restricted Obligations</w:t>
      </w:r>
      <w:r>
        <w:rPr>
          <w:rFonts w:ascii="Arial" w:cs="Arial" w:eastAsia="Arial" w:hAnsi="Arial"/>
          <w:sz w:val="19"/>
          <w:szCs w:val="19"/>
          <w:color w:val="auto"/>
        </w:rPr>
        <w:t xml:space="preserve">”), then such obligations and payment amount shall from time to time be limited to the amount permitted to be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limited amount shall at no time be less than such Swiss Obligor’s profits and reserves available for distribution as dividends (being the balance sheet profits and any reserves available for this purpose, in each case in accordance with Article 798 of the Swiss Federal Code of Obligations) at the time or times the relevant payment is requested from such Swiss Obligor;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limitation (as may apply from time to time or not) shall not (generally or definitively) free such Swiss Obligor from payment obligations hereunder in excess thereof, but merely postpone the payment date therefor until such times as payment is again permitted notwithstanding such limitation. Any and all indemnities and guarantees contained in the Loan Documents including, in particular, </w:t>
      </w:r>
      <w:r>
        <w:rPr>
          <w:rFonts w:ascii="Arial" w:cs="Arial" w:eastAsia="Arial" w:hAnsi="Arial"/>
          <w:sz w:val="19"/>
          <w:szCs w:val="19"/>
          <w:u w:val="single" w:color="auto"/>
          <w:color w:val="auto"/>
        </w:rPr>
        <w:t>Sections 4.02(b)</w:t>
      </w:r>
      <w:r>
        <w:rPr>
          <w:rFonts w:ascii="Arial" w:cs="Arial" w:eastAsia="Arial" w:hAnsi="Arial"/>
          <w:sz w:val="19"/>
          <w:szCs w:val="19"/>
          <w:color w:val="auto"/>
        </w:rPr>
        <w:t xml:space="preserve"> and 9.02 shall be construed in a manner consistent with the provisions herein contained.</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1780" w:hanging="475"/>
        <w:spacing w:after="0"/>
        <w:tabs>
          <w:tab w:leader="none" w:pos="178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In respect of Restricted Obligations, each Swiss Obligor shall:</w:t>
      </w:r>
    </w:p>
    <w:p>
      <w:pPr>
        <w:spacing w:after="0" w:line="21" w:lineRule="exact"/>
        <w:rPr>
          <w:rFonts w:ascii="Arial" w:cs="Arial" w:eastAsia="Arial" w:hAnsi="Arial"/>
          <w:sz w:val="22"/>
          <w:szCs w:val="22"/>
          <w:color w:val="auto"/>
        </w:rPr>
      </w:pPr>
    </w:p>
    <w:p>
      <w:pPr>
        <w:ind w:left="2380" w:hanging="427"/>
        <w:spacing w:after="0"/>
        <w:tabs>
          <w:tab w:leader="none" w:pos="238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if and to the extent required by applicable law in force at the relevant time:</w:t>
      </w:r>
    </w:p>
    <w:p>
      <w:pPr>
        <w:spacing w:after="0" w:line="3" w:lineRule="exact"/>
        <w:rPr>
          <w:rFonts w:ascii="Arial" w:cs="Arial" w:eastAsia="Arial" w:hAnsi="Arial"/>
          <w:sz w:val="22"/>
          <w:szCs w:val="22"/>
          <w:color w:val="auto"/>
        </w:rPr>
      </w:pPr>
    </w:p>
    <w:p>
      <w:pPr>
        <w:jc w:val="both"/>
        <w:ind w:left="1960" w:firstLine="641"/>
        <w:spacing w:after="0" w:line="251" w:lineRule="auto"/>
        <w:tabs>
          <w:tab w:leader="none" w:pos="3655" w:val="left"/>
        </w:tabs>
        <w:numPr>
          <w:ilvl w:val="2"/>
          <w:numId w:val="283"/>
        </w:numPr>
        <w:rPr>
          <w:rFonts w:ascii="Arial" w:cs="Arial" w:eastAsia="Arial" w:hAnsi="Arial"/>
          <w:sz w:val="22"/>
          <w:szCs w:val="22"/>
          <w:color w:val="auto"/>
        </w:rPr>
      </w:pPr>
      <w:r>
        <w:rPr>
          <w:rFonts w:ascii="Arial" w:cs="Arial" w:eastAsia="Arial" w:hAnsi="Arial"/>
          <w:sz w:val="22"/>
          <w:szCs w:val="22"/>
          <w:color w:val="auto"/>
        </w:rPr>
        <w:t>subject to any applicable double taxation treaty, deduct Swiss anticipatory tax (</w:t>
      </w:r>
      <w:r>
        <w:rPr>
          <w:rFonts w:ascii="Arial" w:cs="Arial" w:eastAsia="Arial" w:hAnsi="Arial"/>
          <w:sz w:val="22"/>
          <w:szCs w:val="22"/>
          <w:i w:val="1"/>
          <w:iCs w:val="1"/>
          <w:color w:val="auto"/>
        </w:rPr>
        <w:t>Verrechnungssteuer</w:t>
      </w:r>
      <w:r>
        <w:rPr>
          <w:rFonts w:ascii="Arial" w:cs="Arial" w:eastAsia="Arial" w:hAnsi="Arial"/>
          <w:sz w:val="22"/>
          <w:szCs w:val="22"/>
          <w:color w:val="auto"/>
        </w:rPr>
        <w:t>) at the rate of 35% (or such other rate as in force from time to time) from any payment made by it in respect of Restricted Obligations;</w:t>
      </w:r>
    </w:p>
    <w:p>
      <w:pPr>
        <w:spacing w:after="0" w:line="187" w:lineRule="exact"/>
        <w:rPr>
          <w:rFonts w:ascii="Arial" w:cs="Arial" w:eastAsia="Arial" w:hAnsi="Arial"/>
          <w:sz w:val="22"/>
          <w:szCs w:val="22"/>
          <w:color w:val="auto"/>
        </w:rPr>
      </w:pPr>
    </w:p>
    <w:p>
      <w:pPr>
        <w:ind w:left="3120" w:hanging="519"/>
        <w:spacing w:after="0"/>
        <w:tabs>
          <w:tab w:leader="none" w:pos="312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pay any such deduction to the Swiss Federal Tax Administration; and</w:t>
      </w:r>
    </w:p>
    <w:p>
      <w:pPr>
        <w:spacing w:after="0" w:line="233" w:lineRule="exact"/>
        <w:rPr>
          <w:rFonts w:ascii="Arial" w:cs="Arial" w:eastAsia="Arial" w:hAnsi="Arial"/>
          <w:sz w:val="22"/>
          <w:szCs w:val="22"/>
          <w:color w:val="auto"/>
        </w:rPr>
      </w:pPr>
    </w:p>
    <w:p>
      <w:pPr>
        <w:jc w:val="both"/>
        <w:ind w:left="1960" w:firstLine="641"/>
        <w:spacing w:after="0" w:line="260" w:lineRule="auto"/>
        <w:tabs>
          <w:tab w:leader="none" w:pos="3373" w:val="left"/>
        </w:tabs>
        <w:numPr>
          <w:ilvl w:val="2"/>
          <w:numId w:val="283"/>
        </w:numPr>
        <w:rPr>
          <w:rFonts w:ascii="Arial" w:cs="Arial" w:eastAsia="Arial" w:hAnsi="Arial"/>
          <w:sz w:val="22"/>
          <w:szCs w:val="22"/>
          <w:color w:val="auto"/>
        </w:rPr>
      </w:pPr>
      <w:r>
        <w:rPr>
          <w:rFonts w:ascii="Arial" w:cs="Arial" w:eastAsia="Arial" w:hAnsi="Arial"/>
          <w:sz w:val="22"/>
          <w:szCs w:val="22"/>
          <w:color w:val="auto"/>
        </w:rPr>
        <w:t xml:space="preserve">notify the Administrative Agent that such a deduction has been made and provide the Administrative Agent with evidence that such a deduction has been paid to the Swiss Federal Tax Administration, all in accordance with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4.02(f)</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jc w:val="both"/>
        <w:ind w:left="660" w:firstLine="1293"/>
        <w:spacing w:after="0" w:line="250" w:lineRule="auto"/>
        <w:tabs>
          <w:tab w:leader="none" w:pos="2511" w:val="left"/>
        </w:tabs>
        <w:numPr>
          <w:ilvl w:val="1"/>
          <w:numId w:val="283"/>
        </w:numPr>
        <w:rPr>
          <w:rFonts w:ascii="Arial" w:cs="Arial" w:eastAsia="Arial" w:hAnsi="Arial"/>
          <w:sz w:val="22"/>
          <w:szCs w:val="22"/>
          <w:color w:val="auto"/>
        </w:rPr>
      </w:pPr>
      <w:r>
        <w:rPr>
          <w:rFonts w:ascii="Arial" w:cs="Arial" w:eastAsia="Arial" w:hAnsi="Arial"/>
          <w:sz w:val="22"/>
          <w:szCs w:val="22"/>
          <w:color w:val="auto"/>
        </w:rPr>
        <w:t xml:space="preserve">to the extent such a deduction is made, not be obliged to either gross-up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4.02(a)</w:t>
      </w:r>
      <w:r>
        <w:rPr>
          <w:rFonts w:ascii="Arial" w:cs="Arial" w:eastAsia="Arial" w:hAnsi="Arial"/>
          <w:sz w:val="22"/>
          <w:szCs w:val="22"/>
          <w:color w:val="auto"/>
        </w:rPr>
        <w:t xml:space="preserve"> or indemnify the Administrative Agent and each Lender in accordance with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in relation to any such payment made by it in respect of Restricted Obligations unless grossing-up is permitted under the laws of Switzerland then in force.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6" w:name="page247"/>
    <w:bookmarkEnd w:id="246"/>
    <w:p>
      <w:pPr>
        <w:jc w:val="both"/>
        <w:ind w:firstLine="1305"/>
        <w:spacing w:after="0" w:line="263" w:lineRule="auto"/>
        <w:tabs>
          <w:tab w:leader="none" w:pos="1824" w:val="left"/>
        </w:tabs>
        <w:numPr>
          <w:ilvl w:val="0"/>
          <w:numId w:val="284"/>
        </w:numPr>
        <w:rPr>
          <w:rFonts w:ascii="Arial" w:cs="Arial" w:eastAsia="Arial" w:hAnsi="Arial"/>
          <w:sz w:val="21"/>
          <w:szCs w:val="21"/>
          <w:color w:val="auto"/>
        </w:rPr>
      </w:pPr>
      <w:r>
        <w:rPr>
          <w:rFonts w:ascii="Arial" w:cs="Arial" w:eastAsia="Arial" w:hAnsi="Arial"/>
          <w:sz w:val="21"/>
          <w:szCs w:val="21"/>
          <w:color w:val="auto"/>
        </w:rPr>
        <w:t>If and to the extent requested by the Administrative Agent and if and to the extent this is from time to time required under Swiss law (restricting profit distributions), in order to allow the Administrative Agent and each Lender to obtain a maximum benefit from the relevant Swiss Obligor’s liabilities under this Agreement, each Swiss Obligor undertakes to promptly implement all such measures and/or to promptly obtain the fulfillment of all prerequisites allowing it to promptly make the requested payment(s) hereunder from time to time, including the following:</w:t>
      </w:r>
    </w:p>
    <w:p>
      <w:pPr>
        <w:spacing w:after="0" w:line="216" w:lineRule="exact"/>
        <w:rPr>
          <w:rFonts w:ascii="Arial" w:cs="Arial" w:eastAsia="Arial" w:hAnsi="Arial"/>
          <w:sz w:val="21"/>
          <w:szCs w:val="21"/>
          <w:color w:val="auto"/>
        </w:rPr>
      </w:pPr>
    </w:p>
    <w:p>
      <w:pPr>
        <w:ind w:left="2380" w:hanging="427"/>
        <w:spacing w:after="0"/>
        <w:tabs>
          <w:tab w:leader="none" w:pos="238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preparation of an up-to-date audited balance sheet of such Swiss Obligor;</w:t>
      </w:r>
    </w:p>
    <w:p>
      <w:pPr>
        <w:spacing w:after="0" w:line="260" w:lineRule="exact"/>
        <w:rPr>
          <w:rFonts w:ascii="Arial" w:cs="Arial" w:eastAsia="Arial" w:hAnsi="Arial"/>
          <w:sz w:val="22"/>
          <w:szCs w:val="22"/>
          <w:color w:val="auto"/>
        </w:rPr>
      </w:pPr>
    </w:p>
    <w:p>
      <w:pPr>
        <w:ind w:left="660" w:firstLine="1293"/>
        <w:spacing w:after="0" w:line="263" w:lineRule="auto"/>
        <w:tabs>
          <w:tab w:leader="none" w:pos="2497" w:val="left"/>
        </w:tabs>
        <w:numPr>
          <w:ilvl w:val="1"/>
          <w:numId w:val="284"/>
        </w:numPr>
        <w:rPr>
          <w:rFonts w:ascii="Arial" w:cs="Arial" w:eastAsia="Arial" w:hAnsi="Arial"/>
          <w:sz w:val="22"/>
          <w:szCs w:val="22"/>
          <w:color w:val="auto"/>
        </w:rPr>
      </w:pPr>
      <w:r>
        <w:rPr>
          <w:rFonts w:ascii="Arial" w:cs="Arial" w:eastAsia="Arial" w:hAnsi="Arial"/>
          <w:sz w:val="22"/>
          <w:szCs w:val="22"/>
          <w:color w:val="auto"/>
        </w:rPr>
        <w:t>confirmation of the auditors of such Swiss Obligor that the relevant amount represents the maximum freely distributable profits;</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approval by a quotaholders’ meeting of the relevant Swiss Obligor of the resulting profit distribution;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42" w:lineRule="exact"/>
        <w:rPr>
          <w:rFonts w:ascii="Arial" w:cs="Arial" w:eastAsia="Arial" w:hAnsi="Arial"/>
          <w:sz w:val="19"/>
          <w:szCs w:val="19"/>
          <w:color w:val="auto"/>
        </w:rPr>
      </w:pPr>
    </w:p>
    <w:p>
      <w:pPr>
        <w:jc w:val="both"/>
        <w:ind w:left="660" w:firstLine="1293"/>
        <w:spacing w:after="0" w:line="312" w:lineRule="auto"/>
        <w:tabs>
          <w:tab w:leader="none" w:pos="251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to the extent permitted by applicable law, write up any of the assets of the relevant Swiss Obligor that are shown in its balance sheet with a book value that is significantly lower than the market value of the assets and provided that such write up would not have materially adverse tax consequences for such Swiss Obligor or any of its Affiliates.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Signing Date</w:t>
      </w:r>
      <w:r>
        <w:rPr>
          <w:rFonts w:ascii="Arial" w:cs="Arial" w:eastAsia="Arial" w:hAnsi="Arial"/>
          <w:sz w:val="22"/>
          <w:szCs w:val="22"/>
          <w:color w:val="auto"/>
        </w:rPr>
        <w:t>. This Agreement shall become effective on the first date (the “</w:t>
      </w:r>
      <w:r>
        <w:rPr>
          <w:rFonts w:ascii="Arial" w:cs="Arial" w:eastAsia="Arial" w:hAnsi="Arial"/>
          <w:sz w:val="22"/>
          <w:szCs w:val="22"/>
          <w:u w:val="single" w:color="auto"/>
          <w:color w:val="auto"/>
        </w:rPr>
        <w:t>Signing Date</w:t>
      </w:r>
      <w:r>
        <w:rPr>
          <w:rFonts w:ascii="Arial" w:cs="Arial" w:eastAsia="Arial" w:hAnsi="Arial"/>
          <w:sz w:val="22"/>
          <w:szCs w:val="22"/>
          <w:color w:val="auto"/>
        </w:rPr>
        <w:t>”) on which each of the following conditions is satisfied:</w:t>
      </w:r>
    </w:p>
    <w:p>
      <w:pPr>
        <w:spacing w:after="0" w:line="215" w:lineRule="exact"/>
        <w:rPr>
          <w:sz w:val="20"/>
          <w:szCs w:val="20"/>
          <w:color w:val="auto"/>
        </w:rPr>
      </w:pPr>
    </w:p>
    <w:p>
      <w:pPr>
        <w:ind w:left="1800" w:hanging="495"/>
        <w:spacing w:after="0"/>
        <w:tabs>
          <w:tab w:leader="none" w:pos="18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Administrative Agent shall have received this Agreement executed by each Person listed on the signature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pages hereof.</w:t>
      </w:r>
    </w:p>
    <w:p>
      <w:pPr>
        <w:spacing w:after="0" w:line="242" w:lineRule="exact"/>
        <w:rPr>
          <w:sz w:val="20"/>
          <w:szCs w:val="20"/>
          <w:color w:val="auto"/>
        </w:rPr>
      </w:pPr>
    </w:p>
    <w:p>
      <w:pPr>
        <w:jc w:val="both"/>
        <w:ind w:firstLine="1305"/>
        <w:spacing w:after="0" w:line="290" w:lineRule="auto"/>
        <w:tabs>
          <w:tab w:leader="none" w:pos="1788"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and WIL-Ireland set forth in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shall be true and correct in all material respects (except to the extent qualified by materiality or reference to Material Adverse Effect, in which case such applicable representation and warranty shall be true and correct in all respects) on and as of the Signing Date, except to the extent any such representations and warranties are expressly limited to an earlier date, in which case, on and as of the Signing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references to “Loan Documents” in such representations and warranties shall, for purposes of this </w:t>
      </w:r>
      <w:r>
        <w:rPr>
          <w:rFonts w:ascii="Arial" w:cs="Arial" w:eastAsia="Arial" w:hAnsi="Arial"/>
          <w:sz w:val="19"/>
          <w:szCs w:val="19"/>
          <w:u w:val="single" w:color="auto"/>
          <w:color w:val="auto"/>
        </w:rPr>
        <w:t>Section 5.01(b)</w:t>
      </w:r>
      <w:r>
        <w:rPr>
          <w:rFonts w:ascii="Arial" w:cs="Arial" w:eastAsia="Arial" w:hAnsi="Arial"/>
          <w:sz w:val="19"/>
          <w:szCs w:val="19"/>
          <w:color w:val="auto"/>
        </w:rPr>
        <w:t>, be deemed to refer only to this Agreement.</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Conditions Precedent to the Effective Date</w:t>
      </w:r>
      <w:r>
        <w:rPr>
          <w:rFonts w:ascii="Arial" w:cs="Arial" w:eastAsia="Arial" w:hAnsi="Arial"/>
          <w:sz w:val="22"/>
          <w:szCs w:val="22"/>
          <w:color w:val="auto"/>
        </w:rPr>
        <w:t>. The obligation of each Lender to make its Loan on the Effective Date is subject to satisfaction of the following conditions:</w:t>
      </w:r>
    </w:p>
    <w:p>
      <w:pPr>
        <w:spacing w:after="0" w:line="215" w:lineRule="exact"/>
        <w:rPr>
          <w:sz w:val="20"/>
          <w:szCs w:val="20"/>
          <w:color w:val="auto"/>
        </w:rPr>
      </w:pPr>
    </w:p>
    <w:p>
      <w:pPr>
        <w:ind w:firstLine="1305"/>
        <w:spacing w:after="0" w:line="263" w:lineRule="auto"/>
        <w:tabs>
          <w:tab w:leader="none" w:pos="1782"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in form and substance reasonably satisfactory to the Administrative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7" w:name="page248"/>
    <w:bookmarkEnd w:id="247"/>
    <w:p>
      <w:pPr>
        <w:ind w:left="660" w:firstLine="1293"/>
        <w:spacing w:after="0" w:line="263" w:lineRule="auto"/>
        <w:tabs>
          <w:tab w:leader="none" w:pos="24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Notes payable to each Lender requesting (at least one Business Day prior to the Effective Date) a Note, duly completed and executed by the Borrower and dated the Effective Date;</w:t>
      </w:r>
    </w:p>
    <w:p>
      <w:pPr>
        <w:spacing w:after="0" w:line="215" w:lineRule="exact"/>
        <w:rPr>
          <w:rFonts w:ascii="Arial" w:cs="Arial" w:eastAsia="Arial" w:hAnsi="Arial"/>
          <w:sz w:val="22"/>
          <w:szCs w:val="22"/>
          <w:color w:val="auto"/>
        </w:rPr>
      </w:pPr>
    </w:p>
    <w:p>
      <w:pPr>
        <w:ind w:left="2440" w:hanging="487"/>
        <w:spacing w:after="0"/>
        <w:tabs>
          <w:tab w:leader="none" w:pos="244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Affiliate Guaranty executed by each Guarantor existing as of Effective Date;</w:t>
      </w:r>
    </w:p>
    <w:p>
      <w:pPr>
        <w:spacing w:after="0" w:line="260" w:lineRule="exact"/>
        <w:rPr>
          <w:rFonts w:ascii="Arial" w:cs="Arial" w:eastAsia="Arial" w:hAnsi="Arial"/>
          <w:sz w:val="22"/>
          <w:szCs w:val="22"/>
          <w:color w:val="auto"/>
        </w:rPr>
      </w:pPr>
    </w:p>
    <w:p>
      <w:pPr>
        <w:ind w:left="660" w:firstLine="1293"/>
        <w:spacing w:after="0" w:line="263" w:lineRule="auto"/>
        <w:tabs>
          <w:tab w:leader="none" w:pos="2668"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U.S. Security Agreement and the Canadian Pledge and Security Agreement dated as of the Effective Date, in each case executed by each Obligor listed on the signature pages thereof;</w:t>
      </w:r>
    </w:p>
    <w:p>
      <w:pPr>
        <w:spacing w:after="0" w:line="215" w:lineRule="exact"/>
        <w:rPr>
          <w:rFonts w:ascii="Arial" w:cs="Arial" w:eastAsia="Arial" w:hAnsi="Arial"/>
          <w:sz w:val="22"/>
          <w:szCs w:val="22"/>
          <w:color w:val="auto"/>
        </w:rPr>
      </w:pPr>
    </w:p>
    <w:p>
      <w:pPr>
        <w:ind w:left="660" w:firstLine="1293"/>
        <w:spacing w:after="0" w:line="263" w:lineRule="auto"/>
        <w:tabs>
          <w:tab w:leader="none" w:pos="2559" w:val="left"/>
        </w:tabs>
        <w:numPr>
          <w:ilvl w:val="0"/>
          <w:numId w:val="288"/>
        </w:numPr>
        <w:rPr>
          <w:rFonts w:ascii="Arial" w:cs="Arial" w:eastAsia="Arial" w:hAnsi="Arial"/>
          <w:sz w:val="22"/>
          <w:szCs w:val="22"/>
          <w:color w:val="auto"/>
        </w:rPr>
      </w:pPr>
      <w:r>
        <w:rPr>
          <w:rFonts w:ascii="Arial" w:cs="Arial" w:eastAsia="Arial" w:hAnsi="Arial"/>
          <w:sz w:val="22"/>
          <w:szCs w:val="22"/>
          <w:color w:val="auto"/>
        </w:rPr>
        <w:t>certain Pledge Agreements governed by the laws of Canada, in each case executed by each Obligor listed on the signature pages thereof;</w:t>
      </w:r>
    </w:p>
    <w:p>
      <w:pPr>
        <w:spacing w:after="0" w:line="215" w:lineRule="exact"/>
        <w:rPr>
          <w:rFonts w:ascii="Arial" w:cs="Arial" w:eastAsia="Arial" w:hAnsi="Arial"/>
          <w:sz w:val="22"/>
          <w:szCs w:val="22"/>
          <w:color w:val="auto"/>
        </w:rPr>
      </w:pPr>
    </w:p>
    <w:p>
      <w:pPr>
        <w:jc w:val="both"/>
        <w:ind w:left="660" w:firstLine="1293"/>
        <w:spacing w:after="0" w:line="261" w:lineRule="auto"/>
        <w:tabs>
          <w:tab w:leader="none" w:pos="2529" w:val="left"/>
        </w:tabs>
        <w:numPr>
          <w:ilvl w:val="0"/>
          <w:numId w:val="288"/>
        </w:numPr>
        <w:rPr>
          <w:rFonts w:ascii="Arial" w:cs="Arial" w:eastAsia="Arial" w:hAnsi="Arial"/>
          <w:sz w:val="21"/>
          <w:szCs w:val="21"/>
          <w:color w:val="auto"/>
        </w:rPr>
      </w:pPr>
      <w:r>
        <w:rPr>
          <w:rFonts w:ascii="Arial" w:cs="Arial" w:eastAsia="Arial" w:hAnsi="Arial"/>
          <w:sz w:val="21"/>
          <w:szCs w:val="21"/>
          <w:color w:val="auto"/>
        </w:rPr>
        <w:t>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shall have been delivered to the Administrative Agent in proper form for filing, registration or recordation, or, as permitted in such Specified Jurisdictions, shall have been filed, registered or recorded;</w:t>
      </w:r>
    </w:p>
    <w:p>
      <w:pPr>
        <w:spacing w:after="0" w:line="220" w:lineRule="exact"/>
        <w:rPr>
          <w:rFonts w:ascii="Arial" w:cs="Arial" w:eastAsia="Arial" w:hAnsi="Arial"/>
          <w:sz w:val="21"/>
          <w:szCs w:val="21"/>
          <w:color w:val="auto"/>
        </w:rPr>
      </w:pPr>
    </w:p>
    <w:p>
      <w:pPr>
        <w:jc w:val="both"/>
        <w:ind w:left="660" w:firstLine="1293"/>
        <w:spacing w:after="0" w:line="250" w:lineRule="auto"/>
        <w:tabs>
          <w:tab w:leader="none" w:pos="2593"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228" w:lineRule="exact"/>
        <w:rPr>
          <w:rFonts w:ascii="Arial" w:cs="Arial" w:eastAsia="Arial" w:hAnsi="Arial"/>
          <w:sz w:val="22"/>
          <w:szCs w:val="22"/>
          <w:color w:val="auto"/>
        </w:rPr>
      </w:pPr>
    </w:p>
    <w:p>
      <w:pPr>
        <w:jc w:val="both"/>
        <w:ind w:left="660" w:firstLine="1293"/>
        <w:spacing w:after="0" w:line="312" w:lineRule="auto"/>
        <w:tabs>
          <w:tab w:leader="none" w:pos="2565"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appropriate Lien search results or certificates (including UCC and PPSA lien search certificates) as of a recent date reflecting no prior Liens encumbering the assets of the Obligors other than those being released on or prior to the Effective Date or Liens permitted by </w:t>
      </w:r>
      <w:r>
        <w:rPr>
          <w:rFonts w:ascii="Arial" w:cs="Arial" w:eastAsia="Arial" w:hAnsi="Arial"/>
          <w:sz w:val="19"/>
          <w:szCs w:val="19"/>
          <w:u w:val="single" w:color="auto"/>
          <w:color w:val="auto"/>
        </w:rPr>
        <w:t>Section 8.04.</w:t>
      </w:r>
    </w:p>
    <w:p>
      <w:pPr>
        <w:spacing w:after="0" w:line="174" w:lineRule="exact"/>
        <w:rPr>
          <w:rFonts w:ascii="Arial" w:cs="Arial" w:eastAsia="Arial" w:hAnsi="Arial"/>
          <w:sz w:val="19"/>
          <w:szCs w:val="19"/>
          <w:color w:val="auto"/>
        </w:rPr>
      </w:pPr>
    </w:p>
    <w:p>
      <w:pPr>
        <w:jc w:val="both"/>
        <w:ind w:left="660" w:firstLine="1293"/>
        <w:spacing w:after="0" w:line="246" w:lineRule="auto"/>
        <w:tabs>
          <w:tab w:leader="none" w:pos="2619"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 certificate of a Responsible Officer of WIL-Ireland,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and (B) as to the absence of the occurrence and continuance of any Default or Event of Default;</w:t>
      </w:r>
    </w:p>
    <w:p>
      <w:pPr>
        <w:spacing w:after="0" w:line="237" w:lineRule="exact"/>
        <w:rPr>
          <w:rFonts w:ascii="Arial" w:cs="Arial" w:eastAsia="Arial" w:hAnsi="Arial"/>
          <w:sz w:val="22"/>
          <w:szCs w:val="22"/>
          <w:color w:val="auto"/>
        </w:rPr>
      </w:pPr>
    </w:p>
    <w:p>
      <w:pPr>
        <w:jc w:val="both"/>
        <w:ind w:left="660" w:firstLine="1293"/>
        <w:spacing w:after="0" w:line="291" w:lineRule="auto"/>
        <w:tabs>
          <w:tab w:leader="none" w:pos="2578" w:val="left"/>
        </w:tabs>
        <w:numPr>
          <w:ilvl w:val="0"/>
          <w:numId w:val="288"/>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other Responsible Officer of each Obligor, dated the Effective Date and certifying (A) true and complete copies of the constitution or memorandum of association and</w:t>
      </w:r>
    </w:p>
    <w:p>
      <w:pPr>
        <w:spacing w:after="0" w:line="1"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bye-laws, the certificate of incorporation and bylaws or the other organizational documents, each as amended and in effect on the Effective Date, of such Obligor, (B) the resolutions adopted by the Board of Directors of such Obligor (1) authorizing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48" w:name="page249"/>
    <w:bookmarkEnd w:id="248"/>
    <w:p>
      <w:pPr>
        <w:jc w:val="both"/>
        <w:ind w:left="660" w:right="20"/>
        <w:spacing w:after="0" w:line="263" w:lineRule="auto"/>
        <w:rPr>
          <w:sz w:val="20"/>
          <w:szCs w:val="20"/>
          <w:color w:val="auto"/>
        </w:rPr>
      </w:pPr>
      <w:r>
        <w:rPr>
          <w:rFonts w:ascii="Arial" w:cs="Arial" w:eastAsia="Arial" w:hAnsi="Arial"/>
          <w:sz w:val="22"/>
          <w:szCs w:val="22"/>
          <w:color w:val="auto"/>
        </w:rPr>
        <w:t>execution, delivery and performance by such Obligor of the Loan Documents to which it is or shall be a party and, in the case of the Borrower, the borrowing of Loans by the Borrower and (2) authorizing</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officers or other representatives of such Obligor to execute and deliver the Loan Documents to which it is or shall be a party and any related documents, including any agreement contemplated by this Agreement, (C) the absence of any proceedings for the dissolution, liquidation or winding up of such Obligor and (D) the incumbency and specimen signatures of the officers or other authorized representatives of such Obligor executing any documents on its behalf;</w:t>
      </w:r>
    </w:p>
    <w:p>
      <w:pPr>
        <w:spacing w:after="0" w:line="183" w:lineRule="exact"/>
        <w:rPr>
          <w:sz w:val="20"/>
          <w:szCs w:val="20"/>
          <w:color w:val="auto"/>
        </w:rPr>
      </w:pPr>
    </w:p>
    <w:p>
      <w:pPr>
        <w:jc w:val="both"/>
        <w:ind w:left="660" w:firstLine="1293"/>
        <w:spacing w:after="0" w:line="285" w:lineRule="auto"/>
        <w:tabs>
          <w:tab w:leader="none" w:pos="2475" w:val="left"/>
        </w:tabs>
        <w:numPr>
          <w:ilvl w:val="1"/>
          <w:numId w:val="289"/>
        </w:numPr>
        <w:rPr>
          <w:rFonts w:ascii="Arial" w:cs="Arial" w:eastAsia="Arial" w:hAnsi="Arial"/>
          <w:sz w:val="19"/>
          <w:szCs w:val="19"/>
          <w:color w:val="auto"/>
        </w:rPr>
      </w:pPr>
      <w:r>
        <w:rPr>
          <w:rFonts w:ascii="Arial" w:cs="Arial" w:eastAsia="Arial" w:hAnsi="Arial"/>
          <w:sz w:val="19"/>
          <w:szCs w:val="19"/>
          <w:color w:val="auto"/>
        </w:rPr>
        <w:t>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the Borrower and certain of the Obligors, (C) Baker &amp; McKenzie LLP, special Swiss counsel to certain of the Obligors, (D) Matheson, special Irish counsel to certain of the Obligors, (E) Dentons, special Canadian counsel to certain of the Obligors,</w:t>
      </w:r>
    </w:p>
    <w:p>
      <w:pPr>
        <w:spacing w:after="0" w:line="3" w:lineRule="exact"/>
        <w:rPr>
          <w:rFonts w:ascii="Arial" w:cs="Arial" w:eastAsia="Arial" w:hAnsi="Arial"/>
          <w:sz w:val="19"/>
          <w:szCs w:val="19"/>
          <w:color w:val="auto"/>
        </w:rPr>
      </w:pPr>
    </w:p>
    <w:p>
      <w:pPr>
        <w:jc w:val="both"/>
        <w:ind w:left="660" w:hanging="4"/>
        <w:spacing w:after="0" w:line="257" w:lineRule="auto"/>
        <w:tabs>
          <w:tab w:leader="none" w:pos="988" w:val="left"/>
        </w:tabs>
        <w:numPr>
          <w:ilvl w:val="0"/>
          <w:numId w:val="290"/>
        </w:numPr>
        <w:rPr>
          <w:rFonts w:ascii="Arial" w:cs="Arial" w:eastAsia="Arial" w:hAnsi="Arial"/>
          <w:sz w:val="21"/>
          <w:szCs w:val="21"/>
          <w:color w:val="auto"/>
        </w:rPr>
      </w:pPr>
      <w:r>
        <w:rPr>
          <w:rFonts w:ascii="Arial" w:cs="Arial" w:eastAsia="Arial" w:hAnsi="Arial"/>
          <w:sz w:val="21"/>
          <w:szCs w:val="21"/>
          <w:color w:val="auto"/>
        </w:rPr>
        <w:t>Baker &amp; McKenzie LLP, special Luxembourg counsel to certain of the Obligors, (G) Arendt &amp; Medernach SA, special Luxembourg counsel to the Administrative Agent, (H) Conyers Dill &amp; Pearman Limited, special British Virgin Islands counsel to certain of the Obligors, (I) Sidley Austin LLP, special English counsel to the Administrative Agent, (J) Jones Walker LLP, special Louisiana counsel to Weatherford U.S., L.P., (K) Allens, special Australian counsel to the Administrative Agent, (L) Selmer, special Norwegian counsel to the Administrative Agent, (M) Baker &amp; McKenzie Amersterdam N.V., special Dutch counsel to certain of the Obligors and (N) Szakaly Law Firm, special Hungarian counsel to Weatherford Capital Management Services Limited Liability Company, in each case, given upon the express instruction of the applicable Obligor(s), as applicable;</w:t>
      </w:r>
    </w:p>
    <w:p>
      <w:pPr>
        <w:spacing w:after="0" w:line="222" w:lineRule="exact"/>
        <w:rPr>
          <w:rFonts w:ascii="Arial" w:cs="Arial" w:eastAsia="Arial" w:hAnsi="Arial"/>
          <w:sz w:val="21"/>
          <w:szCs w:val="21"/>
          <w:color w:val="auto"/>
        </w:rPr>
      </w:pPr>
    </w:p>
    <w:p>
      <w:pPr>
        <w:jc w:val="both"/>
        <w:ind w:left="660" w:firstLine="1293"/>
        <w:spacing w:after="0" w:line="265" w:lineRule="auto"/>
        <w:tabs>
          <w:tab w:leader="none" w:pos="2544" w:val="left"/>
        </w:tabs>
        <w:numPr>
          <w:ilvl w:val="1"/>
          <w:numId w:val="290"/>
        </w:numPr>
        <w:rPr>
          <w:rFonts w:ascii="Arial" w:cs="Arial" w:eastAsia="Arial" w:hAnsi="Arial"/>
          <w:sz w:val="21"/>
          <w:szCs w:val="21"/>
          <w:color w:val="auto"/>
        </w:rPr>
      </w:pPr>
      <w:r>
        <w:rPr>
          <w:rFonts w:ascii="Arial" w:cs="Arial" w:eastAsia="Arial" w:hAnsi="Arial"/>
          <w:sz w:val="21"/>
          <w:szCs w:val="21"/>
          <w:color w:val="auto"/>
        </w:rPr>
        <w:t>(A) a certificate of a Principal Financial Officer of WIL-Ireland certifying that, after giving effect to the Transactions, WIL-Ireland and its Subsidiaries on a consolidated basis are Solvent as of the Effective Date and (B) a certificate of a Principal Financial Officer of the Borrower certifying that, after giving effect to the Transactions, the Borrower and its Subsidiaries on a consolidated basis are Solvent as of the Effective Date;</w:t>
      </w:r>
    </w:p>
    <w:p>
      <w:pPr>
        <w:spacing w:after="0" w:line="216" w:lineRule="exact"/>
        <w:rPr>
          <w:rFonts w:ascii="Arial" w:cs="Arial" w:eastAsia="Arial" w:hAnsi="Arial"/>
          <w:sz w:val="21"/>
          <w:szCs w:val="21"/>
          <w:color w:val="auto"/>
        </w:rPr>
      </w:pPr>
    </w:p>
    <w:p>
      <w:pPr>
        <w:jc w:val="both"/>
        <w:ind w:left="660" w:right="20" w:firstLine="1293"/>
        <w:spacing w:after="0" w:line="343" w:lineRule="auto"/>
        <w:tabs>
          <w:tab w:leader="none" w:pos="2599" w:val="left"/>
        </w:tabs>
        <w:numPr>
          <w:ilvl w:val="1"/>
          <w:numId w:val="290"/>
        </w:numPr>
        <w:rPr>
          <w:rFonts w:ascii="Arial" w:cs="Arial" w:eastAsia="Arial" w:hAnsi="Arial"/>
          <w:sz w:val="19"/>
          <w:szCs w:val="19"/>
          <w:color w:val="auto"/>
        </w:rPr>
      </w:pPr>
      <w:r>
        <w:rPr>
          <w:rFonts w:ascii="Arial" w:cs="Arial" w:eastAsia="Arial" w:hAnsi="Arial"/>
          <w:sz w:val="19"/>
          <w:szCs w:val="19"/>
          <w:color w:val="auto"/>
        </w:rPr>
        <w:t>a certificate of a Principal Financial Officer of WIL-Ireland demonstrating, after giving effect to the Transactions, that WIL-Ireland is in compliance on a pro forma basis with the Financial Covenants as of the Effective Date;</w:t>
      </w:r>
    </w:p>
    <w:p>
      <w:pPr>
        <w:spacing w:after="0" w:line="145" w:lineRule="exact"/>
        <w:rPr>
          <w:rFonts w:ascii="Arial" w:cs="Arial" w:eastAsia="Arial" w:hAnsi="Arial"/>
          <w:sz w:val="19"/>
          <w:szCs w:val="19"/>
          <w:color w:val="auto"/>
        </w:rPr>
      </w:pPr>
    </w:p>
    <w:p>
      <w:pPr>
        <w:jc w:val="both"/>
        <w:ind w:left="660" w:firstLine="1293"/>
        <w:spacing w:after="0" w:line="246" w:lineRule="auto"/>
        <w:tabs>
          <w:tab w:leader="none" w:pos="2617" w:val="left"/>
        </w:tabs>
        <w:numPr>
          <w:ilvl w:val="1"/>
          <w:numId w:val="290"/>
        </w:numPr>
        <w:rPr>
          <w:rFonts w:ascii="Arial" w:cs="Arial" w:eastAsia="Arial" w:hAnsi="Arial"/>
          <w:sz w:val="22"/>
          <w:szCs w:val="22"/>
          <w:color w:val="auto"/>
        </w:rPr>
      </w:pPr>
      <w:r>
        <w:rPr>
          <w:rFonts w:ascii="Arial" w:cs="Arial" w:eastAsia="Arial" w:hAnsi="Arial"/>
          <w:sz w:val="22"/>
          <w:szCs w:val="22"/>
          <w:color w:val="auto"/>
        </w:rPr>
        <w:t>a certificate of a Principal Financial Officer of WIL-Ireland with supporting information certifying as to (A) the calculation of the Borrower’s Consolidated Net Worth (as defined in each of the Existing Senior Notes Indentures and each of the Citi Credit Documents) as of March 31, 2016 in accordance with each of the Existing Senior Notes Indentures and each of the Citi Credit Documents and (B) the Borrower’s ability to borrow the Loans on the Effective Date and to secure the Loans and other obligations in respect thereof without requiring the Secured Parties to share any of the Liens securing the Secured Obligations equally and ratably with the Existing Senior Notes or any of the obligations under the Citi Credit Documents;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591" w:right="239" w:bottom="1440" w:gutter="0" w:footer="0" w:header="0"/>
        </w:sectPr>
      </w:pPr>
    </w:p>
    <w:bookmarkStart w:id="249" w:name="page250"/>
    <w:bookmarkEnd w:id="249"/>
    <w:p>
      <w:pPr>
        <w:jc w:val="both"/>
        <w:ind w:left="660" w:firstLine="1293"/>
        <w:spacing w:after="0" w:line="287" w:lineRule="auto"/>
        <w:tabs>
          <w:tab w:leader="none" w:pos="2605" w:val="left"/>
        </w:tabs>
        <w:numPr>
          <w:ilvl w:val="2"/>
          <w:numId w:val="291"/>
        </w:numPr>
        <w:rPr>
          <w:rFonts w:ascii="Arial" w:cs="Arial" w:eastAsia="Arial" w:hAnsi="Arial"/>
          <w:sz w:val="19"/>
          <w:szCs w:val="19"/>
          <w:color w:val="auto"/>
        </w:rPr>
      </w:pPr>
      <w:r>
        <w:rPr>
          <w:rFonts w:ascii="Arial" w:cs="Arial" w:eastAsia="Arial" w:hAnsi="Arial"/>
          <w:sz w:val="19"/>
          <w:szCs w:val="19"/>
          <w:color w:val="auto"/>
        </w:rPr>
        <w:t>to the extent available in the applicable jurisdiction(s), (A) copies of the memorandum of association, articles or certificates of incorporation or other similar organizational documents of each Obligor (other than the Borrower and any other Obligor incorporated in Bermuda) certified as of a recent date prior to the Effective Date (i) by the appropriate Governmental Authority or (ii) by a Responsible Officer with respect to Obligors organized under the laws of the British Virgin Islands,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and (C) to the extent not covered by clause (A) and (B) immediately above, and only with respect to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w:t>
      </w:r>
    </w:p>
    <w:p>
      <w:pPr>
        <w:spacing w:after="0" w:line="200" w:lineRule="exact"/>
        <w:rPr>
          <w:rFonts w:ascii="Arial" w:cs="Arial" w:eastAsia="Arial" w:hAnsi="Arial"/>
          <w:sz w:val="19"/>
          <w:szCs w:val="19"/>
          <w:color w:val="auto"/>
        </w:rPr>
      </w:pPr>
    </w:p>
    <w:p>
      <w:pPr>
        <w:jc w:val="both"/>
        <w:ind w:left="660" w:right="20" w:firstLine="1293"/>
        <w:spacing w:after="0" w:line="253" w:lineRule="auto"/>
        <w:tabs>
          <w:tab w:leader="none" w:pos="2602" w:val="left"/>
        </w:tabs>
        <w:numPr>
          <w:ilvl w:val="2"/>
          <w:numId w:val="291"/>
        </w:numPr>
        <w:rPr>
          <w:rFonts w:ascii="Arial" w:cs="Arial" w:eastAsia="Arial" w:hAnsi="Arial"/>
          <w:sz w:val="22"/>
          <w:szCs w:val="22"/>
          <w:color w:val="auto"/>
        </w:rPr>
      </w:pPr>
      <w:r>
        <w:rPr>
          <w:rFonts w:ascii="Arial" w:cs="Arial" w:eastAsia="Arial" w:hAnsi="Arial"/>
          <w:sz w:val="22"/>
          <w:szCs w:val="22"/>
          <w:color w:val="auto"/>
        </w:rPr>
        <w:t>certificates of insurance listing the Administrative Agent as (x) loss payee for the property casualty insurance policies of the Obligors, together with loss payable endorsements and (y) additional insured with respect to the liability insurance of the Obligors, together with additional insured endorsements.</w:t>
      </w:r>
    </w:p>
    <w:p>
      <w:pPr>
        <w:spacing w:after="0" w:line="226" w:lineRule="exact"/>
        <w:rPr>
          <w:rFonts w:ascii="Arial" w:cs="Arial" w:eastAsia="Arial" w:hAnsi="Arial"/>
          <w:sz w:val="22"/>
          <w:szCs w:val="22"/>
          <w:color w:val="auto"/>
        </w:rPr>
      </w:pPr>
    </w:p>
    <w:p>
      <w:pPr>
        <w:jc w:val="both"/>
        <w:ind w:firstLine="1305"/>
        <w:spacing w:after="0" w:line="302" w:lineRule="auto"/>
        <w:tabs>
          <w:tab w:leader="none" w:pos="1806" w:val="left"/>
        </w:tabs>
        <w:numPr>
          <w:ilvl w:val="1"/>
          <w:numId w:val="292"/>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reasonably satisfactory to it that all material consents of each Governmental Authority and of each other Person, if any, required to be received by the Obligors in connection with (i) the Loans, (ii) the granting of liens on the Collateral to secure the Secured Obligations and (iii) the execution, delivery and performance of this Agreement and the other Loan Documents to which any Obligor is a party have been satisfactorily obtained.</w:t>
      </w:r>
    </w:p>
    <w:p>
      <w:pPr>
        <w:spacing w:after="0" w:line="183" w:lineRule="exact"/>
        <w:rPr>
          <w:rFonts w:ascii="Arial" w:cs="Arial" w:eastAsia="Arial" w:hAnsi="Arial"/>
          <w:sz w:val="19"/>
          <w:szCs w:val="19"/>
          <w:color w:val="auto"/>
        </w:rPr>
      </w:pPr>
    </w:p>
    <w:p>
      <w:pPr>
        <w:jc w:val="both"/>
        <w:ind w:firstLine="1305"/>
        <w:spacing w:after="0" w:line="288" w:lineRule="auto"/>
        <w:tabs>
          <w:tab w:leader="none" w:pos="1842" w:val="left"/>
        </w:tabs>
        <w:numPr>
          <w:ilvl w:val="1"/>
          <w:numId w:val="292"/>
        </w:numPr>
        <w:rPr>
          <w:rFonts w:ascii="Arial" w:cs="Arial" w:eastAsia="Arial" w:hAnsi="Arial"/>
          <w:sz w:val="19"/>
          <w:szCs w:val="19"/>
          <w:color w:val="auto"/>
        </w:rPr>
      </w:pPr>
      <w:r>
        <w:rPr>
          <w:rFonts w:ascii="Arial" w:cs="Arial" w:eastAsia="Arial" w:hAnsi="Arial"/>
          <w:sz w:val="19"/>
          <w:szCs w:val="19"/>
          <w:color w:val="auto"/>
        </w:rPr>
        <w:t>The Lenders shall have received (i) audited consolidated financial statements of WIL-Ireland for the Fiscal Year ended December 31, 2015, including condensed consolidating financial information with respect to the Guarantors to the extent required to be presented in the periodic reports of WIL-Ireland filed with the SEC pursuant to the Exchange Act and</w:t>
      </w:r>
    </w:p>
    <w:p>
      <w:pPr>
        <w:spacing w:after="0" w:line="1" w:lineRule="exact"/>
        <w:rPr>
          <w:rFonts w:ascii="Arial" w:cs="Arial" w:eastAsia="Arial" w:hAnsi="Arial"/>
          <w:sz w:val="19"/>
          <w:szCs w:val="19"/>
          <w:color w:val="auto"/>
        </w:rPr>
      </w:pPr>
    </w:p>
    <w:p>
      <w:pPr>
        <w:jc w:val="both"/>
        <w:ind w:firstLine="8"/>
        <w:spacing w:after="0" w:line="244" w:lineRule="auto"/>
        <w:tabs>
          <w:tab w:leader="none" w:pos="408" w:val="left"/>
        </w:tabs>
        <w:numPr>
          <w:ilvl w:val="0"/>
          <w:numId w:val="293"/>
        </w:numPr>
        <w:rPr>
          <w:rFonts w:ascii="Arial" w:cs="Arial" w:eastAsia="Arial" w:hAnsi="Arial"/>
          <w:sz w:val="22"/>
          <w:szCs w:val="22"/>
          <w:color w:val="auto"/>
        </w:rPr>
      </w:pPr>
      <w:r>
        <w:rPr>
          <w:rFonts w:ascii="Arial" w:cs="Arial" w:eastAsia="Arial" w:hAnsi="Arial"/>
          <w:sz w:val="22"/>
          <w:szCs w:val="22"/>
          <w:color w:val="auto"/>
        </w:rPr>
        <w:t>unaudited interim consolidated financial statements of WIL-Ireland for each quarterly period ended subsequent to December 31, 2015 to the extent such financial statements are available, including condensed consolidating financial information with respect to the Guarantors to the extent required to be presented in the periodic reports of WIL-Ireland filed with the SEC pursuant to the Exchange Act.</w:t>
      </w:r>
    </w:p>
    <w:p>
      <w:pPr>
        <w:spacing w:after="0" w:line="236" w:lineRule="exact"/>
        <w:rPr>
          <w:rFonts w:ascii="Arial" w:cs="Arial" w:eastAsia="Arial" w:hAnsi="Arial"/>
          <w:sz w:val="22"/>
          <w:szCs w:val="22"/>
          <w:color w:val="auto"/>
        </w:rPr>
      </w:pPr>
    </w:p>
    <w:p>
      <w:pPr>
        <w:jc w:val="both"/>
        <w:ind w:firstLine="1305"/>
        <w:spacing w:after="0" w:line="302" w:lineRule="auto"/>
        <w:tabs>
          <w:tab w:leader="none" w:pos="1931"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The Borrower shall have paid (i) to the Administrative Agent, the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 pursuant to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or any other Loan Document.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0" w:name="page251"/>
    <w:bookmarkEnd w:id="250"/>
    <w:p>
      <w:pPr>
        <w:jc w:val="both"/>
        <w:ind w:firstLine="1305"/>
        <w:spacing w:after="0" w:line="248" w:lineRule="auto"/>
        <w:tabs>
          <w:tab w:leader="none" w:pos="189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The Revolving Credit Facility shall be closed and effective, the Specified Prepayment (as defined in the Amendment and Restatement Agreement) and Commitment Reduction (as defined in the Amendment and Restatement Agreement) shall have occurred, and the sum of (i) the aggregate amount of the Extended Commitments (as defined in the Revolving Credit Agreement) of the Extending Lenders (as defined in the Revolving Credit Agreement)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Aggregate Commitments hereunder, shall be at least $1,600,000,000.</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1847" w:val="left"/>
        </w:tabs>
        <w:numPr>
          <w:ilvl w:val="0"/>
          <w:numId w:val="294"/>
        </w:numPr>
        <w:rPr>
          <w:rFonts w:ascii="Arial" w:cs="Arial" w:eastAsia="Arial" w:hAnsi="Arial"/>
          <w:sz w:val="22"/>
          <w:szCs w:val="22"/>
          <w:color w:val="auto"/>
        </w:rPr>
      </w:pPr>
      <w:r>
        <w:rPr>
          <w:rFonts w:ascii="Arial" w:cs="Arial" w:eastAsia="Arial" w:hAnsi="Arial"/>
          <w:sz w:val="22"/>
          <w:szCs w:val="22"/>
          <w:color w:val="auto"/>
        </w:rPr>
        <w:t>Each Obligor shall have provided to the Administrative Agent and the Lenders, if requested at least three Business Days prior to the Effective Date, the documentation and other information requested by the Administrative Agent or any Lender in order to comply with requirements of the PATRIOT Act and applicable “know your customer” and anti-money laundering rules and regulations.</w:t>
      </w:r>
    </w:p>
    <w:p>
      <w:pPr>
        <w:spacing w:after="0" w:line="228" w:lineRule="exact"/>
        <w:rPr>
          <w:rFonts w:ascii="Arial" w:cs="Arial" w:eastAsia="Arial" w:hAnsi="Arial"/>
          <w:sz w:val="22"/>
          <w:szCs w:val="22"/>
          <w:color w:val="auto"/>
        </w:rPr>
      </w:pPr>
    </w:p>
    <w:p>
      <w:pPr>
        <w:ind w:firstLine="1305"/>
        <w:spacing w:after="0" w:line="263" w:lineRule="auto"/>
        <w:tabs>
          <w:tab w:leader="none" w:pos="178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Administrative Agent shall have received a favorable ruling from the Swiss federal tax authorities in form and substance satisfactory to the Administrative Agent and its counsel.</w:t>
      </w:r>
    </w:p>
    <w:p>
      <w:pPr>
        <w:spacing w:after="0" w:line="215" w:lineRule="exact"/>
        <w:rPr>
          <w:rFonts w:ascii="Arial" w:cs="Arial" w:eastAsia="Arial" w:hAnsi="Arial"/>
          <w:sz w:val="22"/>
          <w:szCs w:val="22"/>
          <w:color w:val="auto"/>
        </w:rPr>
      </w:pPr>
    </w:p>
    <w:p>
      <w:pPr>
        <w:ind w:firstLine="1305"/>
        <w:spacing w:after="0" w:line="263" w:lineRule="auto"/>
        <w:tabs>
          <w:tab w:leader="none" w:pos="1886"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Administrative Agent and the Lenders are satisfied with the description and scope of the Designated Assets as described in writing to the Administrative Agent and the Lenders prior to the Effective Date.</w:t>
      </w:r>
    </w:p>
    <w:p>
      <w:pPr>
        <w:spacing w:after="0" w:line="215" w:lineRule="exact"/>
        <w:rPr>
          <w:rFonts w:ascii="Arial" w:cs="Arial" w:eastAsia="Arial" w:hAnsi="Arial"/>
          <w:sz w:val="22"/>
          <w:szCs w:val="22"/>
          <w:color w:val="auto"/>
        </w:rPr>
      </w:pPr>
    </w:p>
    <w:p>
      <w:pPr>
        <w:ind w:right="20" w:firstLine="1305"/>
        <w:spacing w:after="0" w:line="287" w:lineRule="auto"/>
        <w:tabs>
          <w:tab w:leader="none" w:pos="2007" w:val="left"/>
        </w:tabs>
        <w:numPr>
          <w:ilvl w:val="0"/>
          <w:numId w:val="294"/>
        </w:numPr>
        <w:rPr>
          <w:rFonts w:ascii="Arial" w:cs="Arial" w:eastAsia="Arial" w:hAnsi="Arial"/>
          <w:sz w:val="21"/>
          <w:szCs w:val="21"/>
          <w:color w:val="auto"/>
        </w:rPr>
      </w:pPr>
      <w:r>
        <w:rPr>
          <w:rFonts w:ascii="Arial" w:cs="Arial" w:eastAsia="Arial" w:hAnsi="Arial"/>
          <w:sz w:val="21"/>
          <w:szCs w:val="21"/>
          <w:color w:val="auto"/>
        </w:rPr>
        <w:t>Each Obligor shall have provided the Administrative Agent such other information and supporting documentation regarding the Borrower’s recapitalization transaction as the Administrative Agent shall reasonably request.</w:t>
      </w:r>
    </w:p>
    <w:p>
      <w:pPr>
        <w:spacing w:after="0" w:line="192" w:lineRule="exact"/>
        <w:rPr>
          <w:rFonts w:ascii="Arial" w:cs="Arial" w:eastAsia="Arial" w:hAnsi="Arial"/>
          <w:sz w:val="21"/>
          <w:szCs w:val="21"/>
          <w:color w:val="auto"/>
        </w:rPr>
      </w:pPr>
    </w:p>
    <w:p>
      <w:pPr>
        <w:jc w:val="both"/>
        <w:ind w:firstLine="1305"/>
        <w:spacing w:after="0" w:line="292" w:lineRule="auto"/>
        <w:tabs>
          <w:tab w:leader="none" w:pos="191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Effective Date, except to the extent any such representations and warranties are expressly limited to an earlier date, in which case, on and as of the Effective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92" w:lineRule="exact"/>
        <w:rPr>
          <w:rFonts w:ascii="Arial" w:cs="Arial" w:eastAsia="Arial" w:hAnsi="Arial"/>
          <w:sz w:val="19"/>
          <w:szCs w:val="19"/>
          <w:color w:val="auto"/>
        </w:rPr>
      </w:pPr>
    </w:p>
    <w:p>
      <w:pPr>
        <w:ind w:firstLine="1305"/>
        <w:spacing w:after="0" w:line="263" w:lineRule="auto"/>
        <w:tabs>
          <w:tab w:leader="none" w:pos="183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the Borrowing Request by the time and on the Business Day specified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1720" w:hanging="415"/>
        <w:spacing w:after="0"/>
        <w:tabs>
          <w:tab w:leader="none" w:pos="172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Signing Date shall have occurred.</w:t>
      </w:r>
    </w:p>
    <w:p>
      <w:pPr>
        <w:spacing w:after="0" w:line="260" w:lineRule="exact"/>
        <w:rPr>
          <w:rFonts w:ascii="Arial" w:cs="Arial" w:eastAsia="Arial" w:hAnsi="Arial"/>
          <w:sz w:val="22"/>
          <w:szCs w:val="22"/>
          <w:color w:val="auto"/>
        </w:rPr>
      </w:pPr>
    </w:p>
    <w:p>
      <w:pPr>
        <w:ind w:firstLine="1305"/>
        <w:spacing w:after="0" w:line="263" w:lineRule="auto"/>
        <w:tabs>
          <w:tab w:leader="none" w:pos="187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on the Effective Date or would result from the Initial Borrowing or the application of the proceeds thereof on the Effective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1" w:name="page252"/>
    <w:bookmarkEnd w:id="251"/>
    <w:p>
      <w:pPr>
        <w:jc w:val="both"/>
        <w:ind w:firstLine="648"/>
        <w:spacing w:after="0" w:line="250" w:lineRule="auto"/>
        <w:rPr>
          <w:sz w:val="20"/>
          <w:szCs w:val="20"/>
          <w:color w:val="auto"/>
        </w:rPr>
      </w:pPr>
      <w:r>
        <w:rPr>
          <w:rFonts w:ascii="Arial" w:cs="Arial" w:eastAsia="Arial" w:hAnsi="Arial"/>
          <w:sz w:val="22"/>
          <w:szCs w:val="22"/>
          <w:color w:val="auto"/>
        </w:rPr>
        <w:t>Each Lender, by delivering its signature page to this Agreement, shall be deemed to have consented to, approved or accepted or to be satisfied with, each Loan Document and each other document required hereunder to be consented to, approved by or acceptable or satisfactory to a Lender, unless the Administrative Agent shall have received notice from such Lender prior to the proposed Effective Date specifying its objection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Party represents and warrants to the Lenders and the Administrative Agent as follows: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Each Obligor and each Restricted Subsidiary (a) is a company, corporation, partnership or entity having limited liability that is duly organized or formed, validly existing and in good standing under the laws of the jurisdiction of its incorporation or formation, (b) has the corporate, partnership or other power and authority to own its property and to carry on its business as now conducted and (c) is duly qualified as a foreign corporation or other foreign entity to do business and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Authorization, Validity, Etc</w:t>
      </w:r>
      <w:r>
        <w:rPr>
          <w:rFonts w:ascii="Arial" w:cs="Arial" w:eastAsia="Arial" w:hAnsi="Arial"/>
          <w:sz w:val="19"/>
          <w:szCs w:val="19"/>
          <w:color w:val="auto"/>
        </w:rPr>
        <w:t>. Each Obligor has the corporate or other power and authority to execute, deliver and perform its obligations hereunder and under the other Loan Documents to which it is a party and (in the case of the Borrower) to obtain the Loans,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Governmental Consents, Etc.</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6.03</w:t>
      </w:r>
      <w:r>
        <w:rPr>
          <w:rFonts w:ascii="Arial" w:cs="Arial" w:eastAsia="Arial" w:hAnsi="Arial"/>
          <w:sz w:val="21"/>
          <w:szCs w:val="21"/>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2" w:name="page253"/>
    <w:bookmarkEnd w:id="252"/>
    <w:p>
      <w:pPr>
        <w:jc w:val="both"/>
        <w:ind w:firstLine="648"/>
        <w:spacing w:after="0" w:line="258"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No Breach or Violation of Law or Agreements</w:t>
      </w:r>
      <w:r>
        <w:rPr>
          <w:rFonts w:ascii="Arial" w:cs="Arial" w:eastAsia="Arial" w:hAnsi="Arial"/>
          <w:sz w:val="21"/>
          <w:szCs w:val="21"/>
          <w:color w:val="auto"/>
        </w:rPr>
        <w:t>.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Existing Senior Notes, any Existing Senior Notes Indenture or any Citi Credit Document or (ii)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(b)(ii)</w:t>
      </w:r>
      <w:r>
        <w:rPr>
          <w:rFonts w:ascii="Arial" w:cs="Arial" w:eastAsia="Arial" w:hAnsi="Arial"/>
          <w:sz w:val="21"/>
          <w:szCs w:val="21"/>
          <w:color w:val="auto"/>
        </w:rPr>
        <w:t xml:space="preserve"> that collectively for the Obligors would not have a Material Adverse Effect, or (c) will violate any provision of the organizational documents or by-laws of any Obligor.</w:t>
      </w:r>
    </w:p>
    <w:p>
      <w:pPr>
        <w:spacing w:after="0" w:line="2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6.05</w:t>
      </w:r>
      <w:r>
        <w:rPr>
          <w:rFonts w:ascii="Arial" w:cs="Arial" w:eastAsia="Arial" w:hAnsi="Arial"/>
          <w:sz w:val="22"/>
          <w:szCs w:val="22"/>
          <w:color w:val="auto"/>
        </w:rPr>
        <w:t>, (a) there are no actions, suits or proceedings pending or, to the best knowledge of WIL-Ireland, threatened in writing against any Obligor or against any of their respective properties or assets that are reasonably likely to have (individually or collectively) a Material Adverse Effect and (b) to the best knowledge of WIL-Ireland, there are no actions, suits or proceedings pending or threatened that purport to affect or pertain to the Loan Documents or any transactions contemplated thereby.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Information; No Material Adverse Change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8" w:lineRule="auto"/>
        <w:tabs>
          <w:tab w:leader="none" w:pos="184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All written information heretofore furnished by the Obligors to the Administrative Agent or any Lender in connection with this Agreement or any of the other Loan Documents (including the information contained in the Confidential Information Memorandum dated April 2016 delivered in connection with Transactions, the credit facility evidenced hereby and the Revolving Credit Facility),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226" w:lineRule="exact"/>
        <w:rPr>
          <w:rFonts w:ascii="Arial" w:cs="Arial" w:eastAsia="Arial" w:hAnsi="Arial"/>
          <w:sz w:val="21"/>
          <w:szCs w:val="21"/>
          <w:color w:val="auto"/>
        </w:rPr>
      </w:pPr>
    </w:p>
    <w:p>
      <w:pPr>
        <w:jc w:val="both"/>
        <w:ind w:firstLine="1305"/>
        <w:spacing w:after="0" w:line="302" w:lineRule="auto"/>
        <w:tabs>
          <w:tab w:leader="none" w:pos="180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WIL-Ireland has heretofore furnished to the Lenders its consolidated balance sheet and statements of income, stockholders equity and cash flows as of and for the Fiscal Year ended December 31, 2015 reported on by KPMG LLP, independent public accountants. Such financial statements present fairly, in all material respects, the financial position and results of operations and cash flows of WIL-Ireland and its consolidated Subsidiaries as of such dates and for such periods in accordance with GAAP.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3" w:name="page254"/>
    <w:bookmarkEnd w:id="253"/>
    <w:p>
      <w:pPr>
        <w:ind w:firstLine="1305"/>
        <w:spacing w:after="0" w:line="263" w:lineRule="auto"/>
        <w:tabs>
          <w:tab w:leader="none" w:pos="1751" w:val="left"/>
        </w:tabs>
        <w:numPr>
          <w:ilvl w:val="0"/>
          <w:numId w:val="296"/>
        </w:numPr>
        <w:rPr>
          <w:rFonts w:ascii="Arial" w:cs="Arial" w:eastAsia="Arial" w:hAnsi="Arial"/>
          <w:sz w:val="22"/>
          <w:szCs w:val="22"/>
          <w:color w:val="auto"/>
        </w:rPr>
      </w:pPr>
      <w:r>
        <w:rPr>
          <w:rFonts w:ascii="Arial" w:cs="Arial" w:eastAsia="Arial" w:hAnsi="Arial"/>
          <w:sz w:val="22"/>
          <w:szCs w:val="22"/>
          <w:color w:val="auto"/>
        </w:rPr>
        <w:t>There has been no material adverse change since December 31, 2015 in the financial condition, business, assets or operations of WIL-Ireland and its Restricted Subsidiaries, taken as a whole.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87" w:lineRule="auto"/>
        <w:tabs>
          <w:tab w:leader="none" w:pos="1804" w:val="left"/>
        </w:tabs>
        <w:numPr>
          <w:ilvl w:val="1"/>
          <w:numId w:val="297"/>
        </w:numPr>
        <w:rPr>
          <w:rFonts w:ascii="Arial" w:cs="Arial" w:eastAsia="Arial" w:hAnsi="Arial"/>
          <w:sz w:val="21"/>
          <w:szCs w:val="21"/>
          <w:color w:val="auto"/>
        </w:rPr>
      </w:pPr>
      <w:r>
        <w:rPr>
          <w:rFonts w:ascii="Arial" w:cs="Arial" w:eastAsia="Arial" w:hAnsi="Arial"/>
          <w:sz w:val="21"/>
          <w:szCs w:val="21"/>
          <w:color w:val="auto"/>
        </w:rPr>
        <w:t>Neither any Obligor nor any of its Restricted Subsidiaries is, or is regulated as, an “investment company,” as such term is defined in the Investment Company Act of 1940 (as adopted in the United States), as amended.</w:t>
      </w:r>
    </w:p>
    <w:p>
      <w:pPr>
        <w:spacing w:after="0" w:line="192" w:lineRule="exact"/>
        <w:rPr>
          <w:rFonts w:ascii="Arial" w:cs="Arial" w:eastAsia="Arial" w:hAnsi="Arial"/>
          <w:sz w:val="21"/>
          <w:szCs w:val="21"/>
          <w:color w:val="auto"/>
        </w:rPr>
      </w:pPr>
    </w:p>
    <w:p>
      <w:pPr>
        <w:jc w:val="both"/>
        <w:ind w:firstLine="1305"/>
        <w:spacing w:after="0" w:line="248" w:lineRule="auto"/>
        <w:tabs>
          <w:tab w:leader="none" w:pos="1847" w:val="left"/>
        </w:tabs>
        <w:numPr>
          <w:ilvl w:val="1"/>
          <w:numId w:val="297"/>
        </w:numPr>
        <w:rPr>
          <w:rFonts w:ascii="Arial" w:cs="Arial" w:eastAsia="Arial" w:hAnsi="Arial"/>
          <w:sz w:val="22"/>
          <w:szCs w:val="22"/>
          <w:color w:val="auto"/>
        </w:rPr>
      </w:pPr>
      <w:r>
        <w:rPr>
          <w:rFonts w:ascii="Arial" w:cs="Arial" w:eastAsia="Arial" w:hAnsi="Arial"/>
          <w:sz w:val="22"/>
          <w:szCs w:val="22"/>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the Loans made to the Borrower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ERISA</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849" w:val="left"/>
        </w:tabs>
        <w:numPr>
          <w:ilvl w:val="0"/>
          <w:numId w:val="298"/>
        </w:numPr>
        <w:rPr>
          <w:rFonts w:ascii="Arial" w:cs="Arial" w:eastAsia="Arial" w:hAnsi="Arial"/>
          <w:sz w:val="22"/>
          <w:szCs w:val="22"/>
          <w:color w:val="auto"/>
        </w:rPr>
      </w:pPr>
      <w:r>
        <w:rPr>
          <w:rFonts w:ascii="Arial" w:cs="Arial" w:eastAsia="Arial" w:hAnsi="Arial"/>
          <w:sz w:val="22"/>
          <w:szCs w:val="22"/>
          <w:color w:val="auto"/>
        </w:rPr>
        <w:t>Each Obligor and each ERISA Affiliate has maintained and administered each Plan in compliance with all applicable laws, except for such instances of noncompliance as have not resulted in and would not reasonably be expected to have a Material Adverse Effect.</w:t>
      </w:r>
    </w:p>
    <w:p>
      <w:pPr>
        <w:spacing w:after="0" w:line="226" w:lineRule="exact"/>
        <w:rPr>
          <w:rFonts w:ascii="Arial" w:cs="Arial" w:eastAsia="Arial" w:hAnsi="Arial"/>
          <w:sz w:val="22"/>
          <w:szCs w:val="22"/>
          <w:color w:val="auto"/>
        </w:rPr>
      </w:pPr>
    </w:p>
    <w:p>
      <w:pPr>
        <w:ind w:firstLine="1305"/>
        <w:spacing w:after="0" w:line="343" w:lineRule="auto"/>
        <w:tabs>
          <w:tab w:leader="none" w:pos="178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No ERISA Event has occurred or is reasonably expected to occur that, when taken together with all other such ERISA Events for which liability is reasonably expected to occur, could reasonably be expected to have a Material Adverse Effect.</w:t>
      </w:r>
    </w:p>
    <w:p>
      <w:pPr>
        <w:spacing w:after="0" w:line="14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Tax Returns and Payments</w:t>
      </w:r>
      <w:r>
        <w:rPr>
          <w:rFonts w:ascii="Arial" w:cs="Arial" w:eastAsia="Arial" w:hAnsi="Arial"/>
          <w:sz w:val="19"/>
          <w:szCs w:val="19"/>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Requirements of Law</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65" w:lineRule="auto"/>
        <w:tabs>
          <w:tab w:leader="none" w:pos="1896"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4" w:name="page255"/>
    <w:bookmarkEnd w:id="254"/>
    <w:p>
      <w:pPr>
        <w:jc w:val="both"/>
        <w:ind w:firstLine="1305"/>
        <w:spacing w:after="0" w:line="247" w:lineRule="auto"/>
        <w:tabs>
          <w:tab w:leader="none" w:pos="1813" w:val="left"/>
        </w:tabs>
        <w:numPr>
          <w:ilvl w:val="0"/>
          <w:numId w:val="300"/>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could not reasonably be expected to result in a Material Adverse Effect, neither WIL-Ireland nor any of its Subsidiaries (i) has failed to comply with any Environmental Law or to obtain, maintain or comply with any permit, license or other approval required for the conduct of WIL-Ireland’s or any of its Subsidiaries’ business under any Environmental Law, (ii) is liable for any Environmental Liability, (iii) has received notice of any claim with respect to any Environmental Liability or (iv) has knowledge of any facts or circumstances that would give rise to any Environmental Liability.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has occurred and is continuing.</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Anti-Corruption Laws and Sanctions</w:t>
      </w:r>
      <w:r>
        <w:rPr>
          <w:rFonts w:ascii="Arial" w:cs="Arial" w:eastAsia="Arial" w:hAnsi="Arial"/>
          <w:sz w:val="21"/>
          <w:szCs w:val="21"/>
          <w:color w:val="auto"/>
        </w:rPr>
        <w:t>. Each Obligor Party has implemented and maintains in effect policies and procedures designed to ensure compliance by such Obligor Party, its Subsidiaries and their respective directors, officers, employees and agents with Anti-Corruption Laws and applicable Sanctions, and such Obligor Party, its Subsidiaries and their respective officers and employees and, to the knowledge of such Obligor Party, its directors and agents, are in compliance with Anti-Corruption Laws and applicable Sanctions in all material respects. None of (a) each Obligor Party, any Subsidiary of such Obligor Party or any of their respective directors, officers or employees, or (b) to the knowledge of each Obligor Party, any agent of such Obligor Party or any Subsidiary of such Obligor Party that will act in any capacity in connection with or benefit from the credit facility established hereby, is a Sanctioned Person. None of the Initial Borrowing, nor the use of proceeds of the Loans or any other transaction contemplated by the Credit Agreement will violate any Anti-Corruption Laws or any Sanctions applicable to any party hereto.</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312" w:lineRule="auto"/>
        <w:tabs>
          <w:tab w:leader="none" w:pos="1777"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Each of WIL-Ireland and its Restricted Subsidiaries has good title to, or valid leasehold interests in, all its real and personal property material to its business, except for (i) Liens permitted by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(ii) minor defects in title that do not interfere with its ability to conduct its business as currently conducted or to utilize such properties for their intended purposes.</w:t>
      </w:r>
    </w:p>
    <w:p>
      <w:pPr>
        <w:spacing w:after="0" w:line="174" w:lineRule="exact"/>
        <w:rPr>
          <w:rFonts w:ascii="Arial" w:cs="Arial" w:eastAsia="Arial" w:hAnsi="Arial"/>
          <w:sz w:val="19"/>
          <w:szCs w:val="19"/>
          <w:color w:val="auto"/>
        </w:rPr>
      </w:pPr>
    </w:p>
    <w:p>
      <w:pPr>
        <w:jc w:val="both"/>
        <w:ind w:firstLine="1305"/>
        <w:spacing w:after="0" w:line="265" w:lineRule="auto"/>
        <w:tabs>
          <w:tab w:leader="none" w:pos="1841" w:val="left"/>
        </w:tabs>
        <w:numPr>
          <w:ilvl w:val="0"/>
          <w:numId w:val="301"/>
        </w:numPr>
        <w:rPr>
          <w:rFonts w:ascii="Arial" w:cs="Arial" w:eastAsia="Arial" w:hAnsi="Arial"/>
          <w:sz w:val="21"/>
          <w:szCs w:val="21"/>
          <w:color w:val="auto"/>
        </w:rPr>
      </w:pPr>
      <w:r>
        <w:rPr>
          <w:rFonts w:ascii="Arial" w:cs="Arial" w:eastAsia="Arial" w:hAnsi="Arial"/>
          <w:sz w:val="21"/>
          <w:szCs w:val="21"/>
          <w:color w:val="auto"/>
        </w:rPr>
        <w:t>Each of WIL-Ireland and its Restricted Subsidiaries owns, or is licensed to use, all trademarks, tradenames, copyrights, patents and other intellectual property material to its business, and the use thereof by WIL-Ireland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200" w:lineRule="exact"/>
        <w:rPr>
          <w:sz w:val="20"/>
          <w:szCs w:val="20"/>
          <w:color w:val="auto"/>
        </w:rPr>
      </w:pPr>
    </w:p>
    <w:p>
      <w:pPr>
        <w:spacing w:after="0" w:line="27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No Restrictive Agreements</w:t>
      </w:r>
      <w:r>
        <w:rPr>
          <w:rFonts w:ascii="Arial" w:cs="Arial" w:eastAsia="Arial" w:hAnsi="Arial"/>
          <w:sz w:val="22"/>
          <w:szCs w:val="22"/>
          <w:color w:val="auto"/>
        </w:rPr>
        <w:t xml:space="preserve">. WIL-Ireland and its Restricted Subsidiaries are not subject to any Restrictive Agreements other than Restrictive Agreements permitted by </w:t>
      </w:r>
      <w:r>
        <w:rPr>
          <w:rFonts w:ascii="Arial" w:cs="Arial" w:eastAsia="Arial" w:hAnsi="Arial"/>
          <w:sz w:val="22"/>
          <w:szCs w:val="22"/>
          <w:u w:val="single" w:color="auto"/>
          <w:color w:val="auto"/>
        </w:rPr>
        <w:t>Section 8.11</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5" w:name="page256"/>
    <w:bookmarkEnd w:id="255"/>
    <w:p>
      <w:pPr>
        <w:ind w:firstLine="1305"/>
        <w:spacing w:after="0" w:line="263" w:lineRule="auto"/>
        <w:tabs>
          <w:tab w:leader="none" w:pos="1815" w:val="left"/>
        </w:tabs>
        <w:numPr>
          <w:ilvl w:val="0"/>
          <w:numId w:val="302"/>
        </w:numPr>
        <w:rPr>
          <w:rFonts w:ascii="Arial" w:cs="Arial" w:eastAsia="Arial" w:hAnsi="Arial"/>
          <w:sz w:val="22"/>
          <w:szCs w:val="22"/>
          <w:color w:val="auto"/>
        </w:rPr>
      </w:pPr>
      <w:r>
        <w:rPr>
          <w:rFonts w:ascii="Arial" w:cs="Arial" w:eastAsia="Arial" w:hAnsi="Arial"/>
          <w:sz w:val="22"/>
          <w:szCs w:val="22"/>
          <w:color w:val="auto"/>
        </w:rPr>
        <w:t>Immediately after the consummation of the Transactions to occur on the Effective Date, WIL-Ireland and its Subsidiaries, taken as a whole, are and will be Solvent.</w:t>
      </w:r>
    </w:p>
    <w:p>
      <w:pPr>
        <w:spacing w:after="0" w:line="215" w:lineRule="exact"/>
        <w:rPr>
          <w:rFonts w:ascii="Arial" w:cs="Arial" w:eastAsia="Arial" w:hAnsi="Arial"/>
          <w:sz w:val="22"/>
          <w:szCs w:val="22"/>
          <w:color w:val="auto"/>
        </w:rPr>
      </w:pPr>
    </w:p>
    <w:p>
      <w:pPr>
        <w:ind w:firstLine="1305"/>
        <w:spacing w:after="0" w:line="263" w:lineRule="auto"/>
        <w:tabs>
          <w:tab w:leader="none" w:pos="1811" w:val="left"/>
        </w:tabs>
        <w:numPr>
          <w:ilvl w:val="0"/>
          <w:numId w:val="302"/>
        </w:numPr>
        <w:rPr>
          <w:rFonts w:ascii="Arial" w:cs="Arial" w:eastAsia="Arial" w:hAnsi="Arial"/>
          <w:sz w:val="22"/>
          <w:szCs w:val="22"/>
          <w:color w:val="auto"/>
        </w:rPr>
      </w:pPr>
      <w:r>
        <w:rPr>
          <w:rFonts w:ascii="Arial" w:cs="Arial" w:eastAsia="Arial" w:hAnsi="Arial"/>
          <w:sz w:val="22"/>
          <w:szCs w:val="22"/>
          <w:color w:val="auto"/>
        </w:rPr>
        <w:t>Immediately after the consummation of the Transactions to occur on the Effective Date, the Borrower and its Subsidiaries, taken as a whole, are and will be Solvent.</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181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Borrower does not intend to, nor will permit its Restricted Subsidiaries (taken as a whole) to, and WIL-Ireland does not believe that it or its Restricted Subsidiaries (taken as a whole) will, incur debts beyond its or their ability to pay such debts as such debts mature, taking into account the timing of and amounts of cash to be received by it or any such Restricted Subsidiary and the timing of the amounts of cash to be payable on or in respect of its Indebtedness or the Indebtedness of any such Restricted Subsidiary.</w:t>
      </w:r>
    </w:p>
    <w:p>
      <w:pPr>
        <w:spacing w:after="0" w:line="233"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Insurance</w:t>
      </w:r>
      <w:r>
        <w:rPr>
          <w:rFonts w:ascii="Arial" w:cs="Arial" w:eastAsia="Arial" w:hAnsi="Arial"/>
          <w:sz w:val="22"/>
          <w:szCs w:val="22"/>
          <w:color w:val="auto"/>
        </w:rPr>
        <w:t>. WIL-Ireland and its Subsidiaries maintain, including through self</w:t>
      </w:r>
      <w:r>
        <w:rPr>
          <w:rFonts w:ascii="MS PGothic" w:cs="MS PGothic" w:eastAsia="MS PGothic" w:hAnsi="MS PGothic"/>
          <w:sz w:val="22"/>
          <w:szCs w:val="22"/>
          <w:color w:val="auto"/>
        </w:rPr>
        <w:t>‑</w:t>
      </w:r>
      <w:r>
        <w:rPr>
          <w:rFonts w:ascii="Arial" w:cs="Arial" w:eastAsia="Arial" w:hAnsi="Arial"/>
          <w:sz w:val="22"/>
          <w:szCs w:val="22"/>
          <w:color w:val="auto"/>
        </w:rPr>
        <w:t>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w:t>
      </w:r>
    </w:p>
    <w:p>
      <w:pPr>
        <w:spacing w:after="0" w:line="2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u w:val="single" w:color="auto"/>
          <w:color w:val="auto"/>
        </w:rPr>
        <w:t>Rank of Obligations</w:t>
      </w:r>
      <w:r>
        <w:rPr>
          <w:rFonts w:ascii="Arial" w:cs="Arial" w:eastAsia="Arial" w:hAnsi="Arial"/>
          <w:sz w:val="19"/>
          <w:szCs w:val="19"/>
          <w:color w:val="auto"/>
        </w:rPr>
        <w:t>. The obligations of each Obligor under the Loan Documents to which it is a party rank at least equally with all of the unsecured and unsubordinated Indebtedness of such Obligor, except Indebtedness mandatorily (and not consensually) preferred by applicable law, and ahead of all subordinated Indebtedness, if any, of such Obligor.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EEA Financial Institutions</w:t>
      </w:r>
      <w:r>
        <w:rPr>
          <w:rFonts w:ascii="Arial" w:cs="Arial" w:eastAsia="Arial" w:hAnsi="Arial"/>
          <w:sz w:val="22"/>
          <w:szCs w:val="22"/>
          <w:color w:val="auto"/>
        </w:rPr>
        <w:t>. No Obligor is an EEA Financial Institution.</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Liens.</w:t>
      </w:r>
      <w:r>
        <w:rPr>
          <w:rFonts w:ascii="Arial" w:cs="Arial" w:eastAsia="Arial" w:hAnsi="Arial"/>
          <w:sz w:val="22"/>
          <w:szCs w:val="22"/>
          <w:color w:val="auto"/>
        </w:rPr>
        <w:t xml:space="preserve"> There are no Liens on any of the assets of WIL-Ireland or any Restricted Subsidiary other than Liens permitted by </w:t>
      </w:r>
      <w:r>
        <w:rPr>
          <w:rFonts w:ascii="Arial" w:cs="Arial" w:eastAsia="Arial" w:hAnsi="Arial"/>
          <w:sz w:val="22"/>
          <w:szCs w:val="22"/>
          <w:u w:val="single" w:color="auto"/>
          <w:color w:val="auto"/>
        </w:rPr>
        <w:t>Section 8.04</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6.20 </w:t>
      </w:r>
      <w:r>
        <w:rPr>
          <w:rFonts w:ascii="Arial" w:cs="Arial" w:eastAsia="Arial" w:hAnsi="Arial"/>
          <w:sz w:val="21"/>
          <w:szCs w:val="21"/>
          <w:u w:val="single" w:color="auto"/>
          <w:color w:val="auto"/>
        </w:rPr>
        <w:t>Security Interest in Collateral</w:t>
      </w:r>
      <w:r>
        <w:rPr>
          <w:rFonts w:ascii="Arial" w:cs="Arial" w:eastAsia="Arial" w:hAnsi="Arial"/>
          <w:sz w:val="21"/>
          <w:szCs w:val="21"/>
          <w:color w:val="auto"/>
        </w:rPr>
        <w:t xml:space="preserve">.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and continuing Liens on the Collateral, securing the Secured Obligations, enforceable against the applicable Obligor and all third parties, and having priority over all other Liens on the Collateral except in the case of (a) Liens permitted by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and (b) Liens perfected only by possession (including possession of any certificate of title) to the extent the Administrative Agent has not obtained or does not maintain possession of such Collateral.</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6.21 Pledged Capital Stock. </w:t>
      </w:r>
      <w:r>
        <w:rPr>
          <w:rFonts w:ascii="Arial" w:cs="Arial" w:eastAsia="Arial" w:hAnsi="Arial"/>
          <w:sz w:val="22"/>
          <w:szCs w:val="22"/>
          <w:u w:val="single" w:color="auto"/>
          <w:color w:val="auto"/>
        </w:rPr>
        <w:t>Schedule 6.21</w:t>
      </w:r>
      <w:r>
        <w:rPr>
          <w:rFonts w:ascii="Arial" w:cs="Arial" w:eastAsia="Arial" w:hAnsi="Arial"/>
          <w:sz w:val="22"/>
          <w:szCs w:val="22"/>
          <w:color w:val="auto"/>
        </w:rPr>
        <w:t xml:space="preserve"> identifies each Obligor, the jurisdiction of its incorporation or organization, as the case may be, the percentage of issued and outstanding shares or other equity interests of each class of Capital Stock issued by such Obligor and, if such percentage is not 100% (excluding directors’ qualifying shares as required by law), a description of each class issued and outstanding. All of the outstanding shares or other equity interests of each Obligor are validly issued and outstanding and, to the extent applicable, fully paid and not assessable and all such shares or other equity interests of a Person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organized under the laws of a Specified Jurisdiction indicated on </w:t>
      </w:r>
      <w:r>
        <w:rPr>
          <w:rFonts w:ascii="Arial" w:cs="Arial" w:eastAsia="Arial" w:hAnsi="Arial"/>
          <w:sz w:val="22"/>
          <w:szCs w:val="22"/>
          <w:u w:val="single" w:color="auto"/>
          <w:color w:val="auto"/>
        </w:rPr>
        <w:t>Schedule 6.21</w:t>
      </w:r>
      <w:r>
        <w:rPr>
          <w:rFonts w:ascii="Arial" w:cs="Arial" w:eastAsia="Arial" w:hAnsi="Arial"/>
          <w:sz w:val="22"/>
          <w:szCs w:val="22"/>
          <w:color w:val="auto"/>
        </w:rPr>
        <w:t xml:space="preserve"> as owned by WIL-Ireland or any Restricted Subsidiary (except Excluded Assets) are owned, beneficially and of record, by WIL-Ireland or any Restricted Subsidiary free and clear of all Liens other than Liens created under the Loan Documents, and restrictions on transfer imposed by applicable securities laws and other Liens permitted hereunder that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6" w:name="page257"/>
    <w:bookmarkEnd w:id="256"/>
    <w:p>
      <w:pPr>
        <w:jc w:val="both"/>
        <w:spacing w:after="0" w:line="253" w:lineRule="auto"/>
        <w:rPr>
          <w:sz w:val="20"/>
          <w:szCs w:val="20"/>
          <w:color w:val="auto"/>
        </w:rPr>
      </w:pPr>
      <w:r>
        <w:rPr>
          <w:rFonts w:ascii="Arial" w:cs="Arial" w:eastAsia="Arial" w:hAnsi="Arial"/>
          <w:sz w:val="22"/>
          <w:szCs w:val="22"/>
          <w:color w:val="auto"/>
        </w:rPr>
        <w:t>arise by operation of law. There are no outstanding commitments or other obligations of any Restricted Subsidiary to issue, and no options, warrants or other rights of any Person to acquire, any shares or other equity interests of any class of Capital Stock of any Restricted Subsidiary.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Information Covenants.</w:t>
      </w:r>
      <w:r>
        <w:rPr>
          <w:rFonts w:ascii="Arial" w:cs="Arial" w:eastAsia="Arial" w:hAnsi="Arial"/>
          <w:sz w:val="19"/>
          <w:szCs w:val="19"/>
          <w:color w:val="auto"/>
        </w:rPr>
        <w:t xml:space="preserve"> Each Obligor Party shall furnish or cause to be furnished to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42" w:lineRule="exact"/>
        <w:rPr>
          <w:sz w:val="20"/>
          <w:szCs w:val="20"/>
          <w:color w:val="auto"/>
        </w:rPr>
      </w:pPr>
    </w:p>
    <w:p>
      <w:pPr>
        <w:jc w:val="both"/>
        <w:ind w:firstLine="1305"/>
        <w:spacing w:after="0" w:line="287" w:lineRule="auto"/>
        <w:tabs>
          <w:tab w:leader="none" w:pos="177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45 days after the end of each of the first three Fiscal Quarters in each Fiscal Year of WIL-Ireland (commencing with the Fiscal Quarter ended March 31, 2016), the Quarterly Report on Form 10-Q, or its equivalent, of WIL-Ireland for such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Obligor Parties shall be deemed to have furnished said Quarterly Report on Form 10-Q for purposes of this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t>
      </w:r>
      <w:r>
        <w:rPr>
          <w:rFonts w:ascii="Arial" w:cs="Arial" w:eastAsia="Arial" w:hAnsi="Arial"/>
          <w:sz w:val="19"/>
          <w:szCs w:val="19"/>
          <w:u w:val="single" w:color="auto"/>
          <w:color w:val="0000FF"/>
        </w:rPr>
        <w:t>www.weatherford.com</w:t>
      </w:r>
      <w:r>
        <w:rPr>
          <w:rFonts w:ascii="Arial" w:cs="Arial" w:eastAsia="Arial" w:hAnsi="Arial"/>
          <w:sz w:val="19"/>
          <w:szCs w:val="19"/>
          <w:color w:val="auto"/>
        </w:rPr>
        <w:t>). Such Quarterly Report shall include, and to the extent it does not include shall be supplemented by, a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Principal Financial Officers as presenting fairly in all material respects the financial condition and results of operations of WIL-Ireland and its consolidated Subsidiaries on a consolidated basis in accordance with GAAP consistently applied, subject to normal year-end audit adjustments and the absence of footnotes.</w:t>
      </w:r>
    </w:p>
    <w:p>
      <w:pPr>
        <w:spacing w:after="0" w:line="159" w:lineRule="exact"/>
        <w:rPr>
          <w:rFonts w:ascii="Arial" w:cs="Arial" w:eastAsia="Arial" w:hAnsi="Arial"/>
          <w:sz w:val="19"/>
          <w:szCs w:val="19"/>
          <w:color w:val="auto"/>
        </w:rPr>
      </w:pPr>
    </w:p>
    <w:p>
      <w:pPr>
        <w:jc w:val="both"/>
        <w:ind w:firstLine="1305"/>
        <w:spacing w:after="0" w:line="258" w:lineRule="exact"/>
        <w:tabs>
          <w:tab w:leader="none" w:pos="1802" w:val="left"/>
        </w:tabs>
        <w:numPr>
          <w:ilvl w:val="0"/>
          <w:numId w:val="303"/>
        </w:numPr>
        <w:rPr>
          <w:rFonts w:ascii="Arial" w:cs="Arial" w:eastAsia="Arial" w:hAnsi="Arial"/>
          <w:sz w:val="19"/>
          <w:szCs w:val="19"/>
          <w:color w:val="auto"/>
        </w:rPr>
      </w:pPr>
      <w:r>
        <w:rPr>
          <w:rFonts w:ascii="Arial" w:cs="Arial" w:eastAsia="Arial" w:hAnsi="Arial"/>
          <w:sz w:val="19"/>
          <w:szCs w:val="19"/>
          <w:color w:val="auto"/>
        </w:rPr>
        <w:t>As soon as available, and in any event within 90 days after the close of each Fiscal Year of WIL-Ireland, the Annual Report on Form 10-K, or its equivalent, of WIL</w:t>
      </w:r>
      <w:r>
        <w:rPr>
          <w:rFonts w:ascii="MS PGothic" w:cs="MS PGothic" w:eastAsia="MS PGothic" w:hAnsi="MS PGothic"/>
          <w:sz w:val="19"/>
          <w:szCs w:val="19"/>
          <w:color w:val="auto"/>
        </w:rPr>
        <w:t>‑</w:t>
      </w:r>
      <w:r>
        <w:rPr>
          <w:rFonts w:ascii="Arial" w:cs="Arial" w:eastAsia="Arial" w:hAnsi="Arial"/>
          <w:sz w:val="19"/>
          <w:szCs w:val="19"/>
          <w:color w:val="auto"/>
        </w:rPr>
        <w:t xml:space="preserve">Ireland for such Fiscal Year, certified by KPMG LLP or other independent certified public accountants of recognized national standing reasonably acceptable to the Administrative Agent and the Required Lenders, whose certification shall be without qualification or limitation;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Obligor Parties shall be deemed to have furnished said Annual Report on Form 10-K for purposes of this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on the date the same shall have been made available on “EDGAR” (or any successor thereto) or on its home page on the worldwide web (which page is, as of the date of this Agreement, located at </w:t>
      </w:r>
      <w:r>
        <w:rPr>
          <w:rFonts w:ascii="Arial" w:cs="Arial" w:eastAsia="Arial" w:hAnsi="Arial"/>
          <w:sz w:val="19"/>
          <w:szCs w:val="19"/>
          <w:u w:val="single" w:color="auto"/>
          <w:color w:val="auto"/>
        </w:rPr>
        <w:t>www.weatherford.com</w:t>
      </w:r>
      <w:r>
        <w:rPr>
          <w:rFonts w:ascii="Arial" w:cs="Arial" w:eastAsia="Arial" w:hAnsi="Arial"/>
          <w:sz w:val="19"/>
          <w:szCs w:val="19"/>
          <w:color w:val="auto"/>
        </w:rPr>
        <w:t>)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WIL-Ireland’s audited consolidated balance sheet and related statements of operations, stockholders’ equity and cash flows as of the end of and for such year, setting forth in each case in comparative form the figures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7" w:name="page258"/>
    <w:bookmarkEnd w:id="257"/>
    <w:p>
      <w:pPr>
        <w:jc w:val="both"/>
        <w:spacing w:after="0" w:line="265" w:lineRule="auto"/>
        <w:rPr>
          <w:sz w:val="20"/>
          <w:szCs w:val="20"/>
          <w:color w:val="auto"/>
        </w:rPr>
      </w:pPr>
      <w:r>
        <w:rPr>
          <w:rFonts w:ascii="Arial" w:cs="Arial" w:eastAsia="Arial" w:hAnsi="Arial"/>
          <w:sz w:val="21"/>
          <w:szCs w:val="21"/>
          <w:color w:val="auto"/>
        </w:rPr>
        <w:t>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WIL-Ireland and its consolidated Subsidiaries on a consolidated basis in accordance with GAAP consistently applied.</w:t>
      </w:r>
    </w:p>
    <w:p>
      <w:pPr>
        <w:spacing w:after="0" w:line="216" w:lineRule="exact"/>
        <w:rPr>
          <w:sz w:val="20"/>
          <w:szCs w:val="20"/>
          <w:color w:val="auto"/>
        </w:rPr>
      </w:pPr>
    </w:p>
    <w:p>
      <w:pPr>
        <w:jc w:val="both"/>
        <w:ind w:firstLine="1305"/>
        <w:spacing w:after="0" w:line="260" w:lineRule="auto"/>
        <w:tabs>
          <w:tab w:leader="none" w:pos="1781" w:val="left"/>
        </w:tabs>
        <w:numPr>
          <w:ilvl w:val="0"/>
          <w:numId w:val="304"/>
        </w:numPr>
        <w:rPr>
          <w:rFonts w:ascii="Arial" w:cs="Arial" w:eastAsia="Arial" w:hAnsi="Arial"/>
          <w:sz w:val="21"/>
          <w:szCs w:val="21"/>
          <w:color w:val="auto"/>
        </w:rPr>
      </w:pPr>
      <w:r>
        <w:rPr>
          <w:rFonts w:ascii="Arial" w:cs="Arial" w:eastAsia="Arial" w:hAnsi="Arial"/>
          <w:sz w:val="21"/>
          <w:szCs w:val="21"/>
          <w:color w:val="auto"/>
        </w:rPr>
        <w:t>Promptly after the same become publicly available (whether on “EDGAR” (or any successor thereto) or WIL-Ireland’s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WIL-Ireland to its shareholders generally, as the case may be (and in furtherance of the foregoing, WIL-Ireland will give to the Administrative Agent prompt written notice of any change at any time or from time to time of the location of WIL-Ireland’s home page on the worldwide web).</w:t>
      </w:r>
    </w:p>
    <w:p>
      <w:pPr>
        <w:spacing w:after="0" w:line="221" w:lineRule="exact"/>
        <w:rPr>
          <w:rFonts w:ascii="Arial" w:cs="Arial" w:eastAsia="Arial" w:hAnsi="Arial"/>
          <w:sz w:val="21"/>
          <w:szCs w:val="21"/>
          <w:color w:val="auto"/>
        </w:rPr>
      </w:pPr>
    </w:p>
    <w:p>
      <w:pPr>
        <w:ind w:left="1780" w:hanging="475"/>
        <w:spacing w:after="0"/>
        <w:tabs>
          <w:tab w:leader="none" w:pos="178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Promptly, and in any event within five Business Days after:</w:t>
      </w:r>
    </w:p>
    <w:p>
      <w:pPr>
        <w:spacing w:after="0" w:line="260" w:lineRule="exact"/>
        <w:rPr>
          <w:rFonts w:ascii="Arial" w:cs="Arial" w:eastAsia="Arial" w:hAnsi="Arial"/>
          <w:sz w:val="22"/>
          <w:szCs w:val="22"/>
          <w:color w:val="auto"/>
        </w:rPr>
      </w:pPr>
    </w:p>
    <w:p>
      <w:pPr>
        <w:jc w:val="both"/>
        <w:ind w:left="660" w:firstLine="1293"/>
        <w:spacing w:after="0" w:line="259" w:lineRule="auto"/>
        <w:tabs>
          <w:tab w:leader="none" w:pos="2526" w:val="left"/>
        </w:tabs>
        <w:numPr>
          <w:ilvl w:val="1"/>
          <w:numId w:val="304"/>
        </w:numPr>
        <w:rPr>
          <w:rFonts w:ascii="Arial" w:cs="Arial" w:eastAsia="Arial" w:hAnsi="Arial"/>
          <w:sz w:val="21"/>
          <w:szCs w:val="21"/>
          <w:color w:val="auto"/>
        </w:rPr>
      </w:pPr>
      <w:r>
        <w:rPr>
          <w:rFonts w:ascii="Arial" w:cs="Arial" w:eastAsia="Arial" w:hAnsi="Arial"/>
          <w:sz w:val="21"/>
          <w:szCs w:val="21"/>
          <w:color w:val="auto"/>
        </w:rPr>
        <w:t>the occurrence of any of the following with respect to any Obligor Party or any of its Restricted Subsidiaries: (A) the pendency or commencement of any litigation, arbitration or governmental proceeding against such Obligor or Restricted Subsidiary which would reasonably be expected to have a Material Adverse Effect, (B) the institution of any proceeding against any Obligor Party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or interest therein under power of eminent domain or by condemnation or similar proceeding; or</w:t>
      </w:r>
    </w:p>
    <w:p>
      <w:pPr>
        <w:spacing w:after="0" w:line="220" w:lineRule="exact"/>
        <w:rPr>
          <w:rFonts w:ascii="Arial" w:cs="Arial" w:eastAsia="Arial" w:hAnsi="Arial"/>
          <w:sz w:val="21"/>
          <w:szCs w:val="21"/>
          <w:color w:val="auto"/>
        </w:rPr>
      </w:pPr>
    </w:p>
    <w:p>
      <w:pPr>
        <w:ind w:left="580" w:firstLine="1940"/>
        <w:spacing w:after="0" w:line="263" w:lineRule="auto"/>
        <w:tabs>
          <w:tab w:leader="none" w:pos="3014" w:val="left"/>
        </w:tabs>
        <w:numPr>
          <w:ilvl w:val="2"/>
          <w:numId w:val="304"/>
        </w:numPr>
        <w:rPr>
          <w:rFonts w:ascii="Arial" w:cs="Arial" w:eastAsia="Arial" w:hAnsi="Arial"/>
          <w:sz w:val="22"/>
          <w:szCs w:val="22"/>
          <w:color w:val="auto"/>
        </w:rPr>
      </w:pPr>
      <w:r>
        <w:rPr>
          <w:rFonts w:ascii="Arial" w:cs="Arial" w:eastAsia="Arial" w:hAnsi="Arial"/>
          <w:sz w:val="22"/>
          <w:szCs w:val="22"/>
          <w:color w:val="auto"/>
        </w:rPr>
        <w:t>any Responsible Officer of such Obligor Party obtains knowledge of the occurrence of any event or condition which constitutes a Default or an Event of Default; or</w:t>
      </w:r>
    </w:p>
    <w:p>
      <w:pPr>
        <w:spacing w:after="0" w:line="215" w:lineRule="exact"/>
        <w:rPr>
          <w:sz w:val="20"/>
          <w:szCs w:val="20"/>
          <w:color w:val="auto"/>
        </w:rPr>
      </w:pPr>
    </w:p>
    <w:p>
      <w:pPr>
        <w:ind w:left="660" w:firstLine="1293"/>
        <w:spacing w:after="0" w:line="263" w:lineRule="auto"/>
        <w:tabs>
          <w:tab w:leader="none" w:pos="2568"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any Responsible Officer of such Obligor Party obtains knowledge of the occurrence of a Change of Control or Change of Control Event;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notice of such event, condition, occurrence or development, specifying the nature thereof.</w:t>
      </w:r>
    </w:p>
    <w:p>
      <w:pPr>
        <w:spacing w:after="0" w:line="220" w:lineRule="exact"/>
        <w:rPr>
          <w:sz w:val="20"/>
          <w:szCs w:val="20"/>
          <w:color w:val="auto"/>
        </w:rPr>
      </w:pPr>
    </w:p>
    <w:p>
      <w:pPr>
        <w:ind w:firstLine="1305"/>
        <w:spacing w:after="0" w:line="263" w:lineRule="auto"/>
        <w:tabs>
          <w:tab w:leader="none" w:pos="1812"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Within five Business Days after the delivery of the financial statements provided for in </w:t>
      </w:r>
      <w:r>
        <w:rPr>
          <w:rFonts w:ascii="Arial" w:cs="Arial" w:eastAsia="Arial" w:hAnsi="Arial"/>
          <w:sz w:val="22"/>
          <w:szCs w:val="22"/>
          <w:u w:val="single" w:color="auto"/>
          <w:color w:val="auto"/>
        </w:rPr>
        <w:t>Sections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7.01(b)</w:t>
      </w:r>
      <w:r>
        <w:rPr>
          <w:rFonts w:ascii="Arial" w:cs="Arial" w:eastAsia="Arial" w:hAnsi="Arial"/>
          <w:sz w:val="22"/>
          <w:szCs w:val="22"/>
          <w:color w:val="auto"/>
        </w:rPr>
        <w:t>, a Compliance Certificate with respect to the fiscal period covered by such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8" w:name="page259"/>
    <w:bookmarkEnd w:id="258"/>
    <w:p>
      <w:pPr>
        <w:ind w:firstLine="1305"/>
        <w:spacing w:after="0" w:line="263" w:lineRule="auto"/>
        <w:tabs>
          <w:tab w:leader="none" w:pos="1896" w:val="left"/>
        </w:tabs>
        <w:numPr>
          <w:ilvl w:val="0"/>
          <w:numId w:val="307"/>
        </w:numPr>
        <w:rPr>
          <w:rFonts w:ascii="Arial" w:cs="Arial" w:eastAsia="Arial" w:hAnsi="Arial"/>
          <w:sz w:val="22"/>
          <w:szCs w:val="22"/>
          <w:color w:val="auto"/>
        </w:rPr>
      </w:pPr>
      <w:r>
        <w:rPr>
          <w:rFonts w:ascii="Arial" w:cs="Arial" w:eastAsia="Arial" w:hAnsi="Arial"/>
          <w:sz w:val="22"/>
          <w:szCs w:val="22"/>
          <w:color w:val="auto"/>
        </w:rPr>
        <w:t>Promptly, and in any event within 30 days after any Responsible Officer of such Obligor Party obtains knowledge thereof, notice of:</w:t>
      </w:r>
    </w:p>
    <w:p>
      <w:pPr>
        <w:spacing w:after="0" w:line="215" w:lineRule="exact"/>
        <w:rPr>
          <w:rFonts w:ascii="Arial" w:cs="Arial" w:eastAsia="Arial" w:hAnsi="Arial"/>
          <w:sz w:val="22"/>
          <w:szCs w:val="22"/>
          <w:color w:val="auto"/>
        </w:rPr>
      </w:pPr>
    </w:p>
    <w:p>
      <w:pPr>
        <w:jc w:val="both"/>
        <w:ind w:left="660" w:firstLine="1293"/>
        <w:spacing w:after="0" w:line="312" w:lineRule="auto"/>
        <w:tabs>
          <w:tab w:leader="none" w:pos="2379"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the occurrence or expected occurrence of (A) any ERISA Event with respect to any Plan, (B) a failure to make any required contribution to a Plan before the due date (including extensions) thereof or (C) any Lien in favor of the PBGC or a Plan, in each case which would reasonably be expected to have a Material Adverse Effect; and</w:t>
      </w:r>
    </w:p>
    <w:p>
      <w:pPr>
        <w:spacing w:after="0" w:line="174" w:lineRule="exact"/>
        <w:rPr>
          <w:rFonts w:ascii="Arial" w:cs="Arial" w:eastAsia="Arial" w:hAnsi="Arial"/>
          <w:sz w:val="19"/>
          <w:szCs w:val="19"/>
          <w:color w:val="auto"/>
        </w:rPr>
      </w:pPr>
    </w:p>
    <w:p>
      <w:pPr>
        <w:jc w:val="both"/>
        <w:ind w:left="660" w:firstLine="1293"/>
        <w:spacing w:after="0" w:line="294" w:lineRule="auto"/>
        <w:tabs>
          <w:tab w:leader="none" w:pos="2522"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the institution of proceedings or the taking of any other action by the PBGC or WIL-Ireland or any ERISA Affiliate or any Multiemployer Plan with respect to the withdrawal from, or the termination, insolvency, endangered, critical or critical and declining status (within the meaning of such terms as used in ERISA) of, any Plan, which withdrawal, termination, insolvency, endangered, critical or critical and declining status would reasonably be expected to have a Material Adverse Effect, except that no notice shall be required with respect to the merger of a defined contribution plan of one ERISA Affiliate into a defined contribution plan of another ERISA Affiliate.</w:t>
      </w:r>
    </w:p>
    <w:p>
      <w:pPr>
        <w:spacing w:after="0" w:line="190" w:lineRule="exact"/>
        <w:rPr>
          <w:rFonts w:ascii="Arial" w:cs="Arial" w:eastAsia="Arial" w:hAnsi="Arial"/>
          <w:sz w:val="19"/>
          <w:szCs w:val="19"/>
          <w:color w:val="auto"/>
        </w:rPr>
      </w:pPr>
    </w:p>
    <w:p>
      <w:pPr>
        <w:jc w:val="both"/>
        <w:ind w:firstLine="1305"/>
        <w:spacing w:after="0" w:line="236" w:lineRule="auto"/>
        <w:tabs>
          <w:tab w:leader="none" w:pos="1827" w:val="left"/>
        </w:tabs>
        <w:numPr>
          <w:ilvl w:val="0"/>
          <w:numId w:val="307"/>
        </w:numPr>
        <w:rPr>
          <w:rFonts w:ascii="Arial" w:cs="Arial" w:eastAsia="Arial" w:hAnsi="Arial"/>
          <w:sz w:val="22"/>
          <w:szCs w:val="22"/>
          <w:color w:val="auto"/>
        </w:rPr>
      </w:pPr>
      <w:r>
        <w:rPr>
          <w:rFonts w:ascii="Arial" w:cs="Arial" w:eastAsia="Arial" w:hAnsi="Arial"/>
          <w:sz w:val="22"/>
          <w:szCs w:val="22"/>
          <w:color w:val="auto"/>
        </w:rPr>
        <w:t>As soon as available, and in any event within (i) 60 days after the beginning of each Fiscal Year, an annual forecast with respect to such Fiscal Year and (ii) 45 days after (A) the end of each of the Fiscal Quarters ending on June 30, 2016 and September 30, 2016, an update to the annual forecast delivered to the Lenders prior to the Effective Date with respect to the 2016 Fiscal Year, (B) the end of each of the Fiscal Quarters ending on March 31, 2017, June 30, 2017 and September 30, 2017, an update to the annual forecast for the 2017 Fiscal Year and (C) the end of the Fiscal Quarter ending on June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each Fiscal Year thereafter (commencing with the 2018 Fiscal Year), an update to the annual forecast for such Fiscal Year delivered pursuant to this </w:t>
      </w:r>
      <w:r>
        <w:rPr>
          <w:rFonts w:ascii="Arial" w:cs="Arial" w:eastAsia="Arial" w:hAnsi="Arial"/>
          <w:sz w:val="22"/>
          <w:szCs w:val="22"/>
          <w:u w:val="single" w:color="auto"/>
          <w:color w:val="auto"/>
        </w:rPr>
        <w:t>Section 7.01(g)</w:t>
      </w:r>
      <w:r>
        <w:rPr>
          <w:rFonts w:ascii="Arial" w:cs="Arial" w:eastAsia="Arial" w:hAnsi="Arial"/>
          <w:sz w:val="22"/>
          <w:szCs w:val="22"/>
          <w:color w:val="auto"/>
        </w:rPr>
        <w:t>.</w:t>
      </w:r>
    </w:p>
    <w:p>
      <w:pPr>
        <w:spacing w:after="0" w:line="243" w:lineRule="exact"/>
        <w:rPr>
          <w:rFonts w:ascii="Arial" w:cs="Arial" w:eastAsia="Arial" w:hAnsi="Arial"/>
          <w:sz w:val="22"/>
          <w:szCs w:val="22"/>
          <w:color w:val="auto"/>
        </w:rPr>
      </w:pPr>
    </w:p>
    <w:p>
      <w:pPr>
        <w:jc w:val="both"/>
        <w:ind w:firstLine="1305"/>
        <w:spacing w:after="0" w:line="297" w:lineRule="auto"/>
        <w:tabs>
          <w:tab w:leader="none" w:pos="1847" w:val="left"/>
        </w:tabs>
        <w:numPr>
          <w:ilvl w:val="0"/>
          <w:numId w:val="307"/>
        </w:numPr>
        <w:rPr>
          <w:rFonts w:ascii="Arial" w:cs="Arial" w:eastAsia="Arial" w:hAnsi="Arial"/>
          <w:sz w:val="19"/>
          <w:szCs w:val="19"/>
          <w:color w:val="auto"/>
        </w:rPr>
      </w:pPr>
      <w:r>
        <w:rPr>
          <w:rFonts w:ascii="Arial" w:cs="Arial" w:eastAsia="Arial" w:hAnsi="Arial"/>
          <w:sz w:val="19"/>
          <w:szCs w:val="19"/>
          <w:color w:val="auto"/>
        </w:rPr>
        <w:t>If as of the end of any Fiscal Quarter, (i) the total book value of all assets of the Other Subsidiaries Group represents more than 2.5% of the total book value of the WIL-Ireland Group or (ii) the Consolidated Adjusted EBITDA of the Other Subsidiaries Group represents more than 2.5% of the Consolidated Adjusted EBITDA of the WIL-Ireland Group, WIL-Ireland shall deliver, as soon as available, and in any event within 45 days after the end of such Fiscal Quarter, a consolidating balance sheet and income statement with respect to the Other Subsidiaries Group (together with the applicable eliminating entries).</w:t>
      </w:r>
    </w:p>
    <w:p>
      <w:pPr>
        <w:spacing w:after="0" w:line="187" w:lineRule="exact"/>
        <w:rPr>
          <w:rFonts w:ascii="Arial" w:cs="Arial" w:eastAsia="Arial" w:hAnsi="Arial"/>
          <w:sz w:val="19"/>
          <w:szCs w:val="19"/>
          <w:color w:val="auto"/>
        </w:rPr>
      </w:pPr>
    </w:p>
    <w:p>
      <w:pPr>
        <w:jc w:val="both"/>
        <w:ind w:firstLine="1305"/>
        <w:spacing w:after="0" w:line="292" w:lineRule="auto"/>
        <w:tabs>
          <w:tab w:leader="none" w:pos="191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From time to time and with reasonable promptness, such other information or documents (financial or otherwise) with respect to any Obligor or any of its Restricted Subsidiaries as the Administrative Agent or any Lender through the Administrative Agent may reasonably request, including any books and records with respect to any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non-public information obtained by any Person pursuant to such request shall be treated as confidential information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59" w:name="page260"/>
    <w:bookmarkEnd w:id="259"/>
    <w:p>
      <w:pPr>
        <w:jc w:val="both"/>
        <w:ind w:firstLine="648"/>
        <w:spacing w:after="0" w:line="28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Books, Records and Inspections</w:t>
      </w:r>
      <w:r>
        <w:rPr>
          <w:rFonts w:ascii="Arial" w:cs="Arial" w:eastAsia="Arial" w:hAnsi="Arial"/>
          <w:sz w:val="19"/>
          <w:szCs w:val="19"/>
          <w:color w:val="auto"/>
        </w:rPr>
        <w:t>. Each Obligor Party shall permit, or cause to be permitted, any Secured Party, upon written notice, to visit and inspect any of the properties of such Obligor Party and any of its Restricted Subsidiaries, to examine and make copies of the books and financial records of such Obligor Party and any of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Secured Party, through the Administrative Agent, may reasonably request, and all at such Obligor Party’s</w:t>
      </w:r>
    </w:p>
    <w:p>
      <w:pPr>
        <w:spacing w:after="0" w:line="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 xml:space="preserve">or Restricted Subsidiary’s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non-public information obtained by any Person during any such visitation, inspection, examination or discussion shall be treated as confidential information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164"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Insurance</w:t>
      </w:r>
      <w:r>
        <w:rPr>
          <w:rFonts w:ascii="Arial" w:cs="Arial" w:eastAsia="Arial" w:hAnsi="Arial"/>
          <w:sz w:val="19"/>
          <w:szCs w:val="19"/>
          <w:color w:val="auto"/>
        </w:rPr>
        <w:t>. WIL-Ireland and its Subsidiaries shall maintain or cause to be maintained (including through self</w:t>
      </w:r>
      <w:r>
        <w:rPr>
          <w:rFonts w:ascii="MS PGothic" w:cs="MS PGothic" w:eastAsia="MS PGothic" w:hAnsi="MS PGothic"/>
          <w:sz w:val="19"/>
          <w:szCs w:val="19"/>
          <w:color w:val="auto"/>
        </w:rPr>
        <w:t>‑</w:t>
      </w:r>
      <w:r>
        <w:rPr>
          <w:rFonts w:ascii="Arial" w:cs="Arial" w:eastAsia="Arial" w:hAnsi="Arial"/>
          <w:sz w:val="19"/>
          <w:szCs w:val="19"/>
          <w:color w:val="auto"/>
        </w:rPr>
        <w:t xml:space="preserve">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improved real property owned by an Obligor is subject to a Mortgage and is located in any area that has been designated by the Federal Emergency Management Agent as a “Special Flood Hazard Area”, such Obligor shall purchase and maintain, or cause to be purchased and maintained, flood insurance on such Collateral, which shall be in an amount equal to the lesser of (a) the aggregate outstanding principal amount of the Loans, (b)the total replacement cost value of such improvements and (c) such amount as may be agreed to by the Administrative Agent). WIL-Ireland will furnish to the Lenders, upon request of the Administrative Agent, information in reasonable detail as to the insurance so maintained. WIL-Ireland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WIL-Ireland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Payment of Taxes and other Claims.</w:t>
      </w:r>
      <w:r>
        <w:rPr>
          <w:rFonts w:ascii="Arial" w:cs="Arial" w:eastAsia="Arial" w:hAnsi="Arial"/>
          <w:sz w:val="19"/>
          <w:szCs w:val="19"/>
          <w:color w:val="auto"/>
        </w:rPr>
        <w:t xml:space="preserve"> Each Obligor Party shall, and WIL-Ireland shall cause each Subsidiary to, pay or discharge or cause to be paid or discharged, before the same shall become delinquent, all Taxes levied or imposed upon such Obligor Party or such Subsidiary, as applicable, or upon the income, profits or property of such Obligor Party or such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0" w:name="page261"/>
    <w:bookmarkEnd w:id="260"/>
    <w:p>
      <w:pPr>
        <w:jc w:val="both"/>
        <w:ind w:firstLine="648"/>
        <w:spacing w:after="0" w:line="289"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Existence</w:t>
      </w:r>
      <w:r>
        <w:rPr>
          <w:rFonts w:ascii="Arial" w:cs="Arial" w:eastAsia="Arial" w:hAnsi="Arial"/>
          <w:sz w:val="19"/>
          <w:szCs w:val="19"/>
          <w:color w:val="auto"/>
        </w:rPr>
        <w:t xml:space="preserve">. Except as expressly permitted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WIL-Ireland shall, and will cause each Restricted Subsidiary to, do all things necessary to (a) preserve and keep in full force and effect the corporate or other existence of WIL-Ireland or such Restricted Subsidiary as applicable (which, for the avoidance of doubt, shall not prohibit a change in corporate form or domiciliation) and (b) preserve and keep in full force and effect the rights and franchises of WIL-Ireland or such Restricted Subsidiary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 shall not require WIL-Ireland or such Restricted Subsidiary to preserve or maintain any rights or franchises if WIL-Ireland or such Restricted Subsidiary shall determine that (i) the preservation and maintenance thereof is no longer desirable in the conduct of the business of WIL-Ireland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ERISA Compliance</w:t>
      </w:r>
      <w:r>
        <w:rPr>
          <w:rFonts w:ascii="Arial" w:cs="Arial" w:eastAsia="Arial" w:hAnsi="Arial"/>
          <w:sz w:val="22"/>
          <w:szCs w:val="22"/>
          <w:color w:val="auto"/>
        </w:rPr>
        <w:t>. WIL-Ireland and the Borrower shall, and shall cause each ERISA Affiliate to, comply with respect to each Plan and Multiemployer Plan, with all applicable provisions of ERISA and the Code, except to the extent that any failure to comply would not reasonably be expected to have a Material Adverse Effect.</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u w:val="single" w:color="auto"/>
          <w:color w:val="auto"/>
        </w:rPr>
        <w:t>Compliance with Laws and Material Contractual Obligations</w:t>
      </w:r>
      <w:r>
        <w:rPr>
          <w:rFonts w:ascii="Arial" w:cs="Arial" w:eastAsia="Arial" w:hAnsi="Arial"/>
          <w:sz w:val="21"/>
          <w:szCs w:val="21"/>
          <w:color w:val="auto"/>
        </w:rPr>
        <w:t>. WIL-Ireland will, and will cause each of its Subsidiaries to, (i) comply with all laws, rules, regulations and orders of any Governmental Authority applicable to it or its property (including Environmental Laws) and (ii) perform in all material respects its obligations under material agreements to which it is a party, except in the case of each of clauses (i) and (ii) where the failure to do so, individually or in the aggregate, could not reasonably be expected to result in a Material Adverse Effect. WIL-Ireland will maintain in effect and enforce policies and procedures designed to ensure compliance by WIL-Ireland, its Subsidiaries and their respective directors, officers, employees and agents with Anti-Corruption Laws and applicable Sanctions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Additional Guarantors; Additional Collateral; Additional Specified Jurisdictions; Further Assurances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815" w:val="left"/>
        </w:tabs>
        <w:numPr>
          <w:ilvl w:val="0"/>
          <w:numId w:val="308"/>
        </w:numPr>
        <w:rPr>
          <w:rFonts w:ascii="Arial" w:cs="Arial" w:eastAsia="Arial" w:hAnsi="Arial"/>
          <w:sz w:val="21"/>
          <w:szCs w:val="21"/>
          <w:color w:val="auto"/>
        </w:rPr>
      </w:pPr>
      <w:r>
        <w:rPr>
          <w:rFonts w:ascii="Arial" w:cs="Arial" w:eastAsia="Arial" w:hAnsi="Arial"/>
          <w:sz w:val="21"/>
          <w:szCs w:val="21"/>
          <w:color w:val="auto"/>
        </w:rPr>
        <w:t xml:space="preserve">If (i) as of the time of delivery of a Compliance Certificate pursuant to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it is determined that any Restricted Subsidiary is a Material Specified Subsidiary that is organized in a Specified Jurisdiction or (ii) any Restricted Subsidiary Guarantees Indebtedness or other obligations under the Revolving Credit Facility or any other third party Indebtedness for borrowed money of a Holdco Guarantor in an aggregate principal amount in excess of $20,000,000, WIL-Ireland shall (A) with respect to a determination made pursuant to clause (a)(i) above, within 45 days after such determination (or, in the case of a Material Specified Subsidiary organized in a new Specified Jurisdiction, 45 days after the Administrative Agent designates such new Specified Jurisdiction pursuant to </w:t>
      </w:r>
      <w:r>
        <w:rPr>
          <w:rFonts w:ascii="Arial" w:cs="Arial" w:eastAsia="Arial" w:hAnsi="Arial"/>
          <w:sz w:val="21"/>
          <w:szCs w:val="21"/>
          <w:u w:val="single" w:color="auto"/>
          <w:color w:val="auto"/>
        </w:rPr>
        <w:t>Section 7.08(b</w:t>
      </w:r>
      <w:r>
        <w:rPr>
          <w:rFonts w:ascii="Arial" w:cs="Arial" w:eastAsia="Arial" w:hAnsi="Arial"/>
          <w:sz w:val="21"/>
          <w:szCs w:val="21"/>
          <w:color w:val="auto"/>
        </w:rPr>
        <w:t>), as such time period may be extended by the Administrative Agent in its sole discretion) or (B) with respect any Guarantee provided pursuant to clause (a)(ii) immediately above, contemporaneously with the provision of such Guarantee, cause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1" w:name="page262"/>
    <w:bookmarkEnd w:id="261"/>
    <w:p>
      <w:pPr>
        <w:jc w:val="both"/>
        <w:spacing w:after="0" w:line="285" w:lineRule="auto"/>
        <w:rPr>
          <w:sz w:val="20"/>
          <w:szCs w:val="20"/>
          <w:color w:val="auto"/>
        </w:rPr>
      </w:pPr>
      <w:r>
        <w:rPr>
          <w:rFonts w:ascii="Arial" w:cs="Arial" w:eastAsia="Arial" w:hAnsi="Arial"/>
          <w:sz w:val="19"/>
          <w:szCs w:val="19"/>
          <w:color w:val="auto"/>
        </w:rPr>
        <w:t xml:space="preserve">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without requiring the Secured Parties to share any of the Liens securing the Secured Obligations equally and ratably with the Existing Senior Notes or any other senior notes or any of the obligations under the Citi Credit Documents (if in effect at the applicable time)), organizational and authorization documents and certificates of the type referred to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as may be reasonably requested by the Administrative Agent, including a certificate of a Principal Financial Officer of WIL-Ireland with supporting information certifying as to (A) the calculation of the Borrower’s Consolidated Net Worth (as defined in each of the Existing Senior Notes Indentures and, if in effect at the applicable time, each of the Citi Credit Documents) as of the most recently ended Fiscal Quarter for which a balance sheet has been prepared in accordance with each of the Existing Senior Notes Indentures and each of the Citi Credit Documents and (B) such Guarantor’s ability to guarantee the Secured Obligations pursuant to such Guaranty Agreement, supplement or other document and to grant Liens to secure the Secured Obligations without requiring the Secured Parties to share any of the Liens securing the Secured Obligations equally and ratably with the Existing Senior Notes or any other senior notes or any of the obligations under the Citi Credit Documents (if in effect at the applicable time), which certificate shall be in substantially the same form as the certificate delivered pursuant to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(xiii)</w:t>
      </w:r>
      <w:r>
        <w:rPr>
          <w:rFonts w:ascii="Arial" w:cs="Arial" w:eastAsia="Arial" w:hAnsi="Arial"/>
          <w:sz w:val="19"/>
          <w:szCs w:val="19"/>
          <w:color w:val="auto"/>
        </w:rPr>
        <w:t>, and (3) deliver to the Administrative Agent such other documents as may be reasonably requested by the Administrative Agent, all in form, content and scope reasonably satisfactory to the Administrative Agent.</w:t>
      </w:r>
    </w:p>
    <w:p>
      <w:pPr>
        <w:spacing w:after="0" w:line="200" w:lineRule="exact"/>
        <w:rPr>
          <w:sz w:val="20"/>
          <w:szCs w:val="20"/>
          <w:color w:val="auto"/>
        </w:rPr>
      </w:pPr>
    </w:p>
    <w:p>
      <w:pPr>
        <w:spacing w:after="0" w:line="265" w:lineRule="exact"/>
        <w:rPr>
          <w:sz w:val="20"/>
          <w:szCs w:val="20"/>
          <w:color w:val="auto"/>
        </w:rPr>
      </w:pPr>
    </w:p>
    <w:p>
      <w:pPr>
        <w:jc w:val="both"/>
        <w:ind w:firstLine="1305"/>
        <w:spacing w:after="0" w:line="248" w:lineRule="auto"/>
        <w:tabs>
          <w:tab w:leader="none" w:pos="1788" w:val="left"/>
        </w:tabs>
        <w:numPr>
          <w:ilvl w:val="0"/>
          <w:numId w:val="309"/>
        </w:numPr>
        <w:rPr>
          <w:rFonts w:ascii="Arial" w:cs="Arial" w:eastAsia="Arial" w:hAnsi="Arial"/>
          <w:sz w:val="22"/>
          <w:szCs w:val="22"/>
          <w:color w:val="auto"/>
        </w:rPr>
      </w:pPr>
      <w:r>
        <w:rPr>
          <w:rFonts w:ascii="Arial" w:cs="Arial" w:eastAsia="Arial" w:hAnsi="Arial"/>
          <w:sz w:val="22"/>
          <w:szCs w:val="22"/>
          <w:color w:val="auto"/>
        </w:rPr>
        <w:t xml:space="preserve">If, in the most recent Compliance Certificate delivered pursuant to </w:t>
      </w:r>
      <w:r>
        <w:rPr>
          <w:rFonts w:ascii="Arial" w:cs="Arial" w:eastAsia="Arial" w:hAnsi="Arial"/>
          <w:sz w:val="22"/>
          <w:szCs w:val="22"/>
          <w:u w:val="single" w:color="auto"/>
          <w:color w:val="auto"/>
        </w:rPr>
        <w:t>Section 7.01(e)</w:t>
      </w:r>
      <w:r>
        <w:rPr>
          <w:rFonts w:ascii="Arial" w:cs="Arial" w:eastAsia="Arial" w:hAnsi="Arial"/>
          <w:sz w:val="22"/>
          <w:szCs w:val="22"/>
          <w:color w:val="auto"/>
        </w:rPr>
        <w:t>, WIL-Ireland identifies any Material Specified Subsidiary that is organized in a jurisdiction that is not a then existing Specified Jurisdiction or an Excluded Jurisdiction, then the Administrative Agent shall have the right to designate such jurisdiction as a Specified Jurisdiction by providing written notice of such designation to WIL-Ireland, which designation shall be deemed to take effect on the Business Day such designation is made.</w:t>
      </w:r>
    </w:p>
    <w:p>
      <w:pPr>
        <w:spacing w:after="0" w:line="232" w:lineRule="exact"/>
        <w:rPr>
          <w:rFonts w:ascii="Arial" w:cs="Arial" w:eastAsia="Arial" w:hAnsi="Arial"/>
          <w:sz w:val="22"/>
          <w:szCs w:val="22"/>
          <w:color w:val="auto"/>
        </w:rPr>
      </w:pPr>
    </w:p>
    <w:p>
      <w:pPr>
        <w:jc w:val="both"/>
        <w:ind w:firstLine="1305"/>
        <w:spacing w:after="0" w:line="287" w:lineRule="auto"/>
        <w:tabs>
          <w:tab w:leader="none" w:pos="1833"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As promptly as possible but in any event within 45 days (or such later date as may be agreed upon by the Administrative Agent) after any Person becomes an Obligor pursuant to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or otherwise, WIL-Ireland shall cause (i) such Person to deliver to the Administrative Agent Collateral Documents (or one or more joinders thereto) reasonably satisfactory to the Administrative Agent pursuant to which such Person agrees to be bound by the terms and provisions thereof and (ii) all of the issued and outstanding Capital Stock of such Obligor to be subject to a first priority, perfected (or any analogous concept to the extent perfection does not apply in the relevant jurisdiction) Lien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2" w:name="page263"/>
    <w:bookmarkEnd w:id="262"/>
    <w:p>
      <w:pPr>
        <w:jc w:val="both"/>
        <w:ind w:firstLine="1305"/>
        <w:spacing w:after="0" w:line="286" w:lineRule="auto"/>
        <w:tabs>
          <w:tab w:leader="none" w:pos="1843"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As promptly as possible but in any event within 45 days (or such later date as may be agreed upon by the Administrative Agent) after (i) an Obligor acquires personal property that is not an Excluded Asset and is not already subject to a first priority, perfected (or any analogous concept to the extent perfection does not apply in the relevant jurisdiction) Lien in accordance with the Collateral Documents, such Obligor shall cause such personal property to be subject to a first priority, perfected (or any analogous concept to the extent perfection does not apply in the relevant jurisdiction) Lien in favor of the Administrative Agent for the benefit of the Secured Parties to secure the Secured Obligations in accordance with the terms and conditions of, and subject to the exceptions set forth in, the Collateral Documents, subject in any case to Liens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w:t>
      </w:r>
      <w:r>
        <w:rPr>
          <w:rFonts w:ascii="Arial" w:cs="Arial" w:eastAsia="Arial" w:hAnsi="Arial"/>
          <w:sz w:val="19"/>
          <w:szCs w:val="19"/>
          <w:color w:val="auto"/>
        </w:rPr>
        <w:t xml:space="preserve"> and (ii) to the extent not covered by clause (i) immediately above, an Obligor acquires or holds Capital Stock of a Pledged Subsidiary that is not an Excluded Asset and is not already subject to a first priority, perfected (or any analogous concept to the extent perfection does not apply in the relevant jurisdiction) Lien in accordance with the Collateral Documents, such Obligor shall cause all of the issued and outstanding Capital Stock of each Pledged Subsidiary to be subject to a first priority, perfected (or any analogous concept to the extent perfection does not apply in the relevant jurisdiction) Lien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firstLine="1305"/>
        <w:spacing w:after="0" w:line="290" w:lineRule="auto"/>
        <w:tabs>
          <w:tab w:leader="none" w:pos="1783"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7.11</w:t>
      </w:r>
      <w:r>
        <w:rPr>
          <w:rFonts w:ascii="Arial" w:cs="Arial" w:eastAsia="Arial" w:hAnsi="Arial"/>
          <w:sz w:val="19"/>
          <w:szCs w:val="19"/>
          <w:color w:val="auto"/>
        </w:rPr>
        <w:t xml:space="preserve">, within 90 days after the Effective Date (or such later date as the Administrative Agent may agree in its sole discretion), WIL-Ireland shall, and shall cause each Obligor that owns Material Real Property as of the Effective Date to, deliver Mortgages and Mortgage Instruments with respect to such Material Real Property. Notwithstanding the foregoing, the Administrative Agent (in consultation with the Lenders) may waive the requirement contained in this </w:t>
      </w:r>
      <w:r>
        <w:rPr>
          <w:rFonts w:ascii="Arial" w:cs="Arial" w:eastAsia="Arial" w:hAnsi="Arial"/>
          <w:sz w:val="19"/>
          <w:szCs w:val="19"/>
          <w:u w:val="single" w:color="auto"/>
          <w:color w:val="auto"/>
        </w:rPr>
        <w:t>Section 7.08(e)</w:t>
      </w:r>
      <w:r>
        <w:rPr>
          <w:rFonts w:ascii="Arial" w:cs="Arial" w:eastAsia="Arial" w:hAnsi="Arial"/>
          <w:sz w:val="19"/>
          <w:szCs w:val="19"/>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w:t>
      </w:r>
    </w:p>
    <w:p>
      <w:pPr>
        <w:spacing w:after="0" w:line="197" w:lineRule="exact"/>
        <w:rPr>
          <w:rFonts w:ascii="Arial" w:cs="Arial" w:eastAsia="Arial" w:hAnsi="Arial"/>
          <w:sz w:val="19"/>
          <w:szCs w:val="19"/>
          <w:color w:val="auto"/>
        </w:rPr>
      </w:pPr>
    </w:p>
    <w:p>
      <w:pPr>
        <w:jc w:val="both"/>
        <w:ind w:firstLine="1305"/>
        <w:spacing w:after="0" w:line="259" w:lineRule="auto"/>
        <w:tabs>
          <w:tab w:leader="none" w:pos="1793" w:val="left"/>
        </w:tabs>
        <w:numPr>
          <w:ilvl w:val="0"/>
          <w:numId w:val="310"/>
        </w:numPr>
        <w:rPr>
          <w:rFonts w:ascii="Arial" w:cs="Arial" w:eastAsia="Arial" w:hAnsi="Arial"/>
          <w:sz w:val="21"/>
          <w:szCs w:val="21"/>
          <w:color w:val="auto"/>
        </w:rPr>
      </w:pPr>
      <w:r>
        <w:rPr>
          <w:rFonts w:ascii="Arial" w:cs="Arial" w:eastAsia="Arial" w:hAnsi="Arial"/>
          <w:sz w:val="21"/>
          <w:szCs w:val="21"/>
          <w:color w:val="auto"/>
        </w:rPr>
        <w:t xml:space="preserve">If any Material Real Property is acquired by an Obligor after the Effective Date, WIL-Ireland will notify the Administrative Agent thereof, and, within 90 days after such acquisition (or such later date as the Administrative Agent may agree in its sole discretion), WIL-Ireland shall deliver the related Mortgages and Mortgage Instruments. Notwithstanding the foregoing, the Administrative Agent (in consultation with the Lenders) may waive the requirement contained in this </w:t>
      </w:r>
      <w:r>
        <w:rPr>
          <w:rFonts w:ascii="Arial" w:cs="Arial" w:eastAsia="Arial" w:hAnsi="Arial"/>
          <w:sz w:val="21"/>
          <w:szCs w:val="21"/>
          <w:u w:val="single" w:color="auto"/>
          <w:color w:val="auto"/>
        </w:rPr>
        <w:t>Section 7.08(f)</w:t>
      </w:r>
      <w:r>
        <w:rPr>
          <w:rFonts w:ascii="Arial" w:cs="Arial" w:eastAsia="Arial" w:hAnsi="Arial"/>
          <w:sz w:val="21"/>
          <w:szCs w:val="21"/>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3" w:name="page264"/>
    <w:bookmarkEnd w:id="263"/>
    <w:p>
      <w:pPr>
        <w:jc w:val="both"/>
        <w:ind w:firstLine="1305"/>
        <w:spacing w:after="0" w:line="259" w:lineRule="auto"/>
        <w:tabs>
          <w:tab w:leader="none" w:pos="1855" w:val="left"/>
        </w:tabs>
        <w:numPr>
          <w:ilvl w:val="0"/>
          <w:numId w:val="311"/>
        </w:numPr>
        <w:rPr>
          <w:rFonts w:ascii="Arial" w:cs="Arial" w:eastAsia="Arial" w:hAnsi="Arial"/>
          <w:sz w:val="21"/>
          <w:szCs w:val="21"/>
          <w:color w:val="auto"/>
        </w:rPr>
      </w:pPr>
      <w:r>
        <w:rPr>
          <w:rFonts w:ascii="Arial" w:cs="Arial" w:eastAsia="Arial" w:hAnsi="Arial"/>
          <w:sz w:val="21"/>
          <w:szCs w:val="21"/>
          <w:color w:val="auto"/>
        </w:rPr>
        <w:t xml:space="preserve">Without limiting the foregoing, WIL-Ireland shall, and shall cause each Obligor to, execute and deliver, or cause to be executed and delivered, to the Administrative Agent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Arial" w:cs="Arial" w:eastAsia="Arial" w:hAnsi="Arial"/>
          <w:sz w:val="21"/>
          <w:szCs w:val="21"/>
          <w:u w:val="single" w:color="auto"/>
          <w:color w:val="auto"/>
        </w:rPr>
        <w:t>Section 5.02</w:t>
      </w:r>
      <w:r>
        <w:rPr>
          <w:rFonts w:ascii="Arial" w:cs="Arial" w:eastAsia="Arial" w:hAnsi="Arial"/>
          <w:sz w:val="21"/>
          <w:szCs w:val="21"/>
          <w:color w:val="auto"/>
        </w:rPr>
        <w:t>,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w:t>
      </w:r>
    </w:p>
    <w:p>
      <w:pPr>
        <w:spacing w:after="0" w:line="224" w:lineRule="exact"/>
        <w:rPr>
          <w:rFonts w:ascii="Arial" w:cs="Arial" w:eastAsia="Arial" w:hAnsi="Arial"/>
          <w:sz w:val="21"/>
          <w:szCs w:val="21"/>
          <w:color w:val="auto"/>
        </w:rPr>
      </w:pPr>
    </w:p>
    <w:p>
      <w:pPr>
        <w:jc w:val="both"/>
        <w:ind w:firstLine="1305"/>
        <w:spacing w:after="0" w:line="285" w:lineRule="auto"/>
        <w:tabs>
          <w:tab w:leader="none" w:pos="1807"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At any time, at its option, WIL-Ireland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Secured Obligations pursuant to such Guaranty Agreement, supplement or other document and, if applicable, to grant Liens to secure the Secured Obligations without requiring the Secured Parties to share any of the Liens securing the Secured Obligations equally and ratably with the Existing Senior Notes or any other senior notes or any of the obligations under the Citi Credit Documents (if in effect at the applicable time)), organizational and authorization documents and certificates of the type referred to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as may be reasonably requested by the Administrative Agent, including a certificate of a Principal Financial Officer of WIL-Ireland with supporting information certifying as to (A) the calculation of the Borrower’s Consolidated Net Worth (as defined in each of the Existing Senior Notes Indentures and, if in effect at the applicable time, each of the Citi Credit Documents) as of the most recently ended Fiscal Quarter for which a balance sheet has been prepared in accordance with each of the Existing Senior Notes Indentures and each of the Citi Credit Documents and (B) such Guarantor’s ability to guarantee the Secured Obligations pursuant to such Guaranty Agreement, supplement or other document and, if applicable, to grant Liens to secure the Secured Obligations without requiring the Secured Parties to share any of the Liens securing the Secured Obligations equally and ratably with the Existing Senior Notes or any other senior notes or any of the obligations under the Citi Credit Documents (if in effect at the applicable time), which certificate shall be in substantially the same form as the certificate delivered pursuant to </w:t>
      </w:r>
      <w:r>
        <w:rPr>
          <w:rFonts w:ascii="Arial" w:cs="Arial" w:eastAsia="Arial" w:hAnsi="Arial"/>
          <w:sz w:val="19"/>
          <w:szCs w:val="19"/>
          <w:u w:val="single" w:color="auto"/>
          <w:color w:val="auto"/>
        </w:rPr>
        <w:t>Section 5.02(a)(xiii)</w:t>
      </w:r>
      <w:r>
        <w:rPr>
          <w:rFonts w:ascii="Arial" w:cs="Arial" w:eastAsia="Arial" w:hAnsi="Arial"/>
          <w:sz w:val="19"/>
          <w:szCs w:val="19"/>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Arial" w:cs="Arial" w:eastAsia="Arial" w:hAnsi="Arial"/>
          <w:sz w:val="19"/>
          <w:szCs w:val="19"/>
          <w:u w:val="single" w:color="auto"/>
          <w:color w:val="auto"/>
        </w:rPr>
        <w:t>Added Guarantor</w:t>
      </w:r>
      <w:r>
        <w:rPr>
          <w:rFonts w:ascii="Arial" w:cs="Arial" w:eastAsia="Arial" w:hAnsi="Arial"/>
          <w:sz w:val="19"/>
          <w:szCs w:val="19"/>
          <w:color w:val="auto"/>
        </w:rPr>
        <w:t>”). Notwithstanding anything to the contrary herein, no Added Guarantor shall become a party to any Collateral Document except as elected by WIL-Ireland in its sole discretion.</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Designation of Unrestricted Subsidiaries; Redesignation of Unrestricted Subsidiaries as 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Subsidiaries</w:t>
      </w:r>
      <w:r>
        <w:rPr>
          <w:rFonts w:ascii="Arial" w:cs="Arial" w:eastAsia="Arial" w:hAnsi="Arial"/>
          <w:sz w:val="22"/>
          <w:szCs w:val="22"/>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4" w:name="page265"/>
    <w:bookmarkEnd w:id="264"/>
    <w:p>
      <w:pPr>
        <w:ind w:firstLine="1305"/>
        <w:spacing w:after="0" w:line="263" w:lineRule="auto"/>
        <w:tabs>
          <w:tab w:leader="none" w:pos="1923" w:val="left"/>
        </w:tabs>
        <w:numPr>
          <w:ilvl w:val="1"/>
          <w:numId w:val="312"/>
        </w:numPr>
        <w:rPr>
          <w:rFonts w:ascii="Arial" w:cs="Arial" w:eastAsia="Arial" w:hAnsi="Arial"/>
          <w:sz w:val="22"/>
          <w:szCs w:val="22"/>
          <w:color w:val="auto"/>
        </w:rPr>
      </w:pPr>
      <w:r>
        <w:rPr>
          <w:rFonts w:ascii="Arial" w:cs="Arial" w:eastAsia="Arial" w:hAnsi="Arial"/>
          <w:sz w:val="22"/>
          <w:szCs w:val="22"/>
          <w:color w:val="auto"/>
        </w:rPr>
        <w:t xml:space="preserve">Unless designated as an Unrestricted Subsidiary pursuant to this </w:t>
      </w:r>
      <w:r>
        <w:rPr>
          <w:rFonts w:ascii="Arial" w:cs="Arial" w:eastAsia="Arial" w:hAnsi="Arial"/>
          <w:sz w:val="22"/>
          <w:szCs w:val="22"/>
          <w:u w:val="single" w:color="auto"/>
          <w:color w:val="auto"/>
        </w:rPr>
        <w:t>Section 7.09</w:t>
      </w:r>
      <w:r>
        <w:rPr>
          <w:rFonts w:ascii="Arial" w:cs="Arial" w:eastAsia="Arial" w:hAnsi="Arial"/>
          <w:sz w:val="22"/>
          <w:szCs w:val="22"/>
          <w:color w:val="auto"/>
        </w:rPr>
        <w:t>, each Subsidiary shall be classified as a Restricted Subsidiary.</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780" w:val="left"/>
        </w:tabs>
        <w:numPr>
          <w:ilvl w:val="1"/>
          <w:numId w:val="312"/>
        </w:numPr>
        <w:rPr>
          <w:rFonts w:ascii="Arial" w:cs="Arial" w:eastAsia="Arial" w:hAnsi="Arial"/>
          <w:sz w:val="22"/>
          <w:szCs w:val="22"/>
          <w:color w:val="auto"/>
        </w:rPr>
      </w:pPr>
      <w:r>
        <w:rPr>
          <w:rFonts w:ascii="Arial" w:cs="Arial" w:eastAsia="Arial" w:hAnsi="Arial"/>
          <w:sz w:val="22"/>
          <w:szCs w:val="22"/>
          <w:color w:val="auto"/>
        </w:rPr>
        <w:t>If WIL-Ireland designates any Subsidiary as an Unrestricted Subsidiary pursuant to paragraph (c) below, WIL-Ireland shall be deemed to have made an Investment in such Unrestricted Subsidiary in an amount equal to the fair market value as of the date of such designation of the consolidated assets of such Subsidiary.</w:t>
      </w:r>
    </w:p>
    <w:p>
      <w:pPr>
        <w:spacing w:after="0" w:line="226" w:lineRule="exact"/>
        <w:rPr>
          <w:rFonts w:ascii="Arial" w:cs="Arial" w:eastAsia="Arial" w:hAnsi="Arial"/>
          <w:sz w:val="22"/>
          <w:szCs w:val="22"/>
          <w:color w:val="auto"/>
        </w:rPr>
      </w:pPr>
    </w:p>
    <w:p>
      <w:pPr>
        <w:jc w:val="both"/>
        <w:ind w:firstLine="1305"/>
        <w:spacing w:after="0" w:line="288" w:lineRule="auto"/>
        <w:tabs>
          <w:tab w:leader="none" w:pos="1992" w:val="left"/>
        </w:tabs>
        <w:numPr>
          <w:ilvl w:val="1"/>
          <w:numId w:val="312"/>
        </w:numPr>
        <w:rPr>
          <w:rFonts w:ascii="Arial" w:cs="Arial" w:eastAsia="Arial" w:hAnsi="Arial"/>
          <w:sz w:val="19"/>
          <w:szCs w:val="19"/>
          <w:color w:val="auto"/>
        </w:rPr>
      </w:pPr>
      <w:r>
        <w:rPr>
          <w:rFonts w:ascii="Arial" w:cs="Arial" w:eastAsia="Arial" w:hAnsi="Arial"/>
          <w:sz w:val="19"/>
          <w:szCs w:val="19"/>
          <w:color w:val="auto"/>
        </w:rPr>
        <w:t>WIL-Ireland may designate, by written notice to the Administrative Agent, any Subsidiary to be an Unrestricted Subsidiary if (i) before and after giving effect to such designation, no Default or Event of Default shall exist, (ii) WIL-Ireland shall be in pro forma compliance with the Financial Covenants both before and after giving effect to such designation,</w:t>
      </w:r>
    </w:p>
    <w:p>
      <w:pPr>
        <w:spacing w:after="0" w:line="1" w:lineRule="exact"/>
        <w:rPr>
          <w:rFonts w:ascii="Arial" w:cs="Arial" w:eastAsia="Arial" w:hAnsi="Arial"/>
          <w:sz w:val="19"/>
          <w:szCs w:val="19"/>
          <w:color w:val="auto"/>
        </w:rPr>
      </w:pPr>
    </w:p>
    <w:p>
      <w:pPr>
        <w:jc w:val="both"/>
        <w:ind w:firstLine="8"/>
        <w:spacing w:after="0" w:line="244" w:lineRule="auto"/>
        <w:tabs>
          <w:tab w:leader="none" w:pos="384" w:val="left"/>
        </w:tabs>
        <w:numPr>
          <w:ilvl w:val="0"/>
          <w:numId w:val="313"/>
        </w:numPr>
        <w:rPr>
          <w:rFonts w:ascii="Arial" w:cs="Arial" w:eastAsia="Arial" w:hAnsi="Arial"/>
          <w:sz w:val="22"/>
          <w:szCs w:val="22"/>
          <w:color w:val="auto"/>
        </w:rPr>
      </w:pPr>
      <w:r>
        <w:rPr>
          <w:rFonts w:ascii="Arial" w:cs="Arial" w:eastAsia="Arial" w:hAnsi="Arial"/>
          <w:sz w:val="22"/>
          <w:szCs w:val="22"/>
          <w:color w:val="auto"/>
        </w:rPr>
        <w:t xml:space="preserve">the deemed Investment by WIL-Ireland in such Unrestricted Subsidiary resulting from such designation would be permitted to be made at the time of such designation under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and (iv) such Subsidiary otherwise meets the requirements set forth in the definition of “Unrestricted Subsidiary”. Such written notice shall be accompanied by a certificate of a Principal Financial Officer, certifying as to the matters set forth in the preceding sentence.</w:t>
      </w:r>
    </w:p>
    <w:p>
      <w:pPr>
        <w:spacing w:after="0" w:line="236" w:lineRule="exact"/>
        <w:rPr>
          <w:rFonts w:ascii="Arial" w:cs="Arial" w:eastAsia="Arial" w:hAnsi="Arial"/>
          <w:sz w:val="22"/>
          <w:szCs w:val="22"/>
          <w:color w:val="auto"/>
        </w:rPr>
      </w:pPr>
    </w:p>
    <w:p>
      <w:pPr>
        <w:jc w:val="both"/>
        <w:ind w:firstLine="1305"/>
        <w:spacing w:after="0" w:line="288" w:lineRule="auto"/>
        <w:tabs>
          <w:tab w:leader="none" w:pos="180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 xml:space="preserve">WIL-Ireland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 (iv) any Liens on assets of such Subsidiary (which shall be deemed to be created or incurred by a Restricted Subsidiary as of the date of designation) are permitted to be created or incurred as of such date under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Arial" w:cs="Arial" w:eastAsia="Arial" w:hAnsi="Arial"/>
          <w:sz w:val="19"/>
          <w:szCs w:val="19"/>
          <w:u w:val="single" w:color="auto"/>
          <w:color w:val="auto"/>
        </w:rPr>
        <w:t>Section 8.06</w:t>
      </w:r>
      <w:r>
        <w:rPr>
          <w:rFonts w:ascii="Arial" w:cs="Arial" w:eastAsia="Arial" w:hAnsi="Arial"/>
          <w:sz w:val="19"/>
          <w:szCs w:val="19"/>
          <w:color w:val="auto"/>
        </w:rPr>
        <w:t>.</w:t>
      </w:r>
    </w:p>
    <w:p>
      <w:pPr>
        <w:spacing w:after="0" w:line="195" w:lineRule="exact"/>
        <w:rPr>
          <w:rFonts w:ascii="Arial" w:cs="Arial" w:eastAsia="Arial" w:hAnsi="Arial"/>
          <w:sz w:val="19"/>
          <w:szCs w:val="19"/>
          <w:color w:val="auto"/>
        </w:rPr>
      </w:pPr>
    </w:p>
    <w:p>
      <w:pPr>
        <w:jc w:val="both"/>
        <w:ind w:firstLine="1305"/>
        <w:spacing w:after="0" w:line="312" w:lineRule="auto"/>
        <w:tabs>
          <w:tab w:leader="none" w:pos="1762" w:val="left"/>
        </w:tabs>
        <w:numPr>
          <w:ilvl w:val="1"/>
          <w:numId w:val="313"/>
        </w:numPr>
        <w:rPr>
          <w:rFonts w:ascii="Arial" w:cs="Arial" w:eastAsia="Arial" w:hAnsi="Arial"/>
          <w:sz w:val="19"/>
          <w:szCs w:val="19"/>
          <w:color w:val="auto"/>
        </w:rPr>
      </w:pPr>
      <w:r>
        <w:rPr>
          <w:rFonts w:ascii="Arial" w:cs="Arial" w:eastAsia="Arial" w:hAnsi="Arial"/>
          <w:sz w:val="19"/>
          <w:szCs w:val="19"/>
          <w:color w:val="auto"/>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Arial" w:cs="Arial" w:eastAsia="Arial" w:hAnsi="Arial"/>
          <w:sz w:val="19"/>
          <w:szCs w:val="19"/>
          <w:u w:val="single" w:color="auto"/>
          <w:color w:val="auto"/>
        </w:rPr>
        <w:t>Section 7.09(d)</w:t>
      </w:r>
      <w:r>
        <w:rPr>
          <w:rFonts w:ascii="Arial" w:cs="Arial" w:eastAsia="Arial" w:hAnsi="Arial"/>
          <w:sz w:val="19"/>
          <w:szCs w:val="19"/>
          <w:color w:val="auto"/>
        </w:rPr>
        <w:t xml:space="preserve"> (in addition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any other relevant provisions herein).</w:t>
      </w:r>
    </w:p>
    <w:p>
      <w:pPr>
        <w:spacing w:after="0" w:line="174" w:lineRule="exact"/>
        <w:rPr>
          <w:rFonts w:ascii="Arial" w:cs="Arial" w:eastAsia="Arial" w:hAnsi="Arial"/>
          <w:sz w:val="19"/>
          <w:szCs w:val="19"/>
          <w:color w:val="auto"/>
        </w:rPr>
      </w:pPr>
    </w:p>
    <w:p>
      <w:pPr>
        <w:ind w:left="1760" w:hanging="455"/>
        <w:spacing w:after="0"/>
        <w:tabs>
          <w:tab w:leader="none" w:pos="176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Notwithstanding the foregoing or anything to the contrary contained herein, no Obligor may be an Unrestricted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More Favorable Financial Covenants</w:t>
      </w:r>
      <w:r>
        <w:rPr>
          <w:rFonts w:ascii="Arial" w:cs="Arial" w:eastAsia="Arial" w:hAnsi="Arial"/>
          <w:sz w:val="22"/>
          <w:szCs w:val="2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5" w:name="page266"/>
    <w:bookmarkEnd w:id="265"/>
    <w:p>
      <w:pPr>
        <w:jc w:val="both"/>
        <w:ind w:firstLine="1305"/>
        <w:spacing w:after="0" w:line="286" w:lineRule="auto"/>
        <w:tabs>
          <w:tab w:leader="none" w:pos="1761"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If, on any date, any Other Debt Agreement governing Indebtedness and/or letters of credit, bank guaranties and bankers’ acceptances in a principal amount in excess of $20,000,000 (with committed but unutilized amounts under such Other Debt Agreement being deemed fully drawn for purposes of measuring such limit) includes one or more Additional Financial Covenants (including, for the avoidance of doubt, as a result any amendment, supplement, waiver or other modification to any Other Debt Agreement causing it to contain one or more Additional Financial Covenants), then (i) on or prior to the third Business Day following the effectiveness of any such Additional Financial Covenants, WIL-Ireland shall notify the Administrative Agent thereof, and (ii) whether or not WIL-Ireland provides such notice, the terms of this Agreement shall, without any further action on the part of any Obligor Party, the Administrative Agent or any Lender, be deemed to be amended automatically to include each Additional Financial Covenant in this Agreement. Each Obligor Party further covenants to promptly execute and deliver at its expense an amendment to this Agreement in form and substance reasonably satisfactory to the Required Lenders evidencing the amendment of this Agreement to include such Additional Financial Covenants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execution and delivery of such amendment shall not be a precondition to the effectiveness of such amendment as provided for in this </w:t>
      </w:r>
      <w:r>
        <w:rPr>
          <w:rFonts w:ascii="Arial" w:cs="Arial" w:eastAsia="Arial" w:hAnsi="Arial"/>
          <w:sz w:val="19"/>
          <w:szCs w:val="19"/>
          <w:u w:val="single" w:color="auto"/>
          <w:color w:val="auto"/>
        </w:rPr>
        <w:t>Section 7.10(a)</w:t>
      </w:r>
      <w:r>
        <w:rPr>
          <w:rFonts w:ascii="Arial" w:cs="Arial" w:eastAsia="Arial" w:hAnsi="Arial"/>
          <w:sz w:val="19"/>
          <w:szCs w:val="19"/>
          <w:color w:val="auto"/>
        </w:rPr>
        <w:t>, but shall merely be for the convenience of the parties hereto.</w:t>
      </w:r>
    </w:p>
    <w:p>
      <w:pPr>
        <w:spacing w:after="0" w:line="207" w:lineRule="exact"/>
        <w:rPr>
          <w:rFonts w:ascii="Arial" w:cs="Arial" w:eastAsia="Arial" w:hAnsi="Arial"/>
          <w:sz w:val="19"/>
          <w:szCs w:val="19"/>
          <w:color w:val="auto"/>
        </w:rPr>
      </w:pPr>
    </w:p>
    <w:p>
      <w:pPr>
        <w:jc w:val="both"/>
        <w:ind w:firstLine="1305"/>
        <w:spacing w:after="0" w:line="287" w:lineRule="auto"/>
        <w:tabs>
          <w:tab w:leader="none" w:pos="188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If after the time this Agreement is amended pursuant to </w:t>
      </w:r>
      <w:r>
        <w:rPr>
          <w:rFonts w:ascii="Arial" w:cs="Arial" w:eastAsia="Arial" w:hAnsi="Arial"/>
          <w:sz w:val="19"/>
          <w:szCs w:val="19"/>
          <w:u w:val="single" w:color="auto"/>
          <w:color w:val="auto"/>
        </w:rPr>
        <w:t>Section 7.10(a)</w:t>
      </w:r>
      <w:r>
        <w:rPr>
          <w:rFonts w:ascii="Arial" w:cs="Arial" w:eastAsia="Arial" w:hAnsi="Arial"/>
          <w:sz w:val="19"/>
          <w:szCs w:val="19"/>
          <w:color w:val="auto"/>
        </w:rPr>
        <w:t xml:space="preserve"> to include in this Agreement any Additional Financial Covenant (an “</w:t>
      </w:r>
      <w:r>
        <w:rPr>
          <w:rFonts w:ascii="Arial" w:cs="Arial" w:eastAsia="Arial" w:hAnsi="Arial"/>
          <w:sz w:val="19"/>
          <w:szCs w:val="19"/>
          <w:u w:val="single" w:color="auto"/>
          <w:color w:val="auto"/>
        </w:rPr>
        <w:t>Incorporated Financial Covenant</w:t>
      </w:r>
      <w:r>
        <w:rPr>
          <w:rFonts w:ascii="Arial" w:cs="Arial" w:eastAsia="Arial" w:hAnsi="Arial"/>
          <w:sz w:val="19"/>
          <w:szCs w:val="19"/>
          <w:color w:val="auto"/>
        </w:rPr>
        <w:t xml:space="preserve">”) contained in any Other Debt Agreement, such Incorporated Financial Covenant ceases to be in effect under, or is deleted from, such Other Debt Agreement, or is amended or modified for the purposes of such Other Debt Agreement so as to become less restrictive with respect to WIL-Ireland or any of its Restricted Subsidiaries, then, upon the request of WIL-Ireland, the Required Lenders will amend this Agreement to delete or similarly amend or modify, as the case may be, such Incorporated Financial Covenant as in effect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in respect of such Incorporated Financial Covenant shall be in existence immediately before or after such deletion, amendment or modification. Notwithstanding the foregoing, no amendment to this Agreement pursuant to this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as the result of any Incorporated Financial Covenant ceasing to be in effect or being deleted, amended or otherwise modified shall cause any covenant or Event of Default in this Agreement to be less restrictive as to WIL-Ireland or any Restricted Subsidiary than such covenant or Event of Default as contained in this Agreement as in effect on the Effective Date, and as amended, supplemented or otherwise modified thereafter (other than as the result of the application of </w:t>
      </w:r>
      <w:r>
        <w:rPr>
          <w:rFonts w:ascii="Arial" w:cs="Arial" w:eastAsia="Arial" w:hAnsi="Arial"/>
          <w:sz w:val="19"/>
          <w:szCs w:val="19"/>
          <w:u w:val="single" w:color="auto"/>
          <w:color w:val="auto"/>
        </w:rPr>
        <w:t>Section 7.10(a)</w:t>
      </w:r>
      <w:r>
        <w:rPr>
          <w:rFonts w:ascii="Arial" w:cs="Arial" w:eastAsia="Arial" w:hAnsi="Arial"/>
          <w:sz w:val="19"/>
          <w:szCs w:val="19"/>
          <w:color w:val="auto"/>
        </w:rPr>
        <w:t>).</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Post-Closing Matters</w:t>
      </w:r>
      <w:r>
        <w:rPr>
          <w:rFonts w:ascii="Arial" w:cs="Arial" w:eastAsia="Arial" w:hAnsi="Arial"/>
          <w:sz w:val="22"/>
          <w:szCs w:val="22"/>
          <w:color w:val="auto"/>
        </w:rPr>
        <w:t xml:space="preserve">. WIL-Ireland shall, and shall cause each Restricted Subsidiary to, satisfy each requirement set forth on </w:t>
      </w:r>
      <w:r>
        <w:rPr>
          <w:rFonts w:ascii="Arial" w:cs="Arial" w:eastAsia="Arial" w:hAnsi="Arial"/>
          <w:sz w:val="22"/>
          <w:szCs w:val="22"/>
          <w:u w:val="single" w:color="auto"/>
          <w:color w:val="auto"/>
        </w:rPr>
        <w:t>Schedule 7.11</w:t>
      </w:r>
      <w:r>
        <w:rPr>
          <w:rFonts w:ascii="Arial" w:cs="Arial" w:eastAsia="Arial" w:hAnsi="Arial"/>
          <w:sz w:val="22"/>
          <w:szCs w:val="22"/>
          <w:color w:val="auto"/>
        </w:rPr>
        <w:t xml:space="preserve"> on or before the date set forth on such Schedule (or such later date as the Administrative Agent may agree in its sole discretion).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Payment in Full, the Obligor Parties covenant and agree that: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6" w:name="page267"/>
    <w:bookmarkEnd w:id="266"/>
    <w:p>
      <w:pPr>
        <w:ind w:firstLine="648"/>
        <w:spacing w:after="0" w:line="26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Indebtedness</w:t>
      </w:r>
      <w:r>
        <w:rPr>
          <w:rFonts w:ascii="Arial" w:cs="Arial" w:eastAsia="Arial" w:hAnsi="Arial"/>
          <w:sz w:val="22"/>
          <w:szCs w:val="22"/>
          <w:color w:val="auto"/>
        </w:rPr>
        <w:t>. WIL-Ireland shall not, and shall not permit any Restricted Subsidiary to, create, incur, assume or permit to exist any Indebtedness, except:</w:t>
      </w:r>
    </w:p>
    <w:p>
      <w:pPr>
        <w:spacing w:after="0" w:line="229" w:lineRule="exact"/>
        <w:rPr>
          <w:sz w:val="20"/>
          <w:szCs w:val="20"/>
          <w:color w:val="auto"/>
        </w:rPr>
      </w:pPr>
    </w:p>
    <w:p>
      <w:pPr>
        <w:ind w:left="1760" w:hanging="455"/>
        <w:spacing w:after="0"/>
        <w:tabs>
          <w:tab w:leader="none" w:pos="1760" w:val="left"/>
        </w:tabs>
        <w:numPr>
          <w:ilvl w:val="1"/>
          <w:numId w:val="315"/>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843" w:val="left"/>
        </w:tabs>
        <w:numPr>
          <w:ilvl w:val="1"/>
          <w:numId w:val="315"/>
        </w:numPr>
        <w:rPr>
          <w:rFonts w:ascii="Arial" w:cs="Arial" w:eastAsia="Arial" w:hAnsi="Arial"/>
          <w:sz w:val="22"/>
          <w:szCs w:val="22"/>
          <w:color w:val="auto"/>
        </w:rPr>
      </w:pPr>
      <w:r>
        <w:rPr>
          <w:rFonts w:ascii="Arial" w:cs="Arial" w:eastAsia="Arial" w:hAnsi="Arial"/>
          <w:sz w:val="22"/>
          <w:szCs w:val="22"/>
          <w:color w:val="auto"/>
        </w:rPr>
        <w:t>Indebtedness of the Obligors incurred under the Revolving Credit Facility in an aggregate principal amount (including undrawn or available committed amounts thereunder) not to exceed $1,500,000,000 at any time outstanding and Permitted Refinancing Indebtedness in respect thereof;</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1"/>
          <w:numId w:val="315"/>
        </w:numPr>
        <w:rPr>
          <w:rFonts w:ascii="Arial" w:cs="Arial" w:eastAsia="Arial" w:hAnsi="Arial"/>
          <w:sz w:val="22"/>
          <w:szCs w:val="22"/>
          <w:color w:val="auto"/>
        </w:rPr>
      </w:pPr>
      <w:r>
        <w:rPr>
          <w:rFonts w:ascii="Arial" w:cs="Arial" w:eastAsia="Arial" w:hAnsi="Arial"/>
          <w:sz w:val="22"/>
          <w:szCs w:val="22"/>
          <w:color w:val="auto"/>
        </w:rPr>
        <w:t>Permitted Existing Indebtedness and Permitted Refinancing Indebtedness in respect thereof;</w:t>
      </w:r>
    </w:p>
    <w:p>
      <w:pPr>
        <w:spacing w:after="0" w:line="260" w:lineRule="exact"/>
        <w:rPr>
          <w:rFonts w:ascii="Arial" w:cs="Arial" w:eastAsia="Arial" w:hAnsi="Arial"/>
          <w:sz w:val="22"/>
          <w:szCs w:val="22"/>
          <w:color w:val="auto"/>
        </w:rPr>
      </w:pPr>
    </w:p>
    <w:p>
      <w:pPr>
        <w:jc w:val="both"/>
        <w:ind w:firstLine="1305"/>
        <w:spacing w:after="0" w:line="285" w:lineRule="auto"/>
        <w:tabs>
          <w:tab w:leader="none" w:pos="1855" w:val="left"/>
        </w:tabs>
        <w:numPr>
          <w:ilvl w:val="1"/>
          <w:numId w:val="315"/>
        </w:numPr>
        <w:rPr>
          <w:rFonts w:ascii="Arial" w:cs="Arial" w:eastAsia="Arial" w:hAnsi="Arial"/>
          <w:sz w:val="19"/>
          <w:szCs w:val="19"/>
          <w:color w:val="auto"/>
        </w:rPr>
      </w:pPr>
      <w:r>
        <w:rPr>
          <w:rFonts w:ascii="Arial" w:cs="Arial" w:eastAsia="Arial" w:hAnsi="Arial"/>
          <w:sz w:val="19"/>
          <w:szCs w:val="19"/>
          <w:color w:val="auto"/>
        </w:rPr>
        <w:t xml:space="preserve">Indebtedness arising from intercompany loans and advances owing by any Obligor or any Specified Group Member to any Obligor or any Specified Group Member;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Indebtedness incurred after the Effective Date (including Indebtedness incurred after the Effective Date pursuant to an agreement or arrangement existing on the Effective Date) is owing by an Obligor to a Specified Group Member that is not an Obligor, such Indebtedness shall be Subordinated, to the extent not prohibited by applicable Requirements of Law and to the extent not giving rise to material adverse tax consequences and</w:t>
      </w:r>
    </w:p>
    <w:p>
      <w:pPr>
        <w:spacing w:after="0" w:line="3" w:lineRule="exact"/>
        <w:rPr>
          <w:rFonts w:ascii="Arial" w:cs="Arial" w:eastAsia="Arial" w:hAnsi="Arial"/>
          <w:sz w:val="19"/>
          <w:szCs w:val="19"/>
          <w:color w:val="auto"/>
        </w:rPr>
      </w:pPr>
    </w:p>
    <w:p>
      <w:pPr>
        <w:ind w:firstLine="8"/>
        <w:spacing w:after="0" w:line="246" w:lineRule="auto"/>
        <w:tabs>
          <w:tab w:leader="none" w:pos="323" w:val="left"/>
        </w:tabs>
        <w:numPr>
          <w:ilvl w:val="0"/>
          <w:numId w:val="316"/>
        </w:numPr>
        <w:rPr>
          <w:rFonts w:ascii="Arial" w:cs="Arial" w:eastAsia="Arial" w:hAnsi="Arial"/>
          <w:sz w:val="22"/>
          <w:szCs w:val="22"/>
          <w:color w:val="auto"/>
        </w:rPr>
      </w:pPr>
      <w:r>
        <w:rPr>
          <w:rFonts w:ascii="Arial" w:cs="Arial" w:eastAsia="Arial" w:hAnsi="Arial"/>
          <w:sz w:val="22"/>
          <w:szCs w:val="22"/>
          <w:color w:val="auto"/>
        </w:rPr>
        <w:t xml:space="preserve">any such intercompany loans and advances made to any Specified Group Member that is not a Wholly-Owned Subsidiary shall be subject to the limitations set forth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7" w:lineRule="auto"/>
        <w:tabs>
          <w:tab w:leader="none" w:pos="1892" w:val="left"/>
        </w:tabs>
        <w:numPr>
          <w:ilvl w:val="1"/>
          <w:numId w:val="316"/>
        </w:numPr>
        <w:rPr>
          <w:rFonts w:ascii="Arial" w:cs="Arial" w:eastAsia="Arial" w:hAnsi="Arial"/>
          <w:sz w:val="22"/>
          <w:szCs w:val="22"/>
          <w:color w:val="auto"/>
        </w:rPr>
      </w:pPr>
      <w:r>
        <w:rPr>
          <w:rFonts w:ascii="Arial" w:cs="Arial" w:eastAsia="Arial" w:hAnsi="Arial"/>
          <w:sz w:val="22"/>
          <w:szCs w:val="22"/>
          <w:color w:val="auto"/>
        </w:rPr>
        <w:t xml:space="preserve">Indebtedness arising from intercompany loans and advances owing by any Obligor, any Specified Group Member or any Other Subsidiaries Group Member to any Other Subsidiaries Group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such Indebtedness incurred after the Effective Date (including Indebtedness incurred after the Effective Date pursuant to an agreement or arrangement existing on the Effective Date) is owing by an Obligor to an Other Subsidiaries Group Member, such Indebtedness shall be Subordinated, to the extent not prohibited by applicable Requirements of Law and to the extent not giving rise to material adverse tax consequences;</w:t>
      </w:r>
    </w:p>
    <w:p>
      <w:pPr>
        <w:spacing w:after="0" w:line="234" w:lineRule="exact"/>
        <w:rPr>
          <w:rFonts w:ascii="Arial" w:cs="Arial" w:eastAsia="Arial" w:hAnsi="Arial"/>
          <w:sz w:val="22"/>
          <w:szCs w:val="22"/>
          <w:color w:val="auto"/>
        </w:rPr>
      </w:pPr>
    </w:p>
    <w:p>
      <w:pPr>
        <w:jc w:val="both"/>
        <w:ind w:firstLine="1305"/>
        <w:spacing w:after="0" w:line="253" w:lineRule="auto"/>
        <w:tabs>
          <w:tab w:leader="none" w:pos="1773" w:val="left"/>
        </w:tabs>
        <w:numPr>
          <w:ilvl w:val="1"/>
          <w:numId w:val="316"/>
        </w:numPr>
        <w:rPr>
          <w:rFonts w:ascii="Arial" w:cs="Arial" w:eastAsia="Arial" w:hAnsi="Arial"/>
          <w:sz w:val="22"/>
          <w:szCs w:val="22"/>
          <w:color w:val="auto"/>
        </w:rPr>
      </w:pPr>
      <w:r>
        <w:rPr>
          <w:rFonts w:ascii="Arial" w:cs="Arial" w:eastAsia="Arial" w:hAnsi="Arial"/>
          <w:sz w:val="22"/>
          <w:szCs w:val="22"/>
          <w:color w:val="auto"/>
        </w:rPr>
        <w:t xml:space="preserve">Indebtedness arising from intercompany loans and advances owing by any Other Subsidiaries Group Member to any Obligor or any Specified Group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intercompany loans and advances shall be subject to the limitations set forth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firstLine="1305"/>
        <w:spacing w:after="0" w:line="263" w:lineRule="auto"/>
        <w:tabs>
          <w:tab w:leader="none" w:pos="1843" w:val="left"/>
        </w:tabs>
        <w:numPr>
          <w:ilvl w:val="1"/>
          <w:numId w:val="316"/>
        </w:numPr>
        <w:rPr>
          <w:rFonts w:ascii="Arial" w:cs="Arial" w:eastAsia="Arial" w:hAnsi="Arial"/>
          <w:sz w:val="22"/>
          <w:szCs w:val="22"/>
          <w:color w:val="auto"/>
        </w:rPr>
      </w:pPr>
      <w:r>
        <w:rPr>
          <w:rFonts w:ascii="Arial" w:cs="Arial" w:eastAsia="Arial" w:hAnsi="Arial"/>
          <w:sz w:val="22"/>
          <w:szCs w:val="22"/>
          <w:color w:val="auto"/>
        </w:rPr>
        <w:t>Guarantees by any Other Subsidiaries Group Member of Indebtedness of any Obligor, any Specified Group Member or any other Other Subsidiaries Group Member;</w:t>
      </w:r>
    </w:p>
    <w:p>
      <w:pPr>
        <w:spacing w:after="0" w:line="215" w:lineRule="exact"/>
        <w:rPr>
          <w:rFonts w:ascii="Arial" w:cs="Arial" w:eastAsia="Arial" w:hAnsi="Arial"/>
          <w:sz w:val="22"/>
          <w:szCs w:val="22"/>
          <w:color w:val="auto"/>
        </w:rPr>
      </w:pPr>
    </w:p>
    <w:p>
      <w:pPr>
        <w:ind w:right="20" w:firstLine="1305"/>
        <w:spacing w:after="0" w:line="263" w:lineRule="auto"/>
        <w:tabs>
          <w:tab w:leader="none" w:pos="1799" w:val="left"/>
        </w:tabs>
        <w:numPr>
          <w:ilvl w:val="1"/>
          <w:numId w:val="316"/>
        </w:numPr>
        <w:rPr>
          <w:rFonts w:ascii="Arial" w:cs="Arial" w:eastAsia="Arial" w:hAnsi="Arial"/>
          <w:sz w:val="22"/>
          <w:szCs w:val="22"/>
          <w:color w:val="auto"/>
        </w:rPr>
      </w:pPr>
      <w:r>
        <w:rPr>
          <w:rFonts w:ascii="Arial" w:cs="Arial" w:eastAsia="Arial" w:hAnsi="Arial"/>
          <w:sz w:val="22"/>
          <w:szCs w:val="22"/>
          <w:color w:val="auto"/>
        </w:rPr>
        <w:t xml:space="preserve">Guarantees by any Obligor or any Specified Group Member of Indebtedness of any Other Subsidiaries Group Member to the extent such Investment is permitted by </w:t>
      </w:r>
      <w:r>
        <w:rPr>
          <w:rFonts w:ascii="Arial" w:cs="Arial" w:eastAsia="Arial" w:hAnsi="Arial"/>
          <w:sz w:val="22"/>
          <w:szCs w:val="22"/>
          <w:u w:val="single" w:color="auto"/>
          <w:color w:val="auto"/>
        </w:rPr>
        <w:t>Section 8.06(f)</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1305"/>
        <w:spacing w:after="0" w:line="302" w:lineRule="auto"/>
        <w:tabs>
          <w:tab w:leader="none" w:pos="1723" w:val="left"/>
        </w:tabs>
        <w:numPr>
          <w:ilvl w:val="1"/>
          <w:numId w:val="316"/>
        </w:numPr>
        <w:rPr>
          <w:rFonts w:ascii="Arial" w:cs="Arial" w:eastAsia="Arial" w:hAnsi="Arial"/>
          <w:sz w:val="19"/>
          <w:szCs w:val="19"/>
          <w:color w:val="auto"/>
        </w:rPr>
      </w:pPr>
      <w:r>
        <w:rPr>
          <w:rFonts w:ascii="Arial" w:cs="Arial" w:eastAsia="Arial" w:hAnsi="Arial"/>
          <w:sz w:val="19"/>
          <w:szCs w:val="19"/>
          <w:color w:val="auto"/>
        </w:rPr>
        <w:t>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provided that the aggregate outstanding amount of such Indebtedness does not at any time exceed $250,000,000;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67" w:name="page268"/>
    <w:bookmarkEnd w:id="267"/>
    <w:p>
      <w:pPr>
        <w:jc w:val="both"/>
        <w:ind w:firstLine="1305"/>
        <w:spacing w:after="0" w:line="258" w:lineRule="auto"/>
        <w:tabs>
          <w:tab w:leader="none" w:pos="1817" w:val="left"/>
        </w:tabs>
        <w:numPr>
          <w:ilvl w:val="0"/>
          <w:numId w:val="317"/>
        </w:numPr>
        <w:rPr>
          <w:rFonts w:ascii="Arial" w:cs="Arial" w:eastAsia="Arial" w:hAnsi="Arial"/>
          <w:sz w:val="21"/>
          <w:szCs w:val="21"/>
          <w:color w:val="auto"/>
        </w:rPr>
      </w:pPr>
      <w:r>
        <w:rPr>
          <w:rFonts w:ascii="Arial" w:cs="Arial" w:eastAsia="Arial" w:hAnsi="Arial"/>
          <w:sz w:val="21"/>
          <w:szCs w:val="21"/>
          <w:color w:val="auto"/>
        </w:rPr>
        <w:t xml:space="preserve">Specified Senior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pro forma effect to the incurrence of such Indebtedness and (ii) if such Indebtedness is incurred on or prior to December 31, 2016, after giving pro forma effect to the incurrence of such Indebtedness, either (A) the aggregate principal amount of all Indebtedness incurred pursuant to this </w:t>
      </w:r>
      <w:r>
        <w:rPr>
          <w:rFonts w:ascii="Arial" w:cs="Arial" w:eastAsia="Arial" w:hAnsi="Arial"/>
          <w:sz w:val="21"/>
          <w:szCs w:val="21"/>
          <w:u w:val="single" w:color="auto"/>
          <w:color w:val="auto"/>
        </w:rPr>
        <w:t>Section 8.01(j)</w:t>
      </w:r>
      <w:r>
        <w:rPr>
          <w:rFonts w:ascii="Arial" w:cs="Arial" w:eastAsia="Arial" w:hAnsi="Arial"/>
          <w:sz w:val="21"/>
          <w:szCs w:val="21"/>
          <w:color w:val="auto"/>
        </w:rPr>
        <w:t xml:space="preserve"> would not exceed $750,000,000 or (B) the Specified Senior Leverage Ratio (calculated as of the last day of the most recently ended Testing Period for which financial statements are available as if such Indebtedness had been incurred on the last day of such Testing Period) would be less than 2.50 to 1.00 and (iii) if such Indebtedness is incurred after December 31, 2016, after giving pro forma effect to the incurrence of such Indebtedness, the Specified Senior Leverage Ratio (calculated as of the last day of the most recently ended Testing Period for which financial statements are available as if such Indebtedness had been incurred on the last day of such Testing Period) would be less than 2.50 to 1.00;</w:t>
      </w:r>
    </w:p>
    <w:p>
      <w:pPr>
        <w:spacing w:after="0" w:line="226" w:lineRule="exact"/>
        <w:rPr>
          <w:rFonts w:ascii="Arial" w:cs="Arial" w:eastAsia="Arial" w:hAnsi="Arial"/>
          <w:sz w:val="21"/>
          <w:szCs w:val="21"/>
          <w:color w:val="auto"/>
        </w:rPr>
      </w:pPr>
    </w:p>
    <w:p>
      <w:pPr>
        <w:jc w:val="both"/>
        <w:ind w:firstLine="1305"/>
        <w:spacing w:after="0" w:line="259" w:lineRule="auto"/>
        <w:tabs>
          <w:tab w:leader="none" w:pos="1793" w:val="left"/>
        </w:tabs>
        <w:numPr>
          <w:ilvl w:val="0"/>
          <w:numId w:val="317"/>
        </w:numPr>
        <w:rPr>
          <w:rFonts w:ascii="Arial" w:cs="Arial" w:eastAsia="Arial" w:hAnsi="Arial"/>
          <w:sz w:val="21"/>
          <w:szCs w:val="21"/>
          <w:color w:val="auto"/>
        </w:rPr>
      </w:pPr>
      <w:r>
        <w:rPr>
          <w:rFonts w:ascii="Arial" w:cs="Arial" w:eastAsia="Arial" w:hAnsi="Arial"/>
          <w:sz w:val="21"/>
          <w:szCs w:val="21"/>
          <w:color w:val="auto"/>
        </w:rPr>
        <w:t xml:space="preserve">unsecured Indebtedness incurred by WIL-Ireland, the Borrower, WIL-Delaware and Other Subsidiaries Group Members;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WIL-Ireland would be in compliance with the Financial Covenants (calculated as of the last day of the most recently ended Testing Period for which financial statements are available as if such Indebtedness had been incurred on the last day of such Testing Period) and (iii) except with respect to Indebtedness in an aggregate amount not to exceed $90,000,000, as of the date of incurrence, such Indebtedness shall have a stated maturity date no sooner than 91 days after the later of (A) the Revolving Credit Extended Maturity Date and (B) the Maturity Date;</w:t>
      </w:r>
    </w:p>
    <w:p>
      <w:pPr>
        <w:spacing w:after="0" w:line="224" w:lineRule="exact"/>
        <w:rPr>
          <w:rFonts w:ascii="Arial" w:cs="Arial" w:eastAsia="Arial" w:hAnsi="Arial"/>
          <w:sz w:val="21"/>
          <w:szCs w:val="21"/>
          <w:color w:val="auto"/>
        </w:rPr>
      </w:pPr>
    </w:p>
    <w:p>
      <w:pPr>
        <w:jc w:val="both"/>
        <w:ind w:firstLine="1305"/>
        <w:spacing w:after="0" w:line="297" w:lineRule="auto"/>
        <w:tabs>
          <w:tab w:leader="none" w:pos="1764"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Subordinated Indebtedness of any Obligor (other than Subordinated Indebtedness consisting of Guarantees by any Specified Obligor of Indebtedness incurred pursuant to </w:t>
      </w:r>
      <w:r>
        <w:rPr>
          <w:rFonts w:ascii="Arial" w:cs="Arial" w:eastAsia="Arial" w:hAnsi="Arial"/>
          <w:sz w:val="19"/>
          <w:szCs w:val="19"/>
          <w:u w:val="single" w:color="auto"/>
          <w:color w:val="auto"/>
        </w:rPr>
        <w:t>Section 8.01(c)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8.01(j)</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8.01(k)</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later of (A) the Revolving Credit Extended Maturity Date and (B) the Maturity Date;</w:t>
      </w:r>
    </w:p>
    <w:p>
      <w:pPr>
        <w:spacing w:after="0" w:line="187" w:lineRule="exact"/>
        <w:rPr>
          <w:rFonts w:ascii="Arial" w:cs="Arial" w:eastAsia="Arial" w:hAnsi="Arial"/>
          <w:sz w:val="19"/>
          <w:szCs w:val="19"/>
          <w:color w:val="auto"/>
        </w:rPr>
      </w:pPr>
    </w:p>
    <w:p>
      <w:pPr>
        <w:jc w:val="both"/>
        <w:ind w:firstLine="1305"/>
        <w:spacing w:after="0" w:line="246" w:lineRule="auto"/>
        <w:tabs>
          <w:tab w:leader="none" w:pos="186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 xml:space="preserve">Indebtedness of WIL-Ireland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Arial" w:cs="Arial" w:eastAsia="Arial" w:hAnsi="Arial"/>
          <w:sz w:val="22"/>
          <w:szCs w:val="22"/>
          <w:u w:val="single" w:color="auto"/>
          <w:color w:val="auto"/>
        </w:rPr>
        <w:t>Section 8.01(m)</w:t>
      </w:r>
      <w:r>
        <w:rPr>
          <w:rFonts w:ascii="Arial" w:cs="Arial" w:eastAsia="Arial" w:hAnsi="Arial"/>
          <w:sz w:val="22"/>
          <w:szCs w:val="22"/>
          <w:color w:val="auto"/>
        </w:rPr>
        <w:t xml:space="preserve"> shall not at any time exceed $175,000,000;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8" w:name="page269"/>
    <w:bookmarkEnd w:id="268"/>
    <w:p>
      <w:pPr>
        <w:ind w:firstLine="1305"/>
        <w:spacing w:after="0" w:line="251" w:lineRule="auto"/>
        <w:tabs>
          <w:tab w:leader="none" w:pos="184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Indebtedness incurred to finance insurance premiums of any Restricted Subsidiary in the ordinary course of business in an aggregate principal amount not to exceed the amount of such insurance premiums;</w:t>
      </w:r>
    </w:p>
    <w:p>
      <w:pPr>
        <w:spacing w:after="0" w:line="2" w:lineRule="exact"/>
        <w:rPr>
          <w:rFonts w:ascii="Arial" w:cs="Arial" w:eastAsia="Arial" w:hAnsi="Arial"/>
          <w:sz w:val="22"/>
          <w:szCs w:val="22"/>
          <w:color w:val="auto"/>
        </w:rPr>
      </w:pPr>
    </w:p>
    <w:p>
      <w:pPr>
        <w:jc w:val="both"/>
        <w:ind w:firstLine="1305"/>
        <w:spacing w:after="0" w:line="244" w:lineRule="auto"/>
        <w:tabs>
          <w:tab w:leader="none" w:pos="2031"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indemnification, adjustment of purchase price, earnout or similar obligations (including any earnout obligations), in each case, incurred or assumed in connection with any acquisition or Disposition otherwise permitted hereunder of any business or assets of WIL-Ireland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235" w:lineRule="exact"/>
        <w:rPr>
          <w:rFonts w:ascii="Arial" w:cs="Arial" w:eastAsia="Arial" w:hAnsi="Arial"/>
          <w:sz w:val="22"/>
          <w:szCs w:val="22"/>
          <w:color w:val="auto"/>
        </w:rPr>
      </w:pPr>
    </w:p>
    <w:p>
      <w:pPr>
        <w:ind w:firstLine="1305"/>
        <w:spacing w:after="0" w:line="263" w:lineRule="auto"/>
        <w:tabs>
          <w:tab w:leader="none" w:pos="1822" w:val="left"/>
        </w:tabs>
        <w:numPr>
          <w:ilvl w:val="0"/>
          <w:numId w:val="318"/>
        </w:numPr>
        <w:rPr>
          <w:rFonts w:ascii="Arial" w:cs="Arial" w:eastAsia="Arial" w:hAnsi="Arial"/>
          <w:sz w:val="22"/>
          <w:szCs w:val="22"/>
          <w:color w:val="auto"/>
        </w:rPr>
      </w:pPr>
      <w:r>
        <w:rPr>
          <w:rFonts w:ascii="Arial" w:cs="Arial" w:eastAsia="Arial" w:hAnsi="Arial"/>
          <w:sz w:val="22"/>
          <w:szCs w:val="22"/>
          <w:color w:val="auto"/>
        </w:rPr>
        <w:t xml:space="preserve">other Indebtedness in an aggregate principal amount at any time outstanding pursuant to this </w:t>
      </w:r>
      <w:r>
        <w:rPr>
          <w:rFonts w:ascii="Arial" w:cs="Arial" w:eastAsia="Arial" w:hAnsi="Arial"/>
          <w:sz w:val="22"/>
          <w:szCs w:val="22"/>
          <w:u w:val="single" w:color="auto"/>
          <w:color w:val="auto"/>
        </w:rPr>
        <w:t>Section 8.01(p)</w:t>
      </w:r>
      <w:r>
        <w:rPr>
          <w:rFonts w:ascii="Arial" w:cs="Arial" w:eastAsia="Arial" w:hAnsi="Arial"/>
          <w:sz w:val="22"/>
          <w:szCs w:val="22"/>
          <w:color w:val="auto"/>
        </w:rPr>
        <w:t xml:space="preserve"> not in excess of $10,000,000;</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017" w:val="left"/>
        </w:tabs>
        <w:numPr>
          <w:ilvl w:val="0"/>
          <w:numId w:val="31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8.15</w:t>
      </w:r>
      <w:r>
        <w:rPr>
          <w:rFonts w:ascii="Arial" w:cs="Arial" w:eastAsia="Arial" w:hAnsi="Arial"/>
          <w:sz w:val="22"/>
          <w:szCs w:val="22"/>
          <w:color w:val="auto"/>
        </w:rPr>
        <w:t>, non-contingent reimbursement obligations of WIL-Ireland and its Restricted Subsidiaries in respect of letters of credit, bank guaranties, bankers’ acceptances, bid bonds, surety bonds, performance bonds, customs bonds, advance payment bonds and similar instruments; and</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1728" w:val="left"/>
        </w:tabs>
        <w:numPr>
          <w:ilvl w:val="0"/>
          <w:numId w:val="318"/>
        </w:numPr>
        <w:rPr>
          <w:rFonts w:ascii="Arial" w:cs="Arial" w:eastAsia="Arial" w:hAnsi="Arial"/>
          <w:sz w:val="22"/>
          <w:szCs w:val="22"/>
          <w:color w:val="auto"/>
        </w:rPr>
      </w:pPr>
      <w:r>
        <w:rPr>
          <w:rFonts w:ascii="Arial" w:cs="Arial" w:eastAsia="Arial" w:hAnsi="Arial"/>
          <w:sz w:val="22"/>
          <w:szCs w:val="22"/>
          <w:color w:val="auto"/>
        </w:rPr>
        <w:t>support, reimbursement, hold harmless, indemnity and similar letters or agreements provided by, or entered into solely between, WIL-Ireland and/or any of its Restricted Subsidiaries (whether before, simultaneous with, or after the Effective Date), but only to the extent any such letters or agreements both (i) relate to the guarantee of Obligations and/or pledge of assets by WIL-Ireland and/or any Restricted Subsidiary under a Loan Document and (ii) do not modify, limit or otherwise adversely affect any obligation of any Guarantor or pledgor of assets to a Lender or the Administrative Agent (or any rights a Lender or the Administrative Agent has under the Loan Documents).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this Section 8.01, any payment by WIL-Ireland or any Restricted Subsidiary of any interest on any Indebtedness in kind (by adding the amount of such interest to the principal amount of such Indebtedness) shall be deemed to be an incurrence of Indebtedness.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Fundamental Changes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9" w:lineRule="auto"/>
        <w:tabs>
          <w:tab w:leader="none" w:pos="1939" w:val="left"/>
        </w:tabs>
        <w:numPr>
          <w:ilvl w:val="0"/>
          <w:numId w:val="319"/>
        </w:numPr>
        <w:rPr>
          <w:rFonts w:ascii="Arial" w:cs="Arial" w:eastAsia="Arial" w:hAnsi="Arial"/>
          <w:sz w:val="21"/>
          <w:szCs w:val="21"/>
          <w:color w:val="auto"/>
        </w:rPr>
      </w:pPr>
      <w:r>
        <w:rPr>
          <w:rFonts w:ascii="Arial" w:cs="Arial" w:eastAsia="Arial" w:hAnsi="Arial"/>
          <w:sz w:val="21"/>
          <w:szCs w:val="21"/>
          <w:color w:val="auto"/>
        </w:rPr>
        <w:t xml:space="preserve">WIL-Ireland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any Specified Group Member or any Other Subsidiaries Group Member or (ii) any non-Affiliate to facilitate any acquisition or Disposition otherwise permitted by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each of clauses (i) and (ii), each of the following conditions must be met: (A) if such merger, consolidation or amalgamation involves the Borrower, the Borrower shall be the surviving or continuing Person; (B) other than in the case of facilitating a Disposition otherwise permitted by the Loan Documents, if such merger, consolidation or amalgamation involves an Obligor (other than the Borrower),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69" w:name="page270"/>
    <w:bookmarkEnd w:id="269"/>
    <w:p>
      <w:pPr>
        <w:jc w:val="both"/>
        <w:spacing w:after="0" w:line="289" w:lineRule="auto"/>
        <w:rPr>
          <w:sz w:val="20"/>
          <w:szCs w:val="20"/>
          <w:color w:val="auto"/>
        </w:rPr>
      </w:pPr>
      <w:r>
        <w:rPr>
          <w:rFonts w:ascii="Arial" w:cs="Arial" w:eastAsia="Arial" w:hAnsi="Arial"/>
          <w:sz w:val="19"/>
          <w:szCs w:val="19"/>
          <w:color w:val="auto"/>
        </w:rPr>
        <w:t xml:space="preserve">an Obligor shall be the surviving or continuing Person and (C) if such merger, consolidation or amalgamation involves a Specified Obligor, either (1) a Specified Obligor shall be the surviving or continuing Person or (2) after giving pro forma effect to such merger, consolidation or amalgamation and treating the surviving or continuing Person as a member of the Specified Group (disregarding the definition thereof for this purpose), WIL-Ireland would be in compliance with the Financial Covenants (calculated as of the last day of the most recently ended Testing Period for which financial statements are available as if such merger, consolidation or amalgamation had been consummated on the first day of such Testing Period);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and, in the case of a Person that is an Unrestricted Subsidiary immediately prior to such merger, consolidation or amalgamation, </w:t>
      </w:r>
      <w:r>
        <w:rPr>
          <w:rFonts w:ascii="Arial" w:cs="Arial" w:eastAsia="Arial" w:hAnsi="Arial"/>
          <w:sz w:val="19"/>
          <w:szCs w:val="19"/>
          <w:u w:val="single" w:color="auto"/>
          <w:color w:val="auto"/>
        </w:rPr>
        <w:t>Section 7.09</w:t>
      </w:r>
      <w:r>
        <w:rPr>
          <w:rFonts w:ascii="Arial" w:cs="Arial" w:eastAsia="Arial" w:hAnsi="Arial"/>
          <w:sz w:val="19"/>
          <w:szCs w:val="19"/>
          <w:color w:val="auto"/>
        </w:rPr>
        <w:t>.</w:t>
      </w:r>
    </w:p>
    <w:p>
      <w:pPr>
        <w:spacing w:after="0" w:line="198" w:lineRule="exact"/>
        <w:rPr>
          <w:sz w:val="20"/>
          <w:szCs w:val="20"/>
          <w:color w:val="auto"/>
        </w:rPr>
      </w:pPr>
    </w:p>
    <w:p>
      <w:pPr>
        <w:jc w:val="both"/>
        <w:ind w:firstLine="1305"/>
        <w:spacing w:after="0" w:line="286" w:lineRule="auto"/>
        <w:tabs>
          <w:tab w:leader="none" w:pos="181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shall not prohibit any Redomestication;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the case of a Redomestication of WIL-Ireland of the type described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the Affiliate Guaranty and each Collateral Document to which WIL-Ireland is a party (or such similar Collateral Documents as are necessary in the reasonable discretion of the Administrative Agent for such Surviving Person to comply with </w:t>
      </w:r>
      <w:r>
        <w:rPr>
          <w:rFonts w:ascii="Arial" w:cs="Arial" w:eastAsia="Arial" w:hAnsi="Arial"/>
          <w:sz w:val="19"/>
          <w:szCs w:val="19"/>
          <w:u w:val="single" w:color="auto"/>
          <w:color w:val="auto"/>
        </w:rPr>
        <w:t>Section 7.08(d)</w:t>
      </w:r>
      <w:r>
        <w:rPr>
          <w:rFonts w:ascii="Arial" w:cs="Arial" w:eastAsia="Arial" w:hAnsi="Arial"/>
          <w:sz w:val="19"/>
          <w:szCs w:val="19"/>
          <w:color w:val="auto"/>
        </w:rPr>
        <w:t xml:space="preserve">) and assume all rights and obligations of WIL-Ireland hereunder and thereunder and (B) deliver to the Administrative Agent one or more opinions of counsel in form, scope and substance reasonably satisfactory to the Administrative Agent, and (ii) in the case of a Redomestication of WIL-Ireland of the type described in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thereof in which the Person formed pursuant to such Redomestication is a different legal entity than WIL-Ireland, the Person formed pursuant to such Redomestication shall (A) execute and deliver to the Administrative Agent an instrument, in form and substance reasonably satisfactory to the Administrative Agent, whereby such Person shall become a party to this Agreement, the Affiliate Guaranty and the Collateral Documents to which WIL-Ireland is a party (or such similar Collateral Documents as are necessary in the reasonable discretion of the Administrative Agent for such Surviving Person to comply with </w:t>
      </w:r>
      <w:r>
        <w:rPr>
          <w:rFonts w:ascii="Arial" w:cs="Arial" w:eastAsia="Arial" w:hAnsi="Arial"/>
          <w:sz w:val="19"/>
          <w:szCs w:val="19"/>
          <w:u w:val="single" w:color="auto"/>
          <w:color w:val="auto"/>
        </w:rPr>
        <w:t>Section 7.08(d)</w:t>
      </w:r>
      <w:r>
        <w:rPr>
          <w:rFonts w:ascii="Arial" w:cs="Arial" w:eastAsia="Arial" w:hAnsi="Arial"/>
          <w:sz w:val="19"/>
          <w:szCs w:val="19"/>
          <w:color w:val="auto"/>
        </w:rPr>
        <w:t>) and assume all rights and obligations of such Obligor hereunder and thereunder and (B) deliver to the Administrative Agent one or more opinions of counsel in form, scope and substance reasonably satisfactory to the Administrative Agent.</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firstLine="1305"/>
        <w:spacing w:after="0" w:line="258" w:lineRule="auto"/>
        <w:tabs>
          <w:tab w:leader="none" w:pos="1899" w:val="left"/>
        </w:tabs>
        <w:numPr>
          <w:ilvl w:val="0"/>
          <w:numId w:val="320"/>
        </w:numPr>
        <w:rPr>
          <w:rFonts w:ascii="Arial" w:cs="Arial" w:eastAsia="Arial" w:hAnsi="Arial"/>
          <w:sz w:val="21"/>
          <w:szCs w:val="21"/>
          <w:color w:val="auto"/>
        </w:rPr>
      </w:pPr>
      <w:r>
        <w:rPr>
          <w:rFonts w:ascii="Arial" w:cs="Arial" w:eastAsia="Arial" w:hAnsi="Arial"/>
          <w:sz w:val="21"/>
          <w:szCs w:val="21"/>
          <w:color w:val="auto"/>
        </w:rPr>
        <w:t xml:space="preserve">WIL-Ireland shall not, and shall not permit any Restricted Subsidiary to, wind up, liquidate or dissolve;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thereof and immediately after giving effect thereto no Default or Event of Default shall have occurred and be continuing, (i) any Restricted Subsidiary that is not an Obligor may wind up, liquidate or dissolve if WIL-Ireland determines in good faith that such winding up, liquidation or dissolution is in the best interests of WIL-Ireland and its other Restricted Subsidiaries and is not materially disadvantageous to the Lenders and (ii) any Specified Obligor may wind up, liquidate or dissolve if (A) the owner of all of the Capital Stock of such Specified Obligor immediately prior to such event shall be a Wholly-Owned Subsidiary of WIL-Ireland (other than the Borrower or WIL-Delaware, unless the Subsidiaries directly owned by the Borrower or WIL-Delaware winding up, liquidating or dissolving in the aggregate since the Effective Date do not have assets representing more than 2.5% of the Total Specified Asset Value as of the last day of any Fiscal Quarter ended for which financial statements have been delivered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0" w:name="page271"/>
    <w:bookmarkEnd w:id="270"/>
    <w:p>
      <w:pPr>
        <w:jc w:val="both"/>
        <w:spacing w:after="0" w:line="246"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7.01(b)</w:t>
      </w:r>
      <w:r>
        <w:rPr>
          <w:rFonts w:ascii="Arial" w:cs="Arial" w:eastAsia="Arial" w:hAnsi="Arial"/>
          <w:sz w:val="22"/>
          <w:szCs w:val="22"/>
          <w:color w:val="auto"/>
        </w:rPr>
        <w:t xml:space="preserve"> or generate more than 2.5% of Consolidated Adjusted EBITDA of the Specified Group for the four consecutive Fiscal Quarter period ending on such date)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Arial" w:cs="Arial" w:eastAsia="Arial" w:hAnsi="Arial"/>
          <w:sz w:val="22"/>
          <w:szCs w:val="22"/>
          <w:u w:val="single" w:color="auto"/>
          <w:color w:val="auto"/>
        </w:rPr>
        <w:t>Section 7.08(d)</w:t>
      </w:r>
      <w:r>
        <w:rPr>
          <w:rFonts w:ascii="Arial" w:cs="Arial" w:eastAsia="Arial" w:hAnsi="Arial"/>
          <w:sz w:val="22"/>
          <w:szCs w:val="22"/>
          <w:color w:val="auto"/>
        </w:rPr>
        <w:t>) and (4) such other documentation as the Administrative Agent may reasonably request.</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Material Change in Business</w:t>
      </w:r>
      <w:r>
        <w:rPr>
          <w:rFonts w:ascii="Arial" w:cs="Arial" w:eastAsia="Arial" w:hAnsi="Arial"/>
          <w:sz w:val="22"/>
          <w:szCs w:val="22"/>
          <w:color w:val="auto"/>
        </w:rPr>
        <w:t>. WIL-Ireland and its Restricted Subsidiaries (taken as a whole) shall not engage in any material business substantially different from those businesses of WIL-Ireland and its Subsidiaries described in the Form 10-K of WIL-Ireland for the Fiscal Year ended December 31, 2015, as filed with the SEC, and any businesses reasonably related, ancillary or complementary thereto.</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Liens</w:t>
      </w:r>
      <w:r>
        <w:rPr>
          <w:rFonts w:ascii="Arial" w:cs="Arial" w:eastAsia="Arial" w:hAnsi="Arial"/>
          <w:sz w:val="22"/>
          <w:szCs w:val="22"/>
          <w:color w:val="auto"/>
        </w:rPr>
        <w:t>. WIL-Ireland shall not, and shall not permit any Restricted Subsidiary to, create, incur, assume or permit to exist any Lien on any property or asset now owned or hereafter acquired by it, except:</w:t>
      </w:r>
    </w:p>
    <w:p>
      <w:pPr>
        <w:spacing w:after="0" w:line="2" w:lineRule="exact"/>
        <w:rPr>
          <w:sz w:val="20"/>
          <w:szCs w:val="20"/>
          <w:color w:val="auto"/>
        </w:rPr>
      </w:pPr>
    </w:p>
    <w:p>
      <w:pPr>
        <w:ind w:left="1760" w:hanging="455"/>
        <w:spacing w:after="0"/>
        <w:tabs>
          <w:tab w:leader="none" w:pos="176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Liens created pursuant to any Loan Document;</w:t>
      </w:r>
    </w:p>
    <w:p>
      <w:pPr>
        <w:spacing w:after="0" w:line="242" w:lineRule="exact"/>
        <w:rPr>
          <w:rFonts w:ascii="Arial" w:cs="Arial" w:eastAsia="Arial" w:hAnsi="Arial"/>
          <w:sz w:val="22"/>
          <w:szCs w:val="22"/>
          <w:color w:val="auto"/>
        </w:rPr>
      </w:pPr>
    </w:p>
    <w:p>
      <w:pPr>
        <w:ind w:left="1780" w:hanging="475"/>
        <w:spacing w:after="0"/>
        <w:tabs>
          <w:tab w:leader="none" w:pos="178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Liens arising under the Revolving Credit Loan Documents that secure the Revolving Credit Obligations;</w:t>
      </w:r>
    </w:p>
    <w:p>
      <w:pPr>
        <w:spacing w:after="0" w:line="271" w:lineRule="exact"/>
        <w:rPr>
          <w:rFonts w:ascii="Arial" w:cs="Arial" w:eastAsia="Arial" w:hAnsi="Arial"/>
          <w:sz w:val="21"/>
          <w:szCs w:val="21"/>
          <w:color w:val="auto"/>
        </w:rPr>
      </w:pPr>
    </w:p>
    <w:p>
      <w:pPr>
        <w:ind w:left="1760" w:hanging="455"/>
        <w:spacing w:after="0"/>
        <w:tabs>
          <w:tab w:leader="none" w:pos="176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1792" w:val="left"/>
        </w:tabs>
        <w:numPr>
          <w:ilvl w:val="0"/>
          <w:numId w:val="321"/>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WIL-Ireland or any Restricted Subsidiary existing on the date hereof and set forth in </w:t>
      </w:r>
      <w:r>
        <w:rPr>
          <w:rFonts w:ascii="Arial" w:cs="Arial" w:eastAsia="Arial" w:hAnsi="Arial"/>
          <w:sz w:val="22"/>
          <w:szCs w:val="22"/>
          <w:u w:val="single" w:color="auto"/>
          <w:color w:val="auto"/>
        </w:rPr>
        <w:t>Schedule 8.04</w:t>
      </w:r>
      <w:r>
        <w:rPr>
          <w:rFonts w:ascii="Arial" w:cs="Arial" w:eastAsia="Arial" w:hAnsi="Arial"/>
          <w:sz w:val="22"/>
          <w:szCs w:val="22"/>
          <w:color w:val="auto"/>
        </w:rPr>
        <w:t>, provided that (i) such Lien shall not apply to any other property or asset of WIL-Ireland or any Restricted Subsidiary and (ii) such Lien shall secure only those obligations that it secures on the date hereof and Permitted Refinancing Indebtedness in respect thereof;</w:t>
      </w:r>
    </w:p>
    <w:p>
      <w:pPr>
        <w:spacing w:after="0" w:line="228" w:lineRule="exact"/>
        <w:rPr>
          <w:rFonts w:ascii="Arial" w:cs="Arial" w:eastAsia="Arial" w:hAnsi="Arial"/>
          <w:sz w:val="22"/>
          <w:szCs w:val="22"/>
          <w:color w:val="auto"/>
        </w:rPr>
      </w:pPr>
    </w:p>
    <w:p>
      <w:pPr>
        <w:ind w:firstLine="1305"/>
        <w:spacing w:after="0" w:line="263" w:lineRule="auto"/>
        <w:tabs>
          <w:tab w:leader="none" w:pos="1857" w:val="left"/>
        </w:tabs>
        <w:numPr>
          <w:ilvl w:val="0"/>
          <w:numId w:val="321"/>
        </w:numPr>
        <w:rPr>
          <w:rFonts w:ascii="Arial" w:cs="Arial" w:eastAsia="Arial" w:hAnsi="Arial"/>
          <w:sz w:val="22"/>
          <w:szCs w:val="22"/>
          <w:color w:val="auto"/>
        </w:rPr>
      </w:pPr>
      <w:r>
        <w:rPr>
          <w:rFonts w:ascii="Arial" w:cs="Arial" w:eastAsia="Arial" w:hAnsi="Arial"/>
          <w:sz w:val="22"/>
          <w:szCs w:val="22"/>
          <w:color w:val="auto"/>
        </w:rPr>
        <w:t>precautionary Liens on Receivables and Receivables Related Security arising in connection with Permitted Factoring Transactions; and</w:t>
      </w:r>
    </w:p>
    <w:p>
      <w:pPr>
        <w:spacing w:after="0" w:line="215" w:lineRule="exact"/>
        <w:rPr>
          <w:rFonts w:ascii="Arial" w:cs="Arial" w:eastAsia="Arial" w:hAnsi="Arial"/>
          <w:sz w:val="22"/>
          <w:szCs w:val="22"/>
          <w:color w:val="auto"/>
        </w:rPr>
      </w:pPr>
    </w:p>
    <w:p>
      <w:pPr>
        <w:ind w:firstLine="1305"/>
        <w:spacing w:after="0" w:line="263" w:lineRule="auto"/>
        <w:tabs>
          <w:tab w:leader="none" w:pos="1752" w:val="left"/>
        </w:tabs>
        <w:numPr>
          <w:ilvl w:val="0"/>
          <w:numId w:val="321"/>
        </w:numPr>
        <w:rPr>
          <w:rFonts w:ascii="Arial" w:cs="Arial" w:eastAsia="Arial" w:hAnsi="Arial"/>
          <w:sz w:val="22"/>
          <w:szCs w:val="22"/>
          <w:color w:val="auto"/>
        </w:rPr>
      </w:pPr>
      <w:r>
        <w:rPr>
          <w:rFonts w:ascii="Arial" w:cs="Arial" w:eastAsia="Arial" w:hAnsi="Arial"/>
          <w:sz w:val="22"/>
          <w:szCs w:val="22"/>
          <w:color w:val="auto"/>
        </w:rPr>
        <w:t>Liens on assets so long as the aggregate principal amount of the Indebtedness and other obligations secured by such Liens does not at any time exceed $50,000,000.</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Asset Dispositions</w:t>
      </w:r>
      <w:r>
        <w:rPr>
          <w:rFonts w:ascii="Arial" w:cs="Arial" w:eastAsia="Arial" w:hAnsi="Arial"/>
          <w:sz w:val="22"/>
          <w:szCs w:val="22"/>
          <w:color w:val="auto"/>
        </w:rPr>
        <w:t>. WIL-Ireland shall not, and shall not permit any Restricted Subsidiary to, Dispose of any assets to any Person, except that:</w:t>
      </w:r>
    </w:p>
    <w:p>
      <w:pPr>
        <w:spacing w:after="0" w:line="215" w:lineRule="exact"/>
        <w:rPr>
          <w:sz w:val="20"/>
          <w:szCs w:val="20"/>
          <w:color w:val="auto"/>
        </w:rPr>
      </w:pPr>
    </w:p>
    <w:p>
      <w:pPr>
        <w:ind w:firstLine="1305"/>
        <w:spacing w:after="0" w:line="263" w:lineRule="auto"/>
        <w:tabs>
          <w:tab w:leader="none" w:pos="1827" w:val="left"/>
        </w:tabs>
        <w:numPr>
          <w:ilvl w:val="0"/>
          <w:numId w:val="322"/>
        </w:numPr>
        <w:rPr>
          <w:rFonts w:ascii="Arial" w:cs="Arial" w:eastAsia="Arial" w:hAnsi="Arial"/>
          <w:sz w:val="22"/>
          <w:szCs w:val="22"/>
          <w:color w:val="auto"/>
        </w:rPr>
      </w:pPr>
      <w:r>
        <w:rPr>
          <w:rFonts w:ascii="Arial" w:cs="Arial" w:eastAsia="Arial" w:hAnsi="Arial"/>
          <w:sz w:val="22"/>
          <w:szCs w:val="22"/>
          <w:color w:val="auto"/>
        </w:rPr>
        <w:t>any Obligor or any Specified Group Member may Dispose of assets to any Obligor or any Specified Group Member that is a Wholly-Owned Subsidiary;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1" w:name="page272"/>
    <w:bookmarkEnd w:id="271"/>
    <w:p>
      <w:pPr>
        <w:ind w:firstLine="1305"/>
        <w:spacing w:after="0" w:line="263" w:lineRule="auto"/>
        <w:tabs>
          <w:tab w:leader="none" w:pos="1783" w:val="left"/>
        </w:tabs>
        <w:numPr>
          <w:ilvl w:val="0"/>
          <w:numId w:val="323"/>
        </w:numPr>
        <w:rPr>
          <w:rFonts w:ascii="Arial" w:cs="Arial" w:eastAsia="Arial" w:hAnsi="Arial"/>
          <w:sz w:val="22"/>
          <w:szCs w:val="22"/>
          <w:color w:val="auto"/>
        </w:rPr>
      </w:pPr>
      <w:r>
        <w:rPr>
          <w:rFonts w:ascii="Arial" w:cs="Arial" w:eastAsia="Arial" w:hAnsi="Arial"/>
          <w:sz w:val="22"/>
          <w:szCs w:val="22"/>
          <w:color w:val="auto"/>
        </w:rPr>
        <w:t>any Other Subsidiaries Group Member may Dispose of assets to any Obligor, any Specified Group Member or any other Other Subsidiaries Group Member;</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1782" w:val="left"/>
        </w:tabs>
        <w:numPr>
          <w:ilvl w:val="0"/>
          <w:numId w:val="323"/>
        </w:numPr>
        <w:rPr>
          <w:rFonts w:ascii="Arial" w:cs="Arial" w:eastAsia="Arial" w:hAnsi="Arial"/>
          <w:sz w:val="22"/>
          <w:szCs w:val="22"/>
          <w:color w:val="auto"/>
        </w:rPr>
      </w:pPr>
      <w:r>
        <w:rPr>
          <w:rFonts w:ascii="Arial" w:cs="Arial" w:eastAsia="Arial" w:hAnsi="Arial"/>
          <w:sz w:val="22"/>
          <w:szCs w:val="22"/>
          <w:color w:val="auto"/>
        </w:rPr>
        <w:t xml:space="preserve">any Obligor or any Specified Group Member may Dispose of assets to any Other Subsidiaries Group Member or any Specified Group Member that is not a Wholly-Owned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value of all assets Disposed of in reliance on this </w:t>
      </w:r>
      <w:r>
        <w:rPr>
          <w:rFonts w:ascii="Arial" w:cs="Arial" w:eastAsia="Arial" w:hAnsi="Arial"/>
          <w:sz w:val="22"/>
          <w:szCs w:val="22"/>
          <w:u w:val="single" w:color="auto"/>
          <w:color w:val="auto"/>
        </w:rPr>
        <w:t>Section 8.05(c)</w:t>
      </w:r>
      <w:r>
        <w:rPr>
          <w:rFonts w:ascii="Arial" w:cs="Arial" w:eastAsia="Arial" w:hAnsi="Arial"/>
          <w:sz w:val="22"/>
          <w:szCs w:val="22"/>
          <w:color w:val="auto"/>
        </w:rPr>
        <w:t xml:space="preserve"> (net of the value of any such assets subsequently transferred to any Obligor or any Specified Group Member) since the Effective Date, together with the aggregate amount of all Investments made pursuant to </w:t>
      </w:r>
      <w:r>
        <w:rPr>
          <w:rFonts w:ascii="Arial" w:cs="Arial" w:eastAsia="Arial" w:hAnsi="Arial"/>
          <w:sz w:val="22"/>
          <w:szCs w:val="22"/>
          <w:u w:val="single" w:color="auto"/>
          <w:color w:val="auto"/>
        </w:rPr>
        <w:t>Section 8.06(f)</w:t>
      </w:r>
      <w:r>
        <w:rPr>
          <w:rFonts w:ascii="Arial" w:cs="Arial" w:eastAsia="Arial" w:hAnsi="Arial"/>
          <w:sz w:val="22"/>
          <w:szCs w:val="22"/>
          <w:color w:val="auto"/>
        </w:rPr>
        <w:t xml:space="preserve"> and then outstanding, shall not exceed $200,000,000;</w:t>
      </w:r>
    </w:p>
    <w:p>
      <w:pPr>
        <w:spacing w:after="0" w:line="232" w:lineRule="exact"/>
        <w:rPr>
          <w:rFonts w:ascii="Arial" w:cs="Arial" w:eastAsia="Arial" w:hAnsi="Arial"/>
          <w:sz w:val="22"/>
          <w:szCs w:val="22"/>
          <w:color w:val="auto"/>
        </w:rPr>
      </w:pPr>
    </w:p>
    <w:p>
      <w:pPr>
        <w:jc w:val="both"/>
        <w:ind w:firstLine="1305"/>
        <w:spacing w:after="0" w:line="246" w:lineRule="auto"/>
        <w:tabs>
          <w:tab w:leader="none" w:pos="1796" w:val="left"/>
        </w:tabs>
        <w:numPr>
          <w:ilvl w:val="0"/>
          <w:numId w:val="323"/>
        </w:numPr>
        <w:rPr>
          <w:rFonts w:ascii="Arial" w:cs="Arial" w:eastAsia="Arial" w:hAnsi="Arial"/>
          <w:sz w:val="22"/>
          <w:szCs w:val="22"/>
          <w:color w:val="auto"/>
        </w:rPr>
      </w:pPr>
      <w:r>
        <w:rPr>
          <w:rFonts w:ascii="Arial" w:cs="Arial" w:eastAsia="Arial" w:hAnsi="Arial"/>
          <w:sz w:val="22"/>
          <w:szCs w:val="22"/>
          <w:color w:val="auto"/>
        </w:rPr>
        <w:t>subject to compliance with the provisions of Sections 2.06(c) and 2.08(e) of the Revolving Credit Agreement, if applicable, WIL-Ireland and its Restricted Subsidiaries may consummate the Land Rig Sale, so long as (i) at the time thereof and immediately after giving effect thereto, no Default or Event of Default shall have occurred and be continuing, (ii) at least 60% of the consideration received by WIL-Ireland and its Restricted Subsidiaries in respect of the Land Rig Sale shall be cash or Cash Equivalents and (iii) the consideration received in respect of the Land Rig Sale shall be equal to or greater than the fair market value of the assets subject to the Land Rig Sale (as reasonably determined by a Principal Financial Officer of WIL-Ireland, and if requested by the Administrative Agent, WIL-Ireland shall deliver a certificate of a Principal Financial Officer of WIL-Ireland certifying as to the foregoing);</w:t>
      </w:r>
    </w:p>
    <w:p>
      <w:pPr>
        <w:spacing w:after="0" w:line="235" w:lineRule="exact"/>
        <w:rPr>
          <w:rFonts w:ascii="Arial" w:cs="Arial" w:eastAsia="Arial" w:hAnsi="Arial"/>
          <w:sz w:val="22"/>
          <w:szCs w:val="22"/>
          <w:color w:val="auto"/>
        </w:rPr>
      </w:pPr>
    </w:p>
    <w:p>
      <w:pPr>
        <w:ind w:right="20" w:firstLine="1305"/>
        <w:spacing w:after="0" w:line="263" w:lineRule="auto"/>
        <w:tabs>
          <w:tab w:leader="none" w:pos="1788" w:val="left"/>
        </w:tabs>
        <w:numPr>
          <w:ilvl w:val="0"/>
          <w:numId w:val="323"/>
        </w:numPr>
        <w:rPr>
          <w:rFonts w:ascii="Arial" w:cs="Arial" w:eastAsia="Arial" w:hAnsi="Arial"/>
          <w:sz w:val="22"/>
          <w:szCs w:val="22"/>
          <w:color w:val="auto"/>
        </w:rPr>
      </w:pPr>
      <w:r>
        <w:rPr>
          <w:rFonts w:ascii="Arial" w:cs="Arial" w:eastAsia="Arial" w:hAnsi="Arial"/>
          <w:sz w:val="22"/>
          <w:szCs w:val="22"/>
          <w:color w:val="auto"/>
        </w:rPr>
        <w:t>WIL-Ireland and its Restricted Subsidiaries may Dispose of inventory or obsolete or worn-out property in the ordinary course of business;</w:t>
      </w:r>
    </w:p>
    <w:p>
      <w:pPr>
        <w:spacing w:after="0" w:line="215" w:lineRule="exact"/>
        <w:rPr>
          <w:rFonts w:ascii="Arial" w:cs="Arial" w:eastAsia="Arial" w:hAnsi="Arial"/>
          <w:sz w:val="22"/>
          <w:szCs w:val="22"/>
          <w:color w:val="auto"/>
        </w:rPr>
      </w:pPr>
    </w:p>
    <w:p>
      <w:pPr>
        <w:ind w:firstLine="1305"/>
        <w:spacing w:after="0" w:line="263" w:lineRule="auto"/>
        <w:tabs>
          <w:tab w:leader="none" w:pos="1794" w:val="left"/>
        </w:tabs>
        <w:numPr>
          <w:ilvl w:val="0"/>
          <w:numId w:val="323"/>
        </w:numPr>
        <w:rPr>
          <w:rFonts w:ascii="Arial" w:cs="Arial" w:eastAsia="Arial" w:hAnsi="Arial"/>
          <w:sz w:val="22"/>
          <w:szCs w:val="22"/>
          <w:color w:val="auto"/>
        </w:rPr>
      </w:pPr>
      <w:r>
        <w:rPr>
          <w:rFonts w:ascii="Arial" w:cs="Arial" w:eastAsia="Arial" w:hAnsi="Arial"/>
          <w:sz w:val="22"/>
          <w:szCs w:val="22"/>
          <w:color w:val="auto"/>
        </w:rPr>
        <w:t xml:space="preserve">WIL-Ireland and its Restricted Subsidiaries may make Investments permitted by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and Restricted Payments permitted by </w:t>
      </w:r>
      <w:r>
        <w:rPr>
          <w:rFonts w:ascii="Arial" w:cs="Arial" w:eastAsia="Arial" w:hAnsi="Arial"/>
          <w:sz w:val="22"/>
          <w:szCs w:val="22"/>
          <w:u w:val="single" w:color="auto"/>
          <w:color w:val="auto"/>
        </w:rPr>
        <w:t>Section 8.08</w:t>
      </w:r>
      <w:r>
        <w:rPr>
          <w:rFonts w:ascii="Arial" w:cs="Arial" w:eastAsia="Arial" w:hAnsi="Arial"/>
          <w:sz w:val="22"/>
          <w:szCs w:val="22"/>
          <w:color w:val="auto"/>
        </w:rPr>
        <w:t>, in each case to the extent constituting Dispositions;</w:t>
      </w:r>
    </w:p>
    <w:p>
      <w:pPr>
        <w:spacing w:after="0" w:line="215" w:lineRule="exact"/>
        <w:rPr>
          <w:rFonts w:ascii="Arial" w:cs="Arial" w:eastAsia="Arial" w:hAnsi="Arial"/>
          <w:sz w:val="22"/>
          <w:szCs w:val="22"/>
          <w:color w:val="auto"/>
        </w:rPr>
      </w:pPr>
    </w:p>
    <w:p>
      <w:pPr>
        <w:ind w:firstLine="1305"/>
        <w:spacing w:after="0" w:line="263" w:lineRule="auto"/>
        <w:tabs>
          <w:tab w:leader="none" w:pos="180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any Disposition of Receivables and Receivables Related Security in connection with any Permitted Factoring Transaction shall be permitted;</w:t>
      </w:r>
    </w:p>
    <w:p>
      <w:pPr>
        <w:spacing w:after="0" w:line="215" w:lineRule="exact"/>
        <w:rPr>
          <w:rFonts w:ascii="Arial" w:cs="Arial" w:eastAsia="Arial" w:hAnsi="Arial"/>
          <w:sz w:val="22"/>
          <w:szCs w:val="22"/>
          <w:color w:val="auto"/>
        </w:rPr>
      </w:pPr>
    </w:p>
    <w:p>
      <w:pPr>
        <w:ind w:firstLine="1305"/>
        <w:spacing w:after="0" w:line="263" w:lineRule="auto"/>
        <w:tabs>
          <w:tab w:leader="none" w:pos="181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any Disposition of assets resulting from a casualty event or condemnation proceeding, expropriation or other involuntary taking by a Governmental Authority shall be permitted;</w:t>
      </w:r>
    </w:p>
    <w:p>
      <w:pPr>
        <w:spacing w:after="0" w:line="215" w:lineRule="exact"/>
        <w:rPr>
          <w:rFonts w:ascii="Arial" w:cs="Arial" w:eastAsia="Arial" w:hAnsi="Arial"/>
          <w:sz w:val="22"/>
          <w:szCs w:val="22"/>
          <w:color w:val="auto"/>
        </w:rPr>
      </w:pPr>
    </w:p>
    <w:p>
      <w:pPr>
        <w:ind w:right="20" w:firstLine="1305"/>
        <w:spacing w:after="0" w:line="263" w:lineRule="auto"/>
        <w:tabs>
          <w:tab w:leader="none" w:pos="1726" w:val="left"/>
        </w:tabs>
        <w:numPr>
          <w:ilvl w:val="0"/>
          <w:numId w:val="323"/>
        </w:numPr>
        <w:rPr>
          <w:rFonts w:ascii="Arial" w:cs="Arial" w:eastAsia="Arial" w:hAnsi="Arial"/>
          <w:sz w:val="22"/>
          <w:szCs w:val="22"/>
          <w:color w:val="auto"/>
        </w:rPr>
      </w:pPr>
      <w:r>
        <w:rPr>
          <w:rFonts w:ascii="Arial" w:cs="Arial" w:eastAsia="Arial" w:hAnsi="Arial"/>
          <w:sz w:val="22"/>
          <w:szCs w:val="22"/>
          <w:color w:val="auto"/>
        </w:rPr>
        <w:t>WIL-Ireland and its Restricted Subsidiaries may grant in the ordinary course of business any license of patents, trademarks, registrations therefor and other similar intellectual property;</w:t>
      </w:r>
    </w:p>
    <w:p>
      <w:pPr>
        <w:spacing w:after="0" w:line="215" w:lineRule="exact"/>
        <w:rPr>
          <w:rFonts w:ascii="Arial" w:cs="Arial" w:eastAsia="Arial" w:hAnsi="Arial"/>
          <w:sz w:val="22"/>
          <w:szCs w:val="22"/>
          <w:color w:val="auto"/>
        </w:rPr>
      </w:pPr>
    </w:p>
    <w:p>
      <w:pPr>
        <w:jc w:val="both"/>
        <w:ind w:firstLine="1305"/>
        <w:spacing w:after="0" w:line="294" w:lineRule="auto"/>
        <w:tabs>
          <w:tab w:leader="none" w:pos="183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subject to compliance with Sections 2.06(c) and 2.08(e) of the Revolving Credit Agreement, if applicable, WIL-Ireland and its Restricted Subsidiaries may Dispose of assets so long as (i) at the time thereof and immediately after giving effect thereto,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Principal Financial Officer of WIL-Ireland, and if requested by the Administrative Agent, WIL-Ireland shall deliver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2" w:name="page273"/>
    <w:bookmarkEnd w:id="272"/>
    <w:p>
      <w:pPr>
        <w:jc w:val="both"/>
        <w:spacing w:after="0" w:line="250" w:lineRule="auto"/>
        <w:rPr>
          <w:sz w:val="20"/>
          <w:szCs w:val="20"/>
          <w:color w:val="auto"/>
        </w:rPr>
      </w:pPr>
      <w:r>
        <w:rPr>
          <w:rFonts w:ascii="Arial" w:cs="Arial" w:eastAsia="Arial" w:hAnsi="Arial"/>
          <w:sz w:val="22"/>
          <w:szCs w:val="22"/>
          <w:color w:val="auto"/>
        </w:rPr>
        <w:t>a certificate of a Principal Financial Officer of WIL-Ireland certifying as to the foregoing) and (iv) after giving pro forma effect to such Disposition, WIL-Ireland would be in compliance with the Financial Covenants (calculated as of the last day of the most recently ended Testing Period for which financial statements are available as if such Disposition had been made on the first day of such Testing Period);</w:t>
      </w:r>
    </w:p>
    <w:p>
      <w:pPr>
        <w:spacing w:after="0" w:line="229" w:lineRule="exact"/>
        <w:rPr>
          <w:sz w:val="20"/>
          <w:szCs w:val="20"/>
          <w:color w:val="auto"/>
        </w:rPr>
      </w:pPr>
    </w:p>
    <w:p>
      <w:pPr>
        <w:ind w:firstLine="1305"/>
        <w:spacing w:after="0" w:line="263" w:lineRule="auto"/>
        <w:tabs>
          <w:tab w:leader="none" w:pos="1813" w:val="left"/>
        </w:tabs>
        <w:numPr>
          <w:ilvl w:val="0"/>
          <w:numId w:val="324"/>
        </w:numPr>
        <w:rPr>
          <w:rFonts w:ascii="Arial" w:cs="Arial" w:eastAsia="Arial" w:hAnsi="Arial"/>
          <w:sz w:val="22"/>
          <w:szCs w:val="22"/>
          <w:color w:val="auto"/>
        </w:rPr>
      </w:pPr>
      <w:r>
        <w:rPr>
          <w:rFonts w:ascii="Arial" w:cs="Arial" w:eastAsia="Arial" w:hAnsi="Arial"/>
          <w:sz w:val="22"/>
          <w:szCs w:val="22"/>
          <w:color w:val="auto"/>
        </w:rPr>
        <w:t>Dispositions of surplus property in the ordinary course of business having an aggregate fair market value not greater than $25,000,000 in any Fiscal Year shall be permitted;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854" w:val="left"/>
        </w:tabs>
        <w:numPr>
          <w:ilvl w:val="0"/>
          <w:numId w:val="324"/>
        </w:numPr>
        <w:rPr>
          <w:rFonts w:ascii="Arial" w:cs="Arial" w:eastAsia="Arial" w:hAnsi="Arial"/>
          <w:sz w:val="22"/>
          <w:szCs w:val="22"/>
          <w:color w:val="auto"/>
        </w:rPr>
      </w:pPr>
      <w:r>
        <w:rPr>
          <w:rFonts w:ascii="Arial" w:cs="Arial" w:eastAsia="Arial" w:hAnsi="Arial"/>
          <w:sz w:val="22"/>
          <w:szCs w:val="22"/>
          <w:color w:val="auto"/>
        </w:rPr>
        <w:t>Dispositions of equipment in the ordinary course of business the proceeds of which are reinvested in the acquisition of other equipment of comparable value and useful in the business of WIL-Ireland and its Restricted Subsidiaries within 180 days of such Disposition shall be permitted; and</w:t>
      </w:r>
    </w:p>
    <w:p>
      <w:pPr>
        <w:spacing w:after="0" w:line="226" w:lineRule="exact"/>
        <w:rPr>
          <w:rFonts w:ascii="Arial" w:cs="Arial" w:eastAsia="Arial" w:hAnsi="Arial"/>
          <w:sz w:val="22"/>
          <w:szCs w:val="22"/>
          <w:color w:val="auto"/>
        </w:rPr>
      </w:pPr>
    </w:p>
    <w:p>
      <w:pPr>
        <w:ind w:left="1840" w:hanging="535"/>
        <w:spacing w:after="0"/>
        <w:tabs>
          <w:tab w:leader="none" w:pos="184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leases of real or personal property in the ordinary course of business shall be permitted.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Investments</w:t>
      </w:r>
      <w:r>
        <w:rPr>
          <w:rFonts w:ascii="Arial" w:cs="Arial" w:eastAsia="Arial" w:hAnsi="Arial"/>
          <w:sz w:val="21"/>
          <w:szCs w:val="21"/>
          <w:color w:val="auto"/>
        </w:rPr>
        <w:t>. WIL-Ireland shall not, and shall not permit any Restricted Subsidiary to, make any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Investments in any Person, except:</w:t>
      </w:r>
    </w:p>
    <w:p>
      <w:pPr>
        <w:spacing w:after="0" w:line="4" w:lineRule="exact"/>
        <w:rPr>
          <w:sz w:val="20"/>
          <w:szCs w:val="20"/>
          <w:color w:val="auto"/>
        </w:rPr>
      </w:pPr>
    </w:p>
    <w:p>
      <w:pPr>
        <w:ind w:left="1760" w:hanging="455"/>
        <w:spacing w:after="0"/>
        <w:tabs>
          <w:tab w:leader="none" w:pos="176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Cash Equivalents;</w:t>
      </w:r>
    </w:p>
    <w:p>
      <w:pPr>
        <w:spacing w:after="0" w:line="242" w:lineRule="exact"/>
        <w:rPr>
          <w:rFonts w:ascii="Arial" w:cs="Arial" w:eastAsia="Arial" w:hAnsi="Arial"/>
          <w:sz w:val="22"/>
          <w:szCs w:val="22"/>
          <w:color w:val="auto"/>
        </w:rPr>
      </w:pPr>
    </w:p>
    <w:p>
      <w:pPr>
        <w:ind w:left="1780" w:hanging="475"/>
        <w:spacing w:after="0"/>
        <w:tabs>
          <w:tab w:leader="none" w:pos="178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60" w:lineRule="exact"/>
        <w:rPr>
          <w:rFonts w:ascii="Arial" w:cs="Arial" w:eastAsia="Arial" w:hAnsi="Arial"/>
          <w:sz w:val="22"/>
          <w:szCs w:val="22"/>
          <w:color w:val="auto"/>
        </w:rPr>
      </w:pPr>
    </w:p>
    <w:p>
      <w:pPr>
        <w:jc w:val="both"/>
        <w:ind w:firstLine="1305"/>
        <w:spacing w:after="0" w:line="271" w:lineRule="auto"/>
        <w:tabs>
          <w:tab w:leader="none" w:pos="1770" w:val="left"/>
        </w:tabs>
        <w:numPr>
          <w:ilvl w:val="0"/>
          <w:numId w:val="325"/>
        </w:numPr>
        <w:rPr>
          <w:rFonts w:ascii="Arial" w:cs="Arial" w:eastAsia="Arial" w:hAnsi="Arial"/>
          <w:sz w:val="21"/>
          <w:szCs w:val="21"/>
          <w:color w:val="auto"/>
        </w:rPr>
      </w:pPr>
      <w:r>
        <w:rPr>
          <w:rFonts w:ascii="Arial" w:cs="Arial" w:eastAsia="Arial" w:hAnsi="Arial"/>
          <w:sz w:val="21"/>
          <w:szCs w:val="21"/>
          <w:color w:val="auto"/>
        </w:rPr>
        <w:t xml:space="preserve">(i) Investments in Subsidiaries in existence on the Effective Date and (ii) other Investments in existence on the Effective Date and described on </w:t>
      </w:r>
      <w:r>
        <w:rPr>
          <w:rFonts w:ascii="Arial" w:cs="Arial" w:eastAsia="Arial" w:hAnsi="Arial"/>
          <w:sz w:val="21"/>
          <w:szCs w:val="21"/>
          <w:u w:val="single" w:color="auto"/>
          <w:color w:val="auto"/>
        </w:rPr>
        <w:t>Schedule 8.06</w:t>
      </w:r>
      <w:r>
        <w:rPr>
          <w:rFonts w:ascii="Arial" w:cs="Arial" w:eastAsia="Arial" w:hAnsi="Arial"/>
          <w:sz w:val="21"/>
          <w:szCs w:val="21"/>
          <w:color w:val="auto"/>
        </w:rPr>
        <w:t xml:space="preserve"> and any renewal or extension of any such Investments that does not increase the amount of the Investment being renewed or extended as determined as of such date of renewal or extension;</w:t>
      </w:r>
    </w:p>
    <w:p>
      <w:pPr>
        <w:spacing w:after="0" w:line="208" w:lineRule="exact"/>
        <w:rPr>
          <w:rFonts w:ascii="Arial" w:cs="Arial" w:eastAsia="Arial" w:hAnsi="Arial"/>
          <w:sz w:val="21"/>
          <w:szCs w:val="21"/>
          <w:color w:val="auto"/>
        </w:rPr>
      </w:pPr>
    </w:p>
    <w:p>
      <w:pPr>
        <w:ind w:right="20" w:firstLine="1305"/>
        <w:spacing w:after="0" w:line="263" w:lineRule="auto"/>
        <w:tabs>
          <w:tab w:leader="none" w:pos="1802"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Investments by any Obligor or any Specified Group Member in any Obligor or any Specified Group Member that is a Wholly-Owned Subsidiary;</w:t>
      </w:r>
    </w:p>
    <w:p>
      <w:pPr>
        <w:spacing w:after="0" w:line="215" w:lineRule="exact"/>
        <w:rPr>
          <w:rFonts w:ascii="Arial" w:cs="Arial" w:eastAsia="Arial" w:hAnsi="Arial"/>
          <w:sz w:val="22"/>
          <w:szCs w:val="22"/>
          <w:color w:val="auto"/>
        </w:rPr>
      </w:pPr>
    </w:p>
    <w:p>
      <w:pPr>
        <w:ind w:firstLine="1305"/>
        <w:spacing w:after="0" w:line="263" w:lineRule="auto"/>
        <w:tabs>
          <w:tab w:leader="none" w:pos="1824" w:val="left"/>
        </w:tabs>
        <w:numPr>
          <w:ilvl w:val="0"/>
          <w:numId w:val="325"/>
        </w:numPr>
        <w:rPr>
          <w:rFonts w:ascii="Arial" w:cs="Arial" w:eastAsia="Arial" w:hAnsi="Arial"/>
          <w:sz w:val="22"/>
          <w:szCs w:val="22"/>
          <w:color w:val="auto"/>
        </w:rPr>
      </w:pPr>
      <w:r>
        <w:rPr>
          <w:rFonts w:ascii="Arial" w:cs="Arial" w:eastAsia="Arial" w:hAnsi="Arial"/>
          <w:sz w:val="22"/>
          <w:szCs w:val="22"/>
          <w:color w:val="auto"/>
        </w:rPr>
        <w:t>Investments by any Other Subsidiaries Group Member in any Obligor, any Specified Group Member or any other Other Subsidiaries Group Member;</w:t>
      </w:r>
    </w:p>
    <w:p>
      <w:pPr>
        <w:spacing w:after="0" w:line="215" w:lineRule="exact"/>
        <w:rPr>
          <w:rFonts w:ascii="Arial" w:cs="Arial" w:eastAsia="Arial" w:hAnsi="Arial"/>
          <w:sz w:val="22"/>
          <w:szCs w:val="22"/>
          <w:color w:val="auto"/>
        </w:rPr>
      </w:pPr>
    </w:p>
    <w:p>
      <w:pPr>
        <w:jc w:val="both"/>
        <w:ind w:firstLine="1305"/>
        <w:spacing w:after="0" w:line="258" w:lineRule="auto"/>
        <w:tabs>
          <w:tab w:leader="none" w:pos="1885" w:val="left"/>
        </w:tabs>
        <w:numPr>
          <w:ilvl w:val="0"/>
          <w:numId w:val="325"/>
        </w:numPr>
        <w:rPr>
          <w:rFonts w:ascii="Arial" w:cs="Arial" w:eastAsia="Arial" w:hAnsi="Arial"/>
          <w:sz w:val="21"/>
          <w:szCs w:val="21"/>
          <w:color w:val="auto"/>
        </w:rPr>
      </w:pPr>
      <w:r>
        <w:rPr>
          <w:rFonts w:ascii="Arial" w:cs="Arial" w:eastAsia="Arial" w:hAnsi="Arial"/>
          <w:sz w:val="21"/>
          <w:szCs w:val="21"/>
          <w:color w:val="auto"/>
        </w:rPr>
        <w:t xml:space="preserve">(i) Investments in Unrestricted Subsidiaries and (ii) Investments by any Obligor or any Specified Group Member in any Other Subsidiaries Group Member or any Specified Group Member that is not a Wholly-Owned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Default or Event of Default shall have occurred and be continuing at the time of and immediately after giving effect to any such Investment, (ii) 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(iii) the aggregate amount of all Investments made pursuant to this </w:t>
      </w:r>
      <w:r>
        <w:rPr>
          <w:rFonts w:ascii="Arial" w:cs="Arial" w:eastAsia="Arial" w:hAnsi="Arial"/>
          <w:sz w:val="21"/>
          <w:szCs w:val="21"/>
          <w:u w:val="single" w:color="auto"/>
          <w:color w:val="auto"/>
        </w:rPr>
        <w:t>Section 8.06(f)</w:t>
      </w:r>
      <w:r>
        <w:rPr>
          <w:rFonts w:ascii="Arial" w:cs="Arial" w:eastAsia="Arial" w:hAnsi="Arial"/>
          <w:sz w:val="21"/>
          <w:szCs w:val="21"/>
          <w:color w:val="auto"/>
        </w:rPr>
        <w:t xml:space="preserve"> and then outstanding, together with the aggregate value of all assets Disposed of in reliance on </w:t>
      </w:r>
      <w:r>
        <w:rPr>
          <w:rFonts w:ascii="Arial" w:cs="Arial" w:eastAsia="Arial" w:hAnsi="Arial"/>
          <w:sz w:val="21"/>
          <w:szCs w:val="21"/>
          <w:u w:val="single" w:color="auto"/>
          <w:color w:val="auto"/>
        </w:rPr>
        <w:t>Section 8.05(c)</w:t>
      </w:r>
      <w:r>
        <w:rPr>
          <w:rFonts w:ascii="Arial" w:cs="Arial" w:eastAsia="Arial" w:hAnsi="Arial"/>
          <w:sz w:val="21"/>
          <w:szCs w:val="21"/>
          <w:color w:val="auto"/>
        </w:rPr>
        <w:t xml:space="preserve"> (net of the value of any such assets subsequently transferred to any Obligor or any Specified Group Member) since the Effective Date, shall not exceed $250,000,000;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3" w:name="page274"/>
    <w:bookmarkEnd w:id="273"/>
    <w:p>
      <w:pPr>
        <w:jc w:val="both"/>
        <w:ind w:firstLine="1305"/>
        <w:spacing w:after="0" w:line="271" w:lineRule="auto"/>
        <w:tabs>
          <w:tab w:leader="none" w:pos="1776" w:val="left"/>
        </w:tabs>
        <w:numPr>
          <w:ilvl w:val="1"/>
          <w:numId w:val="326"/>
        </w:numPr>
        <w:rPr>
          <w:rFonts w:ascii="Arial" w:cs="Arial" w:eastAsia="Arial" w:hAnsi="Arial"/>
          <w:sz w:val="21"/>
          <w:szCs w:val="21"/>
          <w:color w:val="auto"/>
        </w:rPr>
      </w:pPr>
      <w:r>
        <w:rPr>
          <w:rFonts w:ascii="Arial" w:cs="Arial" w:eastAsia="Arial" w:hAnsi="Arial"/>
          <w:sz w:val="21"/>
          <w:szCs w:val="21"/>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208" w:lineRule="exact"/>
        <w:rPr>
          <w:rFonts w:ascii="Arial" w:cs="Arial" w:eastAsia="Arial" w:hAnsi="Arial"/>
          <w:sz w:val="21"/>
          <w:szCs w:val="21"/>
          <w:color w:val="auto"/>
        </w:rPr>
      </w:pPr>
    </w:p>
    <w:p>
      <w:pPr>
        <w:jc w:val="both"/>
        <w:ind w:firstLine="1305"/>
        <w:spacing w:after="0" w:line="286" w:lineRule="auto"/>
        <w:tabs>
          <w:tab w:leader="none" w:pos="1864" w:val="left"/>
        </w:tabs>
        <w:numPr>
          <w:ilvl w:val="1"/>
          <w:numId w:val="326"/>
        </w:numPr>
        <w:rPr>
          <w:rFonts w:ascii="Arial" w:cs="Arial" w:eastAsia="Arial" w:hAnsi="Arial"/>
          <w:sz w:val="19"/>
          <w:szCs w:val="19"/>
          <w:color w:val="auto"/>
        </w:rPr>
      </w:pPr>
      <w:r>
        <w:rPr>
          <w:rFonts w:ascii="Arial" w:cs="Arial" w:eastAsia="Arial" w:hAnsi="Arial"/>
          <w:sz w:val="19"/>
          <w:szCs w:val="19"/>
          <w:color w:val="auto"/>
        </w:rPr>
        <w:t xml:space="preserve">Investments in the Designated Joint Venture consisting of (i) contributions of the Designated Assets to the Designated Joint Venture and (ii) additional Investments in the Designated Joint Venture (whether in cash, Cash Equivalents or other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case of any Investment made pursuant to this </w:t>
      </w:r>
      <w:r>
        <w:rPr>
          <w:rFonts w:ascii="Arial" w:cs="Arial" w:eastAsia="Arial" w:hAnsi="Arial"/>
          <w:sz w:val="19"/>
          <w:szCs w:val="19"/>
          <w:u w:val="single" w:color="auto"/>
          <w:color w:val="auto"/>
        </w:rPr>
        <w:t>Section 8.06(h)</w:t>
      </w:r>
      <w:r>
        <w:rPr>
          <w:rFonts w:ascii="Arial" w:cs="Arial" w:eastAsia="Arial" w:hAnsi="Arial"/>
          <w:sz w:val="19"/>
          <w:szCs w:val="19"/>
          <w:color w:val="auto"/>
        </w:rPr>
        <w:t>, (x) no Default or Event of Default shall have occurred and be continuing at the time of and immediately after giving effect to any such Investment and</w:t>
      </w:r>
    </w:p>
    <w:p>
      <w:pPr>
        <w:spacing w:after="0" w:line="2" w:lineRule="exact"/>
        <w:rPr>
          <w:rFonts w:ascii="Arial" w:cs="Arial" w:eastAsia="Arial" w:hAnsi="Arial"/>
          <w:sz w:val="19"/>
          <w:szCs w:val="19"/>
          <w:color w:val="auto"/>
        </w:rPr>
      </w:pPr>
    </w:p>
    <w:p>
      <w:pPr>
        <w:jc w:val="both"/>
        <w:ind w:firstLine="8"/>
        <w:spacing w:after="0" w:line="288" w:lineRule="auto"/>
        <w:tabs>
          <w:tab w:leader="none" w:pos="332"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after giving pro forma effect to the making of any such Investment, WIL-Ireland shall be in compliance with the Financial Covenants (in each case calculated as of the last day of the most recently ended Testing Period for which financial statements are available as if such Investment had been made on the first day of such Testing Period, and calculated on a pro forma basis to include any Indebtedness incurred to make such Investment (as if such Indebtedness was incurred on the first day of such Testing Period)) and (B) in the case of any Investment made pursuant to clause (ii) of this </w:t>
      </w:r>
      <w:r>
        <w:rPr>
          <w:rFonts w:ascii="Arial" w:cs="Arial" w:eastAsia="Arial" w:hAnsi="Arial"/>
          <w:sz w:val="19"/>
          <w:szCs w:val="19"/>
          <w:u w:val="single" w:color="auto"/>
          <w:color w:val="auto"/>
        </w:rPr>
        <w:t>Section 8.06(h)</w:t>
      </w:r>
      <w:r>
        <w:rPr>
          <w:rFonts w:ascii="Arial" w:cs="Arial" w:eastAsia="Arial" w:hAnsi="Arial"/>
          <w:sz w:val="19"/>
          <w:szCs w:val="19"/>
          <w:color w:val="auto"/>
        </w:rPr>
        <w:t>, the amount of such Investment, together with the aggregate amount of all other Investments made pursuant to such clause (ii) and outstanding at the time of such Investment, shall not exceed the Designated Joint Venture Investments Basket;</w:t>
      </w:r>
    </w:p>
    <w:p>
      <w:pPr>
        <w:spacing w:after="0" w:line="199" w:lineRule="exact"/>
        <w:rPr>
          <w:rFonts w:ascii="Arial" w:cs="Arial" w:eastAsia="Arial" w:hAnsi="Arial"/>
          <w:sz w:val="19"/>
          <w:szCs w:val="19"/>
          <w:color w:val="auto"/>
        </w:rPr>
      </w:pPr>
    </w:p>
    <w:p>
      <w:pPr>
        <w:ind w:left="1800" w:hanging="495"/>
        <w:spacing w:after="0"/>
        <w:tabs>
          <w:tab w:leader="none" w:pos="1800" w:val="left"/>
        </w:tabs>
        <w:numPr>
          <w:ilvl w:val="1"/>
          <w:numId w:val="327"/>
        </w:numPr>
        <w:rPr>
          <w:rFonts w:ascii="Arial" w:cs="Arial" w:eastAsia="Arial" w:hAnsi="Arial"/>
          <w:sz w:val="19"/>
          <w:szCs w:val="19"/>
          <w:color w:val="auto"/>
        </w:rPr>
      </w:pPr>
      <w:r>
        <w:rPr>
          <w:rFonts w:ascii="Arial" w:cs="Arial" w:eastAsia="Arial" w:hAnsi="Arial"/>
          <w:sz w:val="19"/>
          <w:szCs w:val="19"/>
          <w:color w:val="auto"/>
        </w:rPr>
        <w:t xml:space="preserve">subject to the limitations set forth in clauses (d), (e) and (f) of this Section, Guarantees permitted by </w:t>
      </w:r>
      <w:r>
        <w:rPr>
          <w:rFonts w:ascii="Arial" w:cs="Arial" w:eastAsia="Arial" w:hAnsi="Arial"/>
          <w:sz w:val="19"/>
          <w:szCs w:val="19"/>
          <w:u w:val="single" w:color="auto"/>
          <w:color w:val="auto"/>
        </w:rPr>
        <w:t>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8.01;</w:t>
      </w:r>
    </w:p>
    <w:p>
      <w:pPr>
        <w:spacing w:after="0" w:line="242" w:lineRule="exact"/>
        <w:rPr>
          <w:rFonts w:ascii="Arial" w:cs="Arial" w:eastAsia="Arial" w:hAnsi="Arial"/>
          <w:sz w:val="19"/>
          <w:szCs w:val="19"/>
          <w:color w:val="auto"/>
        </w:rPr>
      </w:pPr>
    </w:p>
    <w:p>
      <w:pPr>
        <w:ind w:left="1720" w:hanging="415"/>
        <w:spacing w:after="0"/>
        <w:tabs>
          <w:tab w:leader="none" w:pos="1720"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Investments received in consideration for a Disposition permitted by </w:t>
      </w:r>
      <w:r>
        <w:rPr>
          <w:rFonts w:ascii="Arial" w:cs="Arial" w:eastAsia="Arial" w:hAnsi="Arial"/>
          <w:sz w:val="22"/>
          <w:szCs w:val="22"/>
          <w:u w:val="single" w:color="auto"/>
          <w:color w:val="auto"/>
        </w:rPr>
        <w:t>Section 8.05;</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887"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loans or advances to directors, officers and employees of any Restricted Subsidiary for expenses or other payments incident to such Person’s employment or association with any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amount of such advances and loans shall not exceed $2,500,000 at any time outstanding;</w:t>
      </w:r>
    </w:p>
    <w:p>
      <w:pPr>
        <w:spacing w:after="0" w:line="226" w:lineRule="exact"/>
        <w:rPr>
          <w:rFonts w:ascii="Arial" w:cs="Arial" w:eastAsia="Arial" w:hAnsi="Arial"/>
          <w:sz w:val="22"/>
          <w:szCs w:val="22"/>
          <w:color w:val="auto"/>
        </w:rPr>
      </w:pPr>
    </w:p>
    <w:p>
      <w:pPr>
        <w:ind w:firstLine="1305"/>
        <w:spacing w:after="0" w:line="287" w:lineRule="auto"/>
        <w:tabs>
          <w:tab w:leader="none" w:pos="1739" w:val="left"/>
        </w:tabs>
        <w:numPr>
          <w:ilvl w:val="1"/>
          <w:numId w:val="327"/>
        </w:numPr>
        <w:rPr>
          <w:rFonts w:ascii="Arial" w:cs="Arial" w:eastAsia="Arial" w:hAnsi="Arial"/>
          <w:sz w:val="21"/>
          <w:szCs w:val="21"/>
          <w:color w:val="auto"/>
        </w:rPr>
      </w:pPr>
      <w:r>
        <w:rPr>
          <w:rFonts w:ascii="Arial" w:cs="Arial" w:eastAsia="Arial" w:hAnsi="Arial"/>
          <w:sz w:val="21"/>
          <w:szCs w:val="21"/>
          <w:color w:val="auto"/>
        </w:rPr>
        <w:t>Investments evidencing the right to receive a deferred purchase price or other consideration for the Disposition of Receivables and Receivables Related Security in connection with any Permitted Factoring Transaction; and</w:t>
      </w:r>
    </w:p>
    <w:p>
      <w:pPr>
        <w:spacing w:after="0" w:line="192" w:lineRule="exact"/>
        <w:rPr>
          <w:rFonts w:ascii="Arial" w:cs="Arial" w:eastAsia="Arial" w:hAnsi="Arial"/>
          <w:sz w:val="21"/>
          <w:szCs w:val="21"/>
          <w:color w:val="auto"/>
        </w:rPr>
      </w:pPr>
    </w:p>
    <w:p>
      <w:pPr>
        <w:ind w:left="1840" w:hanging="535"/>
        <w:spacing w:after="0"/>
        <w:tabs>
          <w:tab w:leader="none" w:pos="1840" w:val="left"/>
        </w:tabs>
        <w:numPr>
          <w:ilvl w:val="1"/>
          <w:numId w:val="327"/>
        </w:numPr>
        <w:rPr>
          <w:rFonts w:ascii="Arial" w:cs="Arial" w:eastAsia="Arial" w:hAnsi="Arial"/>
          <w:sz w:val="22"/>
          <w:szCs w:val="22"/>
          <w:color w:val="auto"/>
        </w:rPr>
      </w:pPr>
      <w:r>
        <w:rPr>
          <w:rFonts w:ascii="Arial" w:cs="Arial" w:eastAsia="Arial" w:hAnsi="Arial"/>
          <w:sz w:val="22"/>
          <w:szCs w:val="22"/>
          <w:color w:val="auto"/>
        </w:rPr>
        <w:t xml:space="preserve">Investments consisting of Swap Agreements permitted under </w:t>
      </w:r>
      <w:r>
        <w:rPr>
          <w:rFonts w:ascii="Arial" w:cs="Arial" w:eastAsia="Arial" w:hAnsi="Arial"/>
          <w:sz w:val="22"/>
          <w:szCs w:val="22"/>
          <w:u w:val="single" w:color="auto"/>
          <w:color w:val="auto"/>
        </w:rPr>
        <w:t>Section 8.07</w:t>
      </w:r>
      <w:r>
        <w:rPr>
          <w:rFonts w:ascii="Arial" w:cs="Arial" w:eastAsia="Arial" w:hAnsi="Arial"/>
          <w:sz w:val="22"/>
          <w:szCs w:val="22"/>
          <w:color w:val="auto"/>
        </w:rPr>
        <w:t>; and</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1"/>
          <w:numId w:val="327"/>
        </w:numPr>
        <w:rPr>
          <w:rFonts w:ascii="Arial" w:cs="Arial" w:eastAsia="Arial" w:hAnsi="Arial"/>
          <w:sz w:val="21"/>
          <w:szCs w:val="21"/>
          <w:color w:val="auto"/>
        </w:rPr>
      </w:pPr>
      <w:r>
        <w:rPr>
          <w:rFonts w:ascii="Arial" w:cs="Arial" w:eastAsia="Arial" w:hAnsi="Arial"/>
          <w:sz w:val="21"/>
          <w:szCs w:val="21"/>
          <w:color w:val="auto"/>
        </w:rPr>
        <w:t>other Investments in an aggregate amount not to exceed $125,000,000 at any one time outstanding.</w:t>
      </w:r>
    </w:p>
    <w:p>
      <w:pPr>
        <w:spacing w:after="0" w:line="27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4" w:name="page275"/>
    <w:bookmarkEnd w:id="274"/>
    <w:p>
      <w:pPr>
        <w:jc w:val="both"/>
        <w:ind w:firstLine="648"/>
        <w:spacing w:after="0" w:line="260"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Swap Agreements</w:t>
      </w:r>
      <w:r>
        <w:rPr>
          <w:rFonts w:ascii="Arial" w:cs="Arial" w:eastAsia="Arial" w:hAnsi="Arial"/>
          <w:sz w:val="21"/>
          <w:szCs w:val="21"/>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WIL-Ireland shall not, and shall not permit any Restricted Subsidiary to, declare or make, or agree to pay or make, directly or indirectly, any Restricted Payment, except:</w:t>
      </w:r>
    </w:p>
    <w:p>
      <w:pPr>
        <w:spacing w:after="0" w:line="215" w:lineRule="exact"/>
        <w:rPr>
          <w:sz w:val="20"/>
          <w:szCs w:val="20"/>
          <w:color w:val="auto"/>
        </w:rPr>
      </w:pPr>
    </w:p>
    <w:p>
      <w:pPr>
        <w:ind w:firstLine="1305"/>
        <w:spacing w:after="0" w:line="263" w:lineRule="auto"/>
        <w:tabs>
          <w:tab w:leader="none" w:pos="183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WIL-Ireland may declare and pay dividends on its Capital Stock payable solely in additional Capital Stock (other than Disqualified Capital Stock);</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87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WIL-Ireland and its Restricted Subsidiaries may make Restricted Payments in exchange for, or out of the proceeds received from, any substantially concurrent issuance (other than to a Subsidiary) of additional Capital Stock of WIL-Ireland (other than Disqualified Capital Stock);</w:t>
      </w:r>
    </w:p>
    <w:p>
      <w:pPr>
        <w:spacing w:after="0" w:line="226" w:lineRule="exact"/>
        <w:rPr>
          <w:rFonts w:ascii="Arial" w:cs="Arial" w:eastAsia="Arial" w:hAnsi="Arial"/>
          <w:sz w:val="22"/>
          <w:szCs w:val="22"/>
          <w:color w:val="auto"/>
        </w:rPr>
      </w:pPr>
    </w:p>
    <w:p>
      <w:pPr>
        <w:jc w:val="both"/>
        <w:ind w:firstLine="1305"/>
        <w:spacing w:after="0" w:line="258" w:lineRule="auto"/>
        <w:tabs>
          <w:tab w:leader="none" w:pos="1815" w:val="left"/>
        </w:tabs>
        <w:numPr>
          <w:ilvl w:val="0"/>
          <w:numId w:val="328"/>
        </w:numPr>
        <w:rPr>
          <w:rFonts w:ascii="Arial" w:cs="Arial" w:eastAsia="Arial" w:hAnsi="Arial"/>
          <w:sz w:val="21"/>
          <w:szCs w:val="21"/>
          <w:color w:val="auto"/>
        </w:rPr>
      </w:pPr>
      <w:r>
        <w:rPr>
          <w:rFonts w:ascii="Arial" w:cs="Arial" w:eastAsia="Arial" w:hAnsi="Arial"/>
          <w:sz w:val="21"/>
          <w:szCs w:val="21"/>
          <w:color w:val="auto"/>
        </w:rPr>
        <w:t xml:space="preserve">(i) Restricted Subsidiaries that are wholly-owned by one or more Obligors and/or Specified Group Members may declare and pay dividends or make other distributions on account of, and make payments on account of the purchase, redemption, acquisition, cancellation or termination of, their Capital Stock and (ii) Restricted Subsidiaries that do not satisfy the requirements of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immediately above may pay dividends or make other distributions on account of, and make payments on account of the purchase, redemption, acquisition, cancellation or termination of, their Capital Stock ratably (or more favorably to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the case of clause (ii), if any non-Wholly Owned Subsidiary received cash proceeds from the issuance of any of its Capital Stock to one or more Persons that are not Affiliates of WIL-Ireland, such Subsidiary may declare and pay dividends non-ratably to holders of its Capital Stock that are not Affiliates of WIL-Ireland in an aggregate amount not to exceed the amount of such cash proceeds (to the extent such cash proceeds have not been used for any other transaction permitted hereunder);</w:t>
      </w:r>
    </w:p>
    <w:p>
      <w:pPr>
        <w:spacing w:after="0" w:line="226" w:lineRule="exact"/>
        <w:rPr>
          <w:rFonts w:ascii="Arial" w:cs="Arial" w:eastAsia="Arial" w:hAnsi="Arial"/>
          <w:sz w:val="21"/>
          <w:szCs w:val="21"/>
          <w:color w:val="auto"/>
        </w:rPr>
      </w:pPr>
    </w:p>
    <w:p>
      <w:pPr>
        <w:ind w:firstLine="1305"/>
        <w:spacing w:after="0" w:line="263" w:lineRule="auto"/>
        <w:tabs>
          <w:tab w:leader="none" w:pos="195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WIL-Ireland and its Restricted Subsidiaries may make any prepayments under this Agreement and the Revolving Credit Agreement in accordance with the terms thereof;</w:t>
      </w:r>
    </w:p>
    <w:p>
      <w:pPr>
        <w:spacing w:after="0" w:line="215" w:lineRule="exact"/>
        <w:rPr>
          <w:rFonts w:ascii="Arial" w:cs="Arial" w:eastAsia="Arial" w:hAnsi="Arial"/>
          <w:sz w:val="22"/>
          <w:szCs w:val="22"/>
          <w:color w:val="auto"/>
        </w:rPr>
      </w:pPr>
    </w:p>
    <w:p>
      <w:pPr>
        <w:jc w:val="both"/>
        <w:ind w:firstLine="1305"/>
        <w:spacing w:after="0" w:line="248" w:lineRule="auto"/>
        <w:tabs>
          <w:tab w:leader="none" w:pos="182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 xml:space="preserve">so long as no Default or Event of Default has occurred and is continuing at the time thereof or immediately after giving effect thereto, WIL-Ireland and its Restricted Subsidiaries may (i) Redeem any Existing Senior Notes or other senior notes that have a stated maturity date prior to the Revolving Credit Extended Maturity Date and (ii) Redeem any Existing Senior Notes or other senior notes with the proceeds of (A) Permitted Refinancing Indebtedness or (B) Indebtedness incurred under </w:t>
      </w:r>
      <w:r>
        <w:rPr>
          <w:rFonts w:ascii="Arial" w:cs="Arial" w:eastAsia="Arial" w:hAnsi="Arial"/>
          <w:sz w:val="22"/>
          <w:szCs w:val="22"/>
          <w:u w:val="single" w:color="auto"/>
          <w:color w:val="auto"/>
        </w:rPr>
        <w:t>Section 8.01(j)</w:t>
      </w:r>
      <w:r>
        <w:rPr>
          <w:rFonts w:ascii="Arial" w:cs="Arial" w:eastAsia="Arial" w:hAnsi="Arial"/>
          <w:sz w:val="22"/>
          <w:szCs w:val="22"/>
          <w:color w:val="auto"/>
        </w:rPr>
        <w:t xml:space="preserve">, </w:t>
      </w:r>
      <w:r>
        <w:rPr>
          <w:rFonts w:ascii="Arial" w:cs="Arial" w:eastAsia="Arial" w:hAnsi="Arial"/>
          <w:sz w:val="22"/>
          <w:szCs w:val="22"/>
          <w:u w:val="single" w:color="auto"/>
          <w:color w:val="auto"/>
        </w:rPr>
        <w:t>(k)</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(l)</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75" w:name="page276"/>
    <w:bookmarkEnd w:id="275"/>
    <w:p>
      <w:pPr>
        <w:jc w:val="both"/>
        <w:ind w:firstLine="1305"/>
        <w:spacing w:after="0" w:line="260" w:lineRule="auto"/>
        <w:tabs>
          <w:tab w:leader="none" w:pos="1809" w:val="left"/>
        </w:tabs>
        <w:numPr>
          <w:ilvl w:val="0"/>
          <w:numId w:val="329"/>
        </w:numPr>
        <w:rPr>
          <w:rFonts w:ascii="Arial" w:cs="Arial" w:eastAsia="Arial" w:hAnsi="Arial"/>
          <w:sz w:val="21"/>
          <w:szCs w:val="21"/>
          <w:color w:val="auto"/>
        </w:rPr>
      </w:pPr>
      <w:r>
        <w:rPr>
          <w:rFonts w:ascii="Arial" w:cs="Arial" w:eastAsia="Arial" w:hAnsi="Arial"/>
          <w:sz w:val="21"/>
          <w:szCs w:val="21"/>
          <w:color w:val="auto"/>
        </w:rPr>
        <w:t xml:space="preserve">WIL-Ireland and its Restricted Subsidiaries may redeem, repurchase or otherwise acquire or retire for value Capital Stock of WIL-Ireland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Arial" w:cs="Arial" w:eastAsia="Arial" w:hAnsi="Arial"/>
          <w:sz w:val="21"/>
          <w:szCs w:val="21"/>
          <w:u w:val="single" w:color="auto"/>
          <w:color w:val="auto"/>
        </w:rPr>
        <w:t>provided</w:t>
      </w:r>
      <w:r>
        <w:rPr>
          <w:rFonts w:ascii="Arial" w:cs="Arial" w:eastAsia="Arial" w:hAnsi="Arial"/>
          <w:sz w:val="21"/>
          <w:szCs w:val="21"/>
          <w:color w:val="auto"/>
        </w:rPr>
        <w:t>, in any case, that the aggregate cash consideration paid for all such redemptions, repurchases or other acquisitions or retirements shall not exceed $10,000,000 during any calendar year;</w:t>
      </w:r>
    </w:p>
    <w:p>
      <w:pPr>
        <w:spacing w:after="0" w:line="221" w:lineRule="exact"/>
        <w:rPr>
          <w:rFonts w:ascii="Arial" w:cs="Arial" w:eastAsia="Arial" w:hAnsi="Arial"/>
          <w:sz w:val="21"/>
          <w:szCs w:val="21"/>
          <w:color w:val="auto"/>
        </w:rPr>
      </w:pPr>
    </w:p>
    <w:p>
      <w:pPr>
        <w:jc w:val="both"/>
        <w:ind w:firstLine="1305"/>
        <w:spacing w:after="0" w:line="261" w:lineRule="auto"/>
        <w:tabs>
          <w:tab w:leader="none" w:pos="2031" w:val="left"/>
        </w:tabs>
        <w:numPr>
          <w:ilvl w:val="0"/>
          <w:numId w:val="329"/>
        </w:numPr>
        <w:rPr>
          <w:rFonts w:ascii="Arial" w:cs="Arial" w:eastAsia="Arial" w:hAnsi="Arial"/>
          <w:sz w:val="21"/>
          <w:szCs w:val="21"/>
          <w:color w:val="auto"/>
        </w:rPr>
      </w:pPr>
      <w:r>
        <w:rPr>
          <w:rFonts w:ascii="Arial" w:cs="Arial" w:eastAsia="Arial" w:hAnsi="Arial"/>
          <w:sz w:val="21"/>
          <w:szCs w:val="21"/>
          <w:color w:val="auto"/>
        </w:rPr>
        <w:t>WIL-Ireland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220" w:lineRule="exact"/>
        <w:rPr>
          <w:rFonts w:ascii="Arial" w:cs="Arial" w:eastAsia="Arial" w:hAnsi="Arial"/>
          <w:sz w:val="21"/>
          <w:szCs w:val="21"/>
          <w:color w:val="auto"/>
        </w:rPr>
      </w:pPr>
    </w:p>
    <w:p>
      <w:pPr>
        <w:ind w:left="1820" w:hanging="515"/>
        <w:spacing w:after="0"/>
        <w:tabs>
          <w:tab w:leader="none" w:pos="182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WIL-Ireland and each Restricted Subsidiary may make payments of cash in lieu of issuing fractional Capital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1807" w:val="left"/>
        </w:tabs>
        <w:numPr>
          <w:ilvl w:val="0"/>
          <w:numId w:val="329"/>
        </w:numPr>
        <w:rPr>
          <w:rFonts w:ascii="Arial" w:cs="Arial" w:eastAsia="Arial" w:hAnsi="Arial"/>
          <w:sz w:val="22"/>
          <w:szCs w:val="22"/>
          <w:color w:val="auto"/>
        </w:rPr>
      </w:pPr>
      <w:r>
        <w:rPr>
          <w:rFonts w:ascii="Arial" w:cs="Arial" w:eastAsia="Arial" w:hAnsi="Arial"/>
          <w:sz w:val="22"/>
          <w:szCs w:val="22"/>
          <w:color w:val="auto"/>
        </w:rPr>
        <w:t xml:space="preserve">WIL-Ireland and each Restricted Subsidiary may make payments or distributions to dissenting stockholders pursuant to applicable law in connection with a merger, consolidation or transfer of assets that complies with the provisions of </w:t>
      </w:r>
      <w:r>
        <w:rPr>
          <w:rFonts w:ascii="Arial" w:cs="Arial" w:eastAsia="Arial" w:hAnsi="Arial"/>
          <w:sz w:val="22"/>
          <w:szCs w:val="22"/>
          <w:u w:val="single" w:color="auto"/>
          <w:color w:val="auto"/>
        </w:rPr>
        <w:t>Sections 8.02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8.05</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jc w:val="both"/>
        <w:ind w:firstLine="1305"/>
        <w:spacing w:after="0" w:line="292" w:lineRule="auto"/>
        <w:tabs>
          <w:tab w:leader="none" w:pos="1752" w:val="left"/>
        </w:tabs>
        <w:numPr>
          <w:ilvl w:val="0"/>
          <w:numId w:val="329"/>
        </w:numPr>
        <w:rPr>
          <w:rFonts w:ascii="Arial" w:cs="Arial" w:eastAsia="Arial" w:hAnsi="Arial"/>
          <w:sz w:val="19"/>
          <w:szCs w:val="19"/>
          <w:color w:val="auto"/>
        </w:rPr>
      </w:pPr>
      <w:r>
        <w:rPr>
          <w:rFonts w:ascii="Arial" w:cs="Arial" w:eastAsia="Arial" w:hAnsi="Arial"/>
          <w:sz w:val="19"/>
          <w:szCs w:val="19"/>
          <w:color w:val="auto"/>
        </w:rPr>
        <w:t xml:space="preserve">WIL-Ireland and its Restricted Subsidiaries may make other Restricted Payments, provided that (i) no Default or Event of Default shall have occurred and be continuing at the time of such Restricted Payment or immediately after giving effect thereto, (ii) the amount of such Restricted Payment, together with the aggregate amount of all other Restricted Payments made by WIL-Ireland and its Restricted Subsidiaries pursuant to this </w:t>
      </w:r>
      <w:r>
        <w:rPr>
          <w:rFonts w:ascii="Arial" w:cs="Arial" w:eastAsia="Arial" w:hAnsi="Arial"/>
          <w:sz w:val="19"/>
          <w:szCs w:val="19"/>
          <w:u w:val="single" w:color="auto"/>
          <w:color w:val="auto"/>
        </w:rPr>
        <w:t>Section 8.08(j)</w:t>
      </w:r>
      <w:r>
        <w:rPr>
          <w:rFonts w:ascii="Arial" w:cs="Arial" w:eastAsia="Arial" w:hAnsi="Arial"/>
          <w:sz w:val="19"/>
          <w:szCs w:val="19"/>
          <w:color w:val="auto"/>
        </w:rPr>
        <w:t xml:space="preserve"> since the Effective Date, is less than the amount of the Restricted Payment Basket at such time, and (iii) after giving pro forma effect to the making of such Restricted Payment, the Total Leverage Ratio would be less than 4.00 to 1.00 (calculated as of the last day of the most recently ended Testing Period for which financial statements are available as if such Restricted Payment had been made on the first day of such Testing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Financial Covenants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0" w:lineRule="auto"/>
        <w:tabs>
          <w:tab w:leader="none" w:pos="1779" w:val="left"/>
        </w:tabs>
        <w:numPr>
          <w:ilvl w:val="0"/>
          <w:numId w:val="330"/>
        </w:numPr>
        <w:rPr>
          <w:rFonts w:ascii="Arial" w:cs="Arial" w:eastAsia="Arial" w:hAnsi="Arial"/>
          <w:sz w:val="22"/>
          <w:szCs w:val="22"/>
          <w:color w:val="auto"/>
        </w:rPr>
      </w:pPr>
      <w:r>
        <w:rPr>
          <w:rFonts w:ascii="Arial" w:cs="Arial" w:eastAsia="Arial" w:hAnsi="Arial"/>
          <w:sz w:val="22"/>
          <w:szCs w:val="22"/>
          <w:u w:val="single" w:color="auto"/>
          <w:color w:val="auto"/>
        </w:rPr>
        <w:t>Specified Senior Leverage Ratio</w:t>
      </w:r>
      <w:r>
        <w:rPr>
          <w:rFonts w:ascii="Arial" w:cs="Arial" w:eastAsia="Arial" w:hAnsi="Arial"/>
          <w:sz w:val="22"/>
          <w:szCs w:val="22"/>
          <w:color w:val="auto"/>
        </w:rPr>
        <w:t>. WIL-Ireland shall not, as of the last day of any Fiscal Quarter (commencing with the Fiscal Quarter ending June 30, 2016), permit the Specified Senior Leverage Ratio to be greater than (i) with respect to any Fiscal Quarter ending on or before December 31, 2016, 3.00 to 1.00 and (ii) with respect to any Fiscal Quarter ending on or after March 31, 2017, 2.50 to 1.00.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6" w:name="page277"/>
    <w:bookmarkEnd w:id="276"/>
    <w:p>
      <w:pPr>
        <w:ind w:right="20" w:firstLine="1305"/>
        <w:spacing w:after="0" w:line="343" w:lineRule="auto"/>
        <w:tabs>
          <w:tab w:leader="none" w:pos="1805"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Specified Asset Coverage Ratio</w:t>
      </w:r>
      <w:r>
        <w:rPr>
          <w:rFonts w:ascii="Arial" w:cs="Arial" w:eastAsia="Arial" w:hAnsi="Arial"/>
          <w:sz w:val="19"/>
          <w:szCs w:val="19"/>
          <w:color w:val="auto"/>
        </w:rPr>
        <w:t>. WIL-Ireland shall not, as of the last day of any Fiscal Quarter (commencing with the Fiscal Quarter ending June 30, 2016), permit the Specified Asset Coverage Ratio to be less than 4.00 to 1.00.</w:t>
      </w:r>
    </w:p>
    <w:p>
      <w:pPr>
        <w:spacing w:after="0" w:line="145" w:lineRule="exact"/>
        <w:rPr>
          <w:rFonts w:ascii="Arial" w:cs="Arial" w:eastAsia="Arial" w:hAnsi="Arial"/>
          <w:sz w:val="19"/>
          <w:szCs w:val="19"/>
          <w:color w:val="auto"/>
        </w:rPr>
      </w:pPr>
    </w:p>
    <w:p>
      <w:pPr>
        <w:jc w:val="both"/>
        <w:ind w:firstLine="1305"/>
        <w:spacing w:after="0" w:line="250" w:lineRule="auto"/>
        <w:tabs>
          <w:tab w:leader="none" w:pos="1766" w:val="left"/>
        </w:tabs>
        <w:numPr>
          <w:ilvl w:val="0"/>
          <w:numId w:val="331"/>
        </w:numPr>
        <w:rPr>
          <w:rFonts w:ascii="Arial" w:cs="Arial" w:eastAsia="Arial" w:hAnsi="Arial"/>
          <w:sz w:val="22"/>
          <w:szCs w:val="22"/>
          <w:color w:val="auto"/>
        </w:rPr>
      </w:pPr>
      <w:r>
        <w:rPr>
          <w:rFonts w:ascii="Arial" w:cs="Arial" w:eastAsia="Arial" w:hAnsi="Arial"/>
          <w:sz w:val="22"/>
          <w:szCs w:val="22"/>
          <w:u w:val="single" w:color="auto"/>
          <w:color w:val="auto"/>
        </w:rPr>
        <w:t>Specified Leverage and LC Ratio</w:t>
      </w:r>
      <w:r>
        <w:rPr>
          <w:rFonts w:ascii="Arial" w:cs="Arial" w:eastAsia="Arial" w:hAnsi="Arial"/>
          <w:sz w:val="22"/>
          <w:szCs w:val="22"/>
          <w:color w:val="auto"/>
        </w:rPr>
        <w:t>. WIL-Ireland shall not, as of the last day of any Fiscal Quarter (commencing with the Fiscal Quarter ending June 30, 2016), permit the Specified Leverage LC Ratio to be greater than (i) with respect to any Fiscal Quarter ending on or before December 31, 2016, 4.00 to 1.00 and (ii) with respect to any Fiscal Quarter ending on or after March 31, 2017, 3.50 to 1.00.</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Limitation on Transactions with Affiliates</w:t>
      </w:r>
      <w:r>
        <w:rPr>
          <w:rFonts w:ascii="Arial" w:cs="Arial" w:eastAsia="Arial" w:hAnsi="Arial"/>
          <w:sz w:val="19"/>
          <w:szCs w:val="19"/>
          <w:color w:val="auto"/>
        </w:rPr>
        <w:t xml:space="preserve">. WIL-Ireland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WIL-Ireland or one of WIL-Ireland’s Restricted Subsidiaries or a Person that becomes, pursuant to a Redomestication, a part of the consolidated group that includes WIL-Ireland, or (b) Weatherford\Al-Rushaid Limited or Weatherford Saudi Arabia Limited, other than on fair and reasonable terms (taking all related transactions into account and considering the terms of such related transactions in their entirety) substantially as favorable to WIL-Ireland or such Restricted Subsidiary, as the case may be, as would be available in a comparable arm’s length transaction with a Person that is not an Affiliate. Notwithstanding the foregoing, the restrictions set forth in this covenant shall not apply to (i) Investments in Unrestricted Subsidiaries permitted by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patents, copyrights, trademarks, trade secrets and other intellectual property.</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Restrictive Agreements</w:t>
      </w:r>
      <w:r>
        <w:rPr>
          <w:rFonts w:ascii="Arial" w:cs="Arial" w:eastAsia="Arial" w:hAnsi="Arial"/>
          <w:sz w:val="22"/>
          <w:szCs w:val="22"/>
          <w:color w:val="auto"/>
        </w:rPr>
        <w:t>. WIL-Ireland shall not, and shall not permit any Restricted Subsidiary to, directly or indirectly, enter into, incur, create or permit to exist any Restrictive Agreement, except for:</w:t>
      </w:r>
    </w:p>
    <w:p>
      <w:pPr>
        <w:spacing w:after="0" w:line="215" w:lineRule="exact"/>
        <w:rPr>
          <w:sz w:val="20"/>
          <w:szCs w:val="20"/>
          <w:color w:val="auto"/>
        </w:rPr>
      </w:pPr>
    </w:p>
    <w:p>
      <w:pPr>
        <w:ind w:left="1760" w:hanging="455"/>
        <w:spacing w:after="0"/>
        <w:tabs>
          <w:tab w:leader="none" w:pos="1760" w:val="left"/>
        </w:tabs>
        <w:numPr>
          <w:ilvl w:val="0"/>
          <w:numId w:val="332"/>
        </w:numPr>
        <w:rPr>
          <w:rFonts w:ascii="Arial" w:cs="Arial" w:eastAsia="Arial" w:hAnsi="Arial"/>
          <w:sz w:val="21"/>
          <w:szCs w:val="21"/>
          <w:color w:val="auto"/>
        </w:rPr>
      </w:pPr>
      <w:r>
        <w:rPr>
          <w:rFonts w:ascii="Arial" w:cs="Arial" w:eastAsia="Arial" w:hAnsi="Arial"/>
          <w:sz w:val="21"/>
          <w:szCs w:val="21"/>
          <w:color w:val="auto"/>
        </w:rPr>
        <w:t>limitations or restrictions contained in any Loan Document or any of the Revolving Credit Documents;</w:t>
      </w:r>
    </w:p>
    <w:p>
      <w:pPr>
        <w:spacing w:after="0" w:line="271" w:lineRule="exact"/>
        <w:rPr>
          <w:rFonts w:ascii="Arial" w:cs="Arial" w:eastAsia="Arial" w:hAnsi="Arial"/>
          <w:sz w:val="21"/>
          <w:szCs w:val="21"/>
          <w:color w:val="auto"/>
        </w:rPr>
      </w:pPr>
    </w:p>
    <w:p>
      <w:pPr>
        <w:ind w:left="1780" w:hanging="475"/>
        <w:spacing w:after="0"/>
        <w:tabs>
          <w:tab w:leader="none" w:pos="178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limitations or restrictions existing under or by reason of any Requirement of Law;</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1763" w:val="left"/>
        </w:tabs>
        <w:numPr>
          <w:ilvl w:val="0"/>
          <w:numId w:val="332"/>
        </w:numPr>
        <w:rPr>
          <w:rFonts w:ascii="Arial" w:cs="Arial" w:eastAsia="Arial" w:hAnsi="Arial"/>
          <w:sz w:val="22"/>
          <w:szCs w:val="22"/>
          <w:color w:val="auto"/>
        </w:rPr>
      </w:pPr>
      <w:r>
        <w:rPr>
          <w:rFonts w:ascii="Arial" w:cs="Arial" w:eastAsia="Arial" w:hAnsi="Arial"/>
          <w:sz w:val="22"/>
          <w:szCs w:val="22"/>
          <w:color w:val="auto"/>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restrictions apply only to the Restricted Subsidiary that is, or assets that are, the subject of such Disposition and such Disposition is permitted hereunder;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7" w:name="page278"/>
    <w:bookmarkEnd w:id="277"/>
    <w:p>
      <w:pPr>
        <w:jc w:val="both"/>
        <w:ind w:firstLine="1305"/>
        <w:spacing w:after="0" w:line="302" w:lineRule="auto"/>
        <w:tabs>
          <w:tab w:leader="none" w:pos="1952"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limitations or restrictions contained in contracts and agreements outstanding on the Effective Date and renewals, extensions, refinancings or replacements thereof identified on </w:t>
      </w:r>
      <w:r>
        <w:rPr>
          <w:rFonts w:ascii="Arial" w:cs="Arial" w:eastAsia="Arial" w:hAnsi="Arial"/>
          <w:sz w:val="19"/>
          <w:szCs w:val="19"/>
          <w:u w:val="single" w:color="auto"/>
          <w:color w:val="auto"/>
        </w:rPr>
        <w:t>Schedule 8.11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restrictions set forth in this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3" w:lineRule="exact"/>
        <w:rPr>
          <w:rFonts w:ascii="Arial" w:cs="Arial" w:eastAsia="Arial" w:hAnsi="Arial"/>
          <w:sz w:val="19"/>
          <w:szCs w:val="19"/>
          <w:color w:val="auto"/>
        </w:rPr>
      </w:pPr>
    </w:p>
    <w:p>
      <w:pPr>
        <w:jc w:val="both"/>
        <w:ind w:firstLine="1305"/>
        <w:spacing w:after="0" w:line="263" w:lineRule="auto"/>
        <w:tabs>
          <w:tab w:leader="none" w:pos="1789" w:val="left"/>
        </w:tabs>
        <w:numPr>
          <w:ilvl w:val="0"/>
          <w:numId w:val="333"/>
        </w:numPr>
        <w:rPr>
          <w:rFonts w:ascii="Arial" w:cs="Arial" w:eastAsia="Arial" w:hAnsi="Arial"/>
          <w:sz w:val="21"/>
          <w:szCs w:val="21"/>
          <w:color w:val="auto"/>
        </w:rPr>
      </w:pPr>
      <w:r>
        <w:rPr>
          <w:rFonts w:ascii="Arial" w:cs="Arial" w:eastAsia="Arial" w:hAnsi="Arial"/>
          <w:sz w:val="21"/>
          <w:szCs w:val="21"/>
          <w:color w:val="auto"/>
        </w:rPr>
        <w:t xml:space="preserve">limitations or restrictions contained in any agreement or instrument to which any Person is a party at the time such Person is merged or consolidated with or into, or the Capital Stock of such Person is otherwise acquired by, WIL-Ireland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216" w:lineRule="exact"/>
        <w:rPr>
          <w:rFonts w:ascii="Arial" w:cs="Arial" w:eastAsia="Arial" w:hAnsi="Arial"/>
          <w:sz w:val="21"/>
          <w:szCs w:val="21"/>
          <w:color w:val="auto"/>
        </w:rPr>
      </w:pPr>
    </w:p>
    <w:p>
      <w:pPr>
        <w:jc w:val="both"/>
        <w:ind w:firstLine="1305"/>
        <w:spacing w:after="0" w:line="302" w:lineRule="auto"/>
        <w:tabs>
          <w:tab w:leader="none" w:pos="1731"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(i) clause (a) of the definition of Restrictive Agreements shall not apply to restrictions or conditions imposed by any agreement relating to secured Indebtedness permitted by this Agreement or Liens permitted under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3" w:lineRule="exact"/>
        <w:rPr>
          <w:rFonts w:ascii="Arial" w:cs="Arial" w:eastAsia="Arial" w:hAnsi="Arial"/>
          <w:sz w:val="19"/>
          <w:szCs w:val="19"/>
          <w:color w:val="auto"/>
        </w:rPr>
      </w:pPr>
    </w:p>
    <w:p>
      <w:pPr>
        <w:jc w:val="both"/>
        <w:ind w:firstLine="1305"/>
        <w:spacing w:after="0" w:line="250" w:lineRule="auto"/>
        <w:tabs>
          <w:tab w:leader="none" w:pos="1896" w:val="left"/>
        </w:tabs>
        <w:numPr>
          <w:ilvl w:val="0"/>
          <w:numId w:val="333"/>
        </w:numPr>
        <w:rPr>
          <w:rFonts w:ascii="Arial" w:cs="Arial" w:eastAsia="Arial" w:hAnsi="Arial"/>
          <w:sz w:val="22"/>
          <w:szCs w:val="22"/>
          <w:color w:val="auto"/>
        </w:rPr>
      </w:pPr>
      <w:r>
        <w:rPr>
          <w:rFonts w:ascii="Arial" w:cs="Arial" w:eastAsia="Arial" w:hAnsi="Arial"/>
          <w:sz w:val="22"/>
          <w:szCs w:val="22"/>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 and</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customary restrictions and conditions contained in Permitted Factoring Transaction Documents.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Use of Proceeds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777" w:val="left"/>
        </w:tabs>
        <w:numPr>
          <w:ilvl w:val="0"/>
          <w:numId w:val="334"/>
        </w:numPr>
        <w:rPr>
          <w:rFonts w:ascii="Arial" w:cs="Arial" w:eastAsia="Arial" w:hAnsi="Arial"/>
          <w:sz w:val="22"/>
          <w:szCs w:val="22"/>
          <w:color w:val="auto"/>
        </w:rPr>
      </w:pPr>
      <w:r>
        <w:rPr>
          <w:rFonts w:ascii="Arial" w:cs="Arial" w:eastAsia="Arial" w:hAnsi="Arial"/>
          <w:sz w:val="22"/>
          <w:szCs w:val="22"/>
          <w:color w:val="auto"/>
        </w:rPr>
        <w:t>WIL-Ireland and the Borrower shall not, and WIL-Ireland shall not permit any of its other Subsidiaries to, use the proceeds of any Loans for any purpose other than for the Specified Prepayment (as defined in the Amendment and Restatement Agreement).</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1826" w:val="left"/>
        </w:tabs>
        <w:numPr>
          <w:ilvl w:val="0"/>
          <w:numId w:val="334"/>
        </w:numPr>
        <w:rPr>
          <w:rFonts w:ascii="Arial" w:cs="Arial" w:eastAsia="Arial" w:hAnsi="Arial"/>
          <w:sz w:val="22"/>
          <w:szCs w:val="22"/>
          <w:color w:val="auto"/>
        </w:rPr>
      </w:pPr>
      <w:r>
        <w:rPr>
          <w:rFonts w:ascii="Arial" w:cs="Arial" w:eastAsia="Arial" w:hAnsi="Arial"/>
          <w:sz w:val="22"/>
          <w:szCs w:val="22"/>
          <w:color w:val="auto"/>
        </w:rPr>
        <w:t>WIL-Ireland shall not, nor shall it permit any of its Subsidiaries to, use the proceeds of any Loan under this Agreement directly or indirectly for the purpose of buying or carrying any “margin stock” within the meaning of Regulation U (herein called “margin stock”) or for the purpose of reducing or retiring any indebtedness which was originally incurred to buy or carry a margin stock or for any other purpose which would constitute this transaction a “purpose” credit within the meaning of Regulation U. WIL-Ireland shall not, nor shall it permit any of its Subsidiaries to, take any action which would cause this Agreement or any other Loan Document to violate Regulation T, U or 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8" w:name="page279"/>
    <w:bookmarkEnd w:id="278"/>
    <w:p>
      <w:pPr>
        <w:jc w:val="both"/>
        <w:ind w:firstLine="1305"/>
        <w:spacing w:after="0" w:line="260" w:lineRule="exact"/>
        <w:tabs>
          <w:tab w:leader="none" w:pos="1754"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The Borrower will not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w:t>
      </w:r>
      <w:r>
        <w:rPr>
          <w:rFonts w:ascii="MS PGothic" w:cs="MS PGothic" w:eastAsia="MS PGothic" w:hAnsi="MS PGothic"/>
          <w:sz w:val="19"/>
          <w:szCs w:val="19"/>
          <w:color w:val="auto"/>
        </w:rPr>
        <w:t>‑</w:t>
      </w:r>
      <w:r>
        <w:rPr>
          <w:rFonts w:ascii="Arial" w:cs="Arial" w:eastAsia="Arial" w:hAnsi="Arial"/>
          <w:sz w:val="19"/>
          <w:szCs w:val="19"/>
          <w:color w:val="auto"/>
        </w:rPr>
        <w:t>Corruption Laws, (B) for the purpose of funding, financing or facilitating any activities, business or transaction of or with any Sanctioned Person, or in any Sanctioned Country, or</w:t>
      </w:r>
    </w:p>
    <w:p>
      <w:pPr>
        <w:spacing w:after="0" w:line="3" w:lineRule="exact"/>
        <w:rPr>
          <w:rFonts w:ascii="Arial" w:cs="Arial" w:eastAsia="Arial" w:hAnsi="Arial"/>
          <w:sz w:val="19"/>
          <w:szCs w:val="19"/>
          <w:color w:val="auto"/>
        </w:rPr>
      </w:pPr>
    </w:p>
    <w:p>
      <w:pPr>
        <w:ind w:left="360" w:hanging="352"/>
        <w:spacing w:after="0"/>
        <w:tabs>
          <w:tab w:leader="none" w:pos="36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in any manner that would result in the violation of any Sanctions applicable to any party hereto.</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Changes to Fiscal Year</w:t>
      </w:r>
      <w:r>
        <w:rPr>
          <w:rFonts w:ascii="Arial" w:cs="Arial" w:eastAsia="Arial" w:hAnsi="Arial"/>
          <w:sz w:val="19"/>
          <w:szCs w:val="19"/>
          <w:color w:val="auto"/>
        </w:rPr>
        <w:t>. WIL-Ireland will not change its Fiscal Year from the basis in effect on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8.14 </w:t>
      </w:r>
      <w:r>
        <w:rPr>
          <w:rFonts w:ascii="Arial" w:cs="Arial" w:eastAsia="Arial" w:hAnsi="Arial"/>
          <w:sz w:val="19"/>
          <w:szCs w:val="19"/>
          <w:u w:val="single" w:color="auto"/>
          <w:color w:val="auto"/>
        </w:rPr>
        <w:t>Amendments to Documents Governing Certain Indebtedness</w:t>
      </w:r>
      <w:r>
        <w:rPr>
          <w:rFonts w:ascii="Arial" w:cs="Arial" w:eastAsia="Arial" w:hAnsi="Arial"/>
          <w:sz w:val="19"/>
          <w:szCs w:val="19"/>
          <w:color w:val="auto"/>
        </w:rPr>
        <w:t xml:space="preserve">. WIL-Ireland shall not, and shall not permit any Restricted Subsidiary to, amend or otherwise modify any of the documentation governing (i) (a) the Revolving Credit Facility or Permitted Refinancing Indebtedness in respect thereof or (b) any Existing Senior Notes or Permitted Refinancing Indebtedness in respect thereof, in each case to the extent that any such amendment or other modification, taken as a whole, would be materially adverse to the Lenders, (ii) any unsecured Indebtedness incurred pursuant to </w:t>
      </w:r>
      <w:r>
        <w:rPr>
          <w:rFonts w:ascii="Arial" w:cs="Arial" w:eastAsia="Arial" w:hAnsi="Arial"/>
          <w:sz w:val="19"/>
          <w:szCs w:val="19"/>
          <w:u w:val="single" w:color="auto"/>
          <w:color w:val="auto"/>
        </w:rPr>
        <w:t>Section 8.01(k)</w:t>
      </w:r>
      <w:r>
        <w:rPr>
          <w:rFonts w:ascii="Arial" w:cs="Arial" w:eastAsia="Arial" w:hAnsi="Arial"/>
          <w:sz w:val="19"/>
          <w:szCs w:val="19"/>
          <w:color w:val="auto"/>
        </w:rPr>
        <w:t xml:space="preserve"> to reduce the stated maturity of any such Indebtedness to be sooner than 91 days after the later of the Revolving Credit Extended Maturity Date and the Term Loan Maturity Date or (iii) any Subordinated Indebtedness incurred pursuant to </w:t>
      </w:r>
      <w:r>
        <w:rPr>
          <w:rFonts w:ascii="Arial" w:cs="Arial" w:eastAsia="Arial" w:hAnsi="Arial"/>
          <w:sz w:val="19"/>
          <w:szCs w:val="19"/>
          <w:u w:val="single" w:color="auto"/>
          <w:color w:val="auto"/>
        </w:rPr>
        <w:t>Section 8.01(l)</w:t>
      </w:r>
      <w:r>
        <w:rPr>
          <w:rFonts w:ascii="Arial" w:cs="Arial" w:eastAsia="Arial" w:hAnsi="Arial"/>
          <w:sz w:val="19"/>
          <w:szCs w:val="19"/>
          <w:color w:val="auto"/>
        </w:rPr>
        <w:t xml:space="preserve"> to amend or otherwise modify the subordination terms of such Indebtedness in a manner adverse to the Lenders.</w:t>
      </w:r>
    </w:p>
    <w:p>
      <w:pPr>
        <w:spacing w:after="0" w:line="19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8.15 </w:t>
      </w:r>
      <w:r>
        <w:rPr>
          <w:rFonts w:ascii="Arial" w:cs="Arial" w:eastAsia="Arial" w:hAnsi="Arial"/>
          <w:sz w:val="21"/>
          <w:szCs w:val="21"/>
          <w:u w:val="single" w:color="auto"/>
          <w:color w:val="auto"/>
        </w:rPr>
        <w:t>Limit on Credit Support Instruments</w:t>
      </w:r>
      <w:r>
        <w:rPr>
          <w:rFonts w:ascii="Arial" w:cs="Arial" w:eastAsia="Arial" w:hAnsi="Arial"/>
          <w:sz w:val="21"/>
          <w:szCs w:val="21"/>
          <w:color w:val="auto"/>
        </w:rPr>
        <w:t>. WIL-Ireland shall not permit the aggregate amount of all obligations (contingent or otherwise) of WIL-Ireland and its Restricted Subsidiaries with respect to letters of credit, bank guarantees, bid bonds, surety bonds, performance bonds, customs bonds, advance payment bonds and similar instruments (including letters of credit issued pursuant to the Revolving Credit Agreement) to exceed $1,000,000,000.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 AND REMEDIES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Events of Default and Remedies</w:t>
      </w:r>
      <w:r>
        <w:rPr>
          <w:rFonts w:ascii="Arial" w:cs="Arial" w:eastAsia="Arial" w:hAnsi="Arial"/>
          <w:sz w:val="22"/>
          <w:szCs w:val="22"/>
          <w:color w:val="auto"/>
        </w:rPr>
        <w:t>.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15" w:lineRule="exact"/>
        <w:rPr>
          <w:sz w:val="20"/>
          <w:szCs w:val="20"/>
          <w:color w:val="auto"/>
        </w:rPr>
      </w:pPr>
    </w:p>
    <w:p>
      <w:pPr>
        <w:jc w:val="both"/>
        <w:ind w:firstLine="1305"/>
        <w:spacing w:after="0" w:line="302" w:lineRule="auto"/>
        <w:tabs>
          <w:tab w:leader="none" w:pos="1754"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(i) the principal of any Loan shall not be paid when such payment is due (whether at the due date thereof or at a date fixed for prepayment thereof or otherwise), or (ii) any interest on any Loan, any fee or any other amount (other than an amount referred to in clause (i) of this </w:t>
      </w:r>
      <w:r>
        <w:rPr>
          <w:rFonts w:ascii="Arial" w:cs="Arial" w:eastAsia="Arial" w:hAnsi="Arial"/>
          <w:sz w:val="19"/>
          <w:szCs w:val="19"/>
          <w:u w:val="single" w:color="auto"/>
          <w:color w:val="auto"/>
        </w:rPr>
        <w:t>Section 9.01(a)</w:t>
      </w:r>
      <w:r>
        <w:rPr>
          <w:rFonts w:ascii="Arial" w:cs="Arial" w:eastAsia="Arial" w:hAnsi="Arial"/>
          <w:sz w:val="19"/>
          <w:szCs w:val="19"/>
          <w:color w:val="auto"/>
        </w:rPr>
        <w:t>) payable hereunder or any other Loan Document shall not be paid within five calendar days following the date on which the payment of interest, fee or such other amount is due; or</w:t>
      </w:r>
    </w:p>
    <w:p>
      <w:pPr>
        <w:spacing w:after="0" w:line="183" w:lineRule="exact"/>
        <w:rPr>
          <w:rFonts w:ascii="Arial" w:cs="Arial" w:eastAsia="Arial" w:hAnsi="Arial"/>
          <w:sz w:val="19"/>
          <w:szCs w:val="19"/>
          <w:color w:val="auto"/>
        </w:rPr>
      </w:pPr>
    </w:p>
    <w:p>
      <w:pPr>
        <w:jc w:val="both"/>
        <w:ind w:firstLine="1305"/>
        <w:spacing w:after="0" w:line="248" w:lineRule="auto"/>
        <w:tabs>
          <w:tab w:leader="none" w:pos="186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 xml:space="preserve">any representation or warranty made or, for purposes of </w:t>
      </w:r>
      <w:r>
        <w:rPr>
          <w:rFonts w:ascii="Arial" w:cs="Arial" w:eastAsia="Arial" w:hAnsi="Arial"/>
          <w:sz w:val="22"/>
          <w:szCs w:val="22"/>
          <w:u w:val="single" w:color="auto"/>
          <w:color w:val="auto"/>
        </w:rPr>
        <w:t>Article V</w:t>
      </w:r>
      <w:r>
        <w:rPr>
          <w:rFonts w:ascii="Arial" w:cs="Arial" w:eastAsia="Arial" w:hAnsi="Arial"/>
          <w:sz w:val="22"/>
          <w:szCs w:val="22"/>
          <w:color w:val="auto"/>
        </w:rPr>
        <w:t>, deemed made by or on behalf of WIL-Ireland or any Subsidiary herein or in any other Loan Document or in any document, certificate or financial statement delivered in connection with this Agreement or any other Loan Document shall prove to have been incorrect in any material respect (or, to the extent qualified by materiality or reference to Material Adverse Effect, in all respects) when made or deemed made or reaffirmed, as the case may be; 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79" w:name="page280"/>
    <w:bookmarkEnd w:id="279"/>
    <w:p>
      <w:pPr>
        <w:jc w:val="both"/>
        <w:ind w:firstLine="1305"/>
        <w:spacing w:after="0" w:line="265" w:lineRule="auto"/>
        <w:tabs>
          <w:tab w:leader="none" w:pos="1890" w:val="left"/>
        </w:tabs>
        <w:numPr>
          <w:ilvl w:val="0"/>
          <w:numId w:val="338"/>
        </w:numPr>
        <w:rPr>
          <w:rFonts w:ascii="Arial" w:cs="Arial" w:eastAsia="Arial" w:hAnsi="Arial"/>
          <w:sz w:val="21"/>
          <w:szCs w:val="21"/>
          <w:color w:val="auto"/>
        </w:rPr>
      </w:pPr>
      <w:r>
        <w:rPr>
          <w:rFonts w:ascii="Arial" w:cs="Arial" w:eastAsia="Arial" w:hAnsi="Arial"/>
          <w:sz w:val="21"/>
          <w:szCs w:val="21"/>
          <w:color w:val="auto"/>
        </w:rPr>
        <w:t xml:space="preserve">any Obligor Party shall (i) fail to perform or observe any covenant, condition or agreement contained in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(with respect to the existence of any Obligor) or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(ii) fail to give any notice required by </w:t>
      </w:r>
      <w:r>
        <w:rPr>
          <w:rFonts w:ascii="Arial" w:cs="Arial" w:eastAsia="Arial" w:hAnsi="Arial"/>
          <w:sz w:val="21"/>
          <w:szCs w:val="21"/>
          <w:u w:val="single" w:color="auto"/>
          <w:color w:val="auto"/>
        </w:rPr>
        <w:t>Section 7.01(d)(ii)</w:t>
      </w:r>
      <w:r>
        <w:rPr>
          <w:rFonts w:ascii="Arial" w:cs="Arial" w:eastAsia="Arial" w:hAnsi="Arial"/>
          <w:sz w:val="21"/>
          <w:szCs w:val="21"/>
          <w:color w:val="auto"/>
        </w:rPr>
        <w:t xml:space="preserve"> or (iii) fail to perform or observe any Additional Financial Covenant (subject to any grace period applicable to such Additional Financial Covenant in the Other Debt Document that contains such Additional Financial Covenant); or</w:t>
      </w:r>
    </w:p>
    <w:p>
      <w:pPr>
        <w:spacing w:after="0" w:line="216" w:lineRule="exact"/>
        <w:rPr>
          <w:rFonts w:ascii="Arial" w:cs="Arial" w:eastAsia="Arial" w:hAnsi="Arial"/>
          <w:sz w:val="21"/>
          <w:szCs w:val="21"/>
          <w:color w:val="auto"/>
        </w:rPr>
      </w:pPr>
    </w:p>
    <w:p>
      <w:pPr>
        <w:jc w:val="both"/>
        <w:ind w:firstLine="1305"/>
        <w:spacing w:after="0" w:line="265" w:lineRule="auto"/>
        <w:tabs>
          <w:tab w:leader="none" w:pos="1829" w:val="left"/>
        </w:tabs>
        <w:numPr>
          <w:ilvl w:val="0"/>
          <w:numId w:val="338"/>
        </w:numPr>
        <w:rPr>
          <w:rFonts w:ascii="Arial" w:cs="Arial" w:eastAsia="Arial" w:hAnsi="Arial"/>
          <w:sz w:val="21"/>
          <w:szCs w:val="21"/>
          <w:color w:val="auto"/>
        </w:rPr>
      </w:pPr>
      <w:r>
        <w:rPr>
          <w:rFonts w:ascii="Arial" w:cs="Arial" w:eastAsia="Arial" w:hAnsi="Arial"/>
          <w:sz w:val="21"/>
          <w:szCs w:val="21"/>
          <w:color w:val="auto"/>
        </w:rPr>
        <w:t xml:space="preserve">any Obligor Party shall fail to give any notice required by </w:t>
      </w:r>
      <w:r>
        <w:rPr>
          <w:rFonts w:ascii="Arial" w:cs="Arial" w:eastAsia="Arial" w:hAnsi="Arial"/>
          <w:sz w:val="21"/>
          <w:szCs w:val="21"/>
          <w:u w:val="single" w:color="auto"/>
          <w:color w:val="auto"/>
        </w:rPr>
        <w:t>Section 7.01(c)</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7.01(d)(i)</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7.01(d)(iii)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7.01(f)</w:t>
      </w:r>
      <w:r>
        <w:rPr>
          <w:rFonts w:ascii="Arial" w:cs="Arial" w:eastAsia="Arial" w:hAnsi="Arial"/>
          <w:sz w:val="21"/>
          <w:szCs w:val="21"/>
          <w:color w:val="auto"/>
        </w:rPr>
        <w:t xml:space="preserve"> and, in any event, such failure shall remain unremedied for five Business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216" w:lineRule="exact"/>
        <w:rPr>
          <w:rFonts w:ascii="Arial" w:cs="Arial" w:eastAsia="Arial" w:hAnsi="Arial"/>
          <w:sz w:val="21"/>
          <w:szCs w:val="21"/>
          <w:color w:val="auto"/>
        </w:rPr>
      </w:pPr>
    </w:p>
    <w:p>
      <w:pPr>
        <w:jc w:val="both"/>
        <w:ind w:firstLine="1305"/>
        <w:spacing w:after="0" w:line="248" w:lineRule="auto"/>
        <w:tabs>
          <w:tab w:leader="none" w:pos="1955" w:val="left"/>
        </w:tabs>
        <w:numPr>
          <w:ilvl w:val="0"/>
          <w:numId w:val="338"/>
        </w:numPr>
        <w:rPr>
          <w:rFonts w:ascii="Arial" w:cs="Arial" w:eastAsia="Arial" w:hAnsi="Arial"/>
          <w:sz w:val="22"/>
          <w:szCs w:val="22"/>
          <w:color w:val="auto"/>
        </w:rPr>
      </w:pPr>
      <w:r>
        <w:rPr>
          <w:rFonts w:ascii="Arial" w:cs="Arial" w:eastAsia="Arial" w:hAnsi="Arial"/>
          <w:sz w:val="22"/>
          <w:szCs w:val="22"/>
          <w:color w:val="auto"/>
        </w:rPr>
        <w:t xml:space="preserve">any Obligor shall fail to perform or observe any other term, covenant or agreement contained in this Agreement (other than those specified in </w:t>
      </w:r>
      <w:r>
        <w:rPr>
          <w:rFonts w:ascii="Arial" w:cs="Arial" w:eastAsia="Arial" w:hAnsi="Arial"/>
          <w:sz w:val="22"/>
          <w:szCs w:val="22"/>
          <w:u w:val="single" w:color="auto"/>
          <w:color w:val="auto"/>
        </w:rPr>
        <w:t>Section 9.01(a)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9.01(d)</w:t>
      </w:r>
      <w:r>
        <w:rPr>
          <w:rFonts w:ascii="Arial" w:cs="Arial" w:eastAsia="Arial" w:hAnsi="Arial"/>
          <w:sz w:val="22"/>
          <w:szCs w:val="22"/>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232" w:lineRule="exact"/>
        <w:rPr>
          <w:rFonts w:ascii="Arial" w:cs="Arial" w:eastAsia="Arial" w:hAnsi="Arial"/>
          <w:sz w:val="22"/>
          <w:szCs w:val="22"/>
          <w:color w:val="auto"/>
        </w:rPr>
      </w:pPr>
    </w:p>
    <w:p>
      <w:pPr>
        <w:jc w:val="both"/>
        <w:ind w:firstLine="1305"/>
        <w:spacing w:after="0" w:line="312" w:lineRule="auto"/>
        <w:tabs>
          <w:tab w:leader="none" w:pos="174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WIL-Ireland or any of its Restricted Subsidiaries shall fail to make (whether as primary obligor or as guarantor or other surety) any payment (regardless of amount) of principal or interest or premium, if any, in respect of any Material Indebtedness, when and as the same shall become due and payable (after giving effect to any grace period thereto); or</w:t>
      </w:r>
    </w:p>
    <w:p>
      <w:pPr>
        <w:spacing w:after="0" w:line="174" w:lineRule="exact"/>
        <w:rPr>
          <w:rFonts w:ascii="Arial" w:cs="Arial" w:eastAsia="Arial" w:hAnsi="Arial"/>
          <w:sz w:val="19"/>
          <w:szCs w:val="19"/>
          <w:color w:val="auto"/>
        </w:rPr>
      </w:pPr>
    </w:p>
    <w:p>
      <w:pPr>
        <w:jc w:val="both"/>
        <w:ind w:firstLine="1305"/>
        <w:spacing w:after="0" w:line="260" w:lineRule="auto"/>
        <w:tabs>
          <w:tab w:leader="none" w:pos="1770" w:val="left"/>
        </w:tabs>
        <w:numPr>
          <w:ilvl w:val="0"/>
          <w:numId w:val="338"/>
        </w:numPr>
        <w:rPr>
          <w:rFonts w:ascii="Arial" w:cs="Arial" w:eastAsia="Arial" w:hAnsi="Arial"/>
          <w:sz w:val="21"/>
          <w:szCs w:val="21"/>
          <w:color w:val="auto"/>
        </w:rPr>
      </w:pPr>
      <w:r>
        <w:rPr>
          <w:rFonts w:ascii="Arial" w:cs="Arial" w:eastAsia="Arial" w:hAnsi="Arial"/>
          <w:sz w:val="21"/>
          <w:szCs w:val="21"/>
          <w:color w:val="auto"/>
        </w:rPr>
        <w:t xml:space="preserve">(i) any event or condition occurs that results in any Material Indebtedness (other than under Swap Agreements)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or (ii) any event, condition or default occurs under any Swap Agreement that constitutes Material Indebtedness which default could enable the other counterparty to terminate such Swap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clause (g)(i) shall not apply to secured Indebtedness that becomes due as a result of the voluntary sale or transfer of the property or assets securing such Indebtedness; or</w:t>
      </w:r>
    </w:p>
    <w:p>
      <w:pPr>
        <w:spacing w:after="0" w:line="221" w:lineRule="exact"/>
        <w:rPr>
          <w:rFonts w:ascii="Arial" w:cs="Arial" w:eastAsia="Arial" w:hAnsi="Arial"/>
          <w:sz w:val="21"/>
          <w:szCs w:val="21"/>
          <w:color w:val="auto"/>
        </w:rPr>
      </w:pPr>
    </w:p>
    <w:p>
      <w:pPr>
        <w:ind w:firstLine="1305"/>
        <w:spacing w:after="0" w:line="263" w:lineRule="auto"/>
        <w:tabs>
          <w:tab w:leader="none" w:pos="1808" w:val="left"/>
        </w:tabs>
        <w:numPr>
          <w:ilvl w:val="0"/>
          <w:numId w:val="338"/>
        </w:numPr>
        <w:rPr>
          <w:rFonts w:ascii="Arial" w:cs="Arial" w:eastAsia="Arial" w:hAnsi="Arial"/>
          <w:sz w:val="22"/>
          <w:szCs w:val="22"/>
          <w:color w:val="auto"/>
        </w:rPr>
      </w:pPr>
      <w:r>
        <w:rPr>
          <w:rFonts w:ascii="Arial" w:cs="Arial" w:eastAsia="Arial" w:hAnsi="Arial"/>
          <w:sz w:val="22"/>
          <w:szCs w:val="22"/>
          <w:color w:val="auto"/>
        </w:rPr>
        <w:t>any Obligor or any Material Subsidiary shall become unable, admit in writing its inability or fail generally to pay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80" w:name="page281"/>
    <w:bookmarkEnd w:id="280"/>
    <w:p>
      <w:pPr>
        <w:jc w:val="both"/>
        <w:ind w:firstLine="1305"/>
        <w:spacing w:after="0" w:line="292" w:lineRule="auto"/>
        <w:tabs>
          <w:tab w:leader="none" w:pos="1822" w:val="left"/>
        </w:tabs>
        <w:numPr>
          <w:ilvl w:val="0"/>
          <w:numId w:val="339"/>
        </w:numPr>
        <w:rPr>
          <w:rFonts w:ascii="Arial" w:cs="Arial" w:eastAsia="Arial" w:hAnsi="Arial"/>
          <w:sz w:val="19"/>
          <w:szCs w:val="19"/>
          <w:color w:val="auto"/>
        </w:rPr>
      </w:pPr>
      <w:r>
        <w:rPr>
          <w:rFonts w:ascii="Arial" w:cs="Arial" w:eastAsia="Arial" w:hAnsi="Arial"/>
          <w:sz w:val="19"/>
          <w:szCs w:val="19"/>
          <w:color w:val="auto"/>
        </w:rPr>
        <w:t>the entry by a court having jurisdiction in the premises of (i) a decree or order for relief in respect of any Obligor or any Material Subsidiary in an involuntary case or proceeding under any applicable federal, state or foreign bankruptcy, insolvency, reorganization or other similar law or (ii) a decree or order adjudging any Obligor or any Material Subsidiary bankrupt or insolvent, or approving as properly filed a petition seeking reorganization, arrangement, adjustment or composition of or in respect of any Obligor or any Material Subsidiary under any applicable federal, state or foreign law, or appointing a custodian, receiver, liquidator, assignee, trustee, examiner, administrator, trustee, sequestrator or other similar official of any Obligor or any Material Subsidiary of any substantial part of its property, or ordering the winding up or liquidation of its affairs; or</w:t>
      </w:r>
    </w:p>
    <w:p>
      <w:pPr>
        <w:spacing w:after="0" w:line="192" w:lineRule="exact"/>
        <w:rPr>
          <w:rFonts w:ascii="Arial" w:cs="Arial" w:eastAsia="Arial" w:hAnsi="Arial"/>
          <w:sz w:val="19"/>
          <w:szCs w:val="19"/>
          <w:color w:val="auto"/>
        </w:rPr>
      </w:pPr>
    </w:p>
    <w:p>
      <w:pPr>
        <w:jc w:val="both"/>
        <w:ind w:firstLine="1305"/>
        <w:spacing w:after="0" w:line="289" w:lineRule="auto"/>
        <w:tabs>
          <w:tab w:leader="none" w:pos="1893" w:val="left"/>
        </w:tabs>
        <w:numPr>
          <w:ilvl w:val="0"/>
          <w:numId w:val="339"/>
        </w:numPr>
        <w:rPr>
          <w:rFonts w:ascii="Arial" w:cs="Arial" w:eastAsia="Arial" w:hAnsi="Arial"/>
          <w:sz w:val="19"/>
          <w:szCs w:val="19"/>
          <w:color w:val="auto"/>
        </w:rPr>
      </w:pPr>
      <w:r>
        <w:rPr>
          <w:rFonts w:ascii="Arial" w:cs="Arial" w:eastAsia="Arial" w:hAnsi="Arial"/>
          <w:sz w:val="19"/>
          <w:szCs w:val="19"/>
          <w:color w:val="auto"/>
        </w:rPr>
        <w:t>any Obligor or any Material Subsidiary shall (i) voluntarily commence a case or proceeding under any applicable federal, state or foreign bankruptcy, insolvency, reorganization or other similar law or of any other case or proceeding to be adjudicated a bankrupt or insolvent, (ii) consent to the entry of a decree or order for relief in respect of such Obligor or such Material Subsidiary in an involuntary case or proceeding under any applicable federal, state or foreign bankruptcy, insolvency, reorganization or other similar law or to the commencement of any bankruptcy or insolvency case or proceeding against it, (iii) file a petition or answer or consent seeking reorganization or relief under any applicable federal, state or foreign law, (iv) apply for or consent to the appointment of or taking possession by a custodian, receiver, liquidator, assignee, trustee, examiner, administrator, sequestrator or similar official of such Obligor or such Material Subsidiary or of any substantial part of its property, (v) make an assignment for the benefit of creditors, or (vi) take any corporate or other action in furtherance of any of the foregoing; or</w:t>
      </w:r>
    </w:p>
    <w:p>
      <w:pPr>
        <w:spacing w:after="0" w:line="198" w:lineRule="exact"/>
        <w:rPr>
          <w:rFonts w:ascii="Arial" w:cs="Arial" w:eastAsia="Arial" w:hAnsi="Arial"/>
          <w:sz w:val="19"/>
          <w:szCs w:val="19"/>
          <w:color w:val="auto"/>
        </w:rPr>
      </w:pPr>
    </w:p>
    <w:p>
      <w:pPr>
        <w:jc w:val="both"/>
        <w:ind w:firstLine="1305"/>
        <w:spacing w:after="0" w:line="258" w:lineRule="auto"/>
        <w:tabs>
          <w:tab w:leader="none" w:pos="1811" w:val="left"/>
        </w:tabs>
        <w:numPr>
          <w:ilvl w:val="0"/>
          <w:numId w:val="339"/>
        </w:numPr>
        <w:rPr>
          <w:rFonts w:ascii="Arial" w:cs="Arial" w:eastAsia="Arial" w:hAnsi="Arial"/>
          <w:sz w:val="21"/>
          <w:szCs w:val="21"/>
          <w:color w:val="auto"/>
        </w:rPr>
      </w:pPr>
      <w:r>
        <w:rPr>
          <w:rFonts w:ascii="Arial" w:cs="Arial" w:eastAsia="Arial" w:hAnsi="Arial"/>
          <w:sz w:val="21"/>
          <w:szCs w:val="21"/>
          <w:color w:val="auto"/>
        </w:rPr>
        <w:t xml:space="preserve">a judgment or order for monetary damages shall be entered against any Obligor or any Restricted Subsidiary, which with other outstanding judgments and orders for monetary damages entered against the Obligors and the Restricted Subsidiaries equals or exceeds $100,000,000 in the aggregate (to the extent not covered by independent third-party insurance as to which the respective insurer is financially sound and has not disputed coverage), and (i) within 60 days after entry thereof such judgment shall not have been discharged or execution thereof stayed pending appeal or, within 60 days after the expiration of any such stay, such judgment shall not have been discharged, or (ii) any enforcement proceeding shall have been commenced (and not stayed) by any creditor upon any such judgment;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judgment or order provides for any Obligor or any Restricted Subsidiary to make periodic payments over time, no Event of Default shall arise under this clause (i) if such Obligor or such Restricted Subsidiary makes each such periodic payment when due in accordance with the terms of such judgment or order (or within 30 days after the due date of each such periodic payment, but only so long as no Lien attaches during such 30-day period and no enforcement proceeding is commenced by any creditor for payment of such judgment or order during such 30-day period); or</w:t>
      </w:r>
    </w:p>
    <w:p>
      <w:pPr>
        <w:spacing w:after="0" w:line="220" w:lineRule="exact"/>
        <w:rPr>
          <w:rFonts w:ascii="Arial" w:cs="Arial" w:eastAsia="Arial" w:hAnsi="Arial"/>
          <w:sz w:val="21"/>
          <w:szCs w:val="21"/>
          <w:color w:val="auto"/>
        </w:rPr>
      </w:pPr>
    </w:p>
    <w:p>
      <w:pPr>
        <w:jc w:val="both"/>
        <w:ind w:firstLine="1305"/>
        <w:spacing w:after="0" w:line="261" w:lineRule="auto"/>
        <w:tabs>
          <w:tab w:leader="none" w:pos="1848" w:val="left"/>
        </w:tabs>
        <w:numPr>
          <w:ilvl w:val="0"/>
          <w:numId w:val="339"/>
        </w:numPr>
        <w:rPr>
          <w:rFonts w:ascii="Arial" w:cs="Arial" w:eastAsia="Arial" w:hAnsi="Arial"/>
          <w:sz w:val="21"/>
          <w:szCs w:val="21"/>
          <w:color w:val="auto"/>
        </w:rPr>
      </w:pPr>
      <w:r>
        <w:rPr>
          <w:rFonts w:ascii="Arial" w:cs="Arial" w:eastAsia="Arial" w:hAnsi="Arial"/>
          <w:sz w:val="21"/>
          <w:szCs w:val="21"/>
          <w:color w:val="auto"/>
        </w:rPr>
        <w:t>at any time prior to Payment in Full, any Loan Document (other than one or more Collateral Documents intended to grant or perfect a Lien in Collateral with a net book value of less than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 or shall be declared to be null and void, or the validity or enforceability thereof shall be contested by any Obligor or any Obligor shall deny that it has any or further liability or obligation thereunder;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81" w:name="page282"/>
    <w:bookmarkEnd w:id="281"/>
    <w:p>
      <w:pPr>
        <w:jc w:val="both"/>
        <w:ind w:firstLine="1305"/>
        <w:spacing w:after="0" w:line="261" w:lineRule="auto"/>
        <w:tabs>
          <w:tab w:leader="none" w:pos="1884" w:val="left"/>
        </w:tabs>
        <w:numPr>
          <w:ilvl w:val="0"/>
          <w:numId w:val="340"/>
        </w:numPr>
        <w:rPr>
          <w:rFonts w:ascii="Arial" w:cs="Arial" w:eastAsia="Arial" w:hAnsi="Arial"/>
          <w:sz w:val="21"/>
          <w:szCs w:val="21"/>
          <w:color w:val="auto"/>
        </w:rPr>
      </w:pPr>
      <w:r>
        <w:rPr>
          <w:rFonts w:ascii="Arial" w:cs="Arial" w:eastAsia="Arial" w:hAnsi="Arial"/>
          <w:sz w:val="21"/>
          <w:szCs w:val="21"/>
          <w:color w:val="auto"/>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first priority security interest or other Lien in any material portion of the Collateral purported to be covered thereby, except to the extent permitted by the terms of any Loan Document,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shall not be an Event of Default if the aggregate net book value of the Collateral with respect to which the Collateral Documents fail to create a valid and perfected first priority security interest or other Lien is less than $5,000,000; or</w:t>
      </w:r>
    </w:p>
    <w:p>
      <w:pPr>
        <w:spacing w:after="0" w:line="220" w:lineRule="exact"/>
        <w:rPr>
          <w:rFonts w:ascii="Arial" w:cs="Arial" w:eastAsia="Arial" w:hAnsi="Arial"/>
          <w:sz w:val="21"/>
          <w:szCs w:val="21"/>
          <w:color w:val="auto"/>
        </w:rPr>
      </w:pPr>
    </w:p>
    <w:p>
      <w:pPr>
        <w:jc w:val="both"/>
        <w:ind w:firstLine="1305"/>
        <w:spacing w:after="0" w:line="257" w:lineRule="auto"/>
        <w:tabs>
          <w:tab w:leader="none" w:pos="1898" w:val="left"/>
        </w:tabs>
        <w:numPr>
          <w:ilvl w:val="0"/>
          <w:numId w:val="340"/>
        </w:numPr>
        <w:rPr>
          <w:rFonts w:ascii="Arial" w:cs="Arial" w:eastAsia="Arial" w:hAnsi="Arial"/>
          <w:sz w:val="21"/>
          <w:szCs w:val="21"/>
          <w:color w:val="auto"/>
        </w:rPr>
      </w:pPr>
      <w:r>
        <w:rPr>
          <w:rFonts w:ascii="Arial" w:cs="Arial" w:eastAsia="Arial" w:hAnsi="Arial"/>
          <w:sz w:val="21"/>
          <w:szCs w:val="21"/>
          <w:color w:val="auto"/>
        </w:rPr>
        <w:t>an ERISA Event has occurred that would reasonably be expected (individually or collectively) to have a Material Adverse Effect; any proceeding shall have occurred or is reasonably likely to occur by the PBGC under Section 4069(a) of ERISA to impose liability on WIL-Ireland, any of its Subsidiaries, the Borrower or any ERISA Affiliate which (individually or collectively) would reasonably be expected to have a Material Adverse Effect; or WIL-Ireland, any of its Subsidiaries, the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WIL-Ireland or any ERISA Affiliate that a Plan may become a subject of any such proceedings, and there shall result (individually or collectively) from any such event or events a material risk of either (i) the imposition of a Lien(s) upon, or the granting of a security interest(s) in, the assets of WIL-Ireland, any of its Subsidiaries and/or the Borrower or any ERISA Affiliate which would reasonably be expected to have a Material Adverse Effect, or (ii) WIL-Ireland, any of its Subsidiaries and/or the Borrower or any ERISA Affiliate incurring a liability(ies) or obligation(s) with respect thereto which would reasonably be expected to have a Material Adverse Effect;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then, and in every such event (other than an event with respect to any Obligor described in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9.01(j)</w:t>
      </w:r>
      <w:r>
        <w:rPr>
          <w:rFonts w:ascii="Arial" w:cs="Arial" w:eastAsia="Arial" w:hAnsi="Arial"/>
          <w:sz w:val="19"/>
          <w:szCs w:val="19"/>
          <w:color w:val="auto"/>
        </w:rPr>
        <w:t>), and at any time thereafter during the continuance of such event, the Administrative Agent may, and at the request of the Required Lenders shall, by notice to the Borrower, take either or both of the following actions, at the same or different times:</w:t>
      </w:r>
    </w:p>
    <w:p>
      <w:pPr>
        <w:spacing w:after="0" w:line="134" w:lineRule="exact"/>
        <w:rPr>
          <w:sz w:val="20"/>
          <w:szCs w:val="20"/>
          <w:color w:val="auto"/>
        </w:rPr>
      </w:pPr>
    </w:p>
    <w:p>
      <w:pPr>
        <w:ind w:left="660" w:firstLine="1293"/>
        <w:spacing w:after="0" w:line="263" w:lineRule="auto"/>
        <w:tabs>
          <w:tab w:leader="none" w:pos="2437" w:val="left"/>
        </w:tabs>
        <w:numPr>
          <w:ilvl w:val="0"/>
          <w:numId w:val="341"/>
        </w:numPr>
        <w:rPr>
          <w:rFonts w:ascii="Arial" w:cs="Arial" w:eastAsia="Arial" w:hAnsi="Arial"/>
          <w:sz w:val="22"/>
          <w:szCs w:val="22"/>
          <w:color w:val="auto"/>
        </w:rPr>
      </w:pPr>
      <w:r>
        <w:rPr>
          <w:rFonts w:ascii="Arial" w:cs="Arial" w:eastAsia="Arial" w:hAnsi="Arial"/>
          <w:sz w:val="22"/>
          <w:szCs w:val="22"/>
          <w:color w:val="auto"/>
        </w:rPr>
        <w:t>terminate the Commitments (if the Commitments are then in effect), and thereupon the Commitments shall terminate immediately, and</w:t>
      </w:r>
    </w:p>
    <w:p>
      <w:pPr>
        <w:spacing w:after="0" w:line="215" w:lineRule="exact"/>
        <w:rPr>
          <w:rFonts w:ascii="Arial" w:cs="Arial" w:eastAsia="Arial" w:hAnsi="Arial"/>
          <w:sz w:val="22"/>
          <w:szCs w:val="22"/>
          <w:color w:val="auto"/>
        </w:rPr>
      </w:pPr>
    </w:p>
    <w:p>
      <w:pPr>
        <w:jc w:val="both"/>
        <w:ind w:left="660" w:firstLine="1293"/>
        <w:spacing w:after="0" w:line="263" w:lineRule="auto"/>
        <w:tabs>
          <w:tab w:leader="none" w:pos="2557" w:val="left"/>
        </w:tabs>
        <w:numPr>
          <w:ilvl w:val="0"/>
          <w:numId w:val="341"/>
        </w:numPr>
        <w:rPr>
          <w:rFonts w:ascii="Arial" w:cs="Arial" w:eastAsia="Arial" w:hAnsi="Arial"/>
          <w:sz w:val="21"/>
          <w:szCs w:val="21"/>
          <w:color w:val="auto"/>
        </w:rPr>
      </w:pPr>
      <w:r>
        <w:rPr>
          <w:rFonts w:ascii="Arial" w:cs="Arial" w:eastAsia="Arial" w:hAnsi="Arial"/>
          <w:sz w:val="21"/>
          <w:szCs w:val="21"/>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82" w:name="page283"/>
    <w:bookmarkEnd w:id="282"/>
    <w:p>
      <w:pPr>
        <w:jc w:val="both"/>
        <w:spacing w:after="0" w:line="297" w:lineRule="auto"/>
        <w:rPr>
          <w:sz w:val="20"/>
          <w:szCs w:val="20"/>
          <w:color w:val="auto"/>
        </w:rPr>
      </w:pPr>
      <w:r>
        <w:rPr>
          <w:rFonts w:ascii="Arial" w:cs="Arial" w:eastAsia="Arial" w:hAnsi="Arial"/>
          <w:sz w:val="19"/>
          <w:szCs w:val="19"/>
          <w:color w:val="auto"/>
        </w:rPr>
        <w:t xml:space="preserve">and in case of any event with respect to any Obligor described in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9.01(j)</w:t>
      </w:r>
      <w:r>
        <w:rPr>
          <w:rFonts w:ascii="Arial" w:cs="Arial" w:eastAsia="Arial" w:hAnsi="Arial"/>
          <w:sz w:val="19"/>
          <w:szCs w:val="19"/>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Obligors and the Administrative Agent and Lenders may enforce any and all of their rights and remedies under the Loan Document and applicable law.</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Upon the occurrence and during the continuance of any Event of Default, each Lender is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any of its Affiliates to or for the credit or the account of any Obligor against any and all of the Obligations irrespective of whether or not such Lender or the Administrative Agent shall have made any demand under this Agreement, the Notes or any other Loan Document. Should the right of any Lender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Defaulting Lender shall exercise any such right of setoff, (x) all amounts so setoff shall be paid over immediately to the Administrative Agent for further application and/or cash collateralization pursuant to </w:t>
      </w:r>
      <w:r>
        <w:rPr>
          <w:rFonts w:ascii="Arial" w:cs="Arial" w:eastAsia="Arial" w:hAnsi="Arial"/>
          <w:sz w:val="19"/>
          <w:szCs w:val="19"/>
          <w:u w:val="single" w:color="auto"/>
          <w:color w:val="auto"/>
        </w:rPr>
        <w:t>Section 4.01(e)</w:t>
      </w:r>
      <w:r>
        <w:rPr>
          <w:rFonts w:ascii="Arial" w:cs="Arial" w:eastAsia="Arial" w:hAnsi="Arial"/>
          <w:sz w:val="19"/>
          <w:szCs w:val="19"/>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agrees to promptly notify the applicable Obligor and the Administrative Agent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and the Lenders under this Section are in addition to other rights and remedies (including other rights of setoff) which the Administrative Agent or the Lenders may have. This Section is subject to the terms and provisions of </w:t>
      </w:r>
      <w:r>
        <w:rPr>
          <w:rFonts w:ascii="Arial" w:cs="Arial" w:eastAsia="Arial" w:hAnsi="Arial"/>
          <w:sz w:val="19"/>
          <w:szCs w:val="19"/>
          <w:u w:val="single" w:color="auto"/>
          <w:color w:val="auto"/>
        </w:rPr>
        <w:t>Section 4.01(c)</w:t>
      </w:r>
      <w:r>
        <w:rPr>
          <w:rFonts w:ascii="Arial" w:cs="Arial" w:eastAsia="Arial" w:hAnsi="Arial"/>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Other Remedies</w:t>
      </w:r>
      <w:r>
        <w:rPr>
          <w:rFonts w:ascii="Arial" w:cs="Arial" w:eastAsia="Arial" w:hAnsi="Arial"/>
          <w:sz w:val="22"/>
          <w:szCs w:val="22"/>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Application of Moneys During Continuation of Event of Default</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8" w:lineRule="auto"/>
        <w:tabs>
          <w:tab w:leader="none" w:pos="177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So long as an Event of Default of which the Administrative Agent shall have given notice to the Lenders shall continue, all moneys received by the Administrative Agent from any Obligor under the Loan Documents shall, except as otherwise required by law, be distributed by the Administrative Agent on the dates selected by the Administrative Agent as follows:</w:t>
      </w:r>
    </w:p>
    <w:p>
      <w:pPr>
        <w:spacing w:after="0" w:line="1" w:lineRule="exact"/>
        <w:rPr>
          <w:rFonts w:ascii="Arial" w:cs="Arial" w:eastAsia="Arial" w:hAnsi="Arial"/>
          <w:sz w:val="19"/>
          <w:szCs w:val="19"/>
          <w:color w:val="auto"/>
        </w:rPr>
      </w:pPr>
    </w:p>
    <w:p>
      <w:pPr>
        <w:jc w:val="both"/>
        <w:ind w:left="1300"/>
        <w:spacing w:after="0" w:line="245" w:lineRule="auto"/>
        <w:rPr>
          <w:rFonts w:ascii="Arial" w:cs="Arial" w:eastAsia="Arial" w:hAnsi="Arial"/>
          <w:sz w:val="19"/>
          <w:szCs w:val="19"/>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the unreimbursed expenses for which the Administrative Agent or any Lender is to be reimbursed pursuant to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and to any unpaid fees owing under the Loan Documents by the Obligors to the Administrative Agent;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83" w:name="page284"/>
    <w:bookmarkEnd w:id="283"/>
    <w:p>
      <w:pPr>
        <w:ind w:left="1300"/>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ratable payment of accrued but unpaid interest on the Loans;</w:t>
      </w:r>
    </w:p>
    <w:p>
      <w:pPr>
        <w:spacing w:after="0" w:line="22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the ratable payment of unpaid principal of the Loans and, to the extent Secured Obligations, any Banking Services Obligations and Swap Obligations, until the principal of the Loans and such Banking Services Obligations and Swap Obligations shall have been paid in full;</w:t>
      </w:r>
    </w:p>
    <w:p>
      <w:pPr>
        <w:spacing w:after="0" w:line="186"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the ratable payment of all other Secured Obligations, until all Secured Obligations shall have been paid in full; and</w:t>
      </w:r>
    </w:p>
    <w:p>
      <w:pPr>
        <w:spacing w:after="0" w:line="175"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u w:val="single" w:color="auto"/>
          <w:color w:val="auto"/>
        </w:rPr>
        <w:t>finally</w:t>
      </w:r>
      <w:r>
        <w:rPr>
          <w:rFonts w:ascii="Arial" w:cs="Arial" w:eastAsia="Arial" w:hAnsi="Arial"/>
          <w:sz w:val="22"/>
          <w:szCs w:val="22"/>
          <w:color w:val="auto"/>
        </w:rPr>
        <w:t>, to payment to the Obligors, or their respective successors or assigns, or as a court of competent jurisdiction may direct, of any surplus then remaining from such proceeds.</w:t>
      </w:r>
    </w:p>
    <w:p>
      <w:pPr>
        <w:spacing w:after="0" w:line="175" w:lineRule="exact"/>
        <w:rPr>
          <w:sz w:val="20"/>
          <w:szCs w:val="20"/>
          <w:color w:val="auto"/>
        </w:rPr>
      </w:pPr>
    </w:p>
    <w:p>
      <w:pPr>
        <w:jc w:val="both"/>
        <w:ind w:firstLine="1305"/>
        <w:spacing w:after="0" w:line="253" w:lineRule="auto"/>
        <w:tabs>
          <w:tab w:leader="none" w:pos="181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 xml:space="preserve">The term “unpaid” as used in this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shall mean all relevant Secured Obligations outstanding as of any such distribution date as to which prior distributions have not been made, after giving effect to any adjustments which are made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of which the Administrative Agent shall have been notified.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ADMINISTRATIVE AGENT</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Each of the Lenders, on behalf of itself and any of its Affiliates that are holders of Secured Obligations,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The provisions of this Article are solely for the benefit of the Administrative Agent and the Lenders, and neither the Borrower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84" w:name="page285"/>
    <w:bookmarkEnd w:id="284"/>
    <w:p>
      <w:pPr>
        <w:jc w:val="both"/>
        <w:ind w:firstLine="648"/>
        <w:spacing w:after="0" w:line="283" w:lineRule="auto"/>
        <w:rPr>
          <w:sz w:val="20"/>
          <w:szCs w:val="20"/>
          <w:color w:val="auto"/>
        </w:rPr>
      </w:pPr>
      <w:r>
        <w:rPr>
          <w:rFonts w:ascii="Arial" w:cs="Arial" w:eastAsia="Arial" w:hAnsi="Arial"/>
          <w:sz w:val="19"/>
          <w:szCs w:val="19"/>
          <w:color w:val="auto"/>
        </w:rPr>
        <w:t xml:space="preserve">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11.01</w:t>
      </w:r>
      <w:r>
        <w:rPr>
          <w:rFonts w:ascii="Arial" w:cs="Arial" w:eastAsia="Arial" w:hAnsi="Arial"/>
          <w:sz w:val="19"/>
          <w:szCs w:val="19"/>
          <w:color w:val="auto"/>
        </w:rPr>
        <w:t>)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the Borrower or a Lender, and the Administrative Agent shall not be responsible for or have any duty to ascertain or inquire into</w:t>
      </w:r>
    </w:p>
    <w:p>
      <w:pPr>
        <w:spacing w:after="0" w:line="2" w:lineRule="exact"/>
        <w:rPr>
          <w:sz w:val="20"/>
          <w:szCs w:val="20"/>
          <w:color w:val="auto"/>
        </w:rPr>
      </w:pPr>
    </w:p>
    <w:p>
      <w:pPr>
        <w:jc w:val="both"/>
        <w:ind w:firstLine="8"/>
        <w:spacing w:after="0" w:line="244" w:lineRule="auto"/>
        <w:tabs>
          <w:tab w:leader="none" w:pos="317" w:val="left"/>
        </w:tabs>
        <w:numPr>
          <w:ilvl w:val="0"/>
          <w:numId w:val="344"/>
        </w:numPr>
        <w:rPr>
          <w:rFonts w:ascii="Arial" w:cs="Arial" w:eastAsia="Arial" w:hAnsi="Arial"/>
          <w:sz w:val="22"/>
          <w:szCs w:val="22"/>
          <w:color w:val="auto"/>
        </w:rPr>
      </w:pPr>
      <w:r>
        <w:rPr>
          <w:rFonts w:ascii="Arial" w:cs="Arial" w:eastAsia="Arial" w:hAnsi="Arial"/>
          <w:sz w:val="22"/>
          <w:szCs w:val="22"/>
          <w:color w:val="auto"/>
        </w:rPr>
        <w:t xml:space="preserve">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elsewhere herein, other than those conditions requiring delivery of items expressly required to be delivered to the Administrative Agent.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each case in good faith in accordance with the advice of any such counsel, accountants or experts.</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85" w:name="page286"/>
    <w:bookmarkEnd w:id="285"/>
    <w:p>
      <w:pPr>
        <w:jc w:val="both"/>
        <w:ind w:firstLine="648"/>
        <w:spacing w:after="0" w:line="246" w:lineRule="auto"/>
        <w:rPr>
          <w:sz w:val="20"/>
          <w:szCs w:val="20"/>
          <w:color w:val="auto"/>
        </w:rPr>
      </w:pPr>
      <w:r>
        <w:rPr>
          <w:rFonts w:ascii="Arial" w:cs="Arial" w:eastAsia="Arial" w:hAnsi="Arial"/>
          <w:sz w:val="22"/>
          <w:szCs w:val="22"/>
          <w:color w:val="auto"/>
        </w:rPr>
        <w:t>Subject to the appointment and acceptance of a successor Administrative Agent as provided in this paragraph and the second succeeding paragraph, the Administrative Agent may resign at any time by notifying the Lenders and the Borrower. Upon any resignation of the Administrative Agent,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which shall be a bank with an office in New York, New York, or an Affiliate of any such bank.</w:t>
      </w:r>
    </w:p>
    <w:p>
      <w:pPr>
        <w:spacing w:after="0" w:line="1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In addition, in the event that (i) the Person serving as the Administrative Agent is a Defaulting Lender and (ii) such Person has been replaced in its capacity as a Lender pursuant to </w:t>
      </w:r>
      <w:r>
        <w:rPr>
          <w:rFonts w:ascii="Arial" w:cs="Arial" w:eastAsia="Arial" w:hAnsi="Arial"/>
          <w:sz w:val="21"/>
          <w:szCs w:val="21"/>
          <w:u w:val="single" w:color="auto"/>
          <w:color w:val="auto"/>
        </w:rPr>
        <w:t>Section 4.03(b)</w:t>
      </w:r>
      <w:r>
        <w:rPr>
          <w:rFonts w:ascii="Arial" w:cs="Arial" w:eastAsia="Arial" w:hAnsi="Arial"/>
          <w:sz w:val="21"/>
          <w:szCs w:val="21"/>
          <w:color w:val="auto"/>
        </w:rPr>
        <w:t xml:space="preserve">, then the Required Lenders or the Borrower may, by written notice to the Administrative Agent, remove such Person from its capacity as Administrative Agent under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consent or agreement of such Person, in any of its capacities, shall not be required in respect of its removal as a Lender;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 successor Administrative Agent selected by the Required Lenders, in consultation with the Borrower, shall be appointed concurrently with such removal.</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or removal hereunder, the provisions of this Article and </w:t>
      </w:r>
      <w:r>
        <w:rPr>
          <w:rFonts w:ascii="Arial" w:cs="Arial" w:eastAsia="Arial" w:hAnsi="Arial"/>
          <w:sz w:val="21"/>
          <w:szCs w:val="21"/>
          <w:u w:val="single" w:color="auto"/>
          <w:color w:val="auto"/>
        </w:rPr>
        <w:t>Sections 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86" w:name="page287"/>
    <w:bookmarkEnd w:id="286"/>
    <w:p>
      <w:pPr>
        <w:jc w:val="both"/>
        <w:spacing w:after="0" w:line="253" w:lineRule="auto"/>
        <w:rPr>
          <w:sz w:val="20"/>
          <w:szCs w:val="20"/>
          <w:color w:val="auto"/>
        </w:rPr>
      </w:pPr>
      <w:r>
        <w:rPr>
          <w:rFonts w:ascii="Arial" w:cs="Arial" w:eastAsia="Arial" w:hAnsi="Arial"/>
          <w:sz w:val="22"/>
          <w:szCs w:val="22"/>
          <w:color w:val="auto"/>
        </w:rPr>
        <w:t>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anything to the contrary contained herein, none of the Joint Lead Arrangers, Joint Bookrunners, Syndication Agent or Co-Documentation Agents listed on the cover page hereof shall have any powers, duties or responsibilities under this Agreement or any of the other Loan Documents, except in its capacity, as applicable, as the Administrative Agent or a Lender.</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43" w:lineRule="exact"/>
        <w:rPr>
          <w:sz w:val="20"/>
          <w:szCs w:val="20"/>
          <w:color w:val="auto"/>
        </w:rPr>
      </w:pPr>
    </w:p>
    <w:p>
      <w:pPr>
        <w:ind w:right="20" w:firstLine="648"/>
        <w:spacing w:after="0" w:line="284" w:lineRule="auto"/>
        <w:rPr>
          <w:sz w:val="20"/>
          <w:szCs w:val="20"/>
          <w:color w:val="auto"/>
        </w:rPr>
      </w:pPr>
      <w:r>
        <w:rPr>
          <w:rFonts w:ascii="Arial" w:cs="Arial" w:eastAsia="Arial" w:hAnsi="Arial"/>
          <w:sz w:val="19"/>
          <w:szCs w:val="19"/>
          <w:color w:val="auto"/>
        </w:rPr>
        <w:t xml:space="preserve">In its capacity, the Administrative Agent is a “representative” of the Secured Parties within the meaning of the term “secured party” as defined in the UCC.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documents necessary or appropriate to grant and perfect a Lien on such Collateral in favor of the Administrative Agent on behalf of the Secured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Collateral Documents governed by the laws of the Netherlands, the Administrative Agent shall act in its own name but for the benefit of the Secured Parties. The Lenders hereby authorize the Administrative Agent, at its option and in its discretion, to release any Lien granted to or held by the Administrative Agent upon any Collateral (i) as described in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11.22</w:t>
      </w:r>
      <w:r>
        <w:rPr>
          <w:rFonts w:ascii="Arial" w:cs="Arial" w:eastAsia="Arial" w:hAnsi="Arial"/>
          <w:sz w:val="19"/>
          <w:szCs w:val="19"/>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Administrative Agent shall not be required to execute any such document on terms which, in the Administrative Agent’s opinion, would expose the Administrative Agent to liability or create any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4" w:right="239" w:bottom="1440" w:gutter="0" w:footer="0" w:header="0"/>
        </w:sectPr>
      </w:pPr>
    </w:p>
    <w:bookmarkStart w:id="287" w:name="page288"/>
    <w:bookmarkEnd w:id="287"/>
    <w:p>
      <w:pPr>
        <w:ind w:right="20"/>
        <w:spacing w:after="0" w:line="247" w:lineRule="auto"/>
        <w:rPr>
          <w:sz w:val="20"/>
          <w:szCs w:val="20"/>
          <w:color w:val="auto"/>
        </w:rPr>
      </w:pPr>
      <w:r>
        <w:rPr>
          <w:rFonts w:ascii="Arial" w:cs="Arial" w:eastAsia="Arial" w:hAnsi="Arial"/>
          <w:sz w:val="22"/>
          <w:szCs w:val="22"/>
          <w:color w:val="auto"/>
        </w:rPr>
        <w:t>obligation or entail any consequence other than the release of such Liens without recourse or warranty, and (ii) such release shall not in any manner discharge, affect or impair the Secured Obligations or any Liens (other than those expressly being released) upon (or obligations of WIL-Ireland or any Subsidiary in respect of) all interests retained by WIL-Ireland or any Subsidiary, including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In case of the pendency of any proceeding with respect to any Obligor under any federal, state or foreign bankruptcy, insolvency, receivership, administration, examinership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6" w:lineRule="exact"/>
        <w:rPr>
          <w:sz w:val="20"/>
          <w:szCs w:val="20"/>
          <w:color w:val="auto"/>
        </w:rPr>
      </w:pPr>
    </w:p>
    <w:p>
      <w:pPr>
        <w:jc w:val="both"/>
        <w:ind w:firstLine="656"/>
        <w:spacing w:after="0" w:line="250" w:lineRule="auto"/>
        <w:tabs>
          <w:tab w:leader="none" w:pos="1140" w:val="left"/>
        </w:tabs>
        <w:numPr>
          <w:ilvl w:val="0"/>
          <w:numId w:val="345"/>
        </w:numPr>
        <w:rPr>
          <w:rFonts w:ascii="Arial" w:cs="Arial" w:eastAsia="Arial" w:hAnsi="Arial"/>
          <w:sz w:val="22"/>
          <w:szCs w:val="22"/>
          <w:color w:val="auto"/>
        </w:rPr>
      </w:pPr>
      <w:r>
        <w:rPr>
          <w:rFonts w:ascii="Arial" w:cs="Arial" w:eastAsia="Arial" w:hAnsi="Arial"/>
          <w:sz w:val="22"/>
          <w:szCs w:val="22"/>
          <w:color w:val="auto"/>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 allowed in such judicial proceeding; and</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0"/>
          <w:numId w:val="345"/>
        </w:numPr>
        <w:rPr>
          <w:rFonts w:ascii="Arial" w:cs="Arial" w:eastAsia="Arial" w:hAnsi="Arial"/>
          <w:sz w:val="19"/>
          <w:szCs w:val="19"/>
          <w:color w:val="auto"/>
        </w:rPr>
      </w:pPr>
      <w:r>
        <w:rPr>
          <w:rFonts w:ascii="Arial" w:cs="Arial" w:eastAsia="Arial" w:hAnsi="Arial"/>
          <w:sz w:val="19"/>
          <w:szCs w:val="19"/>
          <w:color w:val="auto"/>
        </w:rPr>
        <w:t>collect and receive any monies or other property payable or deliverable on any such claims and to distribute the same;</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and any custodian, receiver, assignee, trustee, administrator, examiner,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Arial" w:cs="Arial" w:eastAsia="Arial" w:hAnsi="Arial"/>
          <w:sz w:val="21"/>
          <w:szCs w:val="21"/>
          <w:u w:val="single" w:color="auto"/>
          <w:color w:val="auto"/>
        </w:rPr>
        <w:t>Sections 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For the purposes of any grant of security under the laws of the Province of Quebec which may now or in the future be required to be provided by any Credit Party,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Arial" w:cs="Arial" w:eastAsia="Arial" w:hAnsi="Arial"/>
          <w:sz w:val="19"/>
          <w:szCs w:val="19"/>
          <w:u w:val="single" w:color="auto"/>
          <w:color w:val="auto"/>
        </w:rPr>
        <w:t>Hypothecary Representative</w:t>
      </w:r>
      <w:r>
        <w:rPr>
          <w:rFonts w:ascii="Arial" w:cs="Arial" w:eastAsia="Arial" w:hAnsi="Arial"/>
          <w:sz w:val="19"/>
          <w:szCs w:val="19"/>
          <w:color w:val="auto"/>
        </w:rPr>
        <w:t>”)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execution prior to the date hereof by the Administrative Agent in its capacity as the Hypothecary Representative of any deed of hypothec or other security documents made pursuant to the laws of the Province of Quebec, is hereby ratified and confirmed. Any Person who becomes a Lender or successor Administrative Agent shall be deemed to have consented to and ratified the foregoing appointment of the Administrative Agent as the Hypothecary Representative on behalf of all Lenders, including such Person and any Affiliate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88" w:name="page289"/>
    <w:bookmarkEnd w:id="288"/>
    <w:p>
      <w:pPr>
        <w:jc w:val="both"/>
        <w:spacing w:after="0" w:line="247" w:lineRule="auto"/>
        <w:rPr>
          <w:sz w:val="20"/>
          <w:szCs w:val="20"/>
          <w:color w:val="auto"/>
        </w:rPr>
      </w:pPr>
      <w:r>
        <w:rPr>
          <w:rFonts w:ascii="Arial" w:cs="Arial" w:eastAsia="Arial" w:hAnsi="Arial"/>
          <w:sz w:val="22"/>
          <w:szCs w:val="22"/>
          <w:color w:val="auto"/>
        </w:rPr>
        <w:t>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mutatis mutandis.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Administrative Agent is hereby authorized to execute and deliver any Collateral Document expressed to be governed by the laws of the Netherlands and agree with the creation of parallel debt obligations of any Dutch Collateral Party (the “</w:t>
      </w:r>
      <w:r>
        <w:rPr>
          <w:rFonts w:ascii="Arial" w:cs="Arial" w:eastAsia="Arial" w:hAnsi="Arial"/>
          <w:sz w:val="21"/>
          <w:szCs w:val="21"/>
          <w:u w:val="single" w:color="auto"/>
          <w:color w:val="auto"/>
        </w:rPr>
        <w:t>Parallel</w:t>
      </w:r>
      <w:r>
        <w:rPr>
          <w:rFonts w:ascii="Arial" w:cs="Arial" w:eastAsia="Arial" w:hAnsi="Arial"/>
          <w:sz w:val="21"/>
          <w:szCs w:val="21"/>
          <w:color w:val="auto"/>
        </w:rPr>
        <w:t xml:space="preserve"> </w:t>
      </w:r>
      <w:r>
        <w:rPr>
          <w:rFonts w:ascii="Arial" w:cs="Arial" w:eastAsia="Arial" w:hAnsi="Arial"/>
          <w:sz w:val="21"/>
          <w:szCs w:val="21"/>
          <w:u w:val="single" w:color="auto"/>
          <w:color w:val="auto"/>
        </w:rPr>
        <w:t>Debt</w:t>
      </w:r>
      <w:r>
        <w:rPr>
          <w:rFonts w:ascii="Arial" w:cs="Arial" w:eastAsia="Arial" w:hAnsi="Arial"/>
          <w:sz w:val="21"/>
          <w:szCs w:val="21"/>
          <w:color w:val="auto"/>
        </w:rPr>
        <w:t xml:space="preserve">”). The Administrative Agent may resign at any time by notifying the Lenders and the Obligors,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parties hereto acknowledge and agree that, for purposes of any Collateral Document expressed to be governed by the laws of the Netherlands, any resignation by the Administrative Agent is not effective with respect to its rights and obligations under the Parallel Debt until such rights and obligations are assigned to the successor agent.</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89" w:name="page290"/>
    <w:bookmarkEnd w:id="289"/>
    <w:p>
      <w:pPr>
        <w:jc w:val="both"/>
        <w:spacing w:after="0" w:line="285" w:lineRule="auto"/>
        <w:rPr>
          <w:sz w:val="20"/>
          <w:szCs w:val="20"/>
          <w:color w:val="auto"/>
        </w:rPr>
      </w:pPr>
      <w:r>
        <w:rPr>
          <w:rFonts w:ascii="Arial" w:cs="Arial" w:eastAsia="Arial" w:hAnsi="Arial"/>
          <w:sz w:val="19"/>
          <w:szCs w:val="19"/>
          <w:color w:val="auto"/>
        </w:rPr>
        <w:t xml:space="preserve">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Solely for the purpose of Security Agreements and Pledge Agreements under the laws of Hungary, each Secured Party hereby irrevocably appoints the Administrative Agent as its special pledge agent (in Hungarian: “zálogjogosulti bizományos”) under Section 5:96. § of Act V of 2013 on the Civil Code of Hungary (the “</w:t>
      </w:r>
      <w:r>
        <w:rPr>
          <w:rFonts w:ascii="Arial" w:cs="Arial" w:eastAsia="Arial" w:hAnsi="Arial"/>
          <w:sz w:val="19"/>
          <w:szCs w:val="19"/>
          <w:u w:val="single" w:color="auto"/>
          <w:color w:val="auto"/>
        </w:rPr>
        <w:t>Appointment</w:t>
      </w:r>
      <w:r>
        <w:rPr>
          <w:rFonts w:ascii="Arial" w:cs="Arial" w:eastAsia="Arial" w:hAnsi="Arial"/>
          <w:sz w:val="19"/>
          <w:szCs w:val="19"/>
          <w:color w:val="auto"/>
        </w:rPr>
        <w:t>”) and authorizes the Administrative Agent to take such actions on its behalf, including execution of any document and registration of the Appointment in any of the pledge registries of Hungary (“</w:t>
      </w:r>
      <w:r>
        <w:rPr>
          <w:rFonts w:ascii="Arial" w:cs="Arial" w:eastAsia="Arial" w:hAnsi="Arial"/>
          <w:sz w:val="19"/>
          <w:szCs w:val="19"/>
          <w:u w:val="single" w:color="auto"/>
          <w:color w:val="auto"/>
        </w:rPr>
        <w:t>Hungary Pledge Registries</w:t>
      </w:r>
      <w:r>
        <w:rPr>
          <w:rFonts w:ascii="Arial" w:cs="Arial" w:eastAsia="Arial" w:hAnsi="Arial"/>
          <w:sz w:val="19"/>
          <w:szCs w:val="19"/>
          <w:color w:val="auto"/>
        </w:rPr>
        <w:t>”) for the benefit of the Administrative Agent, on behalf of itself and the other Secured Parties including but not limited to the signing of security documents and any amendment, waiver, consent or notice relating thereto, and enforcement or release of any security governed by Hungarian law. The Appointment shall be effective against third parties from the date of the registration of the Appointment in the Hungary Pledge Registries. The Secured Parties (other than the Administrative Agent) shall not be registered in the Hungary Pledge Registries. The Administrative Agent registered in the Hungary Pledge Registries shall exclusively exercise the rights and obligations of the Secured Parties in relation to the Security Agreements and Pledge Agreements under the laws of Hungary in its own name but for the benefit of the Secured Parties.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22"/>
          <w:szCs w:val="22"/>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Waiver; Amendments; Joinder; Release of Guarantors; Release of Collateral</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8" w:lineRule="auto"/>
        <w:tabs>
          <w:tab w:leader="none" w:pos="1799"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Lender may have had notice or knowledge of such Default at the time.</w:t>
      </w:r>
    </w:p>
    <w:p>
      <w:pPr>
        <w:spacing w:after="0" w:line="200" w:lineRule="exact"/>
        <w:rPr>
          <w:rFonts w:ascii="Arial" w:cs="Arial" w:eastAsia="Arial" w:hAnsi="Arial"/>
          <w:sz w:val="19"/>
          <w:szCs w:val="19"/>
          <w:color w:val="auto"/>
        </w:rPr>
      </w:pPr>
    </w:p>
    <w:p>
      <w:pPr>
        <w:jc w:val="both"/>
        <w:ind w:firstLine="1305"/>
        <w:spacing w:after="0" w:line="285" w:lineRule="auto"/>
        <w:tabs>
          <w:tab w:leader="none" w:pos="1808" w:val="left"/>
        </w:tabs>
        <w:numPr>
          <w:ilvl w:val="0"/>
          <w:numId w:val="346"/>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(irrespective of whether such Lender is a Defaulting Lender), (ii) reduce or forgive the principal amount of any Loan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used therein), (iii) postpone any scheduled date of payment of the principal amount of any Loan,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or to change any financial covenant or defined term used therein), (iv) change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4.01(c)</w:t>
      </w:r>
      <w:r>
        <w:rPr>
          <w:rFonts w:ascii="Arial" w:cs="Arial" w:eastAsia="Arial" w:hAnsi="Arial"/>
          <w:sz w:val="19"/>
          <w:szCs w:val="19"/>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(other than Defaulting Lenders), (vi) except as provided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11.22</w:t>
      </w:r>
      <w:r>
        <w:rPr>
          <w:rFonts w:ascii="Arial" w:cs="Arial" w:eastAsia="Arial" w:hAnsi="Arial"/>
          <w:sz w:val="19"/>
          <w:szCs w:val="19"/>
          <w:color w:val="auto"/>
        </w:rPr>
        <w:t xml:space="preserve">, release all or substantially all of the value of the Guaranty Agreements, taken as a whole, without the written consent of each Lender (other than Defaulting Lenders) or (vii) except as provided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11.22</w:t>
      </w:r>
      <w:r>
        <w:rPr>
          <w:rFonts w:ascii="Arial" w:cs="Arial" w:eastAsia="Arial" w:hAnsi="Arial"/>
          <w:sz w:val="19"/>
          <w:szCs w:val="19"/>
          <w:color w:val="auto"/>
        </w:rPr>
        <w:t xml:space="preserve"> or in any Collateral Document, release all or substantially all of the Collateral without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91" w:name="page292"/>
    <w:bookmarkEnd w:id="291"/>
    <w:p>
      <w:pPr>
        <w:jc w:val="both"/>
        <w:spacing w:after="0" w:line="294" w:lineRule="auto"/>
        <w:rPr>
          <w:sz w:val="20"/>
          <w:szCs w:val="20"/>
          <w:color w:val="auto"/>
        </w:rPr>
      </w:pPr>
      <w:r>
        <w:rPr>
          <w:rFonts w:ascii="Arial" w:cs="Arial" w:eastAsia="Arial" w:hAnsi="Arial"/>
          <w:sz w:val="19"/>
          <w:szCs w:val="19"/>
          <w:color w:val="auto"/>
        </w:rPr>
        <w:t xml:space="preserve">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hereunder without the prior written consent of the Administrative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or modify any provision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without the consent of the Administrative Agent and the Required Lenders. Subject to the foregoing, the waiver, amendment or modification of any provision of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may be effected with the consent of the Required Lenders. Notwithstanding anything to the contrary herein, this </w:t>
      </w:r>
      <w:r>
        <w:rPr>
          <w:rFonts w:ascii="Arial" w:cs="Arial" w:eastAsia="Arial" w:hAnsi="Arial"/>
          <w:sz w:val="19"/>
          <w:szCs w:val="19"/>
          <w:u w:val="single" w:color="auto"/>
          <w:color w:val="auto"/>
        </w:rPr>
        <w:t>Section 11.01(b)</w:t>
      </w:r>
      <w:r>
        <w:rPr>
          <w:rFonts w:ascii="Arial" w:cs="Arial" w:eastAsia="Arial" w:hAnsi="Arial"/>
          <w:sz w:val="19"/>
          <w:szCs w:val="19"/>
          <w:color w:val="auto"/>
        </w:rPr>
        <w:t xml:space="preserve"> shall, in respect of a Defaulting Lender, be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190" w:lineRule="exact"/>
        <w:rPr>
          <w:sz w:val="20"/>
          <w:szCs w:val="20"/>
          <w:color w:val="auto"/>
        </w:rPr>
      </w:pPr>
    </w:p>
    <w:p>
      <w:pPr>
        <w:jc w:val="both"/>
        <w:ind w:firstLine="1305"/>
        <w:spacing w:after="0" w:line="285" w:lineRule="auto"/>
        <w:tabs>
          <w:tab w:leader="none" w:pos="1917" w:val="left"/>
        </w:tabs>
        <w:numPr>
          <w:ilvl w:val="0"/>
          <w:numId w:val="347"/>
        </w:numPr>
        <w:rPr>
          <w:rFonts w:ascii="Arial" w:cs="Arial" w:eastAsia="Arial" w:hAnsi="Arial"/>
          <w:sz w:val="19"/>
          <w:szCs w:val="19"/>
          <w:color w:val="auto"/>
        </w:rPr>
      </w:pPr>
      <w:r>
        <w:rPr>
          <w:rFonts w:ascii="Arial" w:cs="Arial" w:eastAsia="Arial" w:hAnsi="Arial"/>
          <w:sz w:val="19"/>
          <w:szCs w:val="19"/>
          <w:color w:val="auto"/>
        </w:rPr>
        <w:t xml:space="preserve">Any Liens granted to the Administrative Agent by the Obligors shall be automatically released on any Collateral (i) upon Payment in Full, (ii) constituting property being Disposed of in compliance with the terms of this Agreement (other than property Disposed of to a Restricted Subsidiary organized in a Specified Jurisdiction), (iii) constituting property leased to WIL-Ireland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in any case set forth above, promptly upon receipt of a written request therefor from the Borrower, the Administrative Agent will 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clause (g) or (k) of the definition of “Permitted Liens” or (ii) in the event that WIL-Ireland shall have advised the Administrative Agent that, notwithstanding the use by WIL-Ireland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0" w:lineRule="auto"/>
        <w:tabs>
          <w:tab w:leader="none" w:pos="1847" w:val="left"/>
        </w:tabs>
        <w:numPr>
          <w:ilvl w:val="0"/>
          <w:numId w:val="348"/>
        </w:numPr>
        <w:rPr>
          <w:rFonts w:ascii="Arial" w:cs="Arial" w:eastAsia="Arial" w:hAnsi="Arial"/>
          <w:sz w:val="22"/>
          <w:szCs w:val="22"/>
          <w:color w:val="auto"/>
        </w:rPr>
      </w:pPr>
      <w:r>
        <w:rPr>
          <w:rFonts w:ascii="Arial" w:cs="Arial" w:eastAsia="Arial" w:hAnsi="Arial"/>
          <w:sz w:val="22"/>
          <w:szCs w:val="22"/>
          <w:color w:val="auto"/>
        </w:rPr>
        <w:t xml:space="preserve">Except in the case of notices and other communications expressly permitted to be given by telephone (and subject to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2" w:name="page293"/>
    <w:bookmarkEnd w:id="292"/>
    <w:p>
      <w:pPr>
        <w:ind w:left="1960"/>
        <w:spacing w:after="0"/>
        <w:tabs>
          <w:tab w:leader="none" w:pos="23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if to the Borrower or any Guarantor, to it at:</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Texas 77056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836-4000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LegalWeatherford@weatherford.com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Weatherford International,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2000 St. James Place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Texas 77056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(713) 836-7460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Mark.Rothleitner@weatherford.com</w:t>
      </w:r>
      <w:r>
        <w:rPr>
          <w:rFonts w:ascii="Arial" w:cs="Arial" w:eastAsia="Arial" w:hAnsi="Arial"/>
          <w:sz w:val="22"/>
          <w:szCs w:val="22"/>
          <w:color w:val="auto"/>
        </w:rPr>
        <w:t xml:space="preserve">; </w:t>
      </w:r>
      <w:r>
        <w:rPr>
          <w:rFonts w:ascii="Arial" w:cs="Arial" w:eastAsia="Arial" w:hAnsi="Arial"/>
          <w:sz w:val="22"/>
          <w:szCs w:val="22"/>
          <w:u w:val="single" w:color="auto"/>
          <w:color w:val="auto"/>
        </w:rPr>
        <w:t>Josh.Silverman@weatherford.com</w:t>
      </w:r>
    </w:p>
    <w:p>
      <w:pPr>
        <w:spacing w:after="0" w:line="242" w:lineRule="exact"/>
        <w:rPr>
          <w:sz w:val="20"/>
          <w:szCs w:val="20"/>
          <w:color w:val="auto"/>
        </w:rPr>
      </w:pPr>
    </w:p>
    <w:p>
      <w:pPr>
        <w:ind w:left="2440" w:hanging="487"/>
        <w:spacing w:after="0"/>
        <w:tabs>
          <w:tab w:leader="none" w:pos="244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if to the Administrative Agent, to it at:</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Chase Tower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CLS Unit: MC Loan &amp; Agency 7th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21 S. Clark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April Yebd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(312) 732-2628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(888) 208-7168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jpm.agency.servicing.6@jpmchase.com</w:t>
      </w:r>
    </w:p>
    <w:p>
      <w:pPr>
        <w:spacing w:after="0" w:line="242"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if to any Lender, to it at its address (or facsimile number) set forth in its Administrative Questionnaire.</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92" w:lineRule="exact"/>
        <w:rPr>
          <w:sz w:val="20"/>
          <w:szCs w:val="20"/>
          <w:color w:val="auto"/>
        </w:rPr>
      </w:pPr>
    </w:p>
    <w:p>
      <w:pPr>
        <w:jc w:val="both"/>
        <w:ind w:firstLine="1305"/>
        <w:spacing w:after="0" w:line="247" w:lineRule="auto"/>
        <w:tabs>
          <w:tab w:leader="none" w:pos="1891" w:val="left"/>
        </w:tabs>
        <w:numPr>
          <w:ilvl w:val="0"/>
          <w:numId w:val="350"/>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to the Lenders hereunder may be delivered or furnished by Electronic Systems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063" w:right="239" w:bottom="1440" w:gutter="0" w:footer="0" w:header="0"/>
        </w:sectPr>
      </w:pPr>
    </w:p>
    <w:bookmarkStart w:id="293" w:name="page294"/>
    <w:bookmarkEnd w:id="293"/>
    <w:p>
      <w:pPr>
        <w:jc w:val="both"/>
        <w:spacing w:after="0" w:line="259" w:lineRule="auto"/>
        <w:rPr>
          <w:sz w:val="20"/>
          <w:szCs w:val="20"/>
          <w:color w:val="auto"/>
        </w:rPr>
      </w:pPr>
      <w:r>
        <w:rPr>
          <w:rFonts w:ascii="Arial" w:cs="Arial" w:eastAsia="Arial" w:hAnsi="Arial"/>
          <w:sz w:val="21"/>
          <w:szCs w:val="21"/>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4" w:lineRule="exact"/>
        <w:rPr>
          <w:sz w:val="20"/>
          <w:szCs w:val="20"/>
          <w:color w:val="auto"/>
        </w:rPr>
      </w:pPr>
    </w:p>
    <w:p>
      <w:pPr>
        <w:ind w:firstLine="1305"/>
        <w:spacing w:after="0" w:line="263" w:lineRule="auto"/>
        <w:tabs>
          <w:tab w:leader="none" w:pos="1777" w:val="left"/>
        </w:tabs>
        <w:numPr>
          <w:ilvl w:val="0"/>
          <w:numId w:val="351"/>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911"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Administrative Agent shall deliver to the Borrower, upon written request, the address and facsimile number of any Lender and the name of the appropriate contact person at such Lender, in each case as provided in such Lender’s Administrative Questionnaire.</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Electronic Systems.</w:t>
      </w:r>
    </w:p>
    <w:p>
      <w:pPr>
        <w:spacing w:after="0" w:line="260" w:lineRule="exact"/>
        <w:rPr>
          <w:rFonts w:ascii="Arial" w:cs="Arial" w:eastAsia="Arial" w:hAnsi="Arial"/>
          <w:sz w:val="22"/>
          <w:szCs w:val="22"/>
          <w:color w:val="auto"/>
        </w:rPr>
      </w:pPr>
    </w:p>
    <w:p>
      <w:pPr>
        <w:jc w:val="both"/>
        <w:ind w:left="660" w:firstLine="1293"/>
        <w:spacing w:after="0" w:line="253" w:lineRule="auto"/>
        <w:tabs>
          <w:tab w:leader="none" w:pos="2616" w:val="left"/>
        </w:tabs>
        <w:numPr>
          <w:ilvl w:val="1"/>
          <w:numId w:val="351"/>
        </w:numPr>
        <w:rPr>
          <w:rFonts w:ascii="Arial" w:cs="Arial" w:eastAsia="Arial" w:hAnsi="Arial"/>
          <w:sz w:val="22"/>
          <w:szCs w:val="22"/>
          <w:color w:val="auto"/>
        </w:rPr>
      </w:pPr>
      <w:r>
        <w:rPr>
          <w:rFonts w:ascii="Arial" w:cs="Arial" w:eastAsia="Arial" w:hAnsi="Arial"/>
          <w:sz w:val="22"/>
          <w:szCs w:val="22"/>
          <w:color w:val="auto"/>
        </w:rPr>
        <w:t>The Borrower agrees that the Administrative Agent may, but shall not be obligated to, make Communications (as defined below) available to the other Lenders by posting the Communications on Debt Domain, Intralinks, Syndtrak, ClearPar or a substantially similar Electronic System.</w:t>
      </w:r>
    </w:p>
    <w:p>
      <w:pPr>
        <w:spacing w:after="0" w:line="226" w:lineRule="exact"/>
        <w:rPr>
          <w:rFonts w:ascii="Arial" w:cs="Arial" w:eastAsia="Arial" w:hAnsi="Arial"/>
          <w:sz w:val="22"/>
          <w:szCs w:val="22"/>
          <w:color w:val="auto"/>
        </w:rPr>
      </w:pPr>
    </w:p>
    <w:p>
      <w:pPr>
        <w:jc w:val="both"/>
        <w:ind w:left="660" w:firstLine="1293"/>
        <w:spacing w:after="0" w:line="257" w:lineRule="auto"/>
        <w:tabs>
          <w:tab w:leader="none" w:pos="2487" w:val="left"/>
        </w:tabs>
        <w:numPr>
          <w:ilvl w:val="1"/>
          <w:numId w:val="351"/>
        </w:numPr>
        <w:rPr>
          <w:rFonts w:ascii="Arial" w:cs="Arial" w:eastAsia="Arial" w:hAnsi="Arial"/>
          <w:sz w:val="21"/>
          <w:szCs w:val="21"/>
          <w:color w:val="auto"/>
        </w:rPr>
      </w:pPr>
      <w:r>
        <w:rPr>
          <w:rFonts w:ascii="Arial" w:cs="Arial" w:eastAsia="Arial" w:hAnsi="Arial"/>
          <w:sz w:val="21"/>
          <w:szCs w:val="21"/>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have any liability to any Obligor, any Lender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“Communications” means, collectively, any notice, demand, communication, information, document or other material provided by or on behalf of any Obligor pursuant to any Loan Document or the transactions contemplated therein which is distributed by the Administrative Agent or any Lender by means of electronic communications pursuant to this Section, including through an Electronic System.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4" w:name="page295"/>
    <w:bookmarkEnd w:id="294"/>
    <w:p>
      <w:pPr>
        <w:jc w:val="both"/>
        <w:ind w:firstLine="648"/>
        <w:spacing w:after="0" w:line="285"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Expenses, Etc.</w:t>
      </w:r>
      <w:r>
        <w:rPr>
          <w:rFonts w:ascii="Arial" w:cs="Arial" w:eastAsia="Arial" w:hAnsi="Arial"/>
          <w:sz w:val="19"/>
          <w:szCs w:val="19"/>
          <w:color w:val="auto"/>
        </w:rPr>
        <w:t xml:space="preserve"> The Borrower shall pay (a) all reasonable and documented out-of-pocket expenses incurred by the Administrative Agent and its Affiliates, including the reasonable and documented or invoiced fees, charges and disbursements of counsel for the Administrative Agent, in connection with the syndication and distribution (including via the internet or through a services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JPMorgan, Deutsche Bank Securities Inc. and their respective Affiliates, including the reasonable and documented or invoiced fees, charges and disbursements of counsel for each of JPMorgan and Deutsche Bank Securities Inc., in connection with the syndication of the credit facilities provided for herein, provided that such fees, charges and disbursements of counsel for Deutsche Bank Securities Inc. shall not exceed $15,000 in the aggregate, (c) all transfer, stamp, documentary or other similar taxes, assessments or charges levied by any governmental or revenue authority in respect of this Agreement or any other Loan Document or any other document referred to herein or therein, and (d) all documented out-of-pocket expenses incurred by the Administrative Agent and/or any Lender (including the documented or invoiced fees, disbursements and other charges of (i) any counsel for the Administrative Agent (which, for the avoidance of doubt, may include counsel in foreign jurisdictions) and (ii) one counsel to the Lenders licensed in the State of New York and licensed in each jurisdiction (including any state) where any Obligor or any Subsidiary of an Obligor is organized, has its chief executive office or has assets with a material value) in connection with the enforcement, collection or protection of its rights in connection with this Agreement or any other Loan Document, including its rights under this Section, or in connection with the Loans made hereunder, including all such out-of pocket expenses incurred during any workout, restructuring or negotiations in respect of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Defaulting Lender will not be reimbursed for its costs and expenses related to the replacement of such Defaulting Lender or other matters incidental thereto.</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u w:val="single" w:color="auto"/>
          <w:color w:val="auto"/>
        </w:rPr>
        <w:t>Indemnity</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7" w:lineRule="auto"/>
        <w:tabs>
          <w:tab w:leader="none" w:pos="1887" w:val="left"/>
        </w:tabs>
        <w:numPr>
          <w:ilvl w:val="0"/>
          <w:numId w:val="352"/>
        </w:numPr>
        <w:rPr>
          <w:rFonts w:ascii="Arial" w:cs="Arial" w:eastAsia="Arial" w:hAnsi="Arial"/>
          <w:sz w:val="19"/>
          <w:szCs w:val="19"/>
          <w:color w:val="auto"/>
        </w:rPr>
      </w:pPr>
      <w:r>
        <w:rPr>
          <w:rFonts w:ascii="Arial" w:cs="Arial" w:eastAsia="Arial" w:hAnsi="Arial"/>
          <w:sz w:val="19"/>
          <w:szCs w:val="19"/>
          <w:color w:val="auto"/>
        </w:rPr>
        <w:t>The Borrower shall indemnify the Administrative Agent, each Lead Arranger and each Lender, and each Affiliate of each of the foregoing, and their respective directors, officers, employees and agents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hold each Indemnitee harmless against, any and all losses, liabilities, claims or damages (including reasonable and documented or invoiced legal fees and expenses) to which any Indemnitee may become subject, insofar as such losses, liabilities, claims or damages arise out of or result from (i) any claim, investigation, litigation or proceeding (including any threatened claim, investigation, litigation or proceeding) relating to this Agreement, any Loan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5" w:name="page296"/>
    <w:bookmarkEnd w:id="295"/>
    <w:p>
      <w:pPr>
        <w:jc w:val="both"/>
        <w:spacing w:after="0" w:line="284" w:lineRule="auto"/>
        <w:rPr>
          <w:sz w:val="20"/>
          <w:szCs w:val="20"/>
          <w:color w:val="auto"/>
        </w:rPr>
      </w:pPr>
      <w:r>
        <w:rPr>
          <w:rFonts w:ascii="Arial" w:cs="Arial" w:eastAsia="Arial" w:hAnsi="Arial"/>
          <w:sz w:val="19"/>
          <w:szCs w:val="19"/>
          <w:color w:val="auto"/>
        </w:rPr>
        <w:t xml:space="preserve">infringement), (ii) any actual or alleged presence or release of Hazardous Materials on or from any property owned or operated by WIL-Ireland or any of its Subsidiaries, or any Environmental Liability related in any way to WIL-Ireland or any of its Subsidiaries, except, in each case, insofar as the Environmental Liability or liability relating to the presence or release of Hazardous Materials arises out of actions taken by, or failed to be taken by, such Indemnitee after the date on which WIL-Ireland or any of its Subsidiaries is divested of ownership of such property (whether by foreclosure or deed in lieu of foreclosure, as mortgagee-in-possession or otherwise), or (iii) any actual or proposed use by the Borrower or any of its Subsidiaries of the proceeds of any extension of credit by any Lender hereunder, and the Borrower shall reimburse each Indemnitee upon demand for any expenses (including reasonable and documented or invoiced legal fees) incurred in connection with any such claim, investigation, litigation or proceeding; but excluding any such losses, liabilities, claims, damages or expenses (A) found by a final, nonappealable judgment of a court of competent jurisdiction to have been incurred by reason of the gross negligence, willful misconduct or unlawful conduct of such Indemnitee or (B) that arise from any dispute solely between or among Indemnitees (not arising as a result of any act or omission by the Obligors or their Affiliates), other than claims against an Indemnitee in its capacity as, or in fulfilling its role or roles as an arranger, administrative agent, syndication agent or documentation agent for the facility evidence by this Agreement or (C) incurred by any Defaulting Lender to the extent directly arising from or caused by the conduct, acts, omissions or events of or applicable to such Defaulting Lender that were the cause of such Lender’s becoming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ARISING OUT OF OR RESULTING FROM THE SOLE OR CONCURRENT ORDINARY NEGLIGENCE OF SUCH INDEMNITEE. WITHOUT PREJUDICE TO THE SURVIVAL OF ANY OTHER OBLIGATIONS OF THE BORROWER HEREUNDER AND UNDER THE OTHER LOAN DOCUMENTS TO WHICH IT IS A PARTY, THE OBLIGATIONS OF THE BORROWER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SURVIVE THE TERMINATION OF THIS AGREEMENT AND THE OTHER LOAN DOCUMENTS AND THE PAYMENT OF THE OTHER OBLIGATIONS OR THE ASSIGNMENT OF THE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1305"/>
        <w:spacing w:after="0" w:line="297" w:lineRule="auto"/>
        <w:tabs>
          <w:tab w:leader="none" w:pos="1803" w:val="left"/>
        </w:tabs>
        <w:numPr>
          <w:ilvl w:val="0"/>
          <w:numId w:val="353"/>
        </w:numPr>
        <w:rPr>
          <w:rFonts w:ascii="Arial" w:cs="Arial" w:eastAsia="Arial" w:hAnsi="Arial"/>
          <w:sz w:val="19"/>
          <w:szCs w:val="19"/>
          <w:color w:val="auto"/>
        </w:rPr>
      </w:pPr>
      <w:r>
        <w:rPr>
          <w:rFonts w:ascii="Arial" w:cs="Arial" w:eastAsia="Arial" w:hAnsi="Arial"/>
          <w:sz w:val="19"/>
          <w:szCs w:val="19"/>
          <w:color w:val="auto"/>
        </w:rPr>
        <w:t xml:space="preserve">To the extent that the Borrower fails to pay any amount required to be paid by it to the Administrative Agent under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or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each Lender severally agrees to pay to the Administrative Agent,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in its capacity as such.</w:t>
      </w:r>
    </w:p>
    <w:p>
      <w:pPr>
        <w:spacing w:after="0" w:line="187" w:lineRule="exact"/>
        <w:rPr>
          <w:rFonts w:ascii="Arial" w:cs="Arial" w:eastAsia="Arial" w:hAnsi="Arial"/>
          <w:sz w:val="19"/>
          <w:szCs w:val="19"/>
          <w:color w:val="auto"/>
        </w:rPr>
      </w:pPr>
    </w:p>
    <w:p>
      <w:pPr>
        <w:jc w:val="both"/>
        <w:ind w:firstLine="1305"/>
        <w:spacing w:after="0" w:line="260" w:lineRule="auto"/>
        <w:tabs>
          <w:tab w:leader="none" w:pos="1894" w:val="left"/>
        </w:tabs>
        <w:numPr>
          <w:ilvl w:val="0"/>
          <w:numId w:val="353"/>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Loan or the use of the proceeds thereof (it being understood that, to the extent any Indemnitee suffers any such special, indirect, consequential or punitive damages, the indemnification obligations of the Borrower set forth in the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shall apply).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6" w:name="page297"/>
    <w:bookmarkEnd w:id="296"/>
    <w:p>
      <w:pPr>
        <w:jc w:val="both"/>
        <w:ind w:firstLine="1305"/>
        <w:spacing w:after="0" w:line="297" w:lineRule="auto"/>
        <w:tabs>
          <w:tab w:leader="none" w:pos="1933" w:val="left"/>
        </w:tabs>
        <w:numPr>
          <w:ilvl w:val="1"/>
          <w:numId w:val="354"/>
        </w:numPr>
        <w:rPr>
          <w:rFonts w:ascii="Arial" w:cs="Arial" w:eastAsia="Arial" w:hAnsi="Arial"/>
          <w:sz w:val="19"/>
          <w:szCs w:val="19"/>
          <w:color w:val="auto"/>
        </w:rPr>
      </w:pPr>
      <w:r>
        <w:rPr>
          <w:rFonts w:ascii="Arial" w:cs="Arial" w:eastAsia="Arial" w:hAnsi="Arial"/>
          <w:sz w:val="19"/>
          <w:szCs w:val="19"/>
          <w:color w:val="auto"/>
        </w:rPr>
        <w:t xml:space="preserve">No Indemnitee referred to in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7" w:lineRule="exact"/>
        <w:rPr>
          <w:rFonts w:ascii="Arial" w:cs="Arial" w:eastAsia="Arial" w:hAnsi="Arial"/>
          <w:sz w:val="19"/>
          <w:szCs w:val="19"/>
          <w:color w:val="auto"/>
        </w:rPr>
      </w:pPr>
    </w:p>
    <w:p>
      <w:pPr>
        <w:ind w:firstLine="656"/>
        <w:spacing w:after="0" w:line="343" w:lineRule="auto"/>
        <w:tabs>
          <w:tab w:leader="none" w:pos="114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shall be payable not later than ten Business Days after written demand therefor and presentation of any documents required to be delivered in connection therewith.</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0" w:lineRule="auto"/>
        <w:tabs>
          <w:tab w:leader="none" w:pos="1779" w:val="left"/>
        </w:tabs>
        <w:numPr>
          <w:ilvl w:val="0"/>
          <w:numId w:val="356"/>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97" w:lineRule="exact"/>
        <w:rPr>
          <w:rFonts w:ascii="Arial" w:cs="Arial" w:eastAsia="Arial" w:hAnsi="Arial"/>
          <w:sz w:val="19"/>
          <w:szCs w:val="19"/>
          <w:color w:val="auto"/>
        </w:rPr>
      </w:pPr>
    </w:p>
    <w:p>
      <w:pPr>
        <w:jc w:val="both"/>
        <w:ind w:firstLine="1305"/>
        <w:spacing w:after="0" w:line="302" w:lineRule="auto"/>
        <w:tabs>
          <w:tab w:leader="none" w:pos="1798" w:val="left"/>
        </w:tabs>
        <w:numPr>
          <w:ilvl w:val="0"/>
          <w:numId w:val="356"/>
        </w:numPr>
        <w:rPr>
          <w:rFonts w:ascii="Arial" w:cs="Arial" w:eastAsia="Arial" w:hAnsi="Arial"/>
          <w:sz w:val="19"/>
          <w:szCs w:val="19"/>
          <w:color w:val="auto"/>
        </w:rPr>
      </w:pPr>
      <w:r>
        <w:rPr>
          <w:rFonts w:ascii="Arial" w:cs="Arial" w:eastAsia="Arial" w:hAnsi="Arial"/>
          <w:sz w:val="19"/>
          <w:szCs w:val="19"/>
          <w:color w:val="auto"/>
        </w:rPr>
        <w:t xml:space="preserve">(i) Subject to the conditions set forth in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subparagraph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and, additionally, in the case of assignments pursuant to </w:t>
      </w:r>
      <w:r>
        <w:rPr>
          <w:rFonts w:ascii="Arial" w:cs="Arial" w:eastAsia="Arial" w:hAnsi="Arial"/>
          <w:sz w:val="19"/>
          <w:szCs w:val="19"/>
          <w:u w:val="single" w:color="auto"/>
          <w:color w:val="auto"/>
        </w:rPr>
        <w:t>Section 4.03</w:t>
      </w:r>
      <w:r>
        <w:rPr>
          <w:rFonts w:ascii="Arial" w:cs="Arial" w:eastAsia="Arial" w:hAnsi="Arial"/>
          <w:sz w:val="19"/>
          <w:szCs w:val="19"/>
          <w:color w:val="auto"/>
        </w:rPr>
        <w:t>, delayed or conditioned) of:</w:t>
      </w:r>
    </w:p>
    <w:p>
      <w:pPr>
        <w:spacing w:after="0" w:line="183" w:lineRule="exact"/>
        <w:rPr>
          <w:rFonts w:ascii="Arial" w:cs="Arial" w:eastAsia="Arial" w:hAnsi="Arial"/>
          <w:sz w:val="19"/>
          <w:szCs w:val="19"/>
          <w:color w:val="auto"/>
        </w:rPr>
      </w:pPr>
    </w:p>
    <w:p>
      <w:pPr>
        <w:jc w:val="both"/>
        <w:ind w:left="1300" w:firstLine="653"/>
        <w:spacing w:after="0" w:line="253" w:lineRule="auto"/>
        <w:tabs>
          <w:tab w:leader="none" w:pos="2599" w:val="left"/>
        </w:tabs>
        <w:numPr>
          <w:ilvl w:val="1"/>
          <w:numId w:val="356"/>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an Approved Fund or, if an Event of Default has occurred and is continuing, any other assignee; and</w:t>
      </w:r>
    </w:p>
    <w:p>
      <w:pPr>
        <w:spacing w:after="0" w:line="226" w:lineRule="exact"/>
        <w:rPr>
          <w:rFonts w:ascii="Arial" w:cs="Arial" w:eastAsia="Arial" w:hAnsi="Arial"/>
          <w:sz w:val="22"/>
          <w:szCs w:val="22"/>
          <w:color w:val="auto"/>
        </w:rPr>
      </w:pPr>
    </w:p>
    <w:p>
      <w:pPr>
        <w:jc w:val="both"/>
        <w:ind w:left="1300" w:firstLine="653"/>
        <w:spacing w:after="0" w:line="253" w:lineRule="auto"/>
        <w:tabs>
          <w:tab w:leader="none" w:pos="2506" w:val="left"/>
        </w:tabs>
        <w:numPr>
          <w:ilvl w:val="1"/>
          <w:numId w:val="356"/>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 of a Lender, an Approved Fund immediately prior to giving effect to such assignment;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7" w:name="page298"/>
    <w:bookmarkEnd w:id="297"/>
    <w:p>
      <w:pPr>
        <w:jc w:val="both"/>
        <w:ind w:left="130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consent to an assignment required by the Borrower under this </w:t>
      </w:r>
      <w:r>
        <w:rPr>
          <w:rFonts w:ascii="Arial" w:cs="Arial" w:eastAsia="Arial" w:hAnsi="Arial"/>
          <w:sz w:val="19"/>
          <w:szCs w:val="19"/>
          <w:u w:val="single" w:color="auto"/>
          <w:color w:val="auto"/>
        </w:rPr>
        <w:t>Section 11.05(b)(i)</w:t>
      </w:r>
      <w:r>
        <w:rPr>
          <w:rFonts w:ascii="Arial" w:cs="Arial" w:eastAsia="Arial" w:hAnsi="Arial"/>
          <w:sz w:val="19"/>
          <w:szCs w:val="19"/>
          <w:color w:val="auto"/>
        </w:rPr>
        <w:t xml:space="preserve"> shall be deemed to have been given by the Borrower unless it shall have objected thereto by written notice to the Administrative Agent within ten (10) Business Days after receiving a written request for its consent to such assignment.</w:t>
      </w:r>
    </w:p>
    <w:p>
      <w:pPr>
        <w:spacing w:after="0" w:line="134"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Assignments shall be subject to the following additional conditions:</w:t>
      </w:r>
    </w:p>
    <w:p>
      <w:pPr>
        <w:spacing w:after="0" w:line="260" w:lineRule="exact"/>
        <w:rPr>
          <w:sz w:val="20"/>
          <w:szCs w:val="20"/>
          <w:color w:val="auto"/>
        </w:rPr>
      </w:pPr>
    </w:p>
    <w:p>
      <w:pPr>
        <w:jc w:val="both"/>
        <w:ind w:left="1300" w:firstLine="653"/>
        <w:spacing w:after="0" w:line="294" w:lineRule="auto"/>
        <w:tabs>
          <w:tab w:leader="none" w:pos="2518"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 or Loans of any Type,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has occurred and is continuing;</w:t>
      </w:r>
    </w:p>
    <w:p>
      <w:pPr>
        <w:spacing w:after="0" w:line="190" w:lineRule="exact"/>
        <w:rPr>
          <w:rFonts w:ascii="Arial" w:cs="Arial" w:eastAsia="Arial" w:hAnsi="Arial"/>
          <w:sz w:val="19"/>
          <w:szCs w:val="19"/>
          <w:color w:val="auto"/>
        </w:rPr>
      </w:pPr>
    </w:p>
    <w:p>
      <w:pPr>
        <w:ind w:left="1300" w:firstLine="653"/>
        <w:spacing w:after="0" w:line="263" w:lineRule="auto"/>
        <w:tabs>
          <w:tab w:leader="none" w:pos="255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215" w:lineRule="exact"/>
        <w:rPr>
          <w:rFonts w:ascii="Arial" w:cs="Arial" w:eastAsia="Arial" w:hAnsi="Arial"/>
          <w:sz w:val="22"/>
          <w:szCs w:val="22"/>
          <w:color w:val="auto"/>
        </w:rPr>
      </w:pPr>
    </w:p>
    <w:p>
      <w:pPr>
        <w:ind w:left="1300" w:firstLine="653"/>
        <w:spacing w:after="0" w:line="263" w:lineRule="auto"/>
        <w:tabs>
          <w:tab w:leader="none" w:pos="253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$3,500;</w:t>
      </w:r>
    </w:p>
    <w:p>
      <w:pPr>
        <w:spacing w:after="0" w:line="215" w:lineRule="exact"/>
        <w:rPr>
          <w:rFonts w:ascii="Arial" w:cs="Arial" w:eastAsia="Arial" w:hAnsi="Arial"/>
          <w:sz w:val="22"/>
          <w:szCs w:val="22"/>
          <w:color w:val="auto"/>
        </w:rPr>
      </w:pPr>
    </w:p>
    <w:p>
      <w:pPr>
        <w:jc w:val="both"/>
        <w:ind w:left="1300" w:firstLine="653"/>
        <w:spacing w:after="0" w:line="247" w:lineRule="auto"/>
        <w:tabs>
          <w:tab w:leader="none" w:pos="254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34" w:lineRule="exact"/>
        <w:rPr>
          <w:rFonts w:ascii="Arial" w:cs="Arial" w:eastAsia="Arial" w:hAnsi="Arial"/>
          <w:sz w:val="22"/>
          <w:szCs w:val="22"/>
          <w:color w:val="auto"/>
        </w:rPr>
      </w:pPr>
    </w:p>
    <w:p>
      <w:pPr>
        <w:jc w:val="both"/>
        <w:ind w:left="1300" w:firstLine="653"/>
        <w:spacing w:after="0" w:line="302" w:lineRule="auto"/>
        <w:tabs>
          <w:tab w:leader="none" w:pos="2457" w:val="left"/>
        </w:tabs>
        <w:numPr>
          <w:ilvl w:val="0"/>
          <w:numId w:val="357"/>
        </w:numPr>
        <w:rPr>
          <w:rFonts w:ascii="Arial" w:cs="Arial" w:eastAsia="Arial" w:hAnsi="Arial"/>
          <w:sz w:val="19"/>
          <w:szCs w:val="19"/>
          <w:color w:val="auto"/>
        </w:rPr>
      </w:pPr>
      <w:r>
        <w:rPr>
          <w:rFonts w:ascii="Arial" w:cs="Arial" w:eastAsia="Arial" w:hAnsi="Arial"/>
          <w:sz w:val="19"/>
          <w:szCs w:val="19"/>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Arial" w:cs="Arial" w:eastAsia="Arial" w:hAnsi="Arial"/>
          <w:sz w:val="19"/>
          <w:szCs w:val="19"/>
          <w:u w:val="single" w:color="auto"/>
          <w:color w:val="auto"/>
        </w:rPr>
        <w:t>Section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4.02(e)</w:t>
      </w:r>
      <w:r>
        <w:rPr>
          <w:rFonts w:ascii="Arial" w:cs="Arial" w:eastAsia="Arial" w:hAnsi="Arial"/>
          <w:sz w:val="19"/>
          <w:szCs w:val="19"/>
          <w:color w:val="auto"/>
        </w:rPr>
        <w:t xml:space="preserve"> for any Lender, and no assignment shall be effective in connection herewith unless and until such forms are so delivered;</w:t>
      </w:r>
    </w:p>
    <w:p>
      <w:pPr>
        <w:spacing w:after="0" w:line="183" w:lineRule="exact"/>
        <w:rPr>
          <w:rFonts w:ascii="Arial" w:cs="Arial" w:eastAsia="Arial" w:hAnsi="Arial"/>
          <w:sz w:val="19"/>
          <w:szCs w:val="19"/>
          <w:color w:val="auto"/>
        </w:rPr>
      </w:pPr>
    </w:p>
    <w:p>
      <w:pPr>
        <w:jc w:val="both"/>
        <w:ind w:left="1300" w:firstLine="653"/>
        <w:spacing w:after="0" w:line="250" w:lineRule="auto"/>
        <w:tabs>
          <w:tab w:leader="none" w:pos="256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except in the case when no consent of the Borrower is required because an Event of Default has occurred and is continuing, no assignment shall be made to any such assignee unless such assignee provides a written representation to the Borrower that such assignee is not subject under then current law to any withholding tax on amounts payable to such assignee under this Agreement;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8" w:name="page299"/>
    <w:bookmarkEnd w:id="298"/>
    <w:p>
      <w:pPr>
        <w:ind w:left="1960"/>
        <w:spacing w:after="0"/>
        <w:tabs>
          <w:tab w:leader="none" w:pos="24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no assignment shall be made to an Ineligible Institution.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the terms “</w:t>
      </w:r>
      <w:r>
        <w:rPr>
          <w:rFonts w:ascii="Arial" w:cs="Arial" w:eastAsia="Arial" w:hAnsi="Arial"/>
          <w:sz w:val="19"/>
          <w:szCs w:val="19"/>
          <w:u w:val="single" w:color="auto"/>
          <w:color w:val="auto"/>
        </w:rPr>
        <w:t>Approved Fund</w:t>
      </w:r>
      <w:r>
        <w:rPr>
          <w:rFonts w:ascii="Arial" w:cs="Arial" w:eastAsia="Arial" w:hAnsi="Arial"/>
          <w:sz w:val="19"/>
          <w:szCs w:val="19"/>
          <w:color w:val="auto"/>
        </w:rPr>
        <w:t>” and “Ineligible Institution” have the following meanings:</w:t>
      </w:r>
    </w:p>
    <w:p>
      <w:pPr>
        <w:spacing w:after="0" w:line="254"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Ineligible Institution</w:t>
      </w:r>
      <w:r>
        <w:rPr>
          <w:rFonts w:ascii="Arial" w:cs="Arial" w:eastAsia="Arial" w:hAnsi="Arial"/>
          <w:sz w:val="22"/>
          <w:szCs w:val="22"/>
          <w:color w:val="auto"/>
        </w:rPr>
        <w:t>” means (a) a natural person, (b) a Defaulting Lender or its Lender Parent, (c) WIL-Ireland any of its Subsidiaries or any of its Affiliates, or (d) a company, investment vehicle or trust for, or owned and operated for the primary benefit of, a natural person or relative(s) thereof.</w:t>
      </w:r>
    </w:p>
    <w:p>
      <w:pPr>
        <w:spacing w:after="0" w:line="186" w:lineRule="exact"/>
        <w:rPr>
          <w:sz w:val="20"/>
          <w:szCs w:val="20"/>
          <w:color w:val="auto"/>
        </w:rPr>
      </w:pPr>
    </w:p>
    <w:p>
      <w:pPr>
        <w:jc w:val="both"/>
        <w:ind w:left="660" w:firstLine="1293"/>
        <w:spacing w:after="0" w:line="288" w:lineRule="auto"/>
        <w:tabs>
          <w:tab w:leader="none" w:pos="2513"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subparagraph </w:t>
      </w:r>
      <w:r>
        <w:rPr>
          <w:rFonts w:ascii="Arial" w:cs="Arial" w:eastAsia="Arial" w:hAnsi="Arial"/>
          <w:sz w:val="19"/>
          <w:szCs w:val="19"/>
          <w:u w:val="single" w:color="auto"/>
          <w:color w:val="auto"/>
        </w:rPr>
        <w:t>(b)(iv)</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w:t>
      </w:r>
    </w:p>
    <w:p>
      <w:pPr>
        <w:spacing w:after="0" w:line="200" w:lineRule="exact"/>
        <w:rPr>
          <w:rFonts w:ascii="Arial" w:cs="Arial" w:eastAsia="Arial" w:hAnsi="Arial"/>
          <w:sz w:val="19"/>
          <w:szCs w:val="19"/>
          <w:color w:val="auto"/>
        </w:rPr>
      </w:pPr>
    </w:p>
    <w:p>
      <w:pPr>
        <w:jc w:val="both"/>
        <w:ind w:left="660" w:firstLine="1293"/>
        <w:spacing w:after="0" w:line="290" w:lineRule="auto"/>
        <w:tabs>
          <w:tab w:leader="none" w:pos="2488"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(and stated interest) of the Loans owing by the Borrower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presumed correct, in the absence of manifest error, and the Obligors,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Obligors and any Lender, at any reasonable time and from time to time upon reasonable prior notice.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299" w:name="page300"/>
    <w:bookmarkEnd w:id="299"/>
    <w:p>
      <w:pPr>
        <w:jc w:val="both"/>
        <w:ind w:left="660" w:firstLine="1293"/>
        <w:spacing w:after="0" w:line="288" w:lineRule="auto"/>
        <w:tabs>
          <w:tab w:leader="none" w:pos="243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permitted under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such assignee’s completed Administrative Questionnaire (unless such assignee shall already be a Lender hereunder), the processing and recordation fee referred to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any written consent to such assignment required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such assignee shall have failed to make any payment required to be made by it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11.04(b)</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1" w:lineRule="exact"/>
        <w:rPr>
          <w:sz w:val="20"/>
          <w:szCs w:val="20"/>
          <w:color w:val="auto"/>
        </w:rPr>
      </w:pPr>
    </w:p>
    <w:p>
      <w:pPr>
        <w:jc w:val="both"/>
        <w:ind w:left="660" w:firstLine="1293"/>
        <w:spacing w:after="0" w:line="284" w:lineRule="auto"/>
        <w:tabs>
          <w:tab w:leader="none" w:pos="2515" w:val="left"/>
        </w:tabs>
        <w:numPr>
          <w:ilvl w:val="0"/>
          <w:numId w:val="360"/>
        </w:numPr>
        <w:rPr>
          <w:rFonts w:ascii="Arial" w:cs="Arial" w:eastAsia="Arial" w:hAnsi="Arial"/>
          <w:sz w:val="19"/>
          <w:szCs w:val="19"/>
          <w:color w:val="auto"/>
        </w:rPr>
      </w:pPr>
      <w:r>
        <w:rPr>
          <w:rFonts w:ascii="Arial" w:cs="Arial" w:eastAsia="Arial" w:hAnsi="Arial"/>
          <w:sz w:val="19"/>
          <w:szCs w:val="19"/>
          <w:color w:val="auto"/>
        </w:rPr>
        <w:t>(i) Except as otherwise provided in this Agreement or any other Loan Document, any Lender may, without the consent of any Obligor or the Administrative Agent, sell participations to one or more banks or other entities other than an Ineligible Institution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11.01(b)</w:t>
      </w:r>
      <w:r>
        <w:rPr>
          <w:rFonts w:ascii="Arial" w:cs="Arial" w:eastAsia="Arial" w:hAnsi="Arial"/>
          <w:sz w:val="19"/>
          <w:szCs w:val="19"/>
          <w:color w:val="auto"/>
        </w:rPr>
        <w:t xml:space="preserve"> that affects such Participant. Subject to subparagraph </w:t>
      </w:r>
      <w:r>
        <w:rPr>
          <w:rFonts w:ascii="Arial" w:cs="Arial" w:eastAsia="Arial" w:hAnsi="Arial"/>
          <w:sz w:val="19"/>
          <w:szCs w:val="19"/>
          <w:u w:val="single" w:color="auto"/>
          <w:color w:val="auto"/>
        </w:rPr>
        <w:t>(c)(ii)</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to the same extent as if it were a Lender and had acquired its interest by assignment pursuant to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and to deliver the forms required by </w:t>
      </w:r>
      <w:r>
        <w:rPr>
          <w:rFonts w:ascii="Arial" w:cs="Arial" w:eastAsia="Arial" w:hAnsi="Arial"/>
          <w:sz w:val="19"/>
          <w:szCs w:val="19"/>
          <w:u w:val="single" w:color="auto"/>
          <w:color w:val="auto"/>
        </w:rPr>
        <w:t>Sections 4.02(c)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4.02(e)</w:t>
      </w:r>
      <w:r>
        <w:rPr>
          <w:rFonts w:ascii="Arial" w:cs="Arial" w:eastAsia="Arial" w:hAnsi="Arial"/>
          <w:sz w:val="19"/>
          <w:szCs w:val="19"/>
          <w:color w:val="auto"/>
        </w:rPr>
        <w:t xml:space="preserve"> as though it were a Lender. Each Lender that sells a participation shall, acting solely for this purpose as a non-fiduciary agent of the Borrower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Provided the requirements of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(including, but not limited to, </w:t>
      </w:r>
      <w:r>
        <w:rPr>
          <w:rFonts w:ascii="Arial" w:cs="Arial" w:eastAsia="Arial" w:hAnsi="Arial"/>
          <w:sz w:val="19"/>
          <w:szCs w:val="19"/>
          <w:u w:val="single" w:color="auto"/>
          <w:color w:val="auto"/>
        </w:rPr>
        <w:t>Section 11.05(c)(ii))</w:t>
      </w:r>
      <w:r>
        <w:rPr>
          <w:rFonts w:ascii="Arial" w:cs="Arial" w:eastAsia="Arial" w:hAnsi="Arial"/>
          <w:sz w:val="19"/>
          <w:szCs w:val="19"/>
          <w:color w:val="auto"/>
        </w:rPr>
        <w:t xml:space="preserve">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0" w:name="page301"/>
    <w:bookmarkEnd w:id="300"/>
    <w:p>
      <w:pPr>
        <w:jc w:val="both"/>
        <w:ind w:left="660" w:firstLine="1293"/>
        <w:spacing w:after="0" w:line="247" w:lineRule="auto"/>
        <w:tabs>
          <w:tab w:leader="none" w:pos="2438" w:val="left"/>
        </w:tabs>
        <w:numPr>
          <w:ilvl w:val="1"/>
          <w:numId w:val="361"/>
        </w:numPr>
        <w:rPr>
          <w:rFonts w:ascii="Arial" w:cs="Arial" w:eastAsia="Arial" w:hAnsi="Arial"/>
          <w:sz w:val="22"/>
          <w:szCs w:val="22"/>
          <w:color w:val="auto"/>
        </w:rPr>
      </w:pPr>
      <w:r>
        <w:rPr>
          <w:rFonts w:ascii="Arial" w:cs="Arial" w:eastAsia="Arial" w:hAnsi="Arial"/>
          <w:sz w:val="22"/>
          <w:szCs w:val="22"/>
          <w:color w:val="auto"/>
        </w:rPr>
        <w:t xml:space="preserve">A Participant shall not be entitled to receive any greater payment under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The Borrower shall be notified of each participation sold to a Participant, and each Participant shall comply with </w:t>
      </w:r>
      <w:r>
        <w:rPr>
          <w:rFonts w:ascii="Arial" w:cs="Arial" w:eastAsia="Arial" w:hAnsi="Arial"/>
          <w:sz w:val="22"/>
          <w:szCs w:val="22"/>
          <w:u w:val="single" w:color="auto"/>
          <w:color w:val="auto"/>
        </w:rPr>
        <w:t>Sections 4.02(c)</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4.02(e)</w:t>
      </w:r>
      <w:r>
        <w:rPr>
          <w:rFonts w:ascii="Arial" w:cs="Arial" w:eastAsia="Arial" w:hAnsi="Arial"/>
          <w:sz w:val="22"/>
          <w:szCs w:val="22"/>
          <w:color w:val="auto"/>
        </w:rPr>
        <w:t xml:space="preserve"> as though it were a Lender. A Participant that fails to comply with the preceding sentence shall not be entitled to any of the benefits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jc w:val="both"/>
        <w:ind w:firstLine="1305"/>
        <w:spacing w:after="0" w:line="248" w:lineRule="auto"/>
        <w:tabs>
          <w:tab w:leader="none" w:pos="182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or (h) to the extent such Information (i) becomes publicly available other than as a result of a breach of this Section or (ii) becomes available to the Administrative Agent or any Lender on a non-confidential basis from a source other than an Obligor, or (i) on a confidential basis to (i) any rating agency in connection with rating WIL-Ireland or its Subsidiaries or the credit facility provided herein or (ii) the CUSIP Service Bureau or any similar agency in connection with the issuance and monitoring of CUSIP numbers with respect to the credit facility provided for herein.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any Obligor relating to such Obligor or any other Obligor or their respective businesses, other than any such information that is available to the Administrative Agent or any Lender on a non-confidential basis prior to disclosure by the applicable Obligor and other than information pertaining to this Agreement routinely provided by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1" w:name="page302"/>
    <w:bookmarkEnd w:id="301"/>
    <w:p>
      <w:pPr>
        <w:jc w:val="both"/>
        <w:spacing w:after="0" w:line="290" w:lineRule="auto"/>
        <w:rPr>
          <w:sz w:val="20"/>
          <w:szCs w:val="20"/>
          <w:color w:val="auto"/>
        </w:rPr>
      </w:pPr>
      <w:r>
        <w:rPr>
          <w:rFonts w:ascii="Arial" w:cs="Arial" w:eastAsia="Arial" w:hAnsi="Arial"/>
          <w:sz w:val="19"/>
          <w:szCs w:val="19"/>
          <w:color w:val="auto"/>
        </w:rPr>
        <w:t xml:space="preserve">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and the Lenders shall endeavor to notify the Borrower as promptly as possible of any Information that it is required to disclose pursuant to any subpoena, court order or similar legal or regulatory process so long as it is not legally prohibited from providing such notice.</w:t>
      </w:r>
    </w:p>
    <w:p>
      <w:pPr>
        <w:spacing w:after="0" w:line="19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11.07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until Payment in Full. The provisions of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4.02</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2" w:name="page303"/>
    <w:bookmarkEnd w:id="302"/>
    <w:p>
      <w:pPr>
        <w:jc w:val="both"/>
        <w:ind w:firstLine="648"/>
        <w:spacing w:after="0" w:line="250" w:lineRule="auto"/>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u w:val="single" w:color="auto"/>
          <w:color w:val="auto"/>
        </w:rPr>
        <w:t>Independence of Covenants</w:t>
      </w:r>
      <w:r>
        <w:rPr>
          <w:rFonts w:ascii="Arial" w:cs="Arial" w:eastAsia="Arial" w:hAnsi="Arial"/>
          <w:sz w:val="19"/>
          <w:szCs w:val="19"/>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condition exists.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2" w:lineRule="auto"/>
        <w:tabs>
          <w:tab w:leader="none" w:pos="1830" w:val="left"/>
        </w:tabs>
        <w:numPr>
          <w:ilvl w:val="1"/>
          <w:numId w:val="363"/>
        </w:numPr>
        <w:rPr>
          <w:rFonts w:ascii="Arial" w:cs="Arial" w:eastAsia="Arial" w:hAnsi="Arial"/>
          <w:sz w:val="19"/>
          <w:szCs w:val="19"/>
          <w:color w:val="auto"/>
        </w:rPr>
      </w:pPr>
      <w:r>
        <w:rPr>
          <w:rFonts w:ascii="Arial" w:cs="Arial" w:eastAsia="Arial" w:hAnsi="Arial"/>
          <w:sz w:val="19"/>
          <w:szCs w:val="19"/>
          <w:color w:val="auto"/>
        </w:rPr>
        <w:t>This Agreement may be executed in counterparts (and by different parties hereto on different counterparts), each of which shall constitute an original, but all of which when taken together shall constitute a single contract. Delivery of an executed counterpart of a signature page to this Agreement by facsimile transmission or electronic transmission (in .pdf format) shall be effective for all purposes as delivery of a manually executed counterpart of this Agreement. This Agreement, the Notes,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w:t>
      </w:r>
    </w:p>
    <w:p>
      <w:pPr>
        <w:spacing w:after="0" w:line="192" w:lineRule="exact"/>
        <w:rPr>
          <w:rFonts w:ascii="Arial" w:cs="Arial" w:eastAsia="Arial" w:hAnsi="Arial"/>
          <w:sz w:val="19"/>
          <w:szCs w:val="19"/>
          <w:color w:val="auto"/>
        </w:rPr>
      </w:pPr>
    </w:p>
    <w:p>
      <w:pPr>
        <w:jc w:val="both"/>
        <w:ind w:firstLine="1305"/>
        <w:spacing w:after="0" w:line="288" w:lineRule="auto"/>
        <w:tabs>
          <w:tab w:leader="none" w:pos="1820" w:val="left"/>
        </w:tabs>
        <w:numPr>
          <w:ilvl w:val="1"/>
          <w:numId w:val="363"/>
        </w:numPr>
        <w:rPr>
          <w:rFonts w:ascii="Arial" w:cs="Arial" w:eastAsia="Arial" w:hAnsi="Arial"/>
          <w:sz w:val="19"/>
          <w:szCs w:val="19"/>
          <w:color w:val="auto"/>
        </w:rPr>
      </w:pPr>
      <w:r>
        <w:rPr>
          <w:rFonts w:ascii="Arial" w:cs="Arial" w:eastAsia="Arial" w:hAnsi="Arial"/>
          <w:sz w:val="19"/>
          <w:szCs w:val="19"/>
          <w:color w:val="auto"/>
        </w:rPr>
        <w:t>The Obligor Parties and their Subsidiaries shall not have any effective obligations under this Agreement and the Loan Documents prior to the Effective Date other than pursuant to (i) the Commitment Letter dated May 4, 2016, among the Borrower, WIL-Ireland, the Lead Arrangers, Deutsche Bank AG New York Branch and Wells Fargo Bank, National Association,</w:t>
      </w:r>
    </w:p>
    <w:p>
      <w:pPr>
        <w:spacing w:after="0" w:line="1" w:lineRule="exact"/>
        <w:rPr>
          <w:rFonts w:ascii="Arial" w:cs="Arial" w:eastAsia="Arial" w:hAnsi="Arial"/>
          <w:sz w:val="19"/>
          <w:szCs w:val="19"/>
          <w:color w:val="auto"/>
        </w:rPr>
      </w:pPr>
    </w:p>
    <w:p>
      <w:pPr>
        <w:jc w:val="both"/>
        <w:ind w:firstLine="8"/>
        <w:spacing w:after="0" w:line="244" w:lineRule="auto"/>
        <w:tabs>
          <w:tab w:leader="none" w:pos="322" w:val="left"/>
        </w:tabs>
        <w:numPr>
          <w:ilvl w:val="0"/>
          <w:numId w:val="364"/>
        </w:numPr>
        <w:rPr>
          <w:rFonts w:ascii="Arial" w:cs="Arial" w:eastAsia="Arial" w:hAnsi="Arial"/>
          <w:sz w:val="22"/>
          <w:szCs w:val="22"/>
          <w:color w:val="auto"/>
        </w:rPr>
      </w:pPr>
      <w:r>
        <w:rPr>
          <w:rFonts w:ascii="Arial" w:cs="Arial" w:eastAsia="Arial" w:hAnsi="Arial"/>
          <w:sz w:val="22"/>
          <w:szCs w:val="22"/>
          <w:color w:val="auto"/>
        </w:rPr>
        <w:t xml:space="preserve">the Fee Letters referred to in such Commitment Letter, dated May 4, 2016, between or among the Borrower and one or more of the Lead Arrangers, Deutsche Bank Ag New York Branch and Wells Fargo Bank, National Association, and (iii) </w:t>
      </w:r>
      <w:r>
        <w:rPr>
          <w:rFonts w:ascii="Arial" w:cs="Arial" w:eastAsia="Arial" w:hAnsi="Arial"/>
          <w:sz w:val="22"/>
          <w:szCs w:val="22"/>
          <w:u w:val="single" w:color="auto"/>
          <w:color w:val="auto"/>
        </w:rPr>
        <w:t>Sections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11.01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11.13</w:t>
      </w:r>
      <w:r>
        <w:rPr>
          <w:rFonts w:ascii="Arial" w:cs="Arial" w:eastAsia="Arial" w:hAnsi="Arial"/>
          <w:sz w:val="22"/>
          <w:szCs w:val="22"/>
          <w:color w:val="auto"/>
        </w:rPr>
        <w:t xml:space="preserve"> and Sections </w:t>
      </w:r>
      <w:r>
        <w:rPr>
          <w:rFonts w:ascii="Arial" w:cs="Arial" w:eastAsia="Arial" w:hAnsi="Arial"/>
          <w:sz w:val="22"/>
          <w:szCs w:val="22"/>
          <w:u w:val="single" w:color="auto"/>
          <w:color w:val="auto"/>
        </w:rPr>
        <w:t>11.15</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11.21</w:t>
      </w:r>
      <w:r>
        <w:rPr>
          <w:rFonts w:ascii="Arial" w:cs="Arial" w:eastAsia="Arial" w:hAnsi="Arial"/>
          <w:sz w:val="22"/>
          <w:szCs w:val="22"/>
          <w:color w:val="auto"/>
        </w:rPr>
        <w:t>. This Agreement shall become effective on the Effective Date, and thereafter shall be binding upon and inure to the benefit of the parties hereto and their respective successors and assigns.</w:t>
      </w:r>
    </w:p>
    <w:p>
      <w:pPr>
        <w:spacing w:after="0" w:line="235" w:lineRule="exact"/>
        <w:rPr>
          <w:rFonts w:ascii="Arial" w:cs="Arial" w:eastAsia="Arial" w:hAnsi="Arial"/>
          <w:sz w:val="22"/>
          <w:szCs w:val="22"/>
          <w:color w:val="auto"/>
        </w:rPr>
      </w:pPr>
    </w:p>
    <w:p>
      <w:pPr>
        <w:jc w:val="both"/>
        <w:ind w:firstLine="1305"/>
        <w:spacing w:after="0" w:line="290" w:lineRule="auto"/>
        <w:tabs>
          <w:tab w:leader="none" w:pos="1896" w:val="left"/>
        </w:tabs>
        <w:numPr>
          <w:ilvl w:val="1"/>
          <w:numId w:val="364"/>
        </w:numPr>
        <w:rPr>
          <w:rFonts w:ascii="Arial" w:cs="Arial" w:eastAsia="Arial" w:hAnsi="Arial"/>
          <w:sz w:val="19"/>
          <w:szCs w:val="19"/>
          <w:color w:val="auto"/>
        </w:rPr>
      </w:pPr>
      <w:r>
        <w:rPr>
          <w:rFonts w:ascii="Arial" w:cs="Arial" w:eastAsia="Arial" w:hAnsi="Arial"/>
          <w:sz w:val="19"/>
          <w:szCs w:val="19"/>
          <w:color w:val="auto"/>
        </w:rPr>
        <w:t>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3" w:name="page304"/>
    <w:bookmarkEnd w:id="303"/>
    <w:p>
      <w:pPr>
        <w:jc w:val="both"/>
        <w:ind w:firstLine="648"/>
        <w:spacing w:after="0" w:line="265" w:lineRule="auto"/>
        <w:rPr>
          <w:sz w:val="20"/>
          <w:szCs w:val="20"/>
          <w:color w:val="auto"/>
        </w:rPr>
      </w:pPr>
      <w:r>
        <w:rPr>
          <w:rFonts w:ascii="Arial" w:cs="Arial" w:eastAsia="Arial" w:hAnsi="Arial"/>
          <w:sz w:val="21"/>
          <w:szCs w:val="21"/>
          <w:color w:val="auto"/>
        </w:rPr>
        <w:t xml:space="preserve">SECTION 11.11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1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Conflicts Between This Agreement and the Other Loan Documents</w:t>
      </w:r>
      <w:r>
        <w:rPr>
          <w:rFonts w:ascii="Arial" w:cs="Arial" w:eastAsia="Arial" w:hAnsi="Arial"/>
          <w:sz w:val="19"/>
          <w:szCs w:val="19"/>
          <w:color w:val="auto"/>
        </w:rPr>
        <w:t>. In the event of any conflict between, or inconsistency with, the terms of this Agreement and the terms of any of the other Loan Documents, the terms of this Agreement shall control. This provision shall not apply to any matters mandatorily governed by or subject to Luxembourg law.</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Limitation of Interest</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u w:val="single" w:color="auto"/>
          <w:color w:val="auto"/>
        </w:rPr>
        <w:t>Submission to Jurisdiction; Consent to Service of Process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8" w:lineRule="auto"/>
        <w:tabs>
          <w:tab w:leader="none" w:pos="177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 xml:space="preserve">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Arial" w:cs="Arial" w:eastAsia="Arial" w:hAnsi="Arial"/>
          <w:sz w:val="19"/>
          <w:szCs w:val="19"/>
          <w:u w:val="single" w:color="auto"/>
          <w:color w:val="auto"/>
        </w:rPr>
        <w:t>Section 11.15</w:t>
      </w:r>
      <w:r>
        <w:rPr>
          <w:rFonts w:ascii="Arial" w:cs="Arial" w:eastAsia="Arial" w:hAnsi="Arial"/>
          <w:sz w:val="19"/>
          <w:szCs w:val="19"/>
          <w:color w:val="auto"/>
        </w:rPr>
        <w:t>) shall affect any right that the Administrative Agent or any Lender may otherwise have to bring any suit, action or proceeding relating to this Agreement or any other Loan Document against any Obligor or its properties in the courts of any jurisdiction.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4" w:name="page305"/>
    <w:bookmarkEnd w:id="304"/>
    <w:p>
      <w:pPr>
        <w:jc w:val="both"/>
        <w:ind w:firstLine="1305"/>
        <w:spacing w:after="0" w:line="248" w:lineRule="auto"/>
        <w:tabs>
          <w:tab w:leader="none" w:pos="1867"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Each Obligor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Section. Each Obligor Party hereby irrevocably waives, to the fullest extent permitted by law, the defense of an inconvenient forum to the maintenance of such action or proceeding in any such court.</w:t>
      </w:r>
    </w:p>
    <w:p>
      <w:pPr>
        <w:spacing w:after="0" w:line="232" w:lineRule="exact"/>
        <w:rPr>
          <w:rFonts w:ascii="Arial" w:cs="Arial" w:eastAsia="Arial" w:hAnsi="Arial"/>
          <w:sz w:val="22"/>
          <w:szCs w:val="22"/>
          <w:color w:val="auto"/>
        </w:rPr>
      </w:pPr>
    </w:p>
    <w:p>
      <w:pPr>
        <w:jc w:val="both"/>
        <w:ind w:firstLine="1305"/>
        <w:spacing w:after="0" w:line="246" w:lineRule="auto"/>
        <w:tabs>
          <w:tab w:leader="none" w:pos="1791"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Agreement or any other Loan Document.</w:t>
      </w:r>
    </w:p>
    <w:p>
      <w:pPr>
        <w:spacing w:after="0" w:line="237" w:lineRule="exact"/>
        <w:rPr>
          <w:rFonts w:ascii="Arial" w:cs="Arial" w:eastAsia="Arial" w:hAnsi="Arial"/>
          <w:sz w:val="22"/>
          <w:szCs w:val="22"/>
          <w:color w:val="auto"/>
        </w:rPr>
      </w:pPr>
    </w:p>
    <w:p>
      <w:pPr>
        <w:jc w:val="both"/>
        <w:ind w:firstLine="1305"/>
        <w:spacing w:after="0" w:line="263" w:lineRule="auto"/>
        <w:tabs>
          <w:tab w:leader="none" w:pos="1853" w:val="left"/>
        </w:tabs>
        <w:numPr>
          <w:ilvl w:val="0"/>
          <w:numId w:val="366"/>
        </w:numPr>
        <w:rPr>
          <w:rFonts w:ascii="Arial" w:cs="Arial" w:eastAsia="Arial" w:hAnsi="Arial"/>
          <w:sz w:val="21"/>
          <w:szCs w:val="21"/>
          <w:color w:val="auto"/>
        </w:rPr>
      </w:pPr>
      <w:r>
        <w:rPr>
          <w:rFonts w:ascii="Arial" w:cs="Arial" w:eastAsia="Arial" w:hAnsi="Arial"/>
          <w:sz w:val="21"/>
          <w:szCs w:val="21"/>
          <w:color w:val="auto"/>
        </w:rPr>
        <w:t>Each Obligor Party agrees that any suit, action or proceeding brought by any Obligor Party or any of their respective Subsidiaries relating to this Agreement or any other Loan Document against the Administrative Agent,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216" w:lineRule="exact"/>
        <w:rPr>
          <w:rFonts w:ascii="Arial" w:cs="Arial" w:eastAsia="Arial" w:hAnsi="Arial"/>
          <w:sz w:val="21"/>
          <w:szCs w:val="21"/>
          <w:color w:val="auto"/>
        </w:rPr>
      </w:pPr>
    </w:p>
    <w:p>
      <w:pPr>
        <w:jc w:val="both"/>
        <w:ind w:firstLine="1305"/>
        <w:spacing w:after="0" w:line="259" w:lineRule="auto"/>
        <w:tabs>
          <w:tab w:leader="none" w:pos="1806" w:val="left"/>
        </w:tabs>
        <w:numPr>
          <w:ilvl w:val="0"/>
          <w:numId w:val="366"/>
        </w:numPr>
        <w:rPr>
          <w:rFonts w:ascii="Arial" w:cs="Arial" w:eastAsia="Arial" w:hAnsi="Arial"/>
          <w:sz w:val="21"/>
          <w:szCs w:val="21"/>
          <w:color w:val="auto"/>
        </w:rPr>
      </w:pPr>
      <w:r>
        <w:rPr>
          <w:rFonts w:ascii="Arial" w:cs="Arial" w:eastAsia="Arial" w:hAnsi="Arial"/>
          <w:sz w:val="21"/>
          <w:szCs w:val="21"/>
          <w:color w:val="auto"/>
        </w:rPr>
        <w:t>The Administrative Agent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0" w:lineRule="exact"/>
        <w:rPr>
          <w:rFonts w:ascii="Arial" w:cs="Arial" w:eastAsia="Arial" w:hAnsi="Arial"/>
          <w:sz w:val="21"/>
          <w:szCs w:val="21"/>
          <w:color w:val="auto"/>
        </w:rPr>
      </w:pPr>
    </w:p>
    <w:p>
      <w:pPr>
        <w:jc w:val="both"/>
        <w:ind w:firstLine="1305"/>
        <w:spacing w:after="0" w:line="263" w:lineRule="auto"/>
        <w:tabs>
          <w:tab w:leader="none" w:pos="1737" w:val="left"/>
        </w:tabs>
        <w:numPr>
          <w:ilvl w:val="0"/>
          <w:numId w:val="366"/>
        </w:numPr>
        <w:rPr>
          <w:rFonts w:ascii="Arial" w:cs="Arial" w:eastAsia="Arial" w:hAnsi="Arial"/>
          <w:sz w:val="21"/>
          <w:szCs w:val="21"/>
          <w:color w:val="auto"/>
        </w:rPr>
      </w:pPr>
      <w:r>
        <w:rPr>
          <w:rFonts w:ascii="Arial" w:cs="Arial" w:eastAsia="Arial" w:hAnsi="Arial"/>
          <w:sz w:val="21"/>
          <w:szCs w:val="21"/>
          <w:color w:val="auto"/>
        </w:rPr>
        <w:t xml:space="preserve">The Administrative Agent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of this Section. The Administrative Agent and each Lender hereby irrevocably waives, to the fullest extent permitted by law, the defense of an inconvenient forum to the maintenance of such action or proceeding in any such court.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3" w:right="239" w:bottom="1440" w:gutter="0" w:footer="0" w:header="0"/>
        </w:sectPr>
      </w:pPr>
    </w:p>
    <w:bookmarkStart w:id="305" w:name="page306"/>
    <w:bookmarkEnd w:id="305"/>
    <w:p>
      <w:pPr>
        <w:jc w:val="both"/>
        <w:ind w:firstLine="1305"/>
        <w:spacing w:after="0" w:line="250" w:lineRule="auto"/>
        <w:tabs>
          <w:tab w:leader="none" w:pos="1788"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11.16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55" w:val="left"/>
        </w:tabs>
        <w:numPr>
          <w:ilvl w:val="0"/>
          <w:numId w:val="368"/>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AND THE OTHER LOAN DOCUMENTS BY, AMONG OTHER THINGS, THE MUTUAL WAIVERS AND CERTIFICATIONS IN THIS SECTION.</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11.17 </w:t>
      </w:r>
      <w:r>
        <w:rPr>
          <w:rFonts w:ascii="Arial" w:cs="Arial" w:eastAsia="Arial" w:hAnsi="Arial"/>
          <w:sz w:val="21"/>
          <w:szCs w:val="21"/>
          <w:u w:val="single" w:color="auto"/>
          <w:color w:val="auto"/>
        </w:rPr>
        <w:t>Judgment Currency</w:t>
      </w:r>
      <w:r>
        <w:rPr>
          <w:rFonts w:ascii="Arial" w:cs="Arial" w:eastAsia="Arial" w:hAnsi="Arial"/>
          <w:sz w:val="21"/>
          <w:szCs w:val="21"/>
          <w:color w:val="auto"/>
        </w:rPr>
        <w:t>. The obligation of each Obligor to make payments on any Obligation to the Lenders or to the Administrative Agent hereunder in any currency (the “</w:t>
      </w:r>
      <w:r>
        <w:rPr>
          <w:rFonts w:ascii="Arial" w:cs="Arial" w:eastAsia="Arial" w:hAnsi="Arial"/>
          <w:sz w:val="21"/>
          <w:szCs w:val="21"/>
          <w:u w:val="single" w:color="auto"/>
          <w:color w:val="auto"/>
        </w:rPr>
        <w:t>first currency</w:t>
      </w:r>
      <w:r>
        <w:rPr>
          <w:rFonts w:ascii="Arial" w:cs="Arial" w:eastAsia="Arial" w:hAnsi="Arial"/>
          <w:sz w:val="21"/>
          <w:szCs w:val="21"/>
          <w:color w:val="auto"/>
        </w:rPr>
        <w:t>”) shall not be discharged or satisfied by any tender or recovery pursuant to any judgment expressed in or converted into any other currency (the “</w:t>
      </w:r>
      <w:r>
        <w:rPr>
          <w:rFonts w:ascii="Arial" w:cs="Arial" w:eastAsia="Arial" w:hAnsi="Arial"/>
          <w:sz w:val="21"/>
          <w:szCs w:val="21"/>
          <w:u w:val="single" w:color="auto"/>
          <w:color w:val="auto"/>
        </w:rPr>
        <w:t>second currency</w:t>
      </w:r>
      <w:r>
        <w:rPr>
          <w:rFonts w:ascii="Arial" w:cs="Arial" w:eastAsia="Arial" w:hAnsi="Arial"/>
          <w:sz w:val="21"/>
          <w:szCs w:val="21"/>
          <w:color w:val="auto"/>
        </w:rPr>
        <w:t>”) except to the extent to which such tender or recovery shall result in the effective receipt by the applicable Lender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that is subject to the requirements of the USA Patriot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11.19 </w:t>
      </w:r>
      <w:r>
        <w:rPr>
          <w:rFonts w:ascii="Arial" w:cs="Arial" w:eastAsia="Arial" w:hAnsi="Arial"/>
          <w:sz w:val="19"/>
          <w:szCs w:val="19"/>
          <w:u w:val="single" w:color="auto"/>
          <w:color w:val="auto"/>
        </w:rPr>
        <w:t>Appointment for Perfection</w:t>
      </w:r>
      <w:r>
        <w:rPr>
          <w:rFonts w:ascii="Arial" w:cs="Arial" w:eastAsia="Arial" w:hAnsi="Arial"/>
          <w:sz w:val="19"/>
          <w:szCs w:val="19"/>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6" w:name="page307"/>
    <w:bookmarkEnd w:id="306"/>
    <w:p>
      <w:pPr>
        <w:jc w:val="both"/>
        <w:ind w:firstLine="648"/>
        <w:spacing w:after="0" w:line="287" w:lineRule="auto"/>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To the extent that any payment by or on behalf of the Borrower is made to the Administrative Agent or any Lender, or the Administrative Agent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(to the extent such amount had previously been paid by the Administrative Agent to such Lender), plus interest thereon from the date of such demand to the date such payment is made at a rate per annum equal to the Federal Funds Effective Rate from time to time in effect. The obligations of the Lenders under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preceding sentence shall survive Payment in Full.</w:t>
      </w:r>
    </w:p>
    <w:p>
      <w:pPr>
        <w:spacing w:after="0" w:line="20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11.21 </w:t>
      </w:r>
      <w:r>
        <w:rPr>
          <w:rFonts w:ascii="Arial" w:cs="Arial" w:eastAsia="Arial" w:hAnsi="Arial"/>
          <w:sz w:val="19"/>
          <w:szCs w:val="19"/>
          <w:u w:val="single" w:color="auto"/>
          <w:color w:val="auto"/>
        </w:rPr>
        <w:t>No Fiduciary Duty</w:t>
      </w:r>
      <w:r>
        <w:rPr>
          <w:rFonts w:ascii="Arial" w:cs="Arial" w:eastAsia="Arial" w:hAnsi="Arial"/>
          <w:sz w:val="19"/>
          <w:szCs w:val="19"/>
          <w:color w:val="auto"/>
        </w:rPr>
        <w:t xml:space="preserve">. The Credit Parties and their respective Affiliates (collectively, solely for purposes of this </w:t>
      </w:r>
      <w:r>
        <w:rPr>
          <w:rFonts w:ascii="Arial" w:cs="Arial" w:eastAsia="Arial" w:hAnsi="Arial"/>
          <w:sz w:val="19"/>
          <w:szCs w:val="19"/>
          <w:u w:val="single" w:color="auto"/>
          <w:color w:val="auto"/>
        </w:rPr>
        <w:t>Section 11.21</w:t>
      </w:r>
      <w:r>
        <w:rPr>
          <w:rFonts w:ascii="Arial" w:cs="Arial" w:eastAsia="Arial" w:hAnsi="Arial"/>
          <w:sz w:val="19"/>
          <w:szCs w:val="19"/>
          <w:color w:val="auto"/>
        </w:rPr>
        <w:t>, the “</w:t>
      </w:r>
      <w:r>
        <w:rPr>
          <w:rFonts w:ascii="Arial" w:cs="Arial" w:eastAsia="Arial" w:hAnsi="Arial"/>
          <w:sz w:val="19"/>
          <w:szCs w:val="19"/>
          <w:u w:val="single" w:color="auto"/>
          <w:color w:val="auto"/>
        </w:rPr>
        <w:t>Credit Parties</w:t>
      </w:r>
      <w:r>
        <w:rPr>
          <w:rFonts w:ascii="Arial" w:cs="Arial" w:eastAsia="Arial" w:hAnsi="Arial"/>
          <w:sz w:val="19"/>
          <w:szCs w:val="19"/>
          <w:color w:val="auto"/>
        </w:rPr>
        <w:t>”) may have economic interests that conflict with those of the Borrower. Each Obligor Party agrees that nothing in the Loan Documents or otherwise will be deemed to create an advisory, fiduciary or agency relationship or fiduciary or other implied duty between the Credit Parties and the Borrower, its stockholders or its affiliates. Each Obligor Party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 Parties and their Affiliates, and no Credit Party has any obligation to disclose any of such interests to the Obligor Parties or their Affiliates and</w:t>
      </w:r>
    </w:p>
    <w:p>
      <w:pPr>
        <w:spacing w:after="0" w:line="6" w:lineRule="exact"/>
        <w:rPr>
          <w:sz w:val="20"/>
          <w:szCs w:val="20"/>
          <w:color w:val="auto"/>
        </w:rPr>
      </w:pPr>
    </w:p>
    <w:p>
      <w:pPr>
        <w:jc w:val="both"/>
        <w:ind w:firstLine="8"/>
        <w:spacing w:after="0" w:line="258" w:lineRule="auto"/>
        <w:tabs>
          <w:tab w:leader="none" w:pos="314" w:val="left"/>
        </w:tabs>
        <w:numPr>
          <w:ilvl w:val="0"/>
          <w:numId w:val="369"/>
        </w:numPr>
        <w:rPr>
          <w:rFonts w:ascii="Arial" w:cs="Arial" w:eastAsia="Arial" w:hAnsi="Arial"/>
          <w:sz w:val="21"/>
          <w:szCs w:val="21"/>
          <w:color w:val="auto"/>
        </w:rPr>
      </w:pPr>
      <w:r>
        <w:rPr>
          <w:rFonts w:ascii="Arial" w:cs="Arial" w:eastAsia="Arial" w:hAnsi="Arial"/>
          <w:sz w:val="21"/>
          <w:szCs w:val="21"/>
          <w:color w:val="auto"/>
        </w:rPr>
        <w:t>each Obligor has consulted its own legal and financial advisors to the extent it deemed appropriate. Each Obligor Party further acknowledges and agrees that it is responsible for making its own independent judgment with respect to the transactions contemplated hereby and the process leading thereto. Each Obligor Party agrees that it will not claim that any Credit Party has rendered advisory services of any nature or respect, or owes a fiduciary or similar duty to such Obligor Party or any other Obligor, in connection with the transactions contemplated hereby or the process leading thereto.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7" w:name="page308"/>
    <w:bookmarkEnd w:id="307"/>
    <w:p>
      <w:pPr>
        <w:ind w:left="660"/>
        <w:spacing w:after="0"/>
        <w:rPr>
          <w:sz w:val="20"/>
          <w:szCs w:val="20"/>
          <w:color w:val="auto"/>
        </w:rPr>
      </w:pPr>
      <w:r>
        <w:rPr>
          <w:rFonts w:ascii="Arial" w:cs="Arial" w:eastAsia="Arial" w:hAnsi="Arial"/>
          <w:sz w:val="22"/>
          <w:szCs w:val="22"/>
          <w:color w:val="auto"/>
        </w:rPr>
        <w:t xml:space="preserve">SECTION 11.22 </w:t>
      </w:r>
      <w:r>
        <w:rPr>
          <w:rFonts w:ascii="Arial" w:cs="Arial" w:eastAsia="Arial" w:hAnsi="Arial"/>
          <w:sz w:val="22"/>
          <w:szCs w:val="22"/>
          <w:u w:val="single" w:color="auto"/>
          <w:color w:val="auto"/>
        </w:rPr>
        <w:t>Release of Guarantors</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0" w:lineRule="auto"/>
        <w:tabs>
          <w:tab w:leader="none" w:pos="1763" w:val="left"/>
        </w:tabs>
        <w:numPr>
          <w:ilvl w:val="0"/>
          <w:numId w:val="370"/>
        </w:numPr>
        <w:rPr>
          <w:rFonts w:ascii="Arial" w:cs="Arial" w:eastAsia="Arial" w:hAnsi="Arial"/>
          <w:sz w:val="19"/>
          <w:szCs w:val="19"/>
          <w:color w:val="auto"/>
        </w:rPr>
      </w:pPr>
      <w:r>
        <w:rPr>
          <w:rFonts w:ascii="Arial" w:cs="Arial" w:eastAsia="Arial" w:hAnsi="Arial"/>
          <w:sz w:val="19"/>
          <w:szCs w:val="19"/>
          <w:color w:val="auto"/>
        </w:rPr>
        <w:t>Any Guarantor (other than WIL-Ireland or WIL-Delaware) shall be automatically released from its obligations under any applicable Guaranty Agreement and the other Loan Documents (including Collateral Documents) (i) upon such Person ceasing to be a Subsidiary as a result of such Disposition otherwise permitted by the Loan Document, (ii) upon such Person becoming an Unrestricted Subsidiary or (iii)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Revolving Credit Facility), and in any case set forth above, promptly upon receipt of a written request therefor from the Borrowers, the Administrative Agent will execute and deliver all documents as may reasonably be requested to evidence such release.</w:t>
      </w:r>
    </w:p>
    <w:p>
      <w:pPr>
        <w:spacing w:after="0" w:line="197" w:lineRule="exact"/>
        <w:rPr>
          <w:rFonts w:ascii="Arial" w:cs="Arial" w:eastAsia="Arial" w:hAnsi="Arial"/>
          <w:sz w:val="19"/>
          <w:szCs w:val="19"/>
          <w:color w:val="auto"/>
        </w:rPr>
      </w:pPr>
    </w:p>
    <w:p>
      <w:pPr>
        <w:jc w:val="both"/>
        <w:ind w:firstLine="1305"/>
        <w:spacing w:after="0" w:line="260" w:lineRule="auto"/>
        <w:tabs>
          <w:tab w:leader="none" w:pos="1984" w:val="left"/>
        </w:tabs>
        <w:numPr>
          <w:ilvl w:val="0"/>
          <w:numId w:val="370"/>
        </w:numPr>
        <w:rPr>
          <w:rFonts w:ascii="Arial" w:cs="Arial" w:eastAsia="Arial" w:hAnsi="Arial"/>
          <w:sz w:val="21"/>
          <w:szCs w:val="21"/>
          <w:color w:val="auto"/>
        </w:rPr>
      </w:pPr>
      <w:r>
        <w:rPr>
          <w:rFonts w:ascii="Arial" w:cs="Arial" w:eastAsia="Arial" w:hAnsi="Arial"/>
          <w:sz w:val="21"/>
          <w:szCs w:val="21"/>
          <w:color w:val="auto"/>
        </w:rPr>
        <w:t>Upon written notice from the Borrowers to the Administrative Agent, any Added Guarantor shall be automatically released from its obligations under any applicable Guaranty Agreement and the other Loan Documents (including Collateral Documents) if both of the following are true: (A) such Person is not a Material Specified Subsidiary that is organized in a Specified Jurisdiction and (B) such Person does not Guarantee third party Indebtedness for borrowed money of a Holdco Guarantor in the principal amount in excess of $20,000,000 (other than the Revolving Credit Facility), and promptly upon receipt of a written request therefor from the Borrowers, the Administrative Agent will execute and deliver all documents as may reasonably be requested to evidence such release.</w:t>
      </w: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11.23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33" w:lineRule="exact"/>
        <w:rPr>
          <w:sz w:val="20"/>
          <w:szCs w:val="20"/>
          <w:color w:val="auto"/>
        </w:rPr>
      </w:pPr>
    </w:p>
    <w:p>
      <w:pPr>
        <w:ind w:firstLine="1305"/>
        <w:spacing w:after="0" w:line="287" w:lineRule="auto"/>
        <w:tabs>
          <w:tab w:leader="none" w:pos="188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2" w:lineRule="exact"/>
        <w:rPr>
          <w:rFonts w:ascii="Arial" w:cs="Arial" w:eastAsia="Arial" w:hAnsi="Arial"/>
          <w:sz w:val="21"/>
          <w:szCs w:val="21"/>
          <w:color w:val="auto"/>
        </w:rPr>
      </w:pPr>
    </w:p>
    <w:p>
      <w:pPr>
        <w:ind w:left="1780" w:hanging="475"/>
        <w:spacing w:after="0"/>
        <w:tabs>
          <w:tab w:leader="none" w:pos="178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 w:lineRule="exact"/>
        <w:rPr>
          <w:rFonts w:ascii="Arial" w:cs="Arial" w:eastAsia="Arial" w:hAnsi="Arial"/>
          <w:sz w:val="22"/>
          <w:szCs w:val="22"/>
          <w:color w:val="auto"/>
        </w:rPr>
      </w:pPr>
    </w:p>
    <w:p>
      <w:pPr>
        <w:ind w:left="2380" w:hanging="427"/>
        <w:spacing w:after="0"/>
        <w:tabs>
          <w:tab w:leader="none" w:pos="2380" w:val="left"/>
        </w:tabs>
        <w:numPr>
          <w:ilvl w:val="1"/>
          <w:numId w:val="37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3" w:lineRule="exact"/>
        <w:rPr>
          <w:rFonts w:ascii="Arial" w:cs="Arial" w:eastAsia="Arial" w:hAnsi="Arial"/>
          <w:sz w:val="22"/>
          <w:szCs w:val="22"/>
          <w:color w:val="auto"/>
        </w:rPr>
      </w:pPr>
    </w:p>
    <w:p>
      <w:pPr>
        <w:jc w:val="both"/>
        <w:ind w:left="660" w:firstLine="1293"/>
        <w:spacing w:after="0" w:line="244" w:lineRule="auto"/>
        <w:tabs>
          <w:tab w:leader="none" w:pos="2466" w:val="left"/>
        </w:tabs>
        <w:numPr>
          <w:ilvl w:val="1"/>
          <w:numId w:val="37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1104" w:right="239" w:bottom="1440" w:gutter="0" w:footer="0" w:header="0"/>
        </w:sectPr>
      </w:pPr>
    </w:p>
    <w:bookmarkStart w:id="308" w:name="page309"/>
    <w:bookmarkEnd w:id="308"/>
    <w:p>
      <w:pPr>
        <w:ind w:left="660" w:firstLine="1293"/>
        <w:spacing w:after="0" w:line="263" w:lineRule="auto"/>
        <w:tabs>
          <w:tab w:leader="none" w:pos="2605" w:val="left"/>
        </w:tabs>
        <w:numPr>
          <w:ilvl w:val="0"/>
          <w:numId w:val="37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i w:val="1"/>
          <w:iCs w:val="1"/>
          <w:color w:val="auto"/>
        </w:rPr>
        <w:t>Remainder of this page intentionally left blank; signature pages follow.</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214387177</w:t>
      </w:r>
    </w:p>
    <w:p>
      <w:pPr>
        <w:sectPr>
          <w:pgSz w:w="11900" w:h="16838" w:orient="portrait"/>
          <w:cols w:equalWidth="0" w:num="1">
            <w:col w:w="11420"/>
          </w:cols>
          <w:pgMar w:left="240" w:top="847" w:right="239" w:bottom="1440" w:gutter="0" w:footer="0" w:header="0"/>
        </w:sectPr>
      </w:pPr>
    </w:p>
    <w:bookmarkStart w:id="309" w:name="page310"/>
    <w:bookmarkEnd w:id="30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380" w:lineRule="exact"/>
        <w:rPr>
          <w:sz w:val="20"/>
          <w:szCs w:val="20"/>
          <w:color w:val="auto"/>
        </w:rPr>
      </w:pPr>
    </w:p>
    <w:p>
      <w:pPr>
        <w:ind w:left="5660"/>
        <w:spacing w:after="0"/>
        <w:rPr>
          <w:sz w:val="20"/>
          <w:szCs w:val="20"/>
          <w:color w:val="auto"/>
        </w:rPr>
      </w:pPr>
      <w:r>
        <w:rPr>
          <w:rFonts w:ascii="Arial" w:cs="Arial" w:eastAsia="Arial" w:hAnsi="Arial"/>
          <w:sz w:val="22"/>
          <w:szCs w:val="22"/>
          <w:u w:val="single" w:color="auto"/>
          <w:color w:val="auto"/>
        </w:rPr>
        <w:t>BORROWER:</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 Bermuda exempted company</w:t>
      </w:r>
    </w:p>
    <w:p>
      <w:pPr>
        <w:spacing w:after="0" w:line="368"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24765</wp:posOffset>
            </wp:positionV>
            <wp:extent cx="2546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Yazid Jamil Khalil Abu Khalid Altamimi</w:t>
      </w:r>
    </w:p>
    <w:p>
      <w:pPr>
        <w:spacing w:after="0" w:line="44"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Term Loan Agreement</w:t>
      </w:r>
    </w:p>
    <w:p>
      <w:pPr>
        <w:sectPr>
          <w:pgSz w:w="11900" w:h="16838" w:orient="portrait"/>
          <w:cols w:equalWidth="0" w:num="1">
            <w:col w:w="11420"/>
          </w:cols>
          <w:pgMar w:left="240" w:top="1103" w:right="239" w:bottom="1440" w:gutter="0" w:footer="0" w:header="0"/>
        </w:sectPr>
      </w:pPr>
    </w:p>
    <w:bookmarkStart w:id="310" w:name="page311"/>
    <w:bookmarkEnd w:id="31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Arial" w:cs="Arial" w:eastAsia="Arial" w:hAnsi="Arial"/>
          <w:sz w:val="22"/>
          <w:szCs w:val="22"/>
          <w:u w:val="single" w:color="auto"/>
          <w:color w:val="auto"/>
        </w:rPr>
        <w:t>WIL- IRELAND:</w:t>
      </w:r>
    </w:p>
    <w:p>
      <w:pPr>
        <w:spacing w:after="0" w:line="36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an Irish public limited company</w:t>
      </w:r>
    </w:p>
    <w:p>
      <w:pPr>
        <w:spacing w:after="0" w:line="368" w:lineRule="exact"/>
        <w:rPr>
          <w:sz w:val="20"/>
          <w:szCs w:val="20"/>
          <w:color w:val="auto"/>
        </w:rPr>
      </w:pPr>
    </w:p>
    <w:p>
      <w:pPr>
        <w:ind w:left="54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Bastiaan E. van Houts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24765</wp:posOffset>
            </wp:positionV>
            <wp:extent cx="24269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Name:  Bastiaan E. van Houts</w:t>
      </w:r>
    </w:p>
    <w:p>
      <w:pPr>
        <w:spacing w:after="0" w:line="44" w:lineRule="exact"/>
        <w:rPr>
          <w:sz w:val="20"/>
          <w:szCs w:val="20"/>
          <w:color w:val="auto"/>
        </w:rPr>
      </w:pPr>
    </w:p>
    <w:p>
      <w:pPr>
        <w:ind w:left="5420"/>
        <w:spacing w:after="0"/>
        <w:tabs>
          <w:tab w:leader="none" w:pos="6120" w:val="left"/>
        </w:tabs>
        <w:rPr>
          <w:sz w:val="20"/>
          <w:szCs w:val="20"/>
          <w:color w:val="auto"/>
        </w:rPr>
      </w:pPr>
      <w:r>
        <w:rPr>
          <w:rFonts w:ascii="Arial" w:cs="Arial" w:eastAsia="Arial" w:hAnsi="Arial"/>
          <w:sz w:val="22"/>
          <w:szCs w:val="22"/>
          <w:color w:val="auto"/>
        </w:rPr>
        <w:t>Title:</w:t>
        <w:tab/>
        <w:t>Assistant Treasurer</w:t>
      </w:r>
    </w:p>
    <w:p>
      <w:pPr>
        <w:sectPr>
          <w:pgSz w:w="11900" w:h="16838" w:orient="portrait"/>
          <w:cols w:equalWidth="0" w:num="1">
            <w:col w:w="11420"/>
          </w:cols>
          <w:pgMar w:left="240" w:top="11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11420"/>
          </w:cols>
          <w:pgMar w:left="240" w:top="1103" w:right="239" w:bottom="1440" w:gutter="0" w:footer="0" w:header="0"/>
          <w:type w:val="continuous"/>
        </w:sectPr>
      </w:pPr>
    </w:p>
    <w:bookmarkStart w:id="311" w:name="page312"/>
    <w:bookmarkEnd w:id="311"/>
    <w:p>
      <w:pPr>
        <w:ind w:left="4480"/>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4480" w:type="dxa"/>
        <w:tblCellMar>
          <w:top w:w="0" w:type="dxa"/>
          <w:left w:w="0" w:type="dxa"/>
          <w:bottom w:w="0" w:type="dxa"/>
          <w:right w:w="0" w:type="dxa"/>
        </w:tblCellMar>
      </w:tblPr>
      <w:tr>
        <w:trPr>
          <w:trHeight w:val="28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ectPr>
          <w:pgSz w:w="11900" w:h="16838" w:orient="portrait"/>
          <w:cols w:equalWidth="0" w:num="1">
            <w:col w:w="9120"/>
          </w:cols>
          <w:pgMar w:left="1440" w:top="1172"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120"/>
          </w:cols>
          <w:pgMar w:left="1440" w:top="1172" w:right="1339" w:bottom="1440" w:gutter="0" w:footer="0" w:header="0"/>
          <w:type w:val="continuous"/>
        </w:sectPr>
      </w:pPr>
    </w:p>
    <w:bookmarkStart w:id="312" w:name="page313"/>
    <w:bookmarkEnd w:id="312"/>
    <w:p>
      <w:pPr>
        <w:ind w:left="4540"/>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ectPr>
          <w:pgSz w:w="11900" w:h="16838" w:orient="portrait"/>
          <w:cols w:equalWidth="0" w:num="1">
            <w:col w:w="9060"/>
          </w:cols>
          <w:pgMar w:left="1440" w:top="117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60"/>
          </w:cols>
          <w:pgMar w:left="1440" w:top="1171" w:right="1399" w:bottom="1440" w:gutter="0" w:footer="0" w:header="0"/>
          <w:type w:val="continuous"/>
        </w:sectPr>
      </w:pPr>
    </w:p>
    <w:bookmarkStart w:id="313" w:name="page314"/>
    <w:bookmarkEnd w:id="313"/>
    <w:p>
      <w:pPr>
        <w:ind w:left="4540"/>
        <w:spacing w:after="0"/>
        <w:rPr>
          <w:sz w:val="20"/>
          <w:szCs w:val="20"/>
          <w:color w:val="auto"/>
        </w:rPr>
      </w:pPr>
      <w:r>
        <w:rPr>
          <w:rFonts w:ascii="Arial" w:cs="Arial" w:eastAsia="Arial" w:hAnsi="Arial"/>
          <w:sz w:val="22"/>
          <w:szCs w:val="22"/>
          <w:color w:val="auto"/>
        </w:rPr>
        <w:t>DEUTSCHE BANK AG NEW YORK BRANCH</w:t>
      </w:r>
    </w:p>
    <w:p>
      <w:pPr>
        <w:spacing w:after="0" w:line="368"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Ming K. Chu</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Ming K. Chu</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Virginia Cosenza</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Virginia Cosenza</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9060"/>
          </w:cols>
          <w:pgMar w:left="1440" w:top="121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60"/>
          </w:cols>
          <w:pgMar w:left="1440" w:top="1212" w:right="1399" w:bottom="1440" w:gutter="0" w:footer="0" w:header="0"/>
          <w:type w:val="continuous"/>
        </w:sectPr>
      </w:pPr>
    </w:p>
    <w:bookmarkStart w:id="314" w:name="page315"/>
    <w:bookmarkEnd w:id="314"/>
    <w:p>
      <w:pPr>
        <w:spacing w:after="0" w:line="69"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MORGAN STANLEY SENIOR FUNDING, INC.</w:t>
      </w:r>
    </w:p>
    <w:p>
      <w:pPr>
        <w:spacing w:after="0" w:line="38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King</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Michael King</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15" w:name="page316"/>
    <w:bookmarkEnd w:id="315"/>
    <w:p>
      <w:pPr>
        <w:spacing w:after="0" w:line="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WELLS FARGO BANK, NATIONAL</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ASSOCIATION</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Corder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Robert Corder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16" w:name="page317"/>
    <w:bookmarkEnd w:id="316"/>
    <w:p>
      <w:pPr>
        <w:spacing w:after="0" w:line="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CITIBANK, N.A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Maureen P. Maroney</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Maureen P. Maroney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17" w:name="page318"/>
    <w:bookmarkEnd w:id="317"/>
    <w:p>
      <w:pPr>
        <w:spacing w:after="0" w:line="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ROYAL BANK OF CANADA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Matthias Wong</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Matthias Wong</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18" w:name="page319"/>
    <w:bookmarkEnd w:id="318"/>
    <w:p>
      <w:pPr>
        <w:spacing w:after="0" w:line="69"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THE BANK OF TOKYO-MISUBISHI UFJ, LTD.</w:t>
      </w:r>
    </w:p>
    <w:p>
      <w:pPr>
        <w:spacing w:after="0" w:line="38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Sparks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Kevin Sparks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19" w:name="page320"/>
    <w:bookmarkEnd w:id="319"/>
    <w:p>
      <w:pPr>
        <w:spacing w:after="0" w:line="7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BARCLAYS BANK PLC</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Ronnie Glenn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Ronnie Glenn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20" w:name="page321"/>
    <w:bookmarkEnd w:id="320"/>
    <w:p>
      <w:pPr>
        <w:ind w:left="2280"/>
        <w:spacing w:after="0"/>
        <w:rPr>
          <w:sz w:val="20"/>
          <w:szCs w:val="20"/>
          <w:color w:val="auto"/>
        </w:rPr>
      </w:pPr>
      <w:r>
        <w:rPr>
          <w:rFonts w:ascii="Arial" w:cs="Arial" w:eastAsia="Arial" w:hAnsi="Arial"/>
          <w:sz w:val="22"/>
          <w:szCs w:val="22"/>
          <w:color w:val="auto"/>
        </w:rPr>
        <w:t>SKANDINAVISKA ENSKILDA BANKEN AB</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(PUBL)</w:t>
      </w:r>
    </w:p>
    <w:p>
      <w:pPr>
        <w:spacing w:after="0" w:line="368" w:lineRule="exact"/>
        <w:rPr>
          <w:sz w:val="20"/>
          <w:szCs w:val="20"/>
          <w:color w:val="auto"/>
        </w:rPr>
      </w:pPr>
    </w:p>
    <w:tbl>
      <w:tblPr>
        <w:tblLayout w:type="fixed"/>
        <w:tblInd w:w="228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I. Dicks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Michael I. Dicks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Duncan Nash</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Duncan Nash</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to Term Loan Agreement</w:t>
      </w:r>
    </w:p>
    <w:p>
      <w:pPr>
        <w:sectPr>
          <w:pgSz w:w="11900" w:h="16838" w:orient="portrait"/>
          <w:cols w:equalWidth="0" w:num="1">
            <w:col w:w="9019"/>
          </w:cols>
          <w:pgMar w:left="1440" w:top="1212" w:right="1440" w:bottom="1440" w:gutter="0" w:footer="0" w:header="0"/>
        </w:sectPr>
      </w:pPr>
    </w:p>
    <w:bookmarkStart w:id="321" w:name="page322"/>
    <w:bookmarkEnd w:id="321"/>
    <w:p>
      <w:pPr>
        <w:ind w:left="4220"/>
        <w:spacing w:after="0"/>
        <w:rPr>
          <w:sz w:val="20"/>
          <w:szCs w:val="20"/>
          <w:color w:val="auto"/>
        </w:rPr>
      </w:pPr>
      <w:r>
        <w:rPr>
          <w:rFonts w:ascii="Arial" w:cs="Arial" w:eastAsia="Arial" w:hAnsi="Arial"/>
          <w:sz w:val="22"/>
          <w:szCs w:val="22"/>
          <w:color w:val="auto"/>
        </w:rPr>
        <w:t>STANDARD CHARTERED BANK</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Steven Aloupis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Steven Aloupis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w w:val="99"/>
              </w:rPr>
              <w:t>Managing Director - Loan Syndications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253" w:right="1440" w:bottom="1440" w:gutter="0" w:footer="0" w:header="0"/>
        </w:sectPr>
      </w:pPr>
    </w:p>
    <w:bookmarkStart w:id="322" w:name="page323"/>
    <w:bookmarkEnd w:id="322"/>
    <w:p>
      <w:pPr>
        <w:ind w:left="4220"/>
        <w:spacing w:after="0"/>
        <w:rPr>
          <w:sz w:val="20"/>
          <w:szCs w:val="20"/>
          <w:color w:val="auto"/>
        </w:rPr>
      </w:pPr>
      <w:r>
        <w:rPr>
          <w:rFonts w:ascii="Arial" w:cs="Arial" w:eastAsia="Arial" w:hAnsi="Arial"/>
          <w:sz w:val="21"/>
          <w:szCs w:val="21"/>
          <w:color w:val="auto"/>
        </w:rPr>
        <w:t>THE TORONTO DOMINION BANK, NEW</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YORK BRANCH</w:t>
      </w:r>
    </w:p>
    <w:p>
      <w:pPr>
        <w:spacing w:after="0" w:line="350" w:lineRule="exact"/>
        <w:rPr>
          <w:sz w:val="20"/>
          <w:szCs w:val="20"/>
          <w:color w:val="auto"/>
        </w:rPr>
      </w:pPr>
    </w:p>
    <w:p>
      <w:pPr>
        <w:ind w:left="4220"/>
        <w:spacing w:after="0"/>
        <w:tabs>
          <w:tab w:leader="none" w:pos="4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Annie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24765</wp:posOffset>
            </wp:positionV>
            <wp:extent cx="24269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Annie Dorval</w:t>
      </w:r>
    </w:p>
    <w:p>
      <w:pPr>
        <w:spacing w:after="0" w:line="44" w:lineRule="exact"/>
        <w:rPr>
          <w:sz w:val="20"/>
          <w:szCs w:val="20"/>
          <w:color w:val="auto"/>
        </w:rPr>
      </w:pPr>
    </w:p>
    <w:p>
      <w:pPr>
        <w:ind w:left="4220"/>
        <w:spacing w:after="0"/>
        <w:tabs>
          <w:tab w:leader="none" w:pos="492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9019"/>
          </w:cols>
          <w:pgMar w:left="144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955" w:right="1440" w:bottom="1440" w:gutter="0" w:footer="0" w:header="0"/>
          <w:type w:val="continuous"/>
        </w:sectPr>
      </w:pPr>
    </w:p>
    <w:bookmarkStart w:id="323" w:name="page324"/>
    <w:bookmarkEnd w:id="323"/>
    <w:p>
      <w:pPr>
        <w:spacing w:after="0" w:line="3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NORDEA BANK FINLAND PLC, NEW YORK</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BRANCH</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Rolf Risan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Rolf Risan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Lars Christian Eriksen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Lars Christian Eriksen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24" w:name="page325"/>
    <w:bookmarkEnd w:id="324"/>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UNICREDIT BANK AG, NEW YORK BRANCH</w:t>
      </w:r>
    </w:p>
    <w:p>
      <w:pPr>
        <w:spacing w:after="0" w:line="380" w:lineRule="exact"/>
        <w:rPr>
          <w:sz w:val="20"/>
          <w:szCs w:val="20"/>
          <w:color w:val="auto"/>
        </w:rPr>
      </w:pPr>
    </w:p>
    <w:tbl>
      <w:tblPr>
        <w:tblLayout w:type="fixed"/>
        <w:tblInd w:w="228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Julien Tizorin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Julien Tizorin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Filippo Pappalardo</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Filippo Pappalardo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25" w:name="page326"/>
    <w:bookmarkEnd w:id="325"/>
    <w:p>
      <w:pPr>
        <w:spacing w:after="0" w:line="3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BANCO BILBAO VIZCAYA ARGENTARIA,</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S.A. NEW YORK BRANCH</w:t>
      </w:r>
    </w:p>
    <w:p>
      <w:pPr>
        <w:spacing w:after="0" w:line="35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Cara Younger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Cara Younger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Mauricio Benitez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Mauricio Benitez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26" w:name="page327"/>
    <w:bookmarkEnd w:id="326"/>
    <w:p>
      <w:pPr>
        <w:spacing w:after="0" w:line="3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ARAB BANKING CORPORATION, GRAND</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CAYMAN</w:t>
      </w:r>
    </w:p>
    <w:p>
      <w:pPr>
        <w:spacing w:after="0" w:line="35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Tull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Richard Tull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w w:val="99"/>
              </w:rPr>
              <w:t>Vice President, Head of Trade Finance</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Bayo Gbowu</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Bayo Gbowu</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Signature Page to Term Loan Agreement</w:t>
      </w:r>
    </w:p>
    <w:p>
      <w:pPr>
        <w:sectPr>
          <w:pgSz w:w="11900" w:h="16838" w:orient="portrait"/>
          <w:cols w:equalWidth="0" w:num="1">
            <w:col w:w="9019"/>
          </w:cols>
          <w:pgMar w:left="1440" w:top="1440" w:right="1440" w:bottom="1440" w:gutter="0" w:footer="0" w:header="0"/>
        </w:sectPr>
      </w:pPr>
    </w:p>
    <w:bookmarkStart w:id="327" w:name="page328"/>
    <w:bookmarkEnd w:id="327"/>
    <w:tbl>
      <w:tblPr>
        <w:tblLayout w:type="fixed"/>
        <w:tblInd w:w="1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4"/>
              </w:rPr>
              <w:t>SCHEDULE 2.01</w:t>
            </w:r>
          </w:p>
        </w:tc>
        <w:tc>
          <w:tcPr>
            <w:tcW w:w="0" w:type="dxa"/>
            <w:vAlign w:val="bottom"/>
          </w:tcPr>
          <w:p>
            <w:pPr>
              <w:spacing w:after="0"/>
              <w:rPr>
                <w:sz w:val="1"/>
                <w:szCs w:val="1"/>
                <w:color w:val="auto"/>
              </w:rPr>
            </w:pPr>
          </w:p>
        </w:tc>
      </w:tr>
      <w:tr>
        <w:trPr>
          <w:trHeight w:val="925"/>
        </w:trPr>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80" w:type="dxa"/>
            <w:vAlign w:val="bottom"/>
            <w:gridSpan w:val="6"/>
          </w:tcPr>
          <w:p>
            <w:pPr>
              <w:ind w:left="80"/>
              <w:spacing w:after="0"/>
              <w:rPr>
                <w:sz w:val="20"/>
                <w:szCs w:val="20"/>
                <w:color w:val="auto"/>
              </w:rPr>
            </w:pPr>
            <w:r>
              <w:rPr>
                <w:rFonts w:ascii="Arial" w:cs="Arial" w:eastAsia="Arial" w:hAnsi="Arial"/>
                <w:sz w:val="22"/>
                <w:szCs w:val="22"/>
                <w:b w:val="1"/>
                <w:bCs w:val="1"/>
                <w:color w:val="auto"/>
              </w:rPr>
              <w:t>COMMITMENTS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tcBorders>
          </w:tcPr>
          <w:p>
            <w:pPr>
              <w:spacing w:after="0"/>
              <w:rPr>
                <w:sz w:val="19"/>
                <w:szCs w:val="19"/>
                <w:color w:val="auto"/>
              </w:rPr>
            </w:pPr>
          </w:p>
        </w:tc>
        <w:tc>
          <w:tcPr>
            <w:tcW w:w="2300" w:type="dxa"/>
            <w:vAlign w:val="bottom"/>
            <w:gridSpan w:val="2"/>
          </w:tcPr>
          <w:p>
            <w:pPr>
              <w:spacing w:after="0" w:line="223" w:lineRule="exact"/>
              <w:rPr>
                <w:sz w:val="20"/>
                <w:szCs w:val="20"/>
                <w:color w:val="auto"/>
              </w:rPr>
            </w:pPr>
            <w:r>
              <w:rPr>
                <w:rFonts w:ascii="Arial" w:cs="Arial" w:eastAsia="Arial" w:hAnsi="Arial"/>
                <w:sz w:val="22"/>
                <w:szCs w:val="22"/>
                <w:b w:val="1"/>
                <w:bCs w:val="1"/>
                <w:color w:val="auto"/>
              </w:rPr>
              <w:t>Lender</w:t>
            </w:r>
          </w:p>
        </w:tc>
        <w:tc>
          <w:tcPr>
            <w:tcW w:w="8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60" w:type="dxa"/>
            <w:vAlign w:val="bottom"/>
            <w:tcBorders>
              <w:right w:val="single" w:sz="8" w:color="auto"/>
            </w:tcBorders>
            <w:gridSpan w:val="3"/>
          </w:tcPr>
          <w:p>
            <w:pPr>
              <w:spacing w:after="0" w:line="223" w:lineRule="exact"/>
              <w:rPr>
                <w:sz w:val="20"/>
                <w:szCs w:val="20"/>
                <w:color w:val="auto"/>
              </w:rPr>
            </w:pPr>
            <w:r>
              <w:rPr>
                <w:rFonts w:ascii="Arial" w:cs="Arial" w:eastAsia="Arial" w:hAnsi="Arial"/>
                <w:sz w:val="22"/>
                <w:szCs w:val="22"/>
                <w:b w:val="1"/>
                <w:bCs w:val="1"/>
                <w:color w:val="auto"/>
              </w:rPr>
              <w:t>Commitment</w:t>
            </w:r>
          </w:p>
        </w:tc>
        <w:tc>
          <w:tcPr>
            <w:tcW w:w="3020" w:type="dxa"/>
            <w:vAlign w:val="bottom"/>
            <w:tcBorders>
              <w:right w:val="single" w:sz="8" w:color="auto"/>
            </w:tcBorders>
            <w:gridSpan w:val="4"/>
          </w:tcPr>
          <w:p>
            <w:pPr>
              <w:ind w:left="460"/>
              <w:spacing w:after="0" w:line="223" w:lineRule="exact"/>
              <w:rPr>
                <w:sz w:val="20"/>
                <w:szCs w:val="20"/>
                <w:color w:val="auto"/>
              </w:rPr>
            </w:pPr>
            <w:r>
              <w:rPr>
                <w:rFonts w:ascii="Arial" w:cs="Arial" w:eastAsia="Arial" w:hAnsi="Arial"/>
                <w:sz w:val="22"/>
                <w:szCs w:val="22"/>
                <w:b w:val="1"/>
                <w:bCs w:val="1"/>
                <w:color w:val="auto"/>
              </w:rPr>
              <w:t>Applicable Percentage</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160" w:type="dxa"/>
            <w:vAlign w:val="bottom"/>
            <w:tcBorders>
              <w:left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JPMorgan Chase Bank, N.A.</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Deutsche Bank AG New York Branch</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Citibank, N.A.</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Morgan Stanley Senior Funding, Inc.</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The Bank of Tokyo-Mitsubishi UFJ, Ltd.</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Wells Fargo Bank, National Association</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$47,776,880.45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9.555376090382%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Skandinaviska Enskilda Banken AB (publ)</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$33,649,639.95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6.729927990269%</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w w:val="95"/>
              </w:rPr>
              <w:t>The Toronto Dominion Bank, New York Branch</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$33,649,639.95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6.729927990269%</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Royal Bank of Canada</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$30,284,675.95</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6.056935190242%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Standard Chartered Bank</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$27,256,208.36</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5.451241672218%</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Barclays Bank PLC</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$24,227,740.76</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4.845548152194%</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Nordea Bank Finland Plc, New York Branch</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$21,535,769.57</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4.307153914172%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Unicredit Bank AG, New York Branch</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$21,535,769.57</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4.307153914172%</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460" w:type="dxa"/>
            <w:vAlign w:val="bottom"/>
            <w:tcBorders>
              <w:left w:val="single" w:sz="8" w:color="auto"/>
            </w:tcBorders>
            <w:gridSpan w:val="3"/>
          </w:tcPr>
          <w:p>
            <w:pPr>
              <w:ind w:left="40"/>
              <w:spacing w:after="0" w:line="242" w:lineRule="exact"/>
              <w:rPr>
                <w:sz w:val="20"/>
                <w:szCs w:val="20"/>
                <w:color w:val="auto"/>
              </w:rPr>
            </w:pPr>
            <w:r>
              <w:rPr>
                <w:rFonts w:ascii="Arial" w:cs="Arial" w:eastAsia="Arial" w:hAnsi="Arial"/>
                <w:sz w:val="22"/>
                <w:szCs w:val="22"/>
                <w:color w:val="auto"/>
                <w:w w:val="92"/>
              </w:rPr>
              <w:t>Banco Bilbao Vizcaya Argentaria, S.A. New York</w:t>
            </w:r>
          </w:p>
        </w:tc>
        <w:tc>
          <w:tcPr>
            <w:tcW w:w="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$12,113,870.38</w:t>
            </w:r>
          </w:p>
        </w:tc>
        <w:tc>
          <w:tcPr>
            <w:tcW w:w="2520" w:type="dxa"/>
            <w:vAlign w:val="bottom"/>
            <w:gridSpan w:val="3"/>
          </w:tcPr>
          <w:p>
            <w:pPr>
              <w:jc w:val="center"/>
              <w:ind w:left="332"/>
              <w:spacing w:after="0" w:line="242" w:lineRule="exact"/>
              <w:rPr>
                <w:sz w:val="20"/>
                <w:szCs w:val="20"/>
                <w:color w:val="auto"/>
              </w:rPr>
            </w:pPr>
            <w:r>
              <w:rPr>
                <w:rFonts w:ascii="Arial" w:cs="Arial" w:eastAsia="Arial" w:hAnsi="Arial"/>
                <w:sz w:val="22"/>
                <w:szCs w:val="22"/>
                <w:color w:val="auto"/>
                <w:w w:val="88"/>
              </w:rPr>
              <w:t>2.422774076097%</w:t>
            </w:r>
          </w:p>
        </w:tc>
        <w:tc>
          <w:tcPr>
            <w:tcW w:w="5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Branch</w:t>
            </w:r>
          </w:p>
        </w:tc>
        <w:tc>
          <w:tcPr>
            <w:tcW w:w="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460" w:type="dxa"/>
            <w:vAlign w:val="bottom"/>
            <w:tcBorders>
              <w:left w:val="single" w:sz="8" w:color="auto"/>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color w:val="auto"/>
              </w:rPr>
              <w:t>Arab Banking Corporation, Grand Cayman</w:t>
            </w:r>
          </w:p>
        </w:tc>
        <w:tc>
          <w:tcPr>
            <w:tcW w:w="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gridSpan w:val="4"/>
            <w:vMerge w:val="restart"/>
          </w:tcPr>
          <w:p>
            <w:pPr>
              <w:jc w:val="center"/>
              <w:ind w:right="40"/>
              <w:spacing w:after="0"/>
              <w:rPr>
                <w:sz w:val="20"/>
                <w:szCs w:val="20"/>
                <w:color w:val="auto"/>
              </w:rPr>
            </w:pPr>
            <w:r>
              <w:rPr>
                <w:rFonts w:ascii="Arial" w:cs="Arial" w:eastAsia="Arial" w:hAnsi="Arial"/>
                <w:sz w:val="22"/>
                <w:szCs w:val="22"/>
                <w:color w:val="auto"/>
                <w:w w:val="88"/>
              </w:rPr>
              <w:t>$9,085,402.79</w:t>
            </w:r>
          </w:p>
        </w:tc>
        <w:tc>
          <w:tcPr>
            <w:tcW w:w="2520" w:type="dxa"/>
            <w:vAlign w:val="bottom"/>
            <w:gridSpan w:val="3"/>
          </w:tcPr>
          <w:p>
            <w:pPr>
              <w:jc w:val="center"/>
              <w:ind w:left="332"/>
              <w:spacing w:after="0"/>
              <w:rPr>
                <w:sz w:val="20"/>
                <w:szCs w:val="20"/>
                <w:color w:val="auto"/>
              </w:rPr>
            </w:pPr>
            <w:r>
              <w:rPr>
                <w:rFonts w:ascii="Arial" w:cs="Arial" w:eastAsia="Arial" w:hAnsi="Arial"/>
                <w:sz w:val="22"/>
                <w:szCs w:val="22"/>
                <w:color w:val="auto"/>
                <w:w w:val="88"/>
              </w:rPr>
              <w:t>1.817080558073%</w:t>
            </w:r>
          </w:p>
        </w:tc>
        <w:tc>
          <w:tcPr>
            <w:tcW w:w="5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6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22"/>
                <w:szCs w:val="22"/>
                <w:b w:val="1"/>
                <w:bCs w:val="1"/>
                <w:color w:val="auto"/>
              </w:rPr>
              <w:t>TOTAL</w:t>
            </w:r>
          </w:p>
        </w:tc>
        <w:tc>
          <w:tcPr>
            <w:tcW w:w="8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2020" w:type="dxa"/>
            <w:vAlign w:val="bottom"/>
            <w:gridSpan w:val="3"/>
          </w:tcPr>
          <w:p>
            <w:pPr>
              <w:jc w:val="center"/>
              <w:ind w:left="672"/>
              <w:spacing w:after="0"/>
              <w:rPr>
                <w:sz w:val="20"/>
                <w:szCs w:val="20"/>
                <w:color w:val="auto"/>
              </w:rPr>
            </w:pPr>
            <w:r>
              <w:rPr>
                <w:rFonts w:ascii="Arial" w:cs="Arial" w:eastAsia="Arial" w:hAnsi="Arial"/>
                <w:sz w:val="22"/>
                <w:szCs w:val="22"/>
                <w:b w:val="1"/>
                <w:bCs w:val="1"/>
                <w:color w:val="auto"/>
                <w:w w:val="89"/>
              </w:rPr>
              <w:t>$500,000,000</w:t>
            </w:r>
          </w:p>
        </w:tc>
        <w:tc>
          <w:tcPr>
            <w:tcW w:w="820" w:type="dxa"/>
            <w:vAlign w:val="bottom"/>
            <w:tcBorders>
              <w:right w:val="single" w:sz="8" w:color="auto"/>
            </w:tcBorders>
          </w:tcPr>
          <w:p>
            <w:pPr>
              <w:spacing w:after="0"/>
              <w:rPr>
                <w:sz w:val="23"/>
                <w:szCs w:val="23"/>
                <w:color w:val="auto"/>
              </w:rPr>
            </w:pPr>
          </w:p>
        </w:tc>
        <w:tc>
          <w:tcPr>
            <w:tcW w:w="2520" w:type="dxa"/>
            <w:vAlign w:val="bottom"/>
            <w:gridSpan w:val="3"/>
          </w:tcPr>
          <w:p>
            <w:pPr>
              <w:jc w:val="center"/>
              <w:ind w:left="352"/>
              <w:spacing w:after="0"/>
              <w:rPr>
                <w:sz w:val="20"/>
                <w:szCs w:val="20"/>
                <w:color w:val="auto"/>
              </w:rPr>
            </w:pPr>
            <w:r>
              <w:rPr>
                <w:rFonts w:ascii="Arial" w:cs="Arial" w:eastAsia="Arial" w:hAnsi="Arial"/>
                <w:sz w:val="22"/>
                <w:szCs w:val="22"/>
                <w:b w:val="1"/>
                <w:bCs w:val="1"/>
                <w:color w:val="auto"/>
                <w:w w:val="95"/>
              </w:rPr>
              <w:t>100%</w:t>
            </w:r>
          </w:p>
        </w:tc>
        <w:tc>
          <w:tcPr>
            <w:tcW w:w="50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4460" w:type="dxa"/>
            <w:vAlign w:val="bottom"/>
            <w:tcBorders>
              <w:lef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540" w:top="561"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 PLEDGE AND SECURITY AGREEMENT</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U.S. PLEDGE AND SECURITY AGREEMENT (as the same may be amended, restated, supplemented or otherwise modified from time to time, this “</w:t>
      </w:r>
      <w:r>
        <w:rPr>
          <w:rFonts w:ascii="Arial" w:cs="Arial" w:eastAsia="Arial" w:hAnsi="Arial"/>
          <w:sz w:val="17"/>
          <w:szCs w:val="17"/>
          <w:u w:val="single" w:color="auto"/>
          <w:color w:val="auto"/>
        </w:rPr>
        <w:t>Security Agreement</w:t>
      </w:r>
      <w:r>
        <w:rPr>
          <w:rFonts w:ascii="Arial" w:cs="Arial" w:eastAsia="Arial" w:hAnsi="Arial"/>
          <w:sz w:val="17"/>
          <w:szCs w:val="17"/>
          <w:color w:val="auto"/>
        </w:rPr>
        <w:t>”) is entered into as of May 9, 2016 by and among the entities listed on the signature pages hereto (such listed entities, collectively, the “</w:t>
      </w:r>
      <w:r>
        <w:rPr>
          <w:rFonts w:ascii="Arial" w:cs="Arial" w:eastAsia="Arial" w:hAnsi="Arial"/>
          <w:sz w:val="17"/>
          <w:szCs w:val="17"/>
          <w:u w:val="single" w:color="auto"/>
          <w:color w:val="auto"/>
        </w:rPr>
        <w:t>Initial Grantors</w:t>
      </w:r>
      <w:r>
        <w:rPr>
          <w:rFonts w:ascii="Arial" w:cs="Arial" w:eastAsia="Arial" w:hAnsi="Arial"/>
          <w:sz w:val="17"/>
          <w:szCs w:val="17"/>
          <w:color w:val="auto"/>
        </w:rPr>
        <w:t>” and, together with any other Domestic Subsidiaries of Weatherford International plc, an Irish public limited company (“</w:t>
      </w:r>
      <w:r>
        <w:rPr>
          <w:rFonts w:ascii="Arial" w:cs="Arial" w:eastAsia="Arial" w:hAnsi="Arial"/>
          <w:sz w:val="17"/>
          <w:szCs w:val="17"/>
          <w:u w:val="single" w:color="auto"/>
          <w:color w:val="auto"/>
        </w:rPr>
        <w:t>WIL-Ireland</w:t>
      </w:r>
      <w:r>
        <w:rPr>
          <w:rFonts w:ascii="Arial" w:cs="Arial" w:eastAsia="Arial" w:hAnsi="Arial"/>
          <w:sz w:val="17"/>
          <w:szCs w:val="17"/>
          <w:color w:val="auto"/>
        </w:rPr>
        <w:t xml:space="preserve">”), whether now existing or hereafter formed or acquired, that become parties to this Security Agreement from time to time in accordance with the terms of the Credit Agreement described below by executing a Security Agreement Supplement hereto in substantially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each, a “</w:t>
      </w:r>
      <w:r>
        <w:rPr>
          <w:rFonts w:ascii="Arial" w:cs="Arial" w:eastAsia="Arial" w:hAnsi="Arial"/>
          <w:sz w:val="17"/>
          <w:szCs w:val="17"/>
          <w:u w:val="single" w:color="auto"/>
          <w:color w:val="auto"/>
        </w:rPr>
        <w:t>Grantor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Grantors</w:t>
      </w:r>
      <w:r>
        <w:rPr>
          <w:rFonts w:ascii="Arial" w:cs="Arial" w:eastAsia="Arial" w:hAnsi="Arial"/>
          <w:sz w:val="17"/>
          <w:szCs w:val="17"/>
          <w:color w:val="auto"/>
        </w:rPr>
        <w:t>”), and JPMorgan Chase Bank, N.A., a national banking association, in its capacity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itself and on behalf and for the benefit of the other Secured Parties (as defined in the Credit Agreement).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WIL-Ireland, Weatherford International Ltd., a Bermuda exempted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the Administrative Agent and the Lenders are entering into that certain Term Loan Agreement dated as of the date hereof (as the same may be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Grantors are entering into this Security Agreement in order to induce the Lenders to enter into and extend credit to the Borrower under the Credit Agreement on the terms therein, including to make the Loans to the Borrower on the Effective Date.</w:t>
      </w:r>
    </w:p>
    <w:p>
      <w:pPr>
        <w:spacing w:after="0" w:line="3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the Grantors and the Administrative Agent, for itself and on behalf and for the benefit of the other Secured Parties,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Credit Agreement</w:t>
      </w:r>
      <w:r>
        <w:rPr>
          <w:rFonts w:ascii="Arial" w:cs="Arial" w:eastAsia="Arial" w:hAnsi="Arial"/>
          <w:sz w:val="18"/>
          <w:szCs w:val="18"/>
          <w:color w:val="auto"/>
        </w:rPr>
        <w:t>. All capitalized terms used herein and not otherwise defined shall have the respective meanings assigned to such terms in the Credit Agreement.</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Terms Defined in UCC</w:t>
      </w:r>
      <w:r>
        <w:rPr>
          <w:rFonts w:ascii="Arial" w:cs="Arial" w:eastAsia="Arial" w:hAnsi="Arial"/>
          <w:sz w:val="16"/>
          <w:szCs w:val="16"/>
          <w:color w:val="auto"/>
        </w:rPr>
        <w:t>. Terms defined in the</w:t>
      </w:r>
      <w:r>
        <w:rPr>
          <w:rFonts w:ascii="Arial" w:cs="Arial" w:eastAsia="Arial" w:hAnsi="Arial"/>
          <w:sz w:val="16"/>
          <w:szCs w:val="16"/>
          <w:u w:val="single" w:color="auto"/>
          <w:color w:val="auto"/>
        </w:rPr>
        <w:t xml:space="preserve"> UCC </w:t>
      </w:r>
      <w:r>
        <w:rPr>
          <w:rFonts w:ascii="Arial" w:cs="Arial" w:eastAsia="Arial" w:hAnsi="Arial"/>
          <w:sz w:val="16"/>
          <w:szCs w:val="16"/>
          <w:color w:val="auto"/>
        </w:rPr>
        <w:t>that are not otherwise defined in this Security Agreement are used herein as defined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UCC.</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 of Certain Terms Used Herein</w:t>
      </w:r>
      <w:r>
        <w:rPr>
          <w:rFonts w:ascii="Arial" w:cs="Arial" w:eastAsia="Arial" w:hAnsi="Arial"/>
          <w:sz w:val="18"/>
          <w:szCs w:val="18"/>
          <w:color w:val="auto"/>
        </w:rPr>
        <w:t>. As used in this Security Agreement, in addition to the terms defined in the Preliminary Statement, the following terms shall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80" w:right="239" w:bottom="1440" w:gutter="0" w:footer="0" w:header="0"/>
        </w:sectPr>
      </w:pPr>
    </w:p>
    <w:bookmarkStart w:id="329" w:name="page330"/>
    <w:bookmarkEnd w:id="3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all Accounts, Chattel Paper, Commercial Tort Claims, Copyrights, Deposit Accounts, Documents, Equipment, Farm Products, Fixtures, General Intangibles, Goods, Instruments, Inventory, Investment Property, letters of credit, Letter of Credit Rights, Licenses, Patents, Pledged Deposits, Supporting Obligations, Trademarks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Collateral shall not include any Excluded Assets.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defined in the UCC of any Grantor, including each commercial tort claim specifically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set forth in Article 8 or, if applicable, in Section 9-104, 9-105, 9-106 or 9-107 of Article 9 of the UCC or Section 16 of the UETA, as applicable.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means an agreement, in form and substance reasonably satisfactory to the Administrative Agent, among any Grantor, a banking institution holding such Grantor’s funds, and the Administrative Agent with respect to collection and Control of all deposits and balances held in a Specified Deposit Account maintained by such Grantor with such banking institution.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means the most recent to occur of (a) in the case of an Initial Grantor, the Effective Date or, in the case of any other Grantor, the date such Grantor becomes a party hereto and (b) the most recent date on which WIL-Ireland delivers to the Administrative Agent a Compliance Certificate accompanied by updated Exhibits to this Security Agreement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Products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have the meaning set forth in Article 9 of the UCC and, in any event, includes payment intangibles, contract rights, rights to payment, rights arising under common law, statutes, or regulations, choses in action, goodwill (including the goodwill associated with any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4" w:right="239" w:bottom="1440" w:gutter="0" w:footer="0" w:header="0"/>
        </w:sectPr>
      </w:pPr>
    </w:p>
    <w:bookmarkStart w:id="330" w:name="page331"/>
    <w:bookmarkEnd w:id="330"/>
    <w:p>
      <w:pPr>
        <w:jc w:val="both"/>
        <w:spacing w:after="0" w:line="272" w:lineRule="auto"/>
        <w:rPr>
          <w:sz w:val="20"/>
          <w:szCs w:val="20"/>
          <w:color w:val="auto"/>
        </w:rPr>
      </w:pPr>
      <w:r>
        <w:rPr>
          <w:rFonts w:ascii="Arial" w:cs="Arial" w:eastAsia="Arial" w:hAnsi="Arial"/>
          <w:sz w:val="17"/>
          <w:szCs w:val="17"/>
          <w:color w:val="auto"/>
        </w:rPr>
        <w:t>Trademark),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Industrial Designs</w:t>
      </w:r>
      <w:r>
        <w:rPr>
          <w:rFonts w:ascii="Arial" w:cs="Arial" w:eastAsia="Arial" w:hAnsi="Arial"/>
          <w:sz w:val="17"/>
          <w:szCs w:val="17"/>
          <w:color w:val="auto"/>
        </w:rPr>
        <w:t xml:space="preserve">” means (a) registered industrial designs and industrial design applications, and also includes registered industrial designs and industrial design applications listed in </w:t>
      </w:r>
      <w:r>
        <w:rPr>
          <w:rFonts w:ascii="Arial" w:cs="Arial" w:eastAsia="Arial" w:hAnsi="Arial"/>
          <w:sz w:val="17"/>
          <w:szCs w:val="17"/>
          <w:u w:val="single" w:color="auto"/>
          <w:color w:val="auto"/>
        </w:rPr>
        <w:t>Exhibit “B”</w:t>
      </w:r>
      <w:r>
        <w:rPr>
          <w:rFonts w:ascii="Arial" w:cs="Arial" w:eastAsia="Arial" w:hAnsi="Arial"/>
          <w:sz w:val="17"/>
          <w:szCs w:val="17"/>
          <w:color w:val="auto"/>
        </w:rPr>
        <w:t>, (b) all renewals, divisions and any industrial design registrations issuing thereon and any and all foreign applications corresponding thereto, (c) all income, royalties, damages and payments now and hereafter due or payable under and with respect thereto, including payments under all licenses entered into in connection therewith and damages and payments for past or future infringements thereof, (d) the right to sue for past, present and future infringements thereof, and (e) all of each Grantor’s rights corresponding thereto throughout the world.</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Instrument</w:t>
      </w:r>
      <w:r>
        <w:rPr>
          <w:rFonts w:ascii="Arial" w:cs="Arial" w:eastAsia="Arial" w:hAnsi="Arial"/>
          <w:sz w:val="18"/>
          <w:szCs w:val="18"/>
          <w:color w:val="auto"/>
        </w:rPr>
        <w:t>” means an Instrument between a Grantor, as the payee thereunder, and WIL-Ireland or any of its Restricted Subsidiaries, as the payor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Copyrights and any other intellectual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means any property of the Grantors, not included within the defined terms Accounts, Chattel Paper, Commercial Tort Claims, Copyrights, Deposit Accounts, Documents, Equipment, Fixtures, Farm Products, General Intangibles, Goods, Instruments, Inventory, Investment Property, Letter of Credit Rights, Licenses, Patents, Pledged Deposits, Supporting Obligations and Trademarks, including, without limitation, all cash on hand, letters of credit, Stock Rights or any other deposits (general or special, time or demand, provisional or final) with any bank or other financial institution, it being intended that the Collateral include all real and personal property of the Grantors,</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800" w:right="239" w:bottom="1440" w:gutter="0" w:footer="0" w:header="0"/>
        </w:sectPr>
      </w:pPr>
    </w:p>
    <w:bookmarkStart w:id="331" w:name="page332"/>
    <w:bookmarkEnd w:id="331"/>
    <w:p>
      <w:pPr>
        <w:jc w:val="both"/>
        <w:spacing w:after="0" w:line="277" w:lineRule="auto"/>
        <w:rPr>
          <w:sz w:val="20"/>
          <w:szCs w:val="20"/>
          <w:color w:val="auto"/>
        </w:rPr>
      </w:pPr>
      <w:r>
        <w:rPr>
          <w:rFonts w:ascii="Arial" w:cs="Arial" w:eastAsia="Arial" w:hAnsi="Arial"/>
          <w:sz w:val="18"/>
          <w:szCs w:val="18"/>
          <w:color w:val="auto"/>
        </w:rPr>
        <w:t xml:space="preserve">subject to the exclusions or limitations contained in Article II of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Other Collateral shall not include any Excluded Assets.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licenses of the foregoing whether as licensee or licensor; (e) all income, royalties, damages, claims, and payments now or hereafter due or payable under and with respect thereto, including, without limitation, damages and payments for past and future infringements thereof; (f) all rights to sue for past, present, and future infringements thereof; and (g) all rights corresponding to any of the foregoing throughout the world.</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all Instruments, Securities and other Investment Property of the Grantors to the extent constituting Collateral hereunder, whether or not physically delivered to the Administrative Agent pursuant to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Deposits</w:t>
      </w:r>
      <w:r>
        <w:rPr>
          <w:rFonts w:ascii="Arial" w:cs="Arial" w:eastAsia="Arial" w:hAnsi="Arial"/>
          <w:sz w:val="18"/>
          <w:szCs w:val="18"/>
          <w:color w:val="auto"/>
        </w:rPr>
        <w:t>” means all time deposits of money (other than Deposit Accounts and Instruments), whether or not evidenced by certificates, which a Grantor may from time to time designate as pledged to the Administrative Agent or to any Secured Party as security for any Secured Obligations, and all rights to receive interest on said deposits.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xml:space="preserve">” means the Accounts, Chattel Paper, Documents, Investment Property, Instruments or Pledged Deposits, and any other rights or claims to receive money which are General Intangibles or which are otherwise included as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Receivables shall not include any Excluded Assets.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has the meaning set forth in Article 8 of the UCC.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Deposit Account</w:t>
      </w:r>
      <w:r>
        <w:rPr>
          <w:rFonts w:ascii="Arial" w:cs="Arial" w:eastAsia="Arial" w:hAnsi="Arial"/>
          <w:sz w:val="18"/>
          <w:szCs w:val="18"/>
          <w:color w:val="auto"/>
        </w:rPr>
        <w:t>” means any Deposit Account of a Grantor other than (a) Excluded Accounts and (b) other Deposit Accounts to the extent that the aggregate cash or Cash Equivalent balance of all such other Deposit Accounts described in this clause (b) does not at any time exceed $5,000,000.</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Intellectual Property</w:t>
      </w:r>
      <w:r>
        <w:rPr>
          <w:rFonts w:ascii="Arial" w:cs="Arial" w:eastAsia="Arial" w:hAnsi="Arial"/>
          <w:sz w:val="16"/>
          <w:szCs w:val="16"/>
          <w:color w:val="auto"/>
        </w:rPr>
        <w:t>” means any Intellectual Property of one or more Grantors (a) the aggregate book value of which exceeds $5,000,000 individually or in the aggregate, (b) which generates annual revenue, royalties or license fees of greater than $5,000,000 or (c) which, in the commercially reasonable judgment of the Grantors, is material to the conduct of all or a material portion of the business of WIL-Ireland and its Restricted Subsidiaries.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any securities, dividends,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Capital Stock and any right to receive earnings, in which any Grantor now has or hereafter acquires any right, issued by an issuer of such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shall have the meaning set forth in Article 9 of the UCC.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84" w:right="239" w:bottom="1440" w:gutter="0" w:footer="0" w:header="0"/>
        </w:sectPr>
      </w:pPr>
    </w:p>
    <w:bookmarkStart w:id="332" w:name="page333"/>
    <w:bookmarkEnd w:id="332"/>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Grantors hereby pledges, assigns and grants to the Administrative Agent, on behalf of and for the benefit of the Secured Parties,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intellectual property rights owned by the Grantors.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Each of the Initial Grantors represents and warrants to the Administrative Agent and the Secured Parties, and each Grantor that becomes a party to this Security Agreement pursuant to the execution of a Security Agreement Supplement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represents and warrants after giving effect to supplements to each of the Exhibits hereto with respect to such subsequent Grantor as attached to such Security Agreement Supplement, that: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Title, Authorization, Validity and Enforceability</w:t>
      </w:r>
      <w:r>
        <w:rPr>
          <w:rFonts w:ascii="Arial" w:cs="Arial" w:eastAsia="Arial" w:hAnsi="Arial"/>
          <w:sz w:val="17"/>
          <w:szCs w:val="17"/>
          <w:color w:val="auto"/>
        </w:rPr>
        <w:t>. Subject to Section 3.12.10, such Grantor has good and valid rights in or the power to transfer its respective Collateral, free and clear of all Liens except for Liens permitted under Section 8.04 of the Credit Agreement, and has the corporate, limited liability company or partnership, as applicable, power and authority to grant to the Administrative Agent the security interest in such Collateral pursuant hereto. The execution and delivery by such Grantor of this Security Agreement have been duly authorized by corporate, limited liability company, limited partnership or partnership, as applicable, proceedings, and this Security Agreement constitutes a legal, valid and binding obligation of such Grantor and creates a security interest which is enforceable against such Grantor in all Collateral it now owns or hereafter acquires, except (i) as enforceability may be limited by bankruptcy, insolvency, examinership,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(ii) as to the enforceability of provisions for indemnification and the limitations thereon arising as a matter of law or public policy. When financing</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4" w:right="239" w:bottom="1440" w:gutter="0" w:footer="0" w:header="0"/>
        </w:sectPr>
      </w:pPr>
    </w:p>
    <w:bookmarkStart w:id="333" w:name="page334"/>
    <w:bookmarkEnd w:id="333"/>
    <w:p>
      <w:pPr>
        <w:jc w:val="both"/>
        <w:spacing w:after="0" w:line="264" w:lineRule="auto"/>
        <w:rPr>
          <w:sz w:val="20"/>
          <w:szCs w:val="20"/>
          <w:color w:val="auto"/>
        </w:rPr>
      </w:pPr>
      <w:r>
        <w:rPr>
          <w:rFonts w:ascii="Arial" w:cs="Arial" w:eastAsia="Arial" w:hAnsi="Arial"/>
          <w:sz w:val="18"/>
          <w:szCs w:val="18"/>
          <w:color w:val="auto"/>
        </w:rPr>
        <w:t xml:space="preserve">statements have been filed in the appropriate offices against such Grantor in the locations listed in </w:t>
      </w:r>
      <w:r>
        <w:rPr>
          <w:rFonts w:ascii="Arial" w:cs="Arial" w:eastAsia="Arial" w:hAnsi="Arial"/>
          <w:sz w:val="18"/>
          <w:szCs w:val="18"/>
          <w:u w:val="single" w:color="auto"/>
          <w:color w:val="auto"/>
        </w:rPr>
        <w:t>Exhibit “E</w:t>
      </w:r>
      <w:r>
        <w:rPr>
          <w:rFonts w:ascii="Arial" w:cs="Arial" w:eastAsia="Arial" w:hAnsi="Arial"/>
          <w:sz w:val="18"/>
          <w:szCs w:val="18"/>
          <w:color w:val="auto"/>
        </w:rPr>
        <w:t>”, the Administrative Agent will have a fully perfected first priority security interest in the Collateral owned by such Grantor in which a security interest may be perfected by filing of a financing statement under the UCC, subject only to Liens permitted under Section 8.04 of the Credit Agreement.</w:t>
      </w:r>
    </w:p>
    <w:p>
      <w:pPr>
        <w:spacing w:after="0" w:line="3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Conflicting Laws and Contracts</w:t>
      </w:r>
      <w:r>
        <w:rPr>
          <w:rFonts w:ascii="Arial" w:cs="Arial" w:eastAsia="Arial" w:hAnsi="Arial"/>
          <w:sz w:val="17"/>
          <w:szCs w:val="17"/>
          <w:color w:val="auto"/>
        </w:rPr>
        <w:t>. Neither the execution and delivery by such Grantor of this Security Agreement, the creation and perfection of the security interest in the Collateral granted hereunder, nor compliance with the terms and provisions hereof (a) will breach or violate any applicable Requirement of Law binding on such Grantor, (b) will result in any breach or violation of, or constitute a default under, or result in the creation or imposition of (or the obligation to create or impose) any Lien prohibited under the Credit Agreement upon any of its property or assets pursuant to the terms of (i) the Existing Senior Notes or any Existing Senior Notes Indenture or (ii) any other indenture, agreement or other instrument to which such Grantor is a party or by which any property or asset of it is bound or to which it is subject, except for breaches, violations and defaults under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that collectively for the Grantors would not have a Material Adverse Effect, or (c) will violate any provision of such Grantor’s charter, articles or certificate of incorporation or formation, partnership agreement, by-laws or operating agreement (or similar constitutive document).</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Such Grantor’s mailing address and the location of its place of business (if it has only one) or its chief executive office (if it has more than one place of business), are disclosed, as of the applicable Determination Date,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Property Locations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lists, as of the applicable Determination Date, all of such Grantor’s locations where Inventory and Equipment constituting Collateral are located (other than any such location where the book value of all Inventory and Equipment located thereon does not exceed $10,000,000. Such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indicate whether such locations are locations (i) owned by a Grantor, (ii) leased by such Grantor as lessee or (iii) at which Inventory is held in a public warehouse or is otherwise held by a bailee or on consignment by such Grantor.</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Other Names; Etc</w:t>
      </w:r>
      <w:r>
        <w:rPr>
          <w:rFonts w:ascii="Arial" w:cs="Arial" w:eastAsia="Arial" w:hAnsi="Arial"/>
          <w:sz w:val="16"/>
          <w:szCs w:val="16"/>
          <w:color w:val="auto"/>
        </w:rPr>
        <w:t xml:space="preserve">. Within the five-year period ending as of the date such Person becomes a Grantor hereunder, such Grantor has not conducted business under any name, changed its jurisdiction of formation, merged with or into or consolidated with any other Person, except as disclosed in </w:t>
      </w:r>
      <w:r>
        <w:rPr>
          <w:rFonts w:ascii="Arial" w:cs="Arial" w:eastAsia="Arial" w:hAnsi="Arial"/>
          <w:sz w:val="16"/>
          <w:szCs w:val="16"/>
          <w:u w:val="single" w:color="auto"/>
          <w:color w:val="auto"/>
        </w:rPr>
        <w:t>Exhibit “A”</w:t>
      </w:r>
      <w:r>
        <w:rPr>
          <w:rFonts w:ascii="Arial" w:cs="Arial" w:eastAsia="Arial" w:hAnsi="Arial"/>
          <w:sz w:val="16"/>
          <w:szCs w:val="16"/>
          <w:color w:val="auto"/>
        </w:rPr>
        <w:t>. The name in which such Grantor has executed this Security Agreement (or a Security Agreement Supplement) is, as of the date such agreement is executed and delivered, the exact name as it appears in such Grantor’s charter or certificate of incorporation or formation (or similar formation document), as amended, as filed with such Grantor’s jurisdiction of organization as of the date such Person becomes a Grantor hereunder.</w:t>
      </w:r>
    </w:p>
    <w:p>
      <w:pPr>
        <w:spacing w:after="0" w:line="15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Accounts and Chattel Paper</w:t>
      </w:r>
      <w:r>
        <w:rPr>
          <w:rFonts w:ascii="Arial" w:cs="Arial" w:eastAsia="Arial" w:hAnsi="Arial"/>
          <w:sz w:val="17"/>
          <w:szCs w:val="17"/>
          <w:color w:val="auto"/>
        </w:rPr>
        <w:t>. The names of the obligors, amounts owing, due dates and other information with respect to the Accounts and Chattel Paper owned by such Grantor and constituting Collateral are and will be correctly stated in all material respects in all records of such Grantor relating thereto and in all invoices and reports with respect thereto furnished to the Administrative Agent by such Grantor from time to time. As of the time when each Account or each item of Chattel Paper constituting Collateral arises, such Grantor shall be deemed to have represented and warranted that such Account or Chattel Paper, as the case may be, and all records relating thereto, are genuine and in all respects what they purport to be, except, in each case, as could not be reasonably expected to result in a Material Adverse Effect.</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4" w:right="239" w:bottom="1440" w:gutter="0" w:footer="0" w:header="0"/>
        </w:sectPr>
      </w:pPr>
    </w:p>
    <w:bookmarkStart w:id="334" w:name="page335"/>
    <w:bookmarkEnd w:id="334"/>
    <w:p>
      <w:pPr>
        <w:ind w:firstLine="648"/>
        <w:spacing w:after="0" w:line="274"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No Financing Statements, Security Agreements</w:t>
      </w:r>
      <w:r>
        <w:rPr>
          <w:rFonts w:ascii="Arial" w:cs="Arial" w:eastAsia="Arial" w:hAnsi="Arial"/>
          <w:sz w:val="17"/>
          <w:szCs w:val="17"/>
          <w:color w:val="auto"/>
        </w:rPr>
        <w:t>. No financing statement or security agreement describing all or any portion of the Collateral which has not lapsed or been terminated naming such Grantor as debtor has been filed or is of record in any jurisdiction except financing statements</w:t>
      </w:r>
    </w:p>
    <w:p>
      <w:pPr>
        <w:jc w:val="both"/>
        <w:ind w:firstLine="8"/>
        <w:spacing w:after="0" w:line="255" w:lineRule="auto"/>
        <w:tabs>
          <w:tab w:leader="none" w:pos="22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naming the Administrative Agent on behalf of the Secured Parties as the secured party and (ii) in respect of Liens permitted by Section 8.04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be deemed to constitute an agreement to subordinate any of the Liens of the Administrative Agent under the Loan Documents to any Liens otherwise permitted under Section 8.04 of the Credit Agreement.</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Federal Employer Identification Number; State Organization Number; Jurisdiction of Organization</w:t>
      </w:r>
      <w:r>
        <w:rPr>
          <w:rFonts w:ascii="Arial" w:cs="Arial" w:eastAsia="Arial" w:hAnsi="Arial"/>
          <w:sz w:val="18"/>
          <w:szCs w:val="18"/>
          <w:color w:val="auto"/>
        </w:rPr>
        <w:t xml:space="preserve">. Such Grantor’s federal employer identification number is, and if such Grantor is a registered organization, such Grantor’s state of organization, type of organization and state of organization identification number are, as of the applicable Determination Date, listed in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Pledged Securities and Other Investment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sets forth, as of the applicable Determination Date, a complete and accurate list of the Instruments (other than Intercompany Instruments), Securities and other Investment Property constituting Collateral and delivered to the Administrative Agent. Each Grantor is the direct and beneficial owner of each Instrument, Security and other type of Investment Property listed in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as being owned by it, free and clear of any Liens, except for the security interest granted to the Administrative Agent for the benefit of the Secured Parties hereunder or as permitted by Section 8.04 of the Credit Agreement. Each Grantor further represents and warrants that (i) all Pledged Collateral owned by it constituting Capital Stock has been (to the extent such concepts are relevant with respect to such Pledged Collateral) duly authorized and validly issued, are fully paid and non-assessable and constitute, as of the applicable Determination Date, the percentage of the issued and outstanding shares of stock (or other Capital Stock) of the respective issuers thereof indicated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and (ii) all such Pledged Collateral held by a securities intermediary (including in a Securities Account) is covered by a control agreement among such Grantor, the securities intermediary and the Administrative Agent pursuant to which the Administrative Agent has Control to the extent required by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left="660" w:firstLine="1459"/>
        <w:spacing w:after="0" w:line="285"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contains a complete and accurate listing as of the applicable Determination Date of all of the below-described Specified Intellectual Property of each of the Grantors: (i) state, U.S. and foreign trademark registrations, applications for trademark registration and common law trademarks, (ii) U.S. and foreign patents and patent applications, together with all reissuances, continuations, continuations in part, revisions, extensions, and reexaminations thereof, (iii) U.S. and foreign copyright registrations and applications for registration, (iv) foreign industrial design registrations and industrial design applications, (v) domain names, (vi) proprietary computer software, and</w:t>
      </w:r>
    </w:p>
    <w:p>
      <w:pPr>
        <w:spacing w:after="0" w:line="2" w:lineRule="exact"/>
        <w:rPr>
          <w:sz w:val="20"/>
          <w:szCs w:val="20"/>
          <w:color w:val="auto"/>
        </w:rPr>
      </w:pPr>
    </w:p>
    <w:p>
      <w:pPr>
        <w:jc w:val="both"/>
        <w:ind w:left="660" w:hanging="4"/>
        <w:spacing w:after="0" w:line="253" w:lineRule="auto"/>
        <w:tabs>
          <w:tab w:leader="none" w:pos="102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forms of Specified Intellectual Property described in clauses (i)-(iii) above that are owned by a third party and licensed to the Grantors or otherwise used by the Grantors under contract solely to the extent such Specified Intellectual Property is material to such Grantor’s business. All of the U.S. registrations, applications for registration or applications for issuance of such Specified Intellectual Property are valid and subsisting, in good standing and, subject to Section 3.12.10, are recorded or in the process of being recorded in the name of the applicable Grantor, except as could not be reasonably expected to result in a Material Adverse Effect.</w:t>
      </w:r>
    </w:p>
    <w:p>
      <w:pPr>
        <w:spacing w:after="0" w:line="202" w:lineRule="exact"/>
        <w:rPr>
          <w:sz w:val="20"/>
          <w:szCs w:val="20"/>
          <w:color w:val="auto"/>
        </w:rPr>
      </w:pPr>
    </w:p>
    <w:p>
      <w:pPr>
        <w:jc w:val="both"/>
        <w:ind w:left="660" w:firstLine="1459"/>
        <w:spacing w:after="0" w:line="250" w:lineRule="auto"/>
        <w:rPr>
          <w:sz w:val="20"/>
          <w:szCs w:val="20"/>
          <w:color w:val="auto"/>
        </w:rPr>
      </w:pPr>
      <w:r>
        <w:rPr>
          <w:rFonts w:ascii="Arial" w:cs="Arial" w:eastAsia="Arial" w:hAnsi="Arial"/>
          <w:sz w:val="20"/>
          <w:szCs w:val="20"/>
          <w:color w:val="auto"/>
        </w:rPr>
        <w:t>3.12.2 Such Specified Intellectual Property is valid, subsisting, unexpired (where registered) and enforceable and has not been abandoned or adjudged invalid or unenforceable, in whole or in part, except as could not be reasonably expected to result in a Material Adverse Effect.</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5" w:right="239" w:bottom="1440" w:gutter="0" w:footer="0" w:header="0"/>
        </w:sectPr>
      </w:pPr>
    </w:p>
    <w:bookmarkStart w:id="335" w:name="page336"/>
    <w:bookmarkEnd w:id="335"/>
    <w:p>
      <w:pPr>
        <w:jc w:val="both"/>
        <w:ind w:left="660" w:firstLine="1459"/>
        <w:spacing w:after="0" w:line="255" w:lineRule="auto"/>
        <w:rPr>
          <w:sz w:val="20"/>
          <w:szCs w:val="20"/>
          <w:color w:val="auto"/>
        </w:rPr>
      </w:pPr>
      <w:r>
        <w:rPr>
          <w:rFonts w:ascii="Arial" w:cs="Arial" w:eastAsia="Arial" w:hAnsi="Arial"/>
          <w:sz w:val="18"/>
          <w:szCs w:val="18"/>
          <w:color w:val="auto"/>
        </w:rPr>
        <w:t>3.12.3 Subject to Section 3.12.10, (i) no Person other than the respective Grantor (or any other Grantor) has any right or interest of any kind or nature in or to the Specified Intellectual Property, including any right to sell, license, lease, transfer, distribute, use or otherwise exploit the Specified Intellectual Property or any portion thereof outside of the ordinary course of the respective Grantor’s business, except as could not be reasonably expected to result in a Material Adverse Effect and (ii) each Grantor has good, marketable and exclusive title to, and the valid and enforceable power and right to sell, license, transfer, distribute, use and otherwise exploit, its Specified Intellectual Property, except as could not be reasonably expected to result in a Material Adverse Effect.</w:t>
      </w:r>
    </w:p>
    <w:p>
      <w:pPr>
        <w:spacing w:after="0" w:line="193" w:lineRule="exact"/>
        <w:rPr>
          <w:sz w:val="20"/>
          <w:szCs w:val="20"/>
          <w:color w:val="auto"/>
        </w:rPr>
      </w:pPr>
    </w:p>
    <w:p>
      <w:pPr>
        <w:jc w:val="both"/>
        <w:ind w:left="660" w:firstLine="1459"/>
        <w:spacing w:after="0" w:line="279" w:lineRule="auto"/>
        <w:rPr>
          <w:sz w:val="20"/>
          <w:szCs w:val="20"/>
          <w:color w:val="auto"/>
        </w:rPr>
      </w:pPr>
      <w:r>
        <w:rPr>
          <w:rFonts w:ascii="Arial" w:cs="Arial" w:eastAsia="Arial" w:hAnsi="Arial"/>
          <w:sz w:val="17"/>
          <w:szCs w:val="17"/>
          <w:color w:val="auto"/>
        </w:rPr>
        <w:t>3.12.4 Each Grantor has taken or caused to be taken steps so that none of its Specified Intellectual Property, the value of which to the Grantors are contingent upon maintenance of the confidentiality thereof, have been disclosed by such Grantor to any Person other than any Affiliate owners thereof and employees, contractors, customers, representatives and agents of the Grantors or such Affiliate owners who are parties to customary confidentiality and nondisclosure agreements with the Grantors or such Affiliate owners, as applicable.</w:t>
      </w:r>
    </w:p>
    <w:p>
      <w:pPr>
        <w:spacing w:after="0" w:line="171" w:lineRule="exact"/>
        <w:rPr>
          <w:sz w:val="20"/>
          <w:szCs w:val="20"/>
          <w:color w:val="auto"/>
        </w:rPr>
      </w:pPr>
    </w:p>
    <w:p>
      <w:pPr>
        <w:jc w:val="both"/>
        <w:ind w:left="660" w:firstLine="1459"/>
        <w:spacing w:after="0" w:line="259" w:lineRule="auto"/>
        <w:rPr>
          <w:sz w:val="20"/>
          <w:szCs w:val="20"/>
          <w:color w:val="auto"/>
        </w:rPr>
      </w:pPr>
      <w:r>
        <w:rPr>
          <w:rFonts w:ascii="Arial" w:cs="Arial" w:eastAsia="Arial" w:hAnsi="Arial"/>
          <w:sz w:val="18"/>
          <w:szCs w:val="18"/>
          <w:color w:val="auto"/>
        </w:rPr>
        <w:t>3.12.5 To each Grantor’s knowledge, no Person has violated, infringed upon or breached, or is currently violating, infringing upon or breaching, any of the rights of the Grantors to the Specified Intellectual Property or has breached or is breaching any duty or obligation owed to the Grantors in respect of the Specified Intellectual Property except where those breaches, individually or in the aggregate, could not be reasonably expected to result in a Material Adverse Effect.</w:t>
      </w:r>
    </w:p>
    <w:p>
      <w:pPr>
        <w:spacing w:after="0" w:line="187" w:lineRule="exact"/>
        <w:rPr>
          <w:sz w:val="20"/>
          <w:szCs w:val="20"/>
          <w:color w:val="auto"/>
        </w:rPr>
      </w:pPr>
    </w:p>
    <w:p>
      <w:pPr>
        <w:jc w:val="both"/>
        <w:ind w:left="660" w:firstLine="1459"/>
        <w:spacing w:after="0" w:line="264" w:lineRule="auto"/>
        <w:rPr>
          <w:sz w:val="20"/>
          <w:szCs w:val="20"/>
          <w:color w:val="auto"/>
        </w:rPr>
      </w:pPr>
      <w:r>
        <w:rPr>
          <w:rFonts w:ascii="Arial" w:cs="Arial" w:eastAsia="Arial" w:hAnsi="Arial"/>
          <w:sz w:val="18"/>
          <w:szCs w:val="18"/>
          <w:color w:val="auto"/>
        </w:rPr>
        <w:t>3.12.6 No settlement or consents, covenants not to sue, nonassertion assurances, or releases have been entered into by any Grantor or to which any Grantor is bound that adversely affects its rights to own or use any Specified Intellectual Property except as could not be reasonably expected to result in a Material Adverse Effect, in each case individually or in the aggregate.</w:t>
      </w:r>
    </w:p>
    <w:p>
      <w:pPr>
        <w:spacing w:after="0" w:line="181" w:lineRule="exact"/>
        <w:rPr>
          <w:sz w:val="20"/>
          <w:szCs w:val="20"/>
          <w:color w:val="auto"/>
        </w:rPr>
      </w:pPr>
    </w:p>
    <w:p>
      <w:pPr>
        <w:jc w:val="both"/>
        <w:ind w:left="660" w:firstLine="1459"/>
        <w:spacing w:after="0" w:line="286" w:lineRule="auto"/>
        <w:rPr>
          <w:sz w:val="20"/>
          <w:szCs w:val="20"/>
          <w:color w:val="auto"/>
        </w:rPr>
      </w:pPr>
      <w:r>
        <w:rPr>
          <w:rFonts w:ascii="Arial" w:cs="Arial" w:eastAsia="Arial" w:hAnsi="Arial"/>
          <w:sz w:val="17"/>
          <w:szCs w:val="17"/>
          <w:color w:val="auto"/>
        </w:rPr>
        <w:t>3.12.7 No Grantor has received any written notice that remains outstanding challenging the validity, enforceability, or ownership of any Specified Intellectual Property except where those challenges could not reasonably be expected to result in a Material Adverse Effect, and to such Grantor’s knowledge at the date hereof there are no facts upon which such a challenge could be made.</w:t>
      </w:r>
    </w:p>
    <w:p>
      <w:pPr>
        <w:spacing w:after="0" w:line="166" w:lineRule="exact"/>
        <w:rPr>
          <w:sz w:val="20"/>
          <w:szCs w:val="20"/>
          <w:color w:val="auto"/>
        </w:rPr>
      </w:pPr>
    </w:p>
    <w:p>
      <w:pPr>
        <w:jc w:val="both"/>
        <w:ind w:left="660" w:firstLine="1459"/>
        <w:spacing w:after="0" w:line="277" w:lineRule="auto"/>
        <w:rPr>
          <w:sz w:val="20"/>
          <w:szCs w:val="20"/>
          <w:color w:val="auto"/>
        </w:rPr>
      </w:pPr>
      <w:r>
        <w:rPr>
          <w:rFonts w:ascii="Arial" w:cs="Arial" w:eastAsia="Arial" w:hAnsi="Arial"/>
          <w:sz w:val="18"/>
          <w:szCs w:val="18"/>
          <w:color w:val="auto"/>
        </w:rPr>
        <w:t>3.12.8 Each Grantor owns directly or is entitled to use, by license or otherwise, all Specified Intellectual Property necessary for the conduct of such Grantor’s business.</w:t>
      </w:r>
    </w:p>
    <w:p>
      <w:pPr>
        <w:spacing w:after="0" w:line="170" w:lineRule="exact"/>
        <w:rPr>
          <w:sz w:val="20"/>
          <w:szCs w:val="20"/>
          <w:color w:val="auto"/>
        </w:rPr>
      </w:pPr>
    </w:p>
    <w:p>
      <w:pPr>
        <w:jc w:val="both"/>
        <w:ind w:left="660" w:right="20" w:firstLine="1459"/>
        <w:spacing w:after="0" w:line="277" w:lineRule="auto"/>
        <w:rPr>
          <w:sz w:val="20"/>
          <w:szCs w:val="20"/>
          <w:color w:val="auto"/>
        </w:rPr>
      </w:pPr>
      <w:r>
        <w:rPr>
          <w:rFonts w:ascii="Arial" w:cs="Arial" w:eastAsia="Arial" w:hAnsi="Arial"/>
          <w:sz w:val="18"/>
          <w:szCs w:val="18"/>
          <w:color w:val="auto"/>
        </w:rPr>
        <w:t>3.12.9 The consummation of the transactions contemplated by the Loan Documents will not result in the termination or material impairment of any of the Specified Intellectual Property.</w:t>
      </w:r>
    </w:p>
    <w:p>
      <w:pPr>
        <w:spacing w:after="0" w:line="170" w:lineRule="exact"/>
        <w:rPr>
          <w:sz w:val="20"/>
          <w:szCs w:val="20"/>
          <w:color w:val="auto"/>
        </w:rPr>
      </w:pPr>
    </w:p>
    <w:p>
      <w:pPr>
        <w:jc w:val="both"/>
        <w:ind w:left="660" w:firstLine="1459"/>
        <w:spacing w:after="0" w:line="277" w:lineRule="auto"/>
        <w:rPr>
          <w:sz w:val="20"/>
          <w:szCs w:val="20"/>
          <w:color w:val="auto"/>
        </w:rPr>
      </w:pPr>
      <w:r>
        <w:rPr>
          <w:rFonts w:ascii="Arial" w:cs="Arial" w:eastAsia="Arial" w:hAnsi="Arial"/>
          <w:sz w:val="18"/>
          <w:szCs w:val="18"/>
          <w:color w:val="auto"/>
        </w:rPr>
        <w:t>3.12.10 Each party hereto acknowledges that certain Specified Intellectual Property is owned in part by the Grantors and in part by Affiliates of the Grantors.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Specified Deposit Accounts and Securities Accounts</w:t>
      </w:r>
      <w:r>
        <w:rPr>
          <w:rFonts w:ascii="Arial" w:cs="Arial" w:eastAsia="Arial" w:hAnsi="Arial"/>
          <w:sz w:val="18"/>
          <w:szCs w:val="18"/>
          <w:color w:val="auto"/>
        </w:rPr>
        <w:t xml:space="preserve">. All of such Grantor’s Specified Deposit Accounts and Securities Accounts as of the applicable Determination Date are listed on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800"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jc w:val="both"/>
        <w:ind w:left="980" w:right="20" w:firstLine="1297"/>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Records</w:t>
      </w:r>
      <w:r>
        <w:rPr>
          <w:rFonts w:ascii="Arial" w:cs="Arial" w:eastAsia="Arial" w:hAnsi="Arial"/>
          <w:sz w:val="18"/>
          <w:szCs w:val="18"/>
          <w:color w:val="auto"/>
        </w:rPr>
        <w:t>. Each Grantor shall keep and maintain, in a manner consistent with prudent business practices, reasonably complete, accurate and proper books and records with respect to the Collateral owned by such Grantor.</w:t>
      </w:r>
    </w:p>
    <w:p>
      <w:pPr>
        <w:spacing w:after="0" w:line="170" w:lineRule="exact"/>
        <w:rPr>
          <w:sz w:val="20"/>
          <w:szCs w:val="20"/>
          <w:color w:val="auto"/>
        </w:rPr>
      </w:pPr>
    </w:p>
    <w:p>
      <w:pPr>
        <w:jc w:val="both"/>
        <w:ind w:left="980" w:firstLine="1297"/>
        <w:spacing w:after="0" w:line="28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Financing Statements and Other Actions; Defense of Title</w:t>
      </w:r>
      <w:r>
        <w:rPr>
          <w:rFonts w:ascii="Arial" w:cs="Arial" w:eastAsia="Arial" w:hAnsi="Arial"/>
          <w:sz w:val="16"/>
          <w:szCs w:val="16"/>
          <w:color w:val="auto"/>
        </w:rPr>
        <w:t>. Each Grantor hereby authorizes the Administrative Agent to file, and if requested will execute and deliver to the Administrative Agent, all financing statements describing the Collateral owned by such Grantor and other documents and take such other actions as may from time to time reasonably be requested by the Administrative Agent in order to maintain a first priority, perfected security interest in and, if applicable, Control of, the Collateral owned by such Grantor, subject to Liens permitted under Section 8.04 of the Credit Agreement, provided that nothing herein shall be deemed to constitute an agreement to subordinate any of the Liens of the Administrative Agent under the Loan Documents to any Liens otherwise permitted under Section 8.04 of the Credit Agreement. Such financing statements may describe the Collateral in the same manner as described herein or may contain an indication or description of Collateral that describes such Collateral in any other manner as the Administrative Agent may reasonably determine is necessary, advisable or prudent to ensure the perfection of the security interest in the Collateral granted to the Administrative Agent herein, including, without limitation, describing such property as “all assets of the debtor whether now owned or hereafter acquired and wheresoever located, including all accessions thereto and proceeds thereof.” Each Grantor will take any and all actions reasonably necessary to defend title to the Collateral owned by such Grantor against all persons and to defend the security interest of the Administrative Agent in such Collateral and the priority thereof against any Lien, in each case, not expressly permitted hereunder or under the Credit Agreement.</w:t>
      </w:r>
    </w:p>
    <w:p>
      <w:pPr>
        <w:spacing w:after="0" w:line="17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2280"/>
        <w:spacing w:after="0"/>
        <w:tabs>
          <w:tab w:leader="none" w:pos="28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Change in Corporate Existence, Type or Jurisdiction of Organization, Location, Name</w:t>
      </w:r>
      <w:r>
        <w:rPr>
          <w:rFonts w:ascii="Arial" w:cs="Arial" w:eastAsia="Arial" w:hAnsi="Arial"/>
          <w:sz w:val="16"/>
          <w:szCs w:val="16"/>
          <w:color w:val="auto"/>
        </w:rPr>
        <w:t>. Each Grantor will:</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84" w:right="239" w:bottom="1440" w:gutter="0" w:footer="0" w:header="0"/>
        </w:sectPr>
      </w:pPr>
    </w:p>
    <w:bookmarkStart w:id="337" w:name="page338"/>
    <w:bookmarkEnd w:id="337"/>
    <w:p>
      <w:pPr>
        <w:ind w:left="1300" w:hanging="563"/>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preserve its existence and corporate structure as in effect on the Effective Date (except as permitted by the Credit Agreement);</w:t>
      </w:r>
    </w:p>
    <w:p>
      <w:pPr>
        <w:spacing w:after="0" w:line="225" w:lineRule="exact"/>
        <w:rPr>
          <w:rFonts w:ascii="Arial" w:cs="Arial" w:eastAsia="Arial" w:hAnsi="Arial"/>
          <w:sz w:val="18"/>
          <w:szCs w:val="18"/>
          <w:color w:val="auto"/>
        </w:rPr>
      </w:pPr>
    </w:p>
    <w:p>
      <w:pPr>
        <w:ind w:left="1300" w:hanging="563"/>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 change its name or jurisdiction of organization;</w:t>
      </w:r>
    </w:p>
    <w:p>
      <w:pPr>
        <w:spacing w:after="0" w:line="225" w:lineRule="exact"/>
        <w:rPr>
          <w:rFonts w:ascii="Arial" w:cs="Arial" w:eastAsia="Arial" w:hAnsi="Arial"/>
          <w:sz w:val="18"/>
          <w:szCs w:val="18"/>
          <w:color w:val="auto"/>
        </w:rPr>
      </w:pPr>
    </w:p>
    <w:p>
      <w:pPr>
        <w:ind w:left="1300" w:hanging="563"/>
        <w:spacing w:after="0" w:line="277" w:lineRule="auto"/>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00" w:hanging="563"/>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not change its taxpayer identification number or its mailing address,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unless, in each such case, such Grantor shall have given the Administrative Agent not less than ten (10) days’ (or such shorter period as the Administrative Agent may agree) prior written notice of such event or occurrence.</w:t>
      </w:r>
    </w:p>
    <w:p>
      <w:pPr>
        <w:spacing w:after="0" w:line="387" w:lineRule="exact"/>
        <w:rPr>
          <w:sz w:val="20"/>
          <w:szCs w:val="20"/>
          <w:color w:val="auto"/>
        </w:rPr>
      </w:pPr>
    </w:p>
    <w:p>
      <w:pPr>
        <w:jc w:val="both"/>
        <w:ind w:left="980" w:firstLine="1297"/>
        <w:spacing w:after="0" w:line="255"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Other Financing Statements</w:t>
      </w:r>
      <w:r>
        <w:rPr>
          <w:rFonts w:ascii="Arial" w:cs="Arial" w:eastAsia="Arial" w:hAnsi="Arial"/>
          <w:sz w:val="18"/>
          <w:szCs w:val="18"/>
          <w:color w:val="auto"/>
        </w:rPr>
        <w:t xml:space="preserve">. No Grantor will suffer to exist or authorize the filing of any financing statement naming it as debtor covering all or any portion of the Collateral owned by such Grantor, except any financing statement authorized under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or in respect of a Lien permitted under the Credit Agreement. Each Grantor acknowledges that it is not authorized to file any financing statement or amendment or termination statement with respect to any financing statement filed in connection herewith prior to termination of this Security Agreement in accordance with the first sentence of </w:t>
      </w:r>
      <w:r>
        <w:rPr>
          <w:rFonts w:ascii="Arial" w:cs="Arial" w:eastAsia="Arial" w:hAnsi="Arial"/>
          <w:sz w:val="18"/>
          <w:szCs w:val="18"/>
          <w:u w:val="single" w:color="auto"/>
          <w:color w:val="auto"/>
        </w:rPr>
        <w:t>Section 8.14</w:t>
      </w:r>
      <w:r>
        <w:rPr>
          <w:rFonts w:ascii="Arial" w:cs="Arial" w:eastAsia="Arial" w:hAnsi="Arial"/>
          <w:sz w:val="18"/>
          <w:szCs w:val="18"/>
          <w:color w:val="auto"/>
        </w:rPr>
        <w:t>. without the prior written consent of the Administrative Agent, subject to such Grantor’s rights under Section 9-509(d)(2) of the UCC.</w:t>
      </w:r>
    </w:p>
    <w:p>
      <w:pPr>
        <w:spacing w:after="0" w:line="19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Receivables</w:t>
      </w:r>
      <w:r>
        <w:rPr>
          <w:rFonts w:ascii="Arial" w:cs="Arial" w:eastAsia="Arial" w:hAnsi="Arial"/>
          <w:sz w:val="16"/>
          <w:szCs w:val="16"/>
          <w:color w:val="auto"/>
        </w:rPr>
        <w:t>.</w:t>
      </w:r>
    </w:p>
    <w:p>
      <w:pPr>
        <w:spacing w:after="0" w:line="225" w:lineRule="exact"/>
        <w:rPr>
          <w:sz w:val="20"/>
          <w:szCs w:val="20"/>
          <w:color w:val="auto"/>
        </w:rPr>
      </w:pPr>
    </w:p>
    <w:p>
      <w:pPr>
        <w:jc w:val="both"/>
        <w:ind w:left="980" w:firstLine="1297"/>
        <w:spacing w:after="0" w:line="255"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Certain Agreements on Receivables</w:t>
      </w:r>
      <w:r>
        <w:rPr>
          <w:rFonts w:ascii="Arial" w:cs="Arial" w:eastAsia="Arial" w:hAnsi="Arial"/>
          <w:sz w:val="18"/>
          <w:szCs w:val="18"/>
          <w:color w:val="auto"/>
        </w:rPr>
        <w:t>. During the occurrence and continuation of an Event of Default, no Grantor will make or agree to make any discount, credit, rebate or other reduction in the original amount owing on a Receivable or accept in satisfaction of a Receivable less than the original amount thereof, except as permitted by the Credit Agreement. Prior to the occurrence and continuation of an Event of Default, such Grantor may, in its sole discretion, adjust the amount of Accounts arising from the sale of Inventory or the rendering of services in substantially accordance with its present policies and in the ordinary course of business and as otherwise permitted under the Credit Agreement.</w:t>
      </w:r>
    </w:p>
    <w:p>
      <w:pPr>
        <w:spacing w:after="0" w:line="193" w:lineRule="exact"/>
        <w:rPr>
          <w:sz w:val="20"/>
          <w:szCs w:val="20"/>
          <w:color w:val="auto"/>
        </w:rPr>
      </w:pPr>
    </w:p>
    <w:p>
      <w:pPr>
        <w:jc w:val="both"/>
        <w:ind w:left="980" w:firstLine="1297"/>
        <w:spacing w:after="0" w:line="264"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Collection of Receivables</w:t>
      </w:r>
      <w:r>
        <w:rPr>
          <w:rFonts w:ascii="Arial" w:cs="Arial" w:eastAsia="Arial" w:hAnsi="Arial"/>
          <w:sz w:val="18"/>
          <w:szCs w:val="18"/>
          <w:color w:val="auto"/>
        </w:rPr>
        <w:t>. Except as otherwise provided in this Security Agreement or as otherwise permitted under the Credit Agreement, each Grantor will use commercially reasonable efforts to collect and enforce, at such Grantor’s sole expense, all amounts due or hereafter due to such Grantor under the Receivables owned by such Grantor.</w:t>
      </w:r>
    </w:p>
    <w:p>
      <w:pPr>
        <w:spacing w:after="0" w:line="397" w:lineRule="exact"/>
        <w:rPr>
          <w:sz w:val="20"/>
          <w:szCs w:val="20"/>
          <w:color w:val="auto"/>
        </w:rPr>
      </w:pPr>
    </w:p>
    <w:p>
      <w:pPr>
        <w:jc w:val="both"/>
        <w:ind w:left="980" w:firstLine="1297"/>
        <w:spacing w:after="0" w:line="286"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Delivery of Invoices</w:t>
      </w:r>
      <w:r>
        <w:rPr>
          <w:rFonts w:ascii="Arial" w:cs="Arial" w:eastAsia="Arial" w:hAnsi="Arial"/>
          <w:sz w:val="17"/>
          <w:szCs w:val="17"/>
          <w:color w:val="auto"/>
        </w:rPr>
        <w:t>. Each Grantor will deliver to the Administrative Agent promptly upon its request after the occurrence and during the continuance of an Event of Default duplicate invoices with respect to each Account owned by such Grantor and, if requested by the Administrative Agent, bearing such language of assignment as the Administrative Agent shall reasonably specify.</w:t>
      </w:r>
    </w:p>
    <w:p>
      <w:pPr>
        <w:spacing w:after="0" w:line="166" w:lineRule="exact"/>
        <w:rPr>
          <w:sz w:val="20"/>
          <w:szCs w:val="20"/>
          <w:color w:val="auto"/>
        </w:rPr>
      </w:pPr>
    </w:p>
    <w:p>
      <w:pPr>
        <w:ind w:left="2280"/>
        <w:spacing w:after="0"/>
        <w:tabs>
          <w:tab w:leader="none" w:pos="28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u w:val="single" w:color="auto"/>
          <w:color w:val="auto"/>
        </w:rPr>
        <w:t>Disclosure of Counterclaim on Receivables</w:t>
      </w:r>
      <w:r>
        <w:rPr>
          <w:rFonts w:ascii="Arial" w:cs="Arial" w:eastAsia="Arial" w:hAnsi="Arial"/>
          <w:sz w:val="16"/>
          <w:szCs w:val="16"/>
          <w:color w:val="auto"/>
        </w:rPr>
        <w:t>. After the occurrence and during the continuation of an Event of Default, if</w:t>
      </w:r>
    </w:p>
    <w:p>
      <w:pPr>
        <w:spacing w:after="0" w:line="23" w:lineRule="exact"/>
        <w:rPr>
          <w:sz w:val="20"/>
          <w:szCs w:val="20"/>
          <w:color w:val="auto"/>
        </w:rPr>
      </w:pPr>
    </w:p>
    <w:p>
      <w:pPr>
        <w:ind w:left="1200" w:hanging="220"/>
        <w:spacing w:after="0"/>
        <w:tabs>
          <w:tab w:leader="none" w:pos="12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any discount, credit or agreement to make a rebate or to otherwise reduce the amount owing on a Receivable owned by such Grantor exists or</w:t>
      </w:r>
    </w:p>
    <w:p>
      <w:pPr>
        <w:spacing w:after="0" w:line="32" w:lineRule="exact"/>
        <w:rPr>
          <w:rFonts w:ascii="Arial" w:cs="Arial" w:eastAsia="Arial" w:hAnsi="Arial"/>
          <w:sz w:val="16"/>
          <w:szCs w:val="16"/>
          <w:color w:val="auto"/>
        </w:rPr>
      </w:pPr>
    </w:p>
    <w:p>
      <w:pPr>
        <w:jc w:val="both"/>
        <w:ind w:left="980"/>
        <w:spacing w:after="0" w:line="254" w:lineRule="auto"/>
        <w:tabs>
          <w:tab w:leader="none" w:pos="124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the knowledge of such Grantor, any dispute, setoff, claim, counterclaim or defense exists or has been asserted or threatened with respect to a Receivable, such Grantor will disclose such fact to the Administrative Agent in writing in connection with the inspection by the Administrative Agent of any record of such Grantor relating to such Receivable and in connection with any invoice or report furnished by such Grantor to the Administrative Agent relating to such Receivable.</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sectPr>
      </w:pPr>
    </w:p>
    <w:bookmarkStart w:id="338" w:name="page339"/>
    <w:bookmarkEnd w:id="338"/>
    <w:p>
      <w:pPr>
        <w:jc w:val="both"/>
        <w:ind w:left="980" w:firstLine="1297"/>
        <w:spacing w:after="0" w:line="253"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Electronic Chattel Paper</w:t>
      </w:r>
      <w:r>
        <w:rPr>
          <w:rFonts w:ascii="Arial" w:cs="Arial" w:eastAsia="Arial" w:hAnsi="Arial"/>
          <w:sz w:val="18"/>
          <w:szCs w:val="18"/>
          <w:color w:val="auto"/>
        </w:rPr>
        <w:t>. Each Grantor shall promptly notify Administrative Agent if any amount in excess of $5,000,000, individually, or $10,000,000 in the aggregate payable under or in connection with any electronic chattel paper or a “transferable record” (as defined in the UETA), and shall take such action as the Administrative Agent may reasonably request to establish the Administrative Agent’s Control of such electronic chattel paper or transferable record. The Administrative Agent agrees with such Grantor that the Administrative Agent will arrange, pursuant to procedures reasonably satisfactory to the Administrative Agent and so long as such procedures will not result in the Administrative Agent’s loss of Control, for the Grantor to make alterations to the electronic chattel paper or transferable record permitted under Section 9-105 of the UCC or Section 16 of the UETA for a party in Control to allow without loss of Control, unless an Event of Default has occurred and is continuing or would occur after taking into account any action by such Grantor with respect to such electronic chattel paper or transferable record.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Maintenance of Goods</w:t>
      </w:r>
      <w:r>
        <w:rPr>
          <w:rFonts w:ascii="Arial" w:cs="Arial" w:eastAsia="Arial" w:hAnsi="Arial"/>
          <w:sz w:val="18"/>
          <w:szCs w:val="18"/>
          <w:color w:val="auto"/>
        </w:rPr>
        <w:t>. Each Grantor will do all things reasonably necessary to maintain, preserve, protect and keep the Inventory and the Equipment owned by such Grantor and constituting Collateral in good repair, working order and saleable condition (ordinary wear and tear excepted) and make all necessary and proper repairs, renewals and replacements so that its business carried on in connection therewith may be conducted in the ordinary course, consistent with past practices, except in each case where the failure to do so, individually or in the aggregate, could not reasonably be expected to have a Material Adverse Effect.</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Instruments, Securities, Chattel Paper, Documents and Pledged Deposits</w:t>
      </w:r>
      <w:r>
        <w:rPr>
          <w:rFonts w:ascii="Arial" w:cs="Arial" w:eastAsia="Arial" w:hAnsi="Arial"/>
          <w:sz w:val="17"/>
          <w:szCs w:val="17"/>
          <w:color w:val="auto"/>
        </w:rPr>
        <w:t xml:space="preserve">. Each Grantor will (i) deliver to the Administrative Agent immediately upon execution of this Security Agreement the originals of all Chattel Paper and Instruments (other than Intercompany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Intercompany Instruments shall not be delivered to any Person which is not a Grantor or the Administrative Agent), in each case, to the extent evidencing amounts in excess of $5,000,000 individually, or $10,000,000 in the aggregate, and constituting Collateral (if any then exist) and Securities constituting Collateral (to the extent certificated), (ii) hold in trust for the Administrative Agent upon receipt and promptly thereafter deliver to the Administrative Agent any Chattel Paper and Instruments (other than Intercompany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Intercompany Instruments shall not be delivered to any Person which is not a Grantor or the Administrative Agent), in each case, to the extent evidencing amounts in excess of $5,000,000 individually or $10,000,000 in the aggregate, and constituting Collateral (if any then exist) and Securities (to the extent certificated), (iii) upon the designation by a Grantor of any Pledged Deposits (as set forth in the definition thereof) as Collateral, deliver to the Administrative Agent such Pledged Deposits which are evidenced by certificates included in the Collateral endorsed in blank, marked with such legends and assigned as the Administrative Agent shall reasonably specify, (iv) upon the Administrative Agent’s request, after the occurrence and during the continuance of an Event of Default, deliver to the Administrative Agent (and thereafter hold in trust for the Administrative Agent upon receipt and promptly deliver to the Administrative Agent) any Document evidencing or constituting Collateral, and (v) upon the Administrative Agent’s request, deliver to the Administrative Agent, promptly after the delivery of a Compliance Certificate, a duly executed amendment to this Security Agreement,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Amendment</w:t>
      </w:r>
      <w:r>
        <w:rPr>
          <w:rFonts w:ascii="Arial" w:cs="Arial" w:eastAsia="Arial" w:hAnsi="Arial"/>
          <w:sz w:val="17"/>
          <w:szCs w:val="17"/>
          <w:color w:val="auto"/>
        </w:rPr>
        <w:t>”), pursuant to which such Grantor will specify such additional Collateral pledged hereunder. Such Grantor hereby authorizes the Administrative Agent to attach each Amendment to this Security Agreement and agrees that all additional Collateral owned by it set forth in such Amendments shall be considered to be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0" w:right="239" w:bottom="1440" w:gutter="0" w:footer="0" w:header="0"/>
        </w:sectPr>
      </w:pPr>
    </w:p>
    <w:bookmarkStart w:id="339" w:name="page340"/>
    <w:bookmarkEnd w:id="339"/>
    <w:p>
      <w:pPr>
        <w:jc w:val="both"/>
        <w:ind w:firstLine="648"/>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Uncertificated Securities and Certain Other Investment Property</w:t>
      </w:r>
      <w:r>
        <w:rPr>
          <w:rFonts w:ascii="Arial" w:cs="Arial" w:eastAsia="Arial" w:hAnsi="Arial"/>
          <w:sz w:val="16"/>
          <w:szCs w:val="16"/>
          <w:color w:val="auto"/>
        </w:rPr>
        <w:t>. Each Grantor will, following the reasonable request of the Administrative Agent (and after the occurrence and during the continuance of an Event of Default, will permit the Administrative Agent) from time to time to cause the appropriate issuers (and, if held with a securities intermediary, such securities intermediary) of uncertificated securities or other types of Investment Property owned by such Grantor and constituting Collateral that are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Lien of the Administrative Agent granted pursuant to this Security Agreement. With respect to Investment Property having a value in excess of $5,000,000 individually or $10,000,000 in the aggregate and constituting Collateral owned by such Grantor held with a financial intermediary (including in a Securities Account), such Grantor shall, within thirty (30) days following the Effective Date or such later date on which it becomes a Grantor hereunder (in each case, or such later date as may be agreed to by the Administrative Agent in its sole discretion), cause such financial intermediary to enter into a control agreement with the Administrative Agent in form and substance reasonably satisfactory to the Administrative Agent.</w:t>
      </w:r>
    </w:p>
    <w:p>
      <w:pPr>
        <w:spacing w:after="0" w:line="16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25" w:lineRule="exact"/>
        <w:rPr>
          <w:sz w:val="20"/>
          <w:szCs w:val="20"/>
          <w:color w:val="auto"/>
        </w:rPr>
      </w:pPr>
    </w:p>
    <w:p>
      <w:pPr>
        <w:jc w:val="both"/>
        <w:ind w:left="980" w:firstLine="1297"/>
        <w:spacing w:after="0" w:line="312" w:lineRule="auto"/>
        <w:rPr>
          <w:sz w:val="20"/>
          <w:szCs w:val="20"/>
          <w:color w:val="auto"/>
        </w:rPr>
      </w:pPr>
      <w:r>
        <w:rPr>
          <w:rFonts w:ascii="Arial" w:cs="Arial" w:eastAsia="Arial" w:hAnsi="Arial"/>
          <w:sz w:val="16"/>
          <w:szCs w:val="16"/>
          <w:color w:val="auto"/>
        </w:rPr>
        <w:t xml:space="preserve">4.6.1 </w:t>
      </w:r>
      <w:r>
        <w:rPr>
          <w:rFonts w:ascii="Arial" w:cs="Arial" w:eastAsia="Arial" w:hAnsi="Arial"/>
          <w:sz w:val="16"/>
          <w:szCs w:val="16"/>
          <w:u w:val="single" w:color="auto"/>
          <w:color w:val="auto"/>
        </w:rPr>
        <w:t>Registration of Pledged Securities and other Investment Property</w:t>
      </w:r>
      <w:r>
        <w:rPr>
          <w:rFonts w:ascii="Arial" w:cs="Arial" w:eastAsia="Arial" w:hAnsi="Arial"/>
          <w:sz w:val="16"/>
          <w:szCs w:val="16"/>
          <w:color w:val="auto"/>
        </w:rPr>
        <w:t>. Each Grantor will permit any registrable Collateral owned by such Grantor to be registered in the name of the Administrative Agent or its nominee at any time at the option of the Required Lenders following the occurrence and during the continuance of an Event of Default and without any further consent of such Grantor.</w:t>
      </w:r>
    </w:p>
    <w:p>
      <w:pPr>
        <w:spacing w:after="0" w:line="147" w:lineRule="exact"/>
        <w:rPr>
          <w:sz w:val="20"/>
          <w:szCs w:val="20"/>
          <w:color w:val="auto"/>
        </w:rPr>
      </w:pPr>
    </w:p>
    <w:p>
      <w:pPr>
        <w:jc w:val="both"/>
        <w:ind w:left="980" w:firstLine="1297"/>
        <w:spacing w:after="0" w:line="259"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Exercise of Rights in Pledged Securities</w:t>
      </w:r>
      <w:r>
        <w:rPr>
          <w:rFonts w:ascii="Arial" w:cs="Arial" w:eastAsia="Arial" w:hAnsi="Arial"/>
          <w:sz w:val="18"/>
          <w:szCs w:val="18"/>
          <w:color w:val="auto"/>
        </w:rPr>
        <w:t>. Each Grantor will permit the Administrative Agent or its nominee at any time after the occurrence and during the continuance of an Event of Default, without notice, to exercise or refrain from exercising any and all voting and other consensual rights pertaining to Pledged Collateral owned by such Grantor or any part thereof, and to receive all dividends and interest in respect of such Pledged Collateral.</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Specified Deposit Accounts</w:t>
      </w:r>
      <w:r>
        <w:rPr>
          <w:rFonts w:ascii="Arial" w:cs="Arial" w:eastAsia="Arial" w:hAnsi="Arial"/>
          <w:sz w:val="16"/>
          <w:szCs w:val="16"/>
          <w:color w:val="auto"/>
        </w:rPr>
        <w:t>. Each Grantor will cause each bank or other financial institution in which it maintains a Specified Deposit Account to enter into a Deposit Account Control Agreement with the Administrative Agent, in form and substance reasonably satisfactory to the Administrative Agent in order to give the Administrative Agent Control of the Specified Deposit Account within thirty (30) days following the Effective Date or such later date on which it becomes a Grantor hereunder (in each case, or such later date as may be agreed to by the Administrative Agent in its sole discretion). In the case of deposits maintained with Lenders, the terms of such letter shall be subject to the provisions of the Credit Agreement regarding setoffs.</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Each Grantor will, upon the Administrative Agent’s request, cause each issuer of a letter of credit in excess of $5,000,000 individually or in the aggregate to consent to the assignment of proceeds of such letter of credit in order to give the Administrative Agent Control of the Letter of Credit Rights to such letter of credit.</w:t>
      </w:r>
    </w:p>
    <w:p>
      <w:pPr>
        <w:spacing w:after="0" w:line="1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u w:val="single" w:color="auto"/>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1" w:right="239" w:bottom="1440" w:gutter="0" w:footer="0" w:header="0"/>
        </w:sectPr>
      </w:pPr>
    </w:p>
    <w:bookmarkStart w:id="340" w:name="page341"/>
    <w:bookmarkEnd w:id="340"/>
    <w:p>
      <w:pPr>
        <w:ind w:left="660"/>
        <w:spacing w:after="0"/>
        <w:tabs>
          <w:tab w:leader="none" w:pos="11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r>
        <w:rPr>
          <w:rFonts w:ascii="Arial" w:cs="Arial" w:eastAsia="Arial" w:hAnsi="Arial"/>
          <w:sz w:val="15"/>
          <w:szCs w:val="15"/>
          <w:u w:val="single" w:color="auto"/>
          <w:color w:val="auto"/>
        </w:rPr>
        <w:t>.</w:t>
      </w:r>
    </w:p>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Intellectual Property.</w:t>
      </w:r>
    </w:p>
    <w:p>
      <w:pPr>
        <w:spacing w:after="0" w:line="225" w:lineRule="exact"/>
        <w:rPr>
          <w:sz w:val="20"/>
          <w:szCs w:val="20"/>
          <w:color w:val="auto"/>
        </w:rPr>
      </w:pPr>
    </w:p>
    <w:p>
      <w:pPr>
        <w:jc w:val="both"/>
        <w:ind w:left="980" w:firstLine="1297"/>
        <w:spacing w:after="0" w:line="269" w:lineRule="auto"/>
        <w:rPr>
          <w:sz w:val="20"/>
          <w:szCs w:val="20"/>
          <w:color w:val="auto"/>
        </w:rPr>
      </w:pPr>
      <w:r>
        <w:rPr>
          <w:rFonts w:ascii="Arial" w:cs="Arial" w:eastAsia="Arial" w:hAnsi="Arial"/>
          <w:sz w:val="17"/>
          <w:szCs w:val="17"/>
          <w:color w:val="auto"/>
        </w:rPr>
        <w:t xml:space="preserve">4.11.1 If, after the date hereof, any Grantor obtains rights to, including, but not limited to filing and acceptance of a statement of use or an amendment to allege use with the United States Patent and Trademark Office, or applies for or seeks registration of, any new patentable invention, Trademark or Copyright in addition to the Patents, Trademarks and Copyrights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then to the extent the foregoing constitutes Specified Intellectual Property, such Grantor agrees promptly upon request by the Administrative Agent to execute and deliver to the Administrative Agent any supplement to this Security Agreement or any other document reasonably requested by the Administrative Agent to evidence such security interest in a form appropriate for recording in the applicable federal office. In the event the applicable Grantor does not comply with the previous sentence within a reasonable period of time, each Grantor also hereby authorizes the Administrative Agent to modify this Security Agreement unilaterally (i) by amending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include any future Patents, Trademarks and/or Copyrights constituting Specified Intellectual Property of which the Administrative Agent receives notification from such Grantor pursuant hereto and (ii) by recording, in addition to and not in substitution for this Security Agreement, a duplicate original of this Security Agreement containing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 description of such future Patents, Trademarks and/or Copyrights constituting Specified Intellectual Property.</w:t>
      </w:r>
    </w:p>
    <w:p>
      <w:pPr>
        <w:spacing w:after="0" w:line="180" w:lineRule="exact"/>
        <w:rPr>
          <w:sz w:val="20"/>
          <w:szCs w:val="20"/>
          <w:color w:val="auto"/>
        </w:rPr>
      </w:pPr>
    </w:p>
    <w:p>
      <w:pPr>
        <w:jc w:val="both"/>
        <w:ind w:left="980" w:firstLine="1297"/>
        <w:spacing w:after="0" w:line="287" w:lineRule="auto"/>
        <w:rPr>
          <w:sz w:val="20"/>
          <w:szCs w:val="20"/>
          <w:color w:val="auto"/>
        </w:rPr>
      </w:pPr>
      <w:r>
        <w:rPr>
          <w:rFonts w:ascii="Arial" w:cs="Arial" w:eastAsia="Arial" w:hAnsi="Arial"/>
          <w:sz w:val="16"/>
          <w:szCs w:val="16"/>
          <w:color w:val="auto"/>
        </w:rPr>
        <w:t xml:space="preserve">4.11.2 As of the applicable Determination Date, no Grantor has any interest in, or title to, any Copyrights, Licenses, Patents or Trademarks that constitute Specified Intellectual Property, except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of the applicable Determination Date, this Agreement is effective to create a valid and continuing Lien on each Grantor’s interest in its Copyrights, Licenses, Patents and Trademarks that constitute Specified Intellectual Property and, upon filing of the Confirmatory Grant of Security Interest in Copyrights with the United States Copyright Office and filing of the Confirmatory Grant of Security Interest in Patents and the Confirmatory Grant of Security Interest in Trademarks with the United States Patent and Trademark Office, and the filing of appropriate financing statements in the jurisdictions listed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all action necessary or desirable to protect and perfect the security interest in, to and on each Grantor’s interest in Patents, Trademarks or Copyrights that constitute Specified Intellectual Property and are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of the applicable Determination Date shall have been taken and such perfected security interest shall be enforceable as such as against any and all creditors of and purchasers from any Grantor. As of the applicable Determination Date, no Grantor has any interest in any Copyright that is Specified Intellectual Property and is necessary in connection with the operation of such Grantor’s business, except for those Copyrights identified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u w:val="single" w:color="auto"/>
          <w:color w:val="auto"/>
        </w:rPr>
        <w:t>Reserved</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4.13 Commercial Tort Claims. If, after the date hereof, any Grantor identifies the existence of a Commercial Tort Claim constituting Collateral belonging to such Grantor that has arisen in the course of such Grantor’s business in addition to the Commercial Tort Claims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 which are all of such Grantor’s Commercial Tort Claims as of the Effective Date, then such Grantor shall give the Administrative Agent prompt notice thereof, but in any event not less frequently than quarterly. Each Grantor agrees promptly upon request by the Administrative Agent to execute and deliver to the Administrative Agent any supplement to this Security Agreement or any other document reasonably requested by the Administrative Agent to evidence the grant of a security interest therein in favor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sectPr>
      </w:pPr>
    </w:p>
    <w:bookmarkStart w:id="341" w:name="page342"/>
    <w:bookmarkEnd w:id="341"/>
    <w:p>
      <w:pPr>
        <w:jc w:val="both"/>
        <w:ind w:left="660"/>
        <w:spacing w:after="0" w:line="25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Updating of Exhibits to Security Agreement.</w:t>
      </w:r>
      <w:r>
        <w:rPr>
          <w:rFonts w:ascii="Arial" w:cs="Arial" w:eastAsia="Arial" w:hAnsi="Arial"/>
          <w:sz w:val="18"/>
          <w:szCs w:val="18"/>
          <w:color w:val="auto"/>
        </w:rPr>
        <w:t xml:space="preserve"> WIL-Ireland will provide to the Administrative Agent, concurrently with the delivery of each Compliance Certificate required by Section 7.01(e) of the Credit Agreement, updated versions of the Exhibits to this Security Agreement (provided that if there have been no changes to any such Exhibits since the previous updating thereof required hereby, WIL-Ireland shall indicate that there has been “no change” to the applicable Exhibit(s)). Any reference to any Exhibit herein shall mean such Exhibit after giving effect to any updates thereof by WIL-Ireland or such Grantor pursuant to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ind w:left="1460"/>
        <w:spacing w:after="0"/>
        <w:tabs>
          <w:tab w:leader="none" w:pos="1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Upon the occurrence and during the continuance of an Event of Default, the Administrative Agent may, and at the direction of the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Required Lenders shall, exercise any or all of the following rights and remedies:</w:t>
      </w:r>
    </w:p>
    <w:p>
      <w:pPr>
        <w:spacing w:after="0" w:line="211" w:lineRule="exact"/>
        <w:rPr>
          <w:sz w:val="20"/>
          <w:szCs w:val="20"/>
          <w:color w:val="auto"/>
        </w:rPr>
      </w:pPr>
    </w:p>
    <w:p>
      <w:pPr>
        <w:jc w:val="both"/>
        <w:ind w:left="1300" w:hanging="644"/>
        <w:spacing w:after="0" w:line="264"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not be understood to limit any rights or remedies available to the Administrative Agent and the Secured Parties prior to an Event of Default.</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Give notice of sole control or any other instruction under any Deposit Account Control Agreement or other control agreement with any securities intermediary and take any action therein with respect to such Collateral.</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w:t>
      </w:r>
    </w:p>
    <w:p>
      <w:pPr>
        <w:spacing w:after="0" w:line="189"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sectPr>
      </w:pPr>
    </w:p>
    <w:bookmarkStart w:id="342" w:name="page343"/>
    <w:bookmarkEnd w:id="342"/>
    <w:p>
      <w:pPr>
        <w:ind w:left="1300" w:right="20"/>
        <w:spacing w:after="0" w:line="277" w:lineRule="auto"/>
        <w:rPr>
          <w:sz w:val="20"/>
          <w:szCs w:val="20"/>
          <w:color w:val="auto"/>
        </w:rPr>
      </w:pPr>
      <w:r>
        <w:rPr>
          <w:rFonts w:ascii="Arial" w:cs="Arial" w:eastAsia="Arial" w:hAnsi="Arial"/>
          <w:sz w:val="18"/>
          <w:szCs w:val="18"/>
          <w:color w:val="auto"/>
        </w:rPr>
        <w:t>collect and receive all cash dividends, interest, principal and other distributions made thereon and to otherwise act with respect to the Pledged Collateral as though the Administrative Agent was the outright owner thereof.</w:t>
      </w:r>
    </w:p>
    <w:p>
      <w:pPr>
        <w:spacing w:after="0" w:line="170" w:lineRule="exact"/>
        <w:rPr>
          <w:sz w:val="20"/>
          <w:szCs w:val="20"/>
          <w:color w:val="auto"/>
        </w:rPr>
      </w:pPr>
    </w:p>
    <w:p>
      <w:pPr>
        <w:jc w:val="both"/>
        <w:ind w:left="820" w:firstLine="648"/>
        <w:spacing w:after="0" w:line="264" w:lineRule="auto"/>
        <w:rPr>
          <w:sz w:val="20"/>
          <w:szCs w:val="20"/>
          <w:color w:val="auto"/>
        </w:rPr>
      </w:pPr>
      <w:r>
        <w:rPr>
          <w:rFonts w:ascii="Arial" w:cs="Arial" w:eastAsia="Arial" w:hAnsi="Arial"/>
          <w:sz w:val="18"/>
          <w:szCs w:val="18"/>
          <w:color w:val="auto"/>
        </w:rPr>
        <w:t>5.1.2 The Administrative Agent, on behalf of the Secured Parties, shall comply with any applicable state or federal law requirements in connection with a disposition of the Collateral, and such compliance will not be considered to adversely affect the commercial reasonableness of any sale of the Collateral.</w:t>
      </w:r>
    </w:p>
    <w:p>
      <w:pPr>
        <w:spacing w:after="0" w:line="181" w:lineRule="exact"/>
        <w:rPr>
          <w:sz w:val="20"/>
          <w:szCs w:val="20"/>
          <w:color w:val="auto"/>
        </w:rPr>
      </w:pPr>
    </w:p>
    <w:p>
      <w:pPr>
        <w:jc w:val="both"/>
        <w:ind w:left="820" w:firstLine="648"/>
        <w:spacing w:after="0" w:line="286" w:lineRule="auto"/>
        <w:rPr>
          <w:sz w:val="20"/>
          <w:szCs w:val="20"/>
          <w:color w:val="auto"/>
        </w:rPr>
      </w:pPr>
      <w:r>
        <w:rPr>
          <w:rFonts w:ascii="Arial" w:cs="Arial" w:eastAsia="Arial" w:hAnsi="Arial"/>
          <w:sz w:val="17"/>
          <w:szCs w:val="17"/>
          <w:color w:val="auto"/>
        </w:rPr>
        <w:t>5.1.3 The Administrative Agent shall have the right upon any such public sale or sales and, to the extent permitted by law, upon any such private sale or sales, to purchase for the benefit of the Administrative Agent and the other Secured Parties, the whole or any part of the Collateral so sold, free of any right of equity redemption, which equity redemption the Grantor hereby expressly releases.</w:t>
      </w:r>
    </w:p>
    <w:p>
      <w:pPr>
        <w:spacing w:after="0" w:line="166" w:lineRule="exact"/>
        <w:rPr>
          <w:sz w:val="20"/>
          <w:szCs w:val="20"/>
          <w:color w:val="auto"/>
        </w:rPr>
      </w:pPr>
    </w:p>
    <w:p>
      <w:pPr>
        <w:jc w:val="both"/>
        <w:ind w:left="820" w:firstLine="648"/>
        <w:spacing w:after="0" w:line="297" w:lineRule="auto"/>
        <w:rPr>
          <w:sz w:val="20"/>
          <w:szCs w:val="20"/>
          <w:color w:val="auto"/>
        </w:rPr>
      </w:pPr>
      <w:r>
        <w:rPr>
          <w:rFonts w:ascii="Arial" w:cs="Arial" w:eastAsia="Arial" w:hAnsi="Arial"/>
          <w:sz w:val="16"/>
          <w:szCs w:val="16"/>
          <w:color w:val="auto"/>
        </w:rPr>
        <w:t>5.1.4 Until the Administrative Agent is able to effect a sale, lease, or other disposition of Collateral,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if it so elects, seek the appointment of a receiver or keeper to take possession of Collateral and to enforce any of the Administrative Agent’s remedies (for the benefit of the Administrative Agent and other Secured Parties), with respect to such appointment without prior notice or hearing as to such appointment.</w:t>
      </w:r>
    </w:p>
    <w:p>
      <w:pPr>
        <w:spacing w:after="0" w:line="154"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jc w:val="both"/>
        <w:ind w:left="820" w:firstLine="648"/>
        <w:spacing w:after="0" w:line="276" w:lineRule="auto"/>
        <w:rPr>
          <w:sz w:val="20"/>
          <w:szCs w:val="20"/>
          <w:color w:val="auto"/>
        </w:rPr>
      </w:pPr>
      <w:r>
        <w:rPr>
          <w:rFonts w:ascii="Arial" w:cs="Arial" w:eastAsia="Arial" w:hAnsi="Arial"/>
          <w:sz w:val="17"/>
          <w:szCs w:val="17"/>
          <w:color w:val="auto"/>
        </w:rPr>
        <w:t>5.1.6 Notwithstanding the foregoing, neither the Administrative Agent nor any other Secured Party shall be required to (i) 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73" w:lineRule="exact"/>
        <w:rPr>
          <w:sz w:val="20"/>
          <w:szCs w:val="20"/>
          <w:color w:val="auto"/>
        </w:rPr>
      </w:pPr>
    </w:p>
    <w:p>
      <w:pPr>
        <w:jc w:val="both"/>
        <w:ind w:left="820" w:firstLine="648"/>
        <w:spacing w:after="0" w:line="291" w:lineRule="auto"/>
        <w:rPr>
          <w:sz w:val="20"/>
          <w:szCs w:val="20"/>
          <w:color w:val="auto"/>
        </w:rPr>
      </w:pPr>
      <w:r>
        <w:rPr>
          <w:rFonts w:ascii="Arial" w:cs="Arial" w:eastAsia="Arial" w:hAnsi="Arial"/>
          <w:sz w:val="16"/>
          <w:szCs w:val="16"/>
          <w:color w:val="auto"/>
        </w:rPr>
        <w:t xml:space="preserve">5.1.7 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Grantors’ Obligations Upon Default</w:t>
      </w:r>
      <w:r>
        <w:rPr>
          <w:rFonts w:ascii="Arial" w:cs="Arial" w:eastAsia="Arial" w:hAnsi="Arial"/>
          <w:sz w:val="18"/>
          <w:szCs w:val="18"/>
          <w:color w:val="auto"/>
        </w:rPr>
        <w:t>. Upon the written request of the Administrative Agent after the occurrence and during the continuance of an Event of Default, each Grantor will:</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sectPr>
      </w:pPr>
    </w:p>
    <w:bookmarkStart w:id="343" w:name="page344"/>
    <w:bookmarkEnd w:id="343"/>
    <w:p>
      <w:pPr>
        <w:jc w:val="both"/>
        <w:ind w:left="820" w:firstLine="648"/>
        <w:spacing w:after="0" w:line="27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Assembly of Collateral</w:t>
      </w:r>
      <w:r>
        <w:rPr>
          <w:rFonts w:ascii="Arial" w:cs="Arial" w:eastAsia="Arial" w:hAnsi="Arial"/>
          <w:sz w:val="18"/>
          <w:szCs w:val="18"/>
          <w:color w:val="auto"/>
        </w:rPr>
        <w:t>. Assemble and make available to the Administrative Agent the Collateral and all books and records relating thereto at any place or places specified in writing by the Administrative Agent.</w:t>
      </w:r>
    </w:p>
    <w:p>
      <w:pPr>
        <w:spacing w:after="0" w:line="170" w:lineRule="exact"/>
        <w:rPr>
          <w:sz w:val="20"/>
          <w:szCs w:val="20"/>
          <w:color w:val="auto"/>
        </w:rPr>
      </w:pPr>
    </w:p>
    <w:p>
      <w:pPr>
        <w:jc w:val="both"/>
        <w:ind w:left="820" w:firstLine="648"/>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Secured Party Access</w:t>
      </w:r>
      <w:r>
        <w:rPr>
          <w:rFonts w:ascii="Arial" w:cs="Arial" w:eastAsia="Arial" w:hAnsi="Arial"/>
          <w:sz w:val="18"/>
          <w:szCs w:val="18"/>
          <w:color w:val="auto"/>
        </w:rPr>
        <w:t>. 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88" w:lineRule="exact"/>
        <w:rPr>
          <w:sz w:val="20"/>
          <w:szCs w:val="20"/>
          <w:color w:val="auto"/>
        </w:rPr>
      </w:pPr>
    </w:p>
    <w:p>
      <w:pPr>
        <w:jc w:val="both"/>
        <w:ind w:left="820" w:firstLine="648"/>
        <w:spacing w:after="0" w:line="257" w:lineRule="auto"/>
        <w:rPr>
          <w:sz w:val="20"/>
          <w:szCs w:val="20"/>
          <w:color w:val="auto"/>
        </w:rPr>
      </w:pPr>
      <w:r>
        <w:rPr>
          <w:rFonts w:ascii="Arial" w:cs="Arial" w:eastAsia="Arial" w:hAnsi="Arial"/>
          <w:sz w:val="18"/>
          <w:szCs w:val="18"/>
          <w:color w:val="auto"/>
        </w:rPr>
        <w:t>5.2.3 Prepare and file, or cause an issuer of Pledged Collateral to prepare and file, with the Securities and Exchange Commission or any other applicable government agency, registration statements, a prospectus and such other documentation in connection with the Pledged Collateral as the Administrative Agent may request, all in form and substance reasonably satisfactory to the Administrative Agent, and furnish to the Administrative Agent, or cause an issuer of Pledged Collateral to furnish to the Administrative Agent, any information regarding the Pledged Collateral in such detail as the Administrative Agent may specify.</w:t>
      </w:r>
    </w:p>
    <w:p>
      <w:pPr>
        <w:spacing w:after="0" w:line="188" w:lineRule="exact"/>
        <w:rPr>
          <w:sz w:val="20"/>
          <w:szCs w:val="20"/>
          <w:color w:val="auto"/>
        </w:rPr>
      </w:pPr>
    </w:p>
    <w:p>
      <w:pPr>
        <w:jc w:val="both"/>
        <w:ind w:left="820" w:firstLine="648"/>
        <w:spacing w:after="0" w:line="277" w:lineRule="auto"/>
        <w:rPr>
          <w:sz w:val="20"/>
          <w:szCs w:val="20"/>
          <w:color w:val="auto"/>
        </w:rPr>
      </w:pPr>
      <w:r>
        <w:rPr>
          <w:rFonts w:ascii="Arial" w:cs="Arial" w:eastAsia="Arial" w:hAnsi="Arial"/>
          <w:sz w:val="18"/>
          <w:szCs w:val="18"/>
          <w:color w:val="auto"/>
        </w:rPr>
        <w:t>5.2.4 Take, or cause an issuer of Pledged Collateral to take, any and all actions necessary to register or qualify the Pledged Collateral to enable the Administrative Agent to consummate a public sale or other disposition of the Pledged Collateral.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License</w:t>
      </w:r>
      <w:r>
        <w:rPr>
          <w:rFonts w:ascii="Arial" w:cs="Arial" w:eastAsia="Arial" w:hAnsi="Arial"/>
          <w:sz w:val="17"/>
          <w:szCs w:val="17"/>
          <w:color w:val="auto"/>
        </w:rPr>
        <w:t>. The Administrative Agent is hereby granted a license or other right to use, following the occurrence and during the continuance of an Event of Default, without charge, each Grantor’s labels, Patents, Copyrights, rights of use of any name, trade secrets, trade names, Trademarks, service marks, customer lists and advertising matter, or any property of a similar nature, in each case, as it pertains to the Collateral, in completing production of, advertising for sale, and selling any Collateral, and, following the occurrence and during the continuance of an Event of Default, such Grantor’s rights under all licenses and all franchise agreements shall inure to the Administrative Agent’s benefit. In addition, each Grantor hereby irrevocably agrees that the Administrative Agent may, following the occurrence and during the continuance of an Event of Default, sell any of such Grantor’s Inventory constituting Collateral directly to any person, including without limitation persons who have previously purchased such Grantor’s Inventory from such Grantor and in connection with any such sale or other enforcement of the Administrative Agent’s rights under this Security Agreement, may sell such Inventory which bears any trademark owned by or licensed to such Grantor and any such Inventory that is covered by any copyright owned by or licensed to such Grantor and the Administrative Agent may (but shall have no obligation to) finish any work in process and affix any trademark owned by or licensed to such Grantor and sell such Inventory as provided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WAIVERS, AMENDMENTS AND REMEDIES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delay or omission of the Administrative Agent or any Secured Party to exercise any right or remedy granted under this Security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814" w:right="239" w:bottom="1440" w:gutter="0" w:footer="0" w:header="0"/>
        </w:sectPr>
      </w:pPr>
    </w:p>
    <w:bookmarkStart w:id="344" w:name="page345"/>
    <w:bookmarkEnd w:id="344"/>
    <w:p>
      <w:pPr>
        <w:jc w:val="both"/>
        <w:spacing w:after="0" w:line="257" w:lineRule="auto"/>
        <w:rPr>
          <w:sz w:val="20"/>
          <w:szCs w:val="20"/>
          <w:color w:val="auto"/>
        </w:rPr>
      </w:pPr>
      <w:r>
        <w:rPr>
          <w:rFonts w:ascii="Arial" w:cs="Arial" w:eastAsia="Arial" w:hAnsi="Arial"/>
          <w:sz w:val="18"/>
          <w:szCs w:val="18"/>
          <w:color w:val="auto"/>
        </w:rPr>
        <w:t xml:space="preserve">signed by the Administrative Agent and each Grantor, and then only to the extent in such writing specifically set forth, provided that the addition of any Subsidiary as a Grantor hereunder by execution of a Security Agreement Supplement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(with such modifications as shall be acceptable to the Administrative Agent) shall not require receipt of any consent from or execution of any documentation by any other Grantor party hereto. All rights and remedies contained in this Security Agreement or by law afforded shall be cumulative and all shall be available to the Administrative Agent and the Secured Parties until the Secured Obligations have been paid in full.</w:t>
      </w:r>
    </w:p>
    <w:p>
      <w:pPr>
        <w:spacing w:after="0" w:line="18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PROCEEDS; COLLECTION OF RECEIVABLES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Lockboxes</w:t>
      </w:r>
      <w:r>
        <w:rPr>
          <w:rFonts w:ascii="Arial" w:cs="Arial" w:eastAsia="Arial" w:hAnsi="Arial"/>
          <w:sz w:val="18"/>
          <w:szCs w:val="18"/>
          <w:color w:val="auto"/>
        </w:rPr>
        <w:t>. Upon request of the Administrative Agent after the occurrence and during the continuance of an Event of Default, each Grantor shall execute and deliver to the Administrative Agent irrevocable lockbox agreements in the form provided by or otherwise reasonably acceptable to the Administrative Agent, which agreements, if so required by the Administrative Agent, shall be accompanied by an acknowledgment by the bank where the lockbox is located of the Lien of the Administrative Agent granted hereunder and of irrevocable instructions to wire all amounts collected therein to a special collateral account at the Administrative Agent.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xml:space="preserve">. The Administrative Agent may at any time after the occurrence and during the continuance of an Event of Default, by giving each Grantor written notice, elect to require that the Receivables be paid directly to the Administrative Agent for the benefit of the Secured Parties. In such event, each Grantor shall, and shall permit the Administrative Agent to, promptly notify the account debtors or obligors under the Receivables owned by such Grantor of the Administrative Agent’s interest therein and direct such account debtors or obligors to make payment of all amounts then or thereafter due under such Receivables directly to the Administrative Agent. Upon receipt of any such notice from the Administrative Agent, each Grantor shall thereafter during the continuance of any Event of Default hold in trust for the Administrative Agent, on behalf of the Secured Parties, all amounts and proceeds received by it with respect to the Receivables and Other Collateral and immediately and at all times thereafter deliver to the Administrative Agent all such amounts and proceeds in the same form as so received, whether by cash, check, draft or otherwise, with any necessary endorsements. The Administrative Agent shall hold and apply funds so received as provided by the terms of </w:t>
      </w:r>
      <w:r>
        <w:rPr>
          <w:rFonts w:ascii="Arial" w:cs="Arial" w:eastAsia="Arial" w:hAnsi="Arial"/>
          <w:sz w:val="17"/>
          <w:szCs w:val="17"/>
          <w:u w:val="single" w:color="auto"/>
          <w:color w:val="auto"/>
        </w:rPr>
        <w:t>Sections 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hereof.</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Special Collateral Account</w:t>
      </w:r>
      <w:r>
        <w:rPr>
          <w:rFonts w:ascii="Arial" w:cs="Arial" w:eastAsia="Arial" w:hAnsi="Arial"/>
          <w:sz w:val="16"/>
          <w:szCs w:val="16"/>
          <w:color w:val="auto"/>
        </w:rPr>
        <w:t>. Upon the occurrence and during the continuance of an Event of Default, the Administrative Agent may require, by giving the Grantors written notice, that all cash proceeds of the Collateral to be deposited in a special non-interest bearing cash collateral account with the Administrative Agent and held there as security for the Secured Obligations. No Grantor shall have any control whatsoever over such cash collateral account. The Administrative Agent shall from time to time deposit the collected balances in such cash collateral account into the applicable Grantor’s general operating account with the Administrative Agent. If any Default has occurred and is continuing, the Administrative Agent may (and shall, at the direction of the Required Lenders), from time to time, apply the collected balances in such cash collateral account to the payment of the Secured Obligations.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The proceeds of the Collateral shall be applied by the Administrative Agent to payment of the Secured Obligations as provided under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of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5"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 of Disposition of Collateral; Condition of Collateral</w:t>
      </w:r>
      <w:r>
        <w:rPr>
          <w:rFonts w:ascii="Arial" w:cs="Arial" w:eastAsia="Arial" w:hAnsi="Arial"/>
          <w:sz w:val="17"/>
          <w:szCs w:val="17"/>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at least ten (10) days prior to (i) the date of any such public sale or (ii) the time after which any such private sale or other disposition may be made. To the maximum extent permitted by applicable law, each Grantor waives all claims, damages, and demands against the Administrative Agent or any other Secured Party arising out of the repossession, retention or sale of the Collateral, except such as arise solely out of the gross negligence or willful misconduct of the Administrative Agent or such other Secured Party, or its or their agents, employees, officers, nominees or other representatives, as finally determined by a court of competent jurisdiction. To the extent it may lawfully do so, each Grantor absolutely and irrevocably waives and relinquishes the benefit and advantage of, and covenants not to assert against the Administrative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Limitation on Administrative Agent’s and other Secured Parties’ Duty with Respect to the Collateral</w:t>
      </w:r>
      <w:r>
        <w:rPr>
          <w:rFonts w:ascii="Arial" w:cs="Arial" w:eastAsia="Arial" w:hAnsi="Arial"/>
          <w:sz w:val="17"/>
          <w:szCs w:val="17"/>
          <w:color w:val="auto"/>
        </w:rPr>
        <w:t>. The Administrative Agent shall have no obligation to clean-up or otherwise prepare the Collateral for sale. The Administrative Agent and each other Secured Party shall use reasonable care with respect to the Collateral in its possession or under its control (or in the possession or under the care of any agent, employee, officer, nominee or other representative of the Administrative Agent or such other Secured Party). Neither the Administrative Agent nor any other Secured Party shall have any other duty as to any Collateral in its possession or control or in the possession or control of any agent or nominee of the Administrative Agent or such other Secured Party,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(i) to fail to incur expenses deemed significant by the Administrative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sectPr>
      </w:pPr>
    </w:p>
    <w:bookmarkStart w:id="346" w:name="page347"/>
    <w:bookmarkEnd w:id="346"/>
    <w:p>
      <w:pPr>
        <w:jc w:val="both"/>
        <w:ind w:firstLine="8"/>
        <w:spacing w:after="0" w:line="270" w:lineRule="auto"/>
        <w:tabs>
          <w:tab w:leader="none" w:pos="308" w:val="left"/>
        </w:tabs>
        <w:numPr>
          <w:ilvl w:val="0"/>
          <w:numId w:val="378"/>
        </w:numPr>
        <w:rPr>
          <w:rFonts w:ascii="Arial" w:cs="Arial" w:eastAsia="Arial" w:hAnsi="Arial"/>
          <w:sz w:val="17"/>
          <w:szCs w:val="17"/>
          <w:color w:val="auto"/>
        </w:rPr>
      </w:pPr>
      <w:r>
        <w:rPr>
          <w:rFonts w:ascii="Arial" w:cs="Arial" w:eastAsia="Arial" w:hAnsi="Arial"/>
          <w:sz w:val="17"/>
          <w:szCs w:val="17"/>
          <w:color w:val="auto"/>
        </w:rPr>
        <w:t xml:space="preserve">to purchase insurance or credit enhancements to insure the Administrative Agent against risks of loss, collection or disposition of Collateral or to provide to the Administrative Agent a guaranteed return from the collection or disposition of Collateral, or (xii) to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Without limitation upon the foregoing, nothing contained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construed to grant any rights to any Grantor or to impose any duties on the Administrative Agent that would not have been granted or imposed by this Security Agreement or by applicable law in the absence of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Compromises and Collection of Collateral</w:t>
      </w:r>
      <w:r>
        <w:rPr>
          <w:rFonts w:ascii="Arial" w:cs="Arial" w:eastAsia="Arial" w:hAnsi="Arial"/>
          <w:sz w:val="16"/>
          <w:szCs w:val="16"/>
          <w:color w:val="auto"/>
        </w:rPr>
        <w:t>. Each Grantor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at any time and from time to time, if an Event of Default has occurred and is continuing, compromise with the obligor on any Receivable, accept in full payment of any Receivable such amount as the Administrative Agent in its sole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Secured Party Performance of Grantor’s Obligations</w:t>
      </w:r>
      <w:r>
        <w:rPr>
          <w:rFonts w:ascii="Arial" w:cs="Arial" w:eastAsia="Arial" w:hAnsi="Arial"/>
          <w:sz w:val="17"/>
          <w:szCs w:val="17"/>
          <w:color w:val="auto"/>
        </w:rPr>
        <w:t xml:space="preserve">. Without having any obligation to do so, the Administrative Agent may perform or pay any obligation which any Grantor has agreed to perform or pay in this Security Agreement and fails to so perform or pay and such Grantor shall reimburse the Administrative Agent for any reasonable and documented amounts paid by the Administrative Agent pursuant to this </w:t>
      </w:r>
      <w:r>
        <w:rPr>
          <w:rFonts w:ascii="Arial" w:cs="Arial" w:eastAsia="Arial" w:hAnsi="Arial"/>
          <w:sz w:val="17"/>
          <w:szCs w:val="17"/>
          <w:u w:val="single" w:color="auto"/>
          <w:color w:val="auto"/>
        </w:rPr>
        <w:t>Section 8.4</w:t>
      </w:r>
      <w:r>
        <w:rPr>
          <w:rFonts w:ascii="Arial" w:cs="Arial" w:eastAsia="Arial" w:hAnsi="Arial"/>
          <w:sz w:val="17"/>
          <w:szCs w:val="17"/>
          <w:color w:val="auto"/>
        </w:rPr>
        <w:t>. Each Grantor’s obligation to reimburse the Administrative Agent pursuant to the preceding sentence shall be a Secured Obligation payable on demand.</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Authorization for Secured Party to Take Certain Action</w:t>
      </w:r>
      <w:r>
        <w:rPr>
          <w:rFonts w:ascii="Arial" w:cs="Arial" w:eastAsia="Arial" w:hAnsi="Arial"/>
          <w:sz w:val="17"/>
          <w:szCs w:val="17"/>
          <w:color w:val="auto"/>
        </w:rPr>
        <w:t xml:space="preserve">. Each Grantor irrevocably authorizes the Administrative Agent at any time and from time to time in the sole discretion of the Administrative Agent and appoints the Administrative Agent as its attorney in fact (i) to execute on behalf of such Grantor as debtor and to file financing statements necessary or desirable in the Administrative Agent’s sole discretion to perfect and to maintain the perfection and priority of the Administrative Agent’s security interest in the Collateral, (ii) to indorse and collect any cash proceeds of the Collateral,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(iv) to contact and enter into one or more agreements with the issuers of uncertificated securities which are Collateral owned by such Grantor and which are Securities or with financial intermediaries holding other Investment Property which is Collateral as may be necessary or advisable to give the Administrative Agent Control over such Securities or other Investment Property, (v) solely to the extent an Event of Default has occurred and is continuing and subject to the terms of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hereof, to enforce payment of the Instruments, Accounts and Receivables constituting Collateral in the name of the Administrative Agent or such</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sectPr>
      </w:pPr>
    </w:p>
    <w:bookmarkStart w:id="347" w:name="page348"/>
    <w:bookmarkEnd w:id="347"/>
    <w:p>
      <w:pPr>
        <w:jc w:val="both"/>
        <w:spacing w:after="0" w:line="255" w:lineRule="auto"/>
        <w:rPr>
          <w:sz w:val="20"/>
          <w:szCs w:val="20"/>
          <w:color w:val="auto"/>
        </w:rPr>
      </w:pPr>
      <w:r>
        <w:rPr>
          <w:rFonts w:ascii="Arial" w:cs="Arial" w:eastAsia="Arial" w:hAnsi="Arial"/>
          <w:sz w:val="18"/>
          <w:szCs w:val="18"/>
          <w:color w:val="auto"/>
        </w:rPr>
        <w:t xml:space="preserve">Grantor, (vi) solely to the extent an Event of Default has occurred and is continuing, to apply the proceeds of any Collateral received by the Administrative Agent to the Secured Obligations as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(vii) to discharge past due taxes, assessments, charges, fees or Liens on the Collateral (except for such Liens as are specifically permitted hereunder or under any other Loan Document), and each Grantor agrees to reimburse the Administrative Agent on demand for any reasonable and documented payment made or any reasonable and documented expense incurred by the Administrative Agent in connection therewith, provided that this authorization shall not relieve any Grantor of any of its obligations under this Security Agreement or under the Credit Agreement.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Specific Performance of Certain Covenants</w:t>
      </w:r>
      <w:r>
        <w:rPr>
          <w:rFonts w:ascii="Arial" w:cs="Arial" w:eastAsia="Arial" w:hAnsi="Arial"/>
          <w:sz w:val="17"/>
          <w:szCs w:val="17"/>
          <w:color w:val="auto"/>
        </w:rPr>
        <w:t xml:space="preserve">. Each Grantor acknowledges and agrees that a breach of any of the covenants contained in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will cause irreparable injury to the Administrative Agent and the Secured Parties, that the Administrative Agent and Secured Parties have no adequate remedy at law in respect of such breaches and therefore agrees, without limiting the right of the Administrative Agent or the Secured Parties to seek and obtain specific performance of other obligations of the Grantors contained in this Security Agreement, that the covenants of the Grantors contained in the Sections referred to in this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shall be specifically enforceable against the Grantors.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Use and Possession of Certain Premises</w:t>
      </w:r>
      <w:r>
        <w:rPr>
          <w:rFonts w:ascii="Arial" w:cs="Arial" w:eastAsia="Arial" w:hAnsi="Arial"/>
          <w:sz w:val="18"/>
          <w:szCs w:val="18"/>
          <w:color w:val="auto"/>
        </w:rPr>
        <w:t xml:space="preserve">. Upon the occurrence and during the continuance of an Event of Default, the Administrative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 subject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hereof all respects.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u w:val="single" w:color="auto"/>
          <w:color w:val="auto"/>
        </w:rPr>
        <w:t>Reserved</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Reinstatement</w:t>
      </w:r>
      <w:r>
        <w:rPr>
          <w:rFonts w:ascii="Arial" w:cs="Arial" w:eastAsia="Arial" w:hAnsi="Arial"/>
          <w:sz w:val="18"/>
          <w:szCs w:val="18"/>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Administrative Agent and the Secured Parties and their respective successors and assigns (including all persons who become bound as a debtor to this Security Agreement); provided that the Grantors shall not have the right to assign their rights or delegate their obligations under this Security Agreement or any interest herein, except as permitted under the Credit Agreement. No sales of participations, assignments, transfers, or other dispositions of any agreement governing the Secured Obligations or any portion thereof or interest therein shall in any manner impair the Lien granted to the Administrative Agent, for the benefit of the Administrative Agent and the other Secured Parties, hereunder.</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4" w:right="239" w:bottom="1440" w:gutter="0" w:footer="0" w:header="0"/>
        </w:sectPr>
      </w:pPr>
    </w:p>
    <w:bookmarkStart w:id="348" w:name="page349"/>
    <w:bookmarkEnd w:id="348"/>
    <w:p>
      <w:pPr>
        <w:jc w:val="both"/>
        <w:ind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Taxes and Expenses</w:t>
      </w:r>
      <w:r>
        <w:rPr>
          <w:rFonts w:ascii="Arial" w:cs="Arial" w:eastAsia="Arial" w:hAnsi="Arial"/>
          <w:sz w:val="18"/>
          <w:szCs w:val="18"/>
          <w:color w:val="auto"/>
        </w:rPr>
        <w:t xml:space="preserve">. To the extent required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Credit Agreement, any Other Taxes payable or ruled payable by a Federal or State authority in respect of this Security Agreement shall be paid by the Grantors, together with, to the extent required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Credit Agreement, interest and penalties, if any. The Grantors shall reimburse the Administrative Agent for any and all of its reasonable out-of-pocket expenses (including reasonable external legal, auditors’ and accountants’ fees) if and to the extent the Borrowers are required to reimburse such amounts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11.03</w:t>
      </w:r>
      <w:r>
        <w:rPr>
          <w:rFonts w:ascii="Arial" w:cs="Arial" w:eastAsia="Arial" w:hAnsi="Arial"/>
          <w:sz w:val="18"/>
          <w:szCs w:val="18"/>
          <w:color w:val="auto"/>
        </w:rPr>
        <w:t xml:space="preserve"> of the Credit Agreement. Any and all costs and expenses incurred by the Grantors in the performance of actions required pursuant to the terms hereof shall be borne solely by the Grantors.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Security Agreement shall continue in effect (notwithstanding the fact that from time to time there may be no Secured Obligations outstanding) until Payment in Full. Notwithstanding the foregoing, the obligations of any individual Grantor under this Security Agreement shall automatically terminate to the extent provided in and in accordance with </w:t>
      </w:r>
      <w:r>
        <w:rPr>
          <w:rFonts w:ascii="Arial" w:cs="Arial" w:eastAsia="Arial" w:hAnsi="Arial"/>
          <w:sz w:val="18"/>
          <w:szCs w:val="18"/>
          <w:u w:val="single" w:color="auto"/>
          <w:color w:val="auto"/>
        </w:rPr>
        <w:t>Section 11.22</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Security Agreement and the other Loan Documents constitute the entire contract among the parties relating to the subject matter hereof and supersede any and all previous agreements and understandings, oral or written, relating to the subject matter hereof.</w:t>
      </w:r>
    </w:p>
    <w:p>
      <w:pPr>
        <w:spacing w:after="0" w:line="14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1" w:lineRule="exact"/>
        <w:rPr>
          <w:sz w:val="20"/>
          <w:szCs w:val="20"/>
          <w:color w:val="auto"/>
        </w:rPr>
      </w:pPr>
    </w:p>
    <w:p>
      <w:pPr>
        <w:ind w:left="820" w:firstLine="648"/>
        <w:spacing w:after="0" w:line="282" w:lineRule="auto"/>
        <w:rPr>
          <w:sz w:val="20"/>
          <w:szCs w:val="20"/>
          <w:color w:val="auto"/>
        </w:rPr>
      </w:pPr>
      <w:r>
        <w:rPr>
          <w:rFonts w:ascii="Arial" w:cs="Arial" w:eastAsia="Arial" w:hAnsi="Arial"/>
          <w:sz w:val="18"/>
          <w:szCs w:val="18"/>
          <w:color w:val="auto"/>
        </w:rPr>
        <w:t xml:space="preserve">8.16.1 </w:t>
      </w:r>
      <w:r>
        <w:rPr>
          <w:rFonts w:ascii="Arial" w:cs="Arial" w:eastAsia="Arial" w:hAnsi="Arial"/>
          <w:sz w:val="18"/>
          <w:szCs w:val="18"/>
          <w:b w:val="1"/>
          <w:bCs w:val="1"/>
          <w:color w:val="auto"/>
        </w:rPr>
        <w:t>THIS SECURITY AGREEMENT SHALL BE CONSTRUED IN ACCORDANCE WITH AND GOVERNED BY THE</w:t>
      </w:r>
      <w:r>
        <w:rPr>
          <w:rFonts w:ascii="Arial" w:cs="Arial" w:eastAsia="Arial" w:hAnsi="Arial"/>
          <w:sz w:val="18"/>
          <w:szCs w:val="18"/>
          <w:color w:val="auto"/>
        </w:rPr>
        <w:t xml:space="preserve"> </w:t>
      </w:r>
      <w:r>
        <w:rPr>
          <w:rFonts w:ascii="Arial" w:cs="Arial" w:eastAsia="Arial" w:hAnsi="Arial"/>
          <w:sz w:val="18"/>
          <w:szCs w:val="18"/>
          <w:b w:val="1"/>
          <w:bCs w:val="1"/>
          <w:color w:val="auto"/>
        </w:rPr>
        <w:t>LAW OF THE STATE OF NEW YORK.</w:t>
      </w:r>
    </w:p>
    <w:p>
      <w:pPr>
        <w:spacing w:after="0" w:line="166" w:lineRule="exact"/>
        <w:rPr>
          <w:sz w:val="20"/>
          <w:szCs w:val="20"/>
          <w:color w:val="auto"/>
        </w:rPr>
      </w:pPr>
    </w:p>
    <w:p>
      <w:pPr>
        <w:jc w:val="both"/>
        <w:ind w:left="820" w:firstLine="648"/>
        <w:spacing w:after="0" w:line="270" w:lineRule="auto"/>
        <w:rPr>
          <w:sz w:val="20"/>
          <w:szCs w:val="20"/>
          <w:color w:val="auto"/>
        </w:rPr>
      </w:pPr>
      <w:r>
        <w:rPr>
          <w:rFonts w:ascii="Arial" w:cs="Arial" w:eastAsia="Arial" w:hAnsi="Arial"/>
          <w:sz w:val="17"/>
          <w:szCs w:val="17"/>
          <w:color w:val="auto"/>
        </w:rPr>
        <w:t xml:space="preserve">8.16.2 Each Grantor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Security Agreement or any other Loan Document shall (including this </w:t>
      </w:r>
      <w:r>
        <w:rPr>
          <w:rFonts w:ascii="Arial" w:cs="Arial" w:eastAsia="Arial" w:hAnsi="Arial"/>
          <w:sz w:val="17"/>
          <w:szCs w:val="17"/>
          <w:u w:val="single" w:color="auto"/>
          <w:color w:val="auto"/>
        </w:rPr>
        <w:t>Section 8.16</w:t>
      </w:r>
      <w:r>
        <w:rPr>
          <w:rFonts w:ascii="Arial" w:cs="Arial" w:eastAsia="Arial" w:hAnsi="Arial"/>
          <w:sz w:val="17"/>
          <w:szCs w:val="17"/>
          <w:color w:val="auto"/>
        </w:rPr>
        <w:t>) affect any right that any Secured Party may otherwise have to bring any suit, action or proceeding relating to this Security Agreement or any other Loan Document against any Grantor or its properties in the courts of any jurisdiction.</w:t>
      </w:r>
    </w:p>
    <w:p>
      <w:pPr>
        <w:spacing w:after="0" w:line="178" w:lineRule="exact"/>
        <w:rPr>
          <w:sz w:val="20"/>
          <w:szCs w:val="20"/>
          <w:color w:val="auto"/>
        </w:rPr>
      </w:pPr>
    </w:p>
    <w:p>
      <w:pPr>
        <w:jc w:val="both"/>
        <w:ind w:left="820" w:firstLine="648"/>
        <w:spacing w:after="0" w:line="279" w:lineRule="auto"/>
        <w:rPr>
          <w:sz w:val="20"/>
          <w:szCs w:val="20"/>
          <w:color w:val="auto"/>
        </w:rPr>
      </w:pPr>
      <w:r>
        <w:rPr>
          <w:rFonts w:ascii="Arial" w:cs="Arial" w:eastAsia="Arial" w:hAnsi="Arial"/>
          <w:sz w:val="17"/>
          <w:szCs w:val="17"/>
          <w:color w:val="auto"/>
        </w:rPr>
        <w:t xml:space="preserve">8.16.3 Each Grantor hereby irrevocably and unconditionally waives, to the fullest extent it may legally 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7"/>
          <w:szCs w:val="17"/>
          <w:u w:val="single" w:color="auto"/>
          <w:color w:val="auto"/>
        </w:rPr>
        <w:t>Section 8.16.2</w:t>
      </w:r>
      <w:r>
        <w:rPr>
          <w:rFonts w:ascii="Arial" w:cs="Arial" w:eastAsia="Arial" w:hAnsi="Arial"/>
          <w:sz w:val="17"/>
          <w:szCs w:val="17"/>
          <w:color w:val="auto"/>
        </w:rPr>
        <w:t>. Each Grantor hereby irrevocably waives, to the fullest extent permitted by law, the defense of an inconvenient forum to the maintenance of such action or proceeding in any such court.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801" w:right="239" w:bottom="1440" w:gutter="0" w:footer="0" w:header="0"/>
        </w:sectPr>
      </w:pPr>
    </w:p>
    <w:bookmarkStart w:id="349" w:name="page350"/>
    <w:bookmarkEnd w:id="349"/>
    <w:p>
      <w:pPr>
        <w:jc w:val="both"/>
        <w:ind w:left="820" w:firstLine="648"/>
        <w:spacing w:after="0" w:line="264" w:lineRule="auto"/>
        <w:rPr>
          <w:sz w:val="20"/>
          <w:szCs w:val="20"/>
          <w:color w:val="auto"/>
        </w:rPr>
      </w:pPr>
      <w:r>
        <w:rPr>
          <w:rFonts w:ascii="Arial" w:cs="Arial" w:eastAsia="Arial" w:hAnsi="Arial"/>
          <w:sz w:val="18"/>
          <w:szCs w:val="18"/>
          <w:color w:val="auto"/>
        </w:rPr>
        <w:t xml:space="preserve">8.16.4 Each party to this Security Agreement irrevocably consents to service of process in the manner provided for notices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Security Agreement other than by facsimile. Nothing in this Security Agreement or any other Loan Document will affect the right of any party to this Security Agreement to serve process in any other manner permitted by law.</w:t>
      </w:r>
    </w:p>
    <w:p>
      <w:pPr>
        <w:spacing w:after="0" w:line="181" w:lineRule="exact"/>
        <w:rPr>
          <w:sz w:val="20"/>
          <w:szCs w:val="20"/>
          <w:color w:val="auto"/>
        </w:rPr>
      </w:pPr>
    </w:p>
    <w:p>
      <w:pPr>
        <w:jc w:val="both"/>
        <w:ind w:left="820" w:firstLine="648"/>
        <w:spacing w:after="0" w:line="257" w:lineRule="auto"/>
        <w:rPr>
          <w:sz w:val="20"/>
          <w:szCs w:val="20"/>
          <w:color w:val="auto"/>
        </w:rPr>
      </w:pPr>
      <w:r>
        <w:rPr>
          <w:rFonts w:ascii="Arial" w:cs="Arial" w:eastAsia="Arial" w:hAnsi="Arial"/>
          <w:sz w:val="18"/>
          <w:szCs w:val="18"/>
          <w:color w:val="auto"/>
        </w:rPr>
        <w:t>8.16.5 Each Grantor agrees that any suit, action or proceeding brought by any Grantor or any of their respective Subsidiaries relating to this Security Agreement or any other Loan Document against the Administrative Agent, any other Secured Party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8" w:lineRule="exact"/>
        <w:rPr>
          <w:sz w:val="20"/>
          <w:szCs w:val="20"/>
          <w:color w:val="auto"/>
        </w:rPr>
      </w:pPr>
    </w:p>
    <w:p>
      <w:pPr>
        <w:jc w:val="both"/>
        <w:ind w:left="820" w:firstLine="648"/>
        <w:spacing w:after="0" w:line="254" w:lineRule="auto"/>
        <w:rPr>
          <w:sz w:val="20"/>
          <w:szCs w:val="20"/>
          <w:color w:val="auto"/>
        </w:rPr>
      </w:pPr>
      <w:r>
        <w:rPr>
          <w:rFonts w:ascii="Arial" w:cs="Arial" w:eastAsia="Arial" w:hAnsi="Arial"/>
          <w:sz w:val="18"/>
          <w:szCs w:val="18"/>
          <w:color w:val="auto"/>
        </w:rPr>
        <w:t>8.16.6 The Administrative Agent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Security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92" w:lineRule="exact"/>
        <w:rPr>
          <w:sz w:val="20"/>
          <w:szCs w:val="20"/>
          <w:color w:val="auto"/>
        </w:rPr>
      </w:pPr>
    </w:p>
    <w:p>
      <w:pPr>
        <w:jc w:val="both"/>
        <w:ind w:left="820" w:firstLine="648"/>
        <w:spacing w:after="0" w:line="302" w:lineRule="auto"/>
        <w:rPr>
          <w:sz w:val="20"/>
          <w:szCs w:val="20"/>
          <w:color w:val="auto"/>
        </w:rPr>
      </w:pPr>
      <w:r>
        <w:rPr>
          <w:rFonts w:ascii="Arial" w:cs="Arial" w:eastAsia="Arial" w:hAnsi="Arial"/>
          <w:sz w:val="16"/>
          <w:szCs w:val="16"/>
          <w:color w:val="auto"/>
        </w:rPr>
        <w:t xml:space="preserve">8.16.7 The Administrative Agent hereby irrevocably and unconditionally waives, to the fullest extent it may legally and effectively do so, any objection which it may now or hereafter have to the laying of venue of any suit, action or proceeding arising out of or relating to this Security Agreement or any other Loan Document in any court referred to in </w:t>
      </w:r>
      <w:r>
        <w:rPr>
          <w:rFonts w:ascii="Arial" w:cs="Arial" w:eastAsia="Arial" w:hAnsi="Arial"/>
          <w:sz w:val="16"/>
          <w:szCs w:val="16"/>
          <w:u w:val="single" w:color="auto"/>
          <w:color w:val="auto"/>
        </w:rPr>
        <w:t>Section 8.16.2</w:t>
      </w:r>
      <w:r>
        <w:rPr>
          <w:rFonts w:ascii="Arial" w:cs="Arial" w:eastAsia="Arial" w:hAnsi="Arial"/>
          <w:sz w:val="16"/>
          <w:szCs w:val="16"/>
          <w:color w:val="auto"/>
        </w:rPr>
        <w:t>. The Administrative Agent hereby irrevocably waives, to the fullest extent permitted by law, the defense of an inconvenient forum to the maintenance of such action or proceeding in any such court.</w:t>
      </w:r>
    </w:p>
    <w:p>
      <w:pPr>
        <w:spacing w:after="0" w:line="154" w:lineRule="exact"/>
        <w:rPr>
          <w:sz w:val="20"/>
          <w:szCs w:val="20"/>
          <w:color w:val="auto"/>
        </w:rPr>
      </w:pPr>
    </w:p>
    <w:p>
      <w:pPr>
        <w:jc w:val="both"/>
        <w:ind w:left="820" w:firstLine="648"/>
        <w:spacing w:after="0" w:line="312" w:lineRule="auto"/>
        <w:rPr>
          <w:sz w:val="20"/>
          <w:szCs w:val="20"/>
          <w:color w:val="auto"/>
        </w:rPr>
      </w:pPr>
      <w:r>
        <w:rPr>
          <w:rFonts w:ascii="Arial" w:cs="Arial" w:eastAsia="Arial" w:hAnsi="Arial"/>
          <w:sz w:val="16"/>
          <w:szCs w:val="16"/>
          <w:color w:val="auto"/>
        </w:rPr>
        <w:t>8.16.8 To the extent that any Grantor has or hereafter may acquire any immunity from jurisdiction of any court or from set-off or any legal process (whether through service or notice, attachment prior to judgment, attachment in aid of execution, execution or otherwise) with respect to itself or its property, such Grantor hereby irrevocably waives such immunity in respect of its obligations under the Loan Documents.</w:t>
      </w:r>
    </w:p>
    <w:p>
      <w:pPr>
        <w:spacing w:after="0" w:line="147" w:lineRule="exact"/>
        <w:rPr>
          <w:sz w:val="20"/>
          <w:szCs w:val="20"/>
          <w:color w:val="auto"/>
        </w:rPr>
      </w:pPr>
    </w:p>
    <w:p>
      <w:pPr>
        <w:jc w:val="both"/>
        <w:ind w:left="820" w:firstLine="648"/>
        <w:spacing w:after="0" w:line="254" w:lineRule="auto"/>
        <w:rPr>
          <w:sz w:val="20"/>
          <w:szCs w:val="20"/>
          <w:color w:val="auto"/>
        </w:rPr>
      </w:pPr>
      <w:r>
        <w:rPr>
          <w:rFonts w:ascii="Arial" w:cs="Arial" w:eastAsia="Arial" w:hAnsi="Arial"/>
          <w:sz w:val="18"/>
          <w:szCs w:val="18"/>
          <w:color w:val="auto"/>
        </w:rPr>
        <w:t>8.16.9 EACH PARTY HERETO HEREBY WAIVES, TO THE FULLEST EXTENT PERMITTED BY APPLICABLE LAW, ANY RIGHT IT MAY HAVE TO A TRIAL BY JURY IN ANY LEGAL PROCEEDING DIRECTLY OR INDIRECTLY ARISING OUT OF OR RELATING TO THIS SECURITY AGREEMENT, THE OTHER LOAN DOCUMENTS OR THE TRANSACTIONS CONTEMPLATED HEREBY AND THEREBY (WHETHER BASED ON CONTRACT, TORT OR ANY OTHER THEORY). EACH PARTY HERETO</w:t>
      </w:r>
    </w:p>
    <w:p>
      <w:pPr>
        <w:spacing w:after="0" w:line="2" w:lineRule="exact"/>
        <w:rPr>
          <w:sz w:val="20"/>
          <w:szCs w:val="20"/>
          <w:color w:val="auto"/>
        </w:rPr>
      </w:pPr>
    </w:p>
    <w:p>
      <w:pPr>
        <w:ind w:left="820" w:hanging="2"/>
        <w:spacing w:after="0" w:line="261" w:lineRule="auto"/>
        <w:tabs>
          <w:tab w:leader="none" w:pos="111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PARTY HAS REPRESENTED, EXPRESSLY OR OTHERWISE, THAT SUCH OTHER</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801" w:right="239" w:bottom="1440" w:gutter="0" w:footer="0" w:header="0"/>
        </w:sectPr>
      </w:pPr>
    </w:p>
    <w:bookmarkStart w:id="350" w:name="page351"/>
    <w:bookmarkEnd w:id="350"/>
    <w:p>
      <w:pPr>
        <w:jc w:val="both"/>
        <w:ind w:left="820"/>
        <w:spacing w:after="0" w:line="286" w:lineRule="auto"/>
        <w:rPr>
          <w:sz w:val="20"/>
          <w:szCs w:val="20"/>
          <w:color w:val="auto"/>
        </w:rPr>
      </w:pPr>
      <w:r>
        <w:rPr>
          <w:rFonts w:ascii="Arial" w:cs="Arial" w:eastAsia="Arial" w:hAnsi="Arial"/>
          <w:sz w:val="17"/>
          <w:szCs w:val="17"/>
          <w:color w:val="auto"/>
        </w:rPr>
        <w:t>PARTY WOULD NOT, IN THE EVENT OF LITIGATION, SEEK TO ENFORCE THE FOREGOING WAIVER AND (B) ACKNOWLEDGES THAT IT AND THE OTHER PARTIES HERETO HAVE BEEN INDUCED TO ENTER INTO THIS SECURITY AGREEMENT AND THE OTHER LOAN DOCUMENTS BY, AMONG OTHER THINGS, THE MUTUAL WAIVERS AND CERTIFICATIONS IN THIS SECTION.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Each Grantor hereby agrees, jointly with the other Grantors and severally, to indemnify the Administrative Agent and the Secured Parties in accordance with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of the Credit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Counterparts</w:t>
      </w:r>
      <w:r>
        <w:rPr>
          <w:rFonts w:ascii="Arial" w:cs="Arial" w:eastAsia="Arial" w:hAnsi="Arial"/>
          <w:sz w:val="17"/>
          <w:szCs w:val="17"/>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UETA.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Sending Notices</w:t>
      </w:r>
      <w:r>
        <w:rPr>
          <w:rFonts w:ascii="Arial" w:cs="Arial" w:eastAsia="Arial" w:hAnsi="Arial"/>
          <w:sz w:val="17"/>
          <w:szCs w:val="17"/>
          <w:color w:val="auto"/>
        </w:rPr>
        <w:t>. All notices, requests and other communications to any party hereunder shall be given in the manner prescribed in Section 11.02 of the Credit Agreement with respect to the Administrative Agent at its notice address therein and, with respect to any Grantor, in the care of Weatherford International, LLC, as provided and at the notice address set forth in the Credit Agreement, or such other address or telecopy number as such party may hereafter specify for such purpose in accordance with the provisions of Section 11.02 of the Credit Agreement. Any notice delivered to WIL-Ireland or the Borrower on behalf of the Grantors shall be deemed to have been delivered to all of the Grantors.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Each of the Grantors, the Administrative Agent and the Lenders may change the address for service of notice upon it by a notice in writing to the other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JPMorgan Chase Bank, N.A. has been appointed Administrative Agent for the Secured Parties hereunder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It is expressly understood and agreed by the parties to this Security Agreement that any authority conferred upon the Administrative Agent hereunder is subject to the terms of the delegation of authority made by the Secured Parties to the Administrative Agent pursuant to the Credit Agreement, and that the Administrative Agent has agreed to act (and any successor Administrative Agent shall act) as such hereunder only on the express conditions contained in such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Any successor Administrative Agent appointed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shall be entitled to all the rights, interests and benefits of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Follow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ACTIVE 214413513v.9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4" w:right="239" w:bottom="1440" w:gutter="0" w:footer="0" w:header="0"/>
        </w:sectPr>
      </w:pPr>
    </w:p>
    <w:bookmarkStart w:id="351" w:name="page352"/>
    <w:bookmarkEnd w:id="351"/>
    <w:p>
      <w:pPr>
        <w:ind w:firstLine="648"/>
        <w:spacing w:after="0" w:line="263" w:lineRule="auto"/>
        <w:rPr>
          <w:sz w:val="20"/>
          <w:szCs w:val="20"/>
          <w:color w:val="auto"/>
        </w:rPr>
      </w:pPr>
      <w:r>
        <w:rPr>
          <w:rFonts w:ascii="Arial" w:cs="Arial" w:eastAsia="Arial" w:hAnsi="Arial"/>
          <w:sz w:val="22"/>
          <w:szCs w:val="22"/>
          <w:color w:val="auto"/>
        </w:rPr>
        <w:t>IN WITNESS WHEREOF, each of the Grantors and the Administrative Agent have executed this Security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GRANTORS:</w:t>
      </w:r>
    </w:p>
    <w:p>
      <w:pPr>
        <w:spacing w:after="0" w:line="368"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WEATHERFORD HOLDINGS U.S. LLC</w:t>
      </w:r>
    </w:p>
    <w:p>
      <w:pPr>
        <w:spacing w:after="0" w:line="368" w:lineRule="exact"/>
        <w:rPr>
          <w:sz w:val="20"/>
          <w:szCs w:val="20"/>
          <w:color w:val="auto"/>
        </w:rPr>
      </w:pPr>
    </w:p>
    <w:tbl>
      <w:tblPr>
        <w:tblLayout w:type="fixed"/>
        <w:tblInd w:w="61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20"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WEATHERFORD U.S. HOLDINGS, L.L.C.</w:t>
      </w:r>
    </w:p>
    <w:p>
      <w:pPr>
        <w:spacing w:after="0" w:line="368" w:lineRule="exact"/>
        <w:rPr>
          <w:sz w:val="20"/>
          <w:szCs w:val="20"/>
          <w:color w:val="auto"/>
        </w:rPr>
      </w:pPr>
    </w:p>
    <w:tbl>
      <w:tblPr>
        <w:tblLayout w:type="fixed"/>
        <w:tblInd w:w="61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20"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WEATHERFORD INTERNATIONAL, LLC</w:t>
      </w:r>
    </w:p>
    <w:p>
      <w:pPr>
        <w:spacing w:after="0" w:line="368" w:lineRule="exact"/>
        <w:rPr>
          <w:sz w:val="20"/>
          <w:szCs w:val="20"/>
          <w:color w:val="auto"/>
        </w:rPr>
      </w:pPr>
    </w:p>
    <w:tbl>
      <w:tblPr>
        <w:tblLayout w:type="fixed"/>
        <w:tblInd w:w="61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r>
        <w:trPr>
          <w:trHeight w:val="594"/>
        </w:trPr>
        <w:tc>
          <w:tcPr>
            <w:tcW w:w="4120" w:type="dxa"/>
            <w:vAlign w:val="bottom"/>
            <w:gridSpan w:val="2"/>
          </w:tcPr>
          <w:p>
            <w:pPr>
              <w:spacing w:after="0"/>
              <w:rPr>
                <w:sz w:val="20"/>
                <w:szCs w:val="20"/>
                <w:color w:val="auto"/>
              </w:rPr>
            </w:pPr>
            <w:r>
              <w:rPr>
                <w:rFonts w:ascii="Arial" w:cs="Arial" w:eastAsia="Arial" w:hAnsi="Arial"/>
                <w:sz w:val="22"/>
                <w:szCs w:val="22"/>
                <w:color w:val="auto"/>
              </w:rPr>
              <w:t>WEUS HOLDING, LLC</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20"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WEATHERFORD ARTIFICIAL LIFT</w:t>
      </w:r>
    </w:p>
    <w:p>
      <w:pPr>
        <w:spacing w:after="0" w:line="44"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SYSTEMS, LLC</w:t>
      </w:r>
    </w:p>
    <w:p>
      <w:pPr>
        <w:spacing w:after="0" w:line="368" w:lineRule="exact"/>
        <w:rPr>
          <w:sz w:val="20"/>
          <w:szCs w:val="20"/>
          <w:color w:val="auto"/>
        </w:rPr>
      </w:pPr>
    </w:p>
    <w:tbl>
      <w:tblPr>
        <w:tblLayout w:type="fixed"/>
        <w:tblInd w:w="61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336"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WEATHERFORD LIMITED PARTNER,</w:t>
      </w:r>
    </w:p>
    <w:p>
      <w:pPr>
        <w:spacing w:after="0" w:line="44"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L.L.C.</w:t>
      </w:r>
    </w:p>
    <w:p>
      <w:pPr>
        <w:spacing w:after="0" w:line="368" w:lineRule="exact"/>
        <w:rPr>
          <w:sz w:val="20"/>
          <w:szCs w:val="20"/>
          <w:color w:val="auto"/>
        </w:rPr>
      </w:pPr>
    </w:p>
    <w:tbl>
      <w:tblPr>
        <w:tblLayout w:type="fixed"/>
        <w:tblInd w:w="61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Jennifer Presnall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Jennifer Presnall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11340"/>
          </w:cols>
          <w:pgMar w:left="240" w:top="591" w:right="319" w:bottom="1440" w:gutter="0" w:footer="0" w:header="0"/>
        </w:sectPr>
      </w:pP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Signature Page to U.S. Pledge and Security Agreement</w:t>
      </w:r>
    </w:p>
    <w:p>
      <w:pPr>
        <w:sectPr>
          <w:pgSz w:w="11900" w:h="16838" w:orient="portrait"/>
          <w:cols w:equalWidth="0" w:num="1">
            <w:col w:w="11340"/>
          </w:cols>
          <w:pgMar w:left="240" w:top="591" w:right="319" w:bottom="1440" w:gutter="0" w:footer="0" w:header="0"/>
          <w:type w:val="continuous"/>
        </w:sectPr>
      </w:pPr>
    </w:p>
    <w:bookmarkStart w:id="352" w:name="page353"/>
    <w:bookmarkEnd w:id="352"/>
    <w:p>
      <w:pPr>
        <w:ind w:left="4980"/>
        <w:spacing w:after="0"/>
        <w:rPr>
          <w:sz w:val="20"/>
          <w:szCs w:val="20"/>
          <w:color w:val="auto"/>
        </w:rPr>
      </w:pPr>
      <w:r>
        <w:rPr>
          <w:rFonts w:ascii="Arial" w:cs="Arial" w:eastAsia="Arial" w:hAnsi="Arial"/>
          <w:sz w:val="22"/>
          <w:szCs w:val="22"/>
          <w:color w:val="auto"/>
        </w:rPr>
        <w:t>WEATHERFORD U.S., L.P.</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47" w:lineRule="exact"/>
        <w:rPr>
          <w:sz w:val="20"/>
          <w:szCs w:val="20"/>
          <w:color w:val="auto"/>
        </w:rPr>
      </w:pPr>
    </w:p>
    <w:p>
      <w:pPr>
        <w:jc w:val="right"/>
        <w:ind w:right="240"/>
        <w:spacing w:after="0"/>
        <w:rPr>
          <w:sz w:val="20"/>
          <w:szCs w:val="20"/>
          <w:color w:val="auto"/>
        </w:rPr>
      </w:pPr>
      <w:r>
        <w:rPr>
          <w:rFonts w:ascii="Arial" w:cs="Arial" w:eastAsia="Arial" w:hAnsi="Arial"/>
          <w:sz w:val="22"/>
          <w:szCs w:val="22"/>
          <w:color w:val="auto"/>
        </w:rPr>
        <w:t>PRECISION DRILLING HOLDINGS, INC.</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Kamini D. Patel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Kamini D. Patel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President</w:t>
            </w:r>
          </w:p>
        </w:tc>
      </w:tr>
    </w:tbl>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PRECISION DRILLING LP, INC.</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Kamini D. Patel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Kamini D. Patel</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President</w:t>
            </w:r>
          </w:p>
        </w:tc>
      </w:tr>
      <w:tr>
        <w:trPr>
          <w:trHeight w:val="621"/>
        </w:trPr>
        <w:tc>
          <w:tcPr>
            <w:tcW w:w="4120" w:type="dxa"/>
            <w:vAlign w:val="bottom"/>
            <w:gridSpan w:val="2"/>
          </w:tcPr>
          <w:p>
            <w:pPr>
              <w:spacing w:after="0"/>
              <w:rPr>
                <w:sz w:val="20"/>
                <w:szCs w:val="20"/>
                <w:color w:val="auto"/>
              </w:rPr>
            </w:pPr>
            <w:r>
              <w:rPr>
                <w:rFonts w:ascii="Arial" w:cs="Arial" w:eastAsia="Arial" w:hAnsi="Arial"/>
                <w:sz w:val="22"/>
                <w:szCs w:val="22"/>
                <w:color w:val="auto"/>
              </w:rPr>
              <w:t>PD HOLDINGS (USA), L.P.</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PRECISION USA HOLDINGS, INC.</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PRECISION ENERGY SERVICES, INC.</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Signature Page to U.S. Pledge and Security Agreement</w:t>
      </w:r>
    </w:p>
    <w:p>
      <w:pPr>
        <w:sectPr>
          <w:pgSz w:w="11900" w:h="16838" w:orient="portrait"/>
          <w:cols w:equalWidth="0" w:num="1">
            <w:col w:w="9100"/>
          </w:cols>
          <w:pgMar w:left="1440" w:top="820" w:right="1359" w:bottom="1440" w:gutter="0" w:footer="0" w:header="0"/>
        </w:sectPr>
      </w:pPr>
    </w:p>
    <w:bookmarkStart w:id="353" w:name="page354"/>
    <w:bookmarkEnd w:id="353"/>
    <w:p>
      <w:pPr>
        <w:ind w:left="4980"/>
        <w:spacing w:after="0"/>
        <w:rPr>
          <w:sz w:val="20"/>
          <w:szCs w:val="20"/>
          <w:color w:val="auto"/>
        </w:rPr>
      </w:pPr>
      <w:r>
        <w:rPr>
          <w:rFonts w:ascii="Arial" w:cs="Arial" w:eastAsia="Arial" w:hAnsi="Arial"/>
          <w:sz w:val="21"/>
          <w:szCs w:val="21"/>
          <w:color w:val="auto"/>
        </w:rPr>
        <w:t>WEATHERFORD U.S. INVESTMENT, LLC</w:t>
      </w:r>
    </w:p>
    <w:p>
      <w:pPr>
        <w:spacing w:after="0" w:line="380"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WEATHERFORD/LAMB, INC.</w:t>
      </w:r>
    </w:p>
    <w:p>
      <w:pPr>
        <w:spacing w:after="0" w:line="368" w:lineRule="exact"/>
        <w:rPr>
          <w:sz w:val="20"/>
          <w:szCs w:val="20"/>
          <w:color w:val="auto"/>
        </w:rPr>
      </w:pPr>
    </w:p>
    <w:tbl>
      <w:tblPr>
        <w:tblLayout w:type="fixed"/>
        <w:tblInd w:w="498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4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42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Signature Page to U.S. Pledge and Security Agreement</w:t>
      </w:r>
    </w:p>
    <w:p>
      <w:pPr>
        <w:sectPr>
          <w:pgSz w:w="11900" w:h="16838" w:orient="portrait"/>
          <w:cols w:equalWidth="0" w:num="1">
            <w:col w:w="9100"/>
          </w:cols>
          <w:pgMar w:left="1440" w:top="820" w:right="1359" w:bottom="1440" w:gutter="0" w:footer="0" w:header="0"/>
        </w:sectPr>
      </w:pPr>
    </w:p>
    <w:bookmarkStart w:id="354" w:name="page355"/>
    <w:bookmarkEnd w:id="354"/>
    <w:p>
      <w:pPr>
        <w:spacing w:after="0"/>
        <w:rPr>
          <w:sz w:val="20"/>
          <w:szCs w:val="20"/>
          <w:color w:val="auto"/>
        </w:rPr>
      </w:pPr>
      <w:r>
        <w:rPr>
          <w:rFonts w:ascii="Arial" w:cs="Arial" w:eastAsia="Arial" w:hAnsi="Arial"/>
          <w:sz w:val="22"/>
          <w:szCs w:val="22"/>
          <w:color w:val="auto"/>
        </w:rPr>
        <w:t>JPMORGAN CHASE BANK, N.A., as Administrative Agent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319"/>
        <w:spacing w:after="0"/>
        <w:rPr>
          <w:sz w:val="20"/>
          <w:szCs w:val="20"/>
          <w:color w:val="auto"/>
        </w:rPr>
      </w:pPr>
      <w:r>
        <w:rPr>
          <w:rFonts w:ascii="Arial" w:cs="Arial" w:eastAsia="Arial" w:hAnsi="Arial"/>
          <w:sz w:val="20"/>
          <w:szCs w:val="20"/>
          <w:i w:val="1"/>
          <w:iCs w:val="1"/>
          <w:color w:val="auto"/>
        </w:rPr>
        <w:t>Signature Page to U.S. Pledge and Security Agreement</w:t>
      </w:r>
    </w:p>
    <w:p>
      <w:pPr>
        <w:sectPr>
          <w:pgSz w:w="11900" w:h="16838" w:orient="portrait"/>
          <w:cols w:equalWidth="0" w:num="1">
            <w:col w:w="10179"/>
          </w:cols>
          <w:pgMar w:left="280" w:top="1212"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20"/>
          <w:szCs w:val="20"/>
          <w:b w:val="1"/>
          <w:bCs w:val="1"/>
          <w:color w:val="auto"/>
        </w:rPr>
        <w:t>Exhibit 10.5</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AFFILIATE GUARANTY</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THIS AFFILIATE GUARANTY (as the same may be amended, restated, supplemented or otherwise modified from time to time, this “</w:t>
      </w:r>
      <w:r>
        <w:rPr>
          <w:rFonts w:ascii="Arial" w:cs="Arial" w:eastAsia="Arial" w:hAnsi="Arial"/>
          <w:sz w:val="19"/>
          <w:szCs w:val="19"/>
          <w:u w:val="single" w:color="auto"/>
          <w:color w:val="auto"/>
        </w:rPr>
        <w:t>Guaranty</w:t>
      </w:r>
      <w:r>
        <w:rPr>
          <w:rFonts w:ascii="Arial" w:cs="Arial" w:eastAsia="Arial" w:hAnsi="Arial"/>
          <w:sz w:val="19"/>
          <w:szCs w:val="19"/>
          <w:color w:val="auto"/>
        </w:rPr>
        <w:t>”) is made as of May 9, 2016 by and among Weatherford International plc, an Irish public limited company (the “</w:t>
      </w:r>
      <w:r>
        <w:rPr>
          <w:rFonts w:ascii="Arial" w:cs="Arial" w:eastAsia="Arial" w:hAnsi="Arial"/>
          <w:sz w:val="19"/>
          <w:szCs w:val="19"/>
          <w:u w:val="single" w:color="auto"/>
          <w:color w:val="auto"/>
        </w:rPr>
        <w:t>Parent</w:t>
      </w:r>
      <w:r>
        <w:rPr>
          <w:rFonts w:ascii="Arial" w:cs="Arial" w:eastAsia="Arial" w:hAnsi="Arial"/>
          <w:sz w:val="19"/>
          <w:szCs w:val="19"/>
          <w:color w:val="auto"/>
        </w:rPr>
        <w:t>”) and each of the Subsidiaries of the Parent listed on the signature pages hereto (the Parent and each such listed Subsidiary, each an “</w:t>
      </w:r>
      <w:r>
        <w:rPr>
          <w:rFonts w:ascii="Arial" w:cs="Arial" w:eastAsia="Arial" w:hAnsi="Arial"/>
          <w:sz w:val="19"/>
          <w:szCs w:val="19"/>
          <w:u w:val="single" w:color="auto"/>
          <w:color w:val="auto"/>
        </w:rPr>
        <w:t>Initial Guarantor</w:t>
      </w:r>
      <w:r>
        <w:rPr>
          <w:rFonts w:ascii="Arial" w:cs="Arial" w:eastAsia="Arial" w:hAnsi="Arial"/>
          <w:sz w:val="19"/>
          <w:szCs w:val="19"/>
          <w:color w:val="auto"/>
        </w:rPr>
        <w:t>”) and those additional Subsidiaries of the Parent that become parties to this Guaranty by executing a supplement hereto (a “</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Supplement</w:t>
      </w:r>
      <w:r>
        <w:rPr>
          <w:rFonts w:ascii="Arial" w:cs="Arial" w:eastAsia="Arial" w:hAnsi="Arial"/>
          <w:sz w:val="19"/>
          <w:szCs w:val="19"/>
          <w:color w:val="auto"/>
        </w:rPr>
        <w:t xml:space="preserve">”) in the form attached hereto as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(such additional Subsidiaries, together with the Initial Guarantors, the “</w:t>
      </w:r>
      <w:r>
        <w:rPr>
          <w:rFonts w:ascii="Arial" w:cs="Arial" w:eastAsia="Arial" w:hAnsi="Arial"/>
          <w:sz w:val="19"/>
          <w:szCs w:val="19"/>
          <w:u w:val="single" w:color="auto"/>
          <w:color w:val="auto"/>
        </w:rPr>
        <w:t>Guarantors</w:t>
      </w:r>
      <w:r>
        <w:rPr>
          <w:rFonts w:ascii="Arial" w:cs="Arial" w:eastAsia="Arial" w:hAnsi="Arial"/>
          <w:sz w:val="19"/>
          <w:szCs w:val="19"/>
          <w:color w:val="auto"/>
        </w:rPr>
        <w:t>”), in favor of JPMorgan Chase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benefit of itself and the other holders of the Guaranteed Obligations (as defined in the Credit Agreement described below) (all such holders, the “</w:t>
      </w:r>
      <w:r>
        <w:rPr>
          <w:rFonts w:ascii="Arial" w:cs="Arial" w:eastAsia="Arial" w:hAnsi="Arial"/>
          <w:sz w:val="19"/>
          <w:szCs w:val="19"/>
          <w:u w:val="single" w:color="auto"/>
          <w:color w:val="auto"/>
        </w:rPr>
        <w:t>Guaranteed Parties</w:t>
      </w:r>
      <w:r>
        <w:rPr>
          <w:rFonts w:ascii="Arial" w:cs="Arial" w:eastAsia="Arial" w:hAnsi="Arial"/>
          <w:sz w:val="19"/>
          <w:szCs w:val="19"/>
          <w:color w:val="auto"/>
        </w:rPr>
        <w:t>”). Unless otherwise defined herein, capitalized terms used herein and not defined herein shall have the respective meanings ascribed to such terms in the Credit Agreement (as defined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Weatherford International Ltd., a Bermuda exempted company (“</w:t>
      </w:r>
      <w:r>
        <w:rPr>
          <w:rFonts w:ascii="Arial" w:cs="Arial" w:eastAsia="Arial" w:hAnsi="Arial"/>
          <w:sz w:val="20"/>
          <w:szCs w:val="20"/>
          <w:u w:val="single" w:color="auto"/>
          <w:color w:val="auto"/>
        </w:rPr>
        <w:t>WIL-Bermuda</w:t>
      </w:r>
      <w:r>
        <w:rPr>
          <w:rFonts w:ascii="Arial" w:cs="Arial" w:eastAsia="Arial" w:hAnsi="Arial"/>
          <w:sz w:val="20"/>
          <w:szCs w:val="20"/>
          <w:color w:val="auto"/>
        </w:rPr>
        <w:t>”), certain other Borrowers named therein, the Parent, the Lenders named therein, the Issuing Banks named therein, the Swingline Lenders named therein and the Administrative Agent entered into that certain Credit Agreement dated as of October 15, 2010 (as amended, restated, supplemented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WHEREAS, in connection with the Existing Credit Agreement (a) each of (i) Parent, as successor by merger of Weatherford International Ltd., a Swiss joint stock corporation, into Parent with Parent surviving and (ii) Weatherford International, LLC, a Delaware limited liability company (“</w:t>
      </w:r>
      <w:r>
        <w:rPr>
          <w:rFonts w:ascii="Arial" w:cs="Arial" w:eastAsia="Arial" w:hAnsi="Arial"/>
          <w:sz w:val="18"/>
          <w:szCs w:val="18"/>
          <w:u w:val="single" w:color="auto"/>
          <w:color w:val="auto"/>
        </w:rPr>
        <w:t>WIL-Delaware</w:t>
      </w:r>
      <w:r>
        <w:rPr>
          <w:rFonts w:ascii="Arial" w:cs="Arial" w:eastAsia="Arial" w:hAnsi="Arial"/>
          <w:sz w:val="18"/>
          <w:szCs w:val="18"/>
          <w:color w:val="auto"/>
        </w:rPr>
        <w:t>”) and successor by conversion of Weatherford International, Inc., a Delaware corporation, into WIL-Delaware with WIL-Delaware surviving, entered into that certain Guaranty Agreement dated as of October 15, 2010, in favor of JPMorgan Chase Bank, N.A., as Administrative Agent, for the benefit of the “Guaranteed Parties” (as defined therein), to guaranty the repayment of the “Guaranteed Obligations” (as defined therein), and (b) the Parent (together with WIL-Delaware, the “</w:t>
      </w:r>
      <w:r>
        <w:rPr>
          <w:rFonts w:ascii="Arial" w:cs="Arial" w:eastAsia="Arial" w:hAnsi="Arial"/>
          <w:sz w:val="18"/>
          <w:szCs w:val="18"/>
          <w:u w:val="single" w:color="auto"/>
          <w:color w:val="auto"/>
        </w:rPr>
        <w:t>Existing Guarantors</w:t>
      </w:r>
      <w:r>
        <w:rPr>
          <w:rFonts w:ascii="Arial" w:cs="Arial" w:eastAsia="Arial" w:hAnsi="Arial"/>
          <w:sz w:val="18"/>
          <w:szCs w:val="18"/>
          <w:color w:val="auto"/>
        </w:rPr>
        <w:t>”) entered into that certain Guaranty Agreement dated as of June 17, 2014, in favor of JPMorgan Chase Bank, N.A., as Administrative Agent, for the benefit of the “Guaranteed Parties” (as defined therein), to guaranty the repayment of the “Guaranteed Obligations” (as defined therein) (each such Guaranty Agreement referred to as an “Existing Guaranty” and, collectively, the “</w:t>
      </w:r>
      <w:r>
        <w:rPr>
          <w:rFonts w:ascii="Arial" w:cs="Arial" w:eastAsia="Arial" w:hAnsi="Arial"/>
          <w:sz w:val="18"/>
          <w:szCs w:val="18"/>
          <w:u w:val="single" w:color="auto"/>
          <w:color w:val="auto"/>
        </w:rPr>
        <w:t>Existing Guarantees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WHEREAS, certain parties to the Existing Credit Agreement have agreed to enter into that certain Amended and Restated Credit Agreement of even date herewith (as the same may be amended, restated, supplemented or otherwise modified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among the Parent, WIL-Bermuda, certain other Subsidiaries of the Parent from time to time party thereto as Borrowers (together with WIL-Bermuda,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financial institutions from time to time party thereto as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the Issuing Banks and Swingline Lenders from time to time party thereto and the Administrative Agent which, among other things, re-evidences a portion of the outstanding obligations under the Existing Credit Agreement and provides, subject to the terms and conditions thereof, for additional extensions of credit and other financial accommodations to be made by the Lenders and Issuing Banks to or for the benefit of the Borrowers;</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each Existing Guarantor wishes to reaffirm its obligations under the terms of its Existing Guaranty and wishes to amend and restate the terms of such Existing Guaranty as this Guaranty;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115" w:right="239" w:bottom="1440" w:gutter="0" w:footer="0" w:header="0"/>
        </w:sectPr>
      </w:pPr>
    </w:p>
    <w:bookmarkStart w:id="356" w:name="page357"/>
    <w:bookmarkEnd w:id="356"/>
    <w:p>
      <w:pPr>
        <w:jc w:val="both"/>
        <w:ind w:right="20" w:firstLine="648"/>
        <w:spacing w:after="0" w:line="291" w:lineRule="auto"/>
        <w:rPr>
          <w:sz w:val="20"/>
          <w:szCs w:val="20"/>
          <w:color w:val="auto"/>
        </w:rPr>
      </w:pPr>
      <w:r>
        <w:rPr>
          <w:rFonts w:ascii="Arial" w:cs="Arial" w:eastAsia="Arial" w:hAnsi="Arial"/>
          <w:sz w:val="18"/>
          <w:szCs w:val="18"/>
          <w:color w:val="auto"/>
        </w:rPr>
        <w:t>WHEREAS, it is a condition precedent to the extensions of credit by the Lenders under the Credit Agreement on the terms therein that each of the Guarantors (including the Existing Guarantors) execute and deliver this Guaranty, whereby each of the Guarantors, without limitation and with full recourse, shall guarantee the payment and performance when due of all Guaranteed Obligations;</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without limitation or prejudice to any and all rights and remedies available to any Guaranteed Party against any Guarantor hereunder (or under any other Loan Document) on a joint and several liability basis, as fully set forth in the Loan Documents, the Guaranteed Parties acknowledge that the guarantee of the Guaranteed Obligations by the Parent, the publicly-traded parent company and direct and indirect owner of all the WIL-Ireland Group’s assets and operations, provides the greatest economic protection to the Guaranteed Parties in the case of an Event of Default; and</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WHEREAS, in consideration of the direct and indirect financial and other support and benefits that the Borrowers have provided, and such direct and indirect financial and other support and benefits as the Borrowers may in the future provide, to the Guarantors, and in consideration for the increased ability of each Guarantor, as an Affiliate of the Borrowers, to benefit from borrowings made by the Borrowers pursuant to the Credit Agreement and the flexibility provided by the Credit Agreement for each Guarantor to do so, and in order to induce the Lenders, the Issuing Banks, the Swingline Lenders and the Administrative Agent to enter into the Credit Agreement, and to make the Loans and the other financial accommodations to the Borrowers and to issue the Letters of Credit on the terms described in the Credit Agreement, each of the Guarantors is willing to guarantee the Guaranteed Obligations;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parties hereto agree as follows: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Representations, Warranties and Covenants</w:t>
      </w:r>
      <w:r>
        <w:rPr>
          <w:rFonts w:ascii="Arial" w:cs="Arial" w:eastAsia="Arial" w:hAnsi="Arial"/>
          <w:sz w:val="20"/>
          <w:szCs w:val="20"/>
          <w:color w:val="auto"/>
        </w:rPr>
        <w:t>. Each of the Guarantors represents and warrants to each Lender (including any Swingline Lender), each Issuing Bank and the Administrative Agent as of the date of this Guaranty, giving effect to the consummation of the transactions contemplated by the Loan Documents on the Effective Date, and thereafter on each date as required by Section 5.02 of the Credit Agreement that:</w:t>
      </w:r>
    </w:p>
    <w:p>
      <w:pPr>
        <w:spacing w:after="0" w:line="219" w:lineRule="exact"/>
        <w:rPr>
          <w:sz w:val="20"/>
          <w:szCs w:val="20"/>
          <w:color w:val="auto"/>
        </w:rPr>
      </w:pPr>
    </w:p>
    <w:p>
      <w:pPr>
        <w:jc w:val="both"/>
        <w:ind w:firstLine="656"/>
        <w:spacing w:after="0" w:line="307" w:lineRule="auto"/>
        <w:tabs>
          <w:tab w:leader="none" w:pos="151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Such Guarantor (i) is a company, corporation, partnership, unlimited liability company or entity having limited liability that is duly organized (or in the case of any English, Australian, British Virgin Islands or Bermuda Guarantor, duly incorporated) or formed, validly existing and, to the extent applicable, in good standing under the laws of the jurisdiction of its incorporation or formation, (ii) has the corporate, partnership or other power and authority to own its property and to carry on its business as now conducted and (iii) is duly qualified as a foreign corporation or other foreign entity to do business and is in good standing in every jurisdiction in which the failure to be so qualified would, together with all such other failures of the Guarantors to be so qualified or in good standing, have a Material Adverse Effect.</w:t>
      </w:r>
    </w:p>
    <w:p>
      <w:pPr>
        <w:spacing w:after="0" w:line="180" w:lineRule="exact"/>
        <w:rPr>
          <w:rFonts w:ascii="Arial" w:cs="Arial" w:eastAsia="Arial" w:hAnsi="Arial"/>
          <w:sz w:val="18"/>
          <w:szCs w:val="18"/>
          <w:color w:val="auto"/>
        </w:rPr>
      </w:pPr>
    </w:p>
    <w:p>
      <w:pPr>
        <w:jc w:val="both"/>
        <w:ind w:firstLine="656"/>
        <w:spacing w:after="0" w:line="349" w:lineRule="auto"/>
        <w:tabs>
          <w:tab w:leader="none" w:pos="152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Such Guarantor has the corporate or other power and authority to execute, deliver and perform its obligations hereunder and under the other Loan Documents to which it is a party and to consummate the Transactions, and all such action has been duly authorized by all necessary corporate, partnership or other proceedings on its part or on its behalf. Each Loan Document to which it is a party has been duly and validly executed and delivered by or on behalf of such Guarantor and constitutes valid and legally binding agreements of such Guarantor enforceable against such Guarantor in accordance with the terms hereof, and the Loan Documents to which such Guarantor is a party, when duly executed and delivered by or on behalf of such Guarantor, shall constitute valid and legally binding obligations of such Guarantor enforceable in accordance with the respective terms thereof and of this Guaranty, except, in each case (a) as may be limited by bankruptcy,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1027" w:right="239" w:bottom="1440" w:gutter="0" w:footer="0" w:header="0"/>
        </w:sectPr>
      </w:pPr>
    </w:p>
    <w:bookmarkStart w:id="357" w:name="page358"/>
    <w:bookmarkEnd w:id="357"/>
    <w:p>
      <w:pPr>
        <w:jc w:val="both"/>
        <w:spacing w:after="0" w:line="246" w:lineRule="auto"/>
        <w:rPr>
          <w:sz w:val="20"/>
          <w:szCs w:val="20"/>
          <w:color w:val="auto"/>
        </w:rPr>
      </w:pPr>
      <w:r>
        <w:rPr>
          <w:rFonts w:ascii="Arial" w:cs="Arial" w:eastAsia="Arial" w:hAnsi="Arial"/>
          <w:sz w:val="20"/>
          <w:szCs w:val="20"/>
          <w:color w:val="auto"/>
        </w:rPr>
        <w:t>insolvency, examinership, administration,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5" w:lineRule="exact"/>
        <w:rPr>
          <w:sz w:val="20"/>
          <w:szCs w:val="20"/>
          <w:color w:val="auto"/>
        </w:rPr>
      </w:pPr>
    </w:p>
    <w:p>
      <w:pPr>
        <w:jc w:val="both"/>
        <w:ind w:firstLine="656"/>
        <w:spacing w:after="0" w:line="260" w:lineRule="auto"/>
        <w:tabs>
          <w:tab w:leader="none" w:pos="1201" w:val="left"/>
        </w:tabs>
        <w:numPr>
          <w:ilvl w:val="0"/>
          <w:numId w:val="381"/>
        </w:numPr>
        <w:rPr>
          <w:rFonts w:ascii="Arial" w:cs="Arial" w:eastAsia="Arial" w:hAnsi="Arial"/>
          <w:sz w:val="19"/>
          <w:szCs w:val="19"/>
          <w:color w:val="auto"/>
        </w:rPr>
      </w:pPr>
      <w:r>
        <w:rPr>
          <w:rFonts w:ascii="Arial" w:cs="Arial" w:eastAsia="Arial" w:hAnsi="Arial"/>
          <w:sz w:val="19"/>
          <w:szCs w:val="19"/>
          <w:color w:val="auto"/>
        </w:rPr>
        <w:t>No authorization, consent, approval, license or exemption of, or filing or registration with, any Governmental Authority is necessary to have been made or obtained by such Guarantor for the valid execution, delivery and performance by such Guarantor of this Guaranty or any other Loan Document to which it is a party or the consummation of the Transactions, except those that have been obtained and are in full force and effect and such matters relating to performance as would ordinarily be done in the ordinary course of business after the Effective Date or any other date on which such Guarantor becomes a party hereto, as applicable.</w:t>
      </w:r>
    </w:p>
    <w:p>
      <w:pPr>
        <w:spacing w:after="0" w:line="194" w:lineRule="exact"/>
        <w:rPr>
          <w:rFonts w:ascii="Arial" w:cs="Arial" w:eastAsia="Arial" w:hAnsi="Arial"/>
          <w:sz w:val="19"/>
          <w:szCs w:val="19"/>
          <w:color w:val="auto"/>
        </w:rPr>
      </w:pPr>
    </w:p>
    <w:p>
      <w:pPr>
        <w:jc w:val="both"/>
        <w:ind w:firstLine="656"/>
        <w:spacing w:after="0" w:line="256" w:lineRule="auto"/>
        <w:tabs>
          <w:tab w:leader="none" w:pos="1088" w:val="left"/>
        </w:tabs>
        <w:numPr>
          <w:ilvl w:val="0"/>
          <w:numId w:val="381"/>
        </w:numPr>
        <w:rPr>
          <w:rFonts w:ascii="Arial" w:cs="Arial" w:eastAsia="Arial" w:hAnsi="Arial"/>
          <w:sz w:val="19"/>
          <w:szCs w:val="19"/>
          <w:color w:val="auto"/>
        </w:rPr>
      </w:pPr>
      <w:r>
        <w:rPr>
          <w:rFonts w:ascii="Arial" w:cs="Arial" w:eastAsia="Arial" w:hAnsi="Arial"/>
          <w:sz w:val="19"/>
          <w:szCs w:val="19"/>
          <w:color w:val="auto"/>
        </w:rPr>
        <w:t>Neither the execution, delivery and performance by such Guarantor of this Guaranty or the other Loan Documents to which it is a party, nor compliance with the terms and provisions thereof, nor the extensions of credit contemplated by the Loan Documents, nor the consummation of the Transactions (i) will breach or violate any applicable Requirement of Law, (ii) will result in any breach or violation of, or constitute a default under, or result in the creation or imposition of (or the obligation to create or impose) any Lien prohibited hereunder upon any of its property or assets pursuant to the terms of, (x) the Existing Senior Notes or any Existing Senior Notes Indenture or (y)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(d)(i) and (d)(ii)(y) that collectively for the Guarantors would not have a Material Adverse Effect, or (v) will violate any provision of the organizational and/or constitutional documents or by-laws of such Guarantor.</w:t>
      </w:r>
    </w:p>
    <w:p>
      <w:pPr>
        <w:spacing w:after="0" w:line="198" w:lineRule="exact"/>
        <w:rPr>
          <w:rFonts w:ascii="Arial" w:cs="Arial" w:eastAsia="Arial" w:hAnsi="Arial"/>
          <w:sz w:val="19"/>
          <w:szCs w:val="19"/>
          <w:color w:val="auto"/>
        </w:rPr>
      </w:pPr>
    </w:p>
    <w:p>
      <w:pPr>
        <w:jc w:val="both"/>
        <w:ind w:firstLine="656"/>
        <w:spacing w:after="0" w:line="246" w:lineRule="auto"/>
        <w:tabs>
          <w:tab w:leader="none" w:pos="1083" w:val="left"/>
        </w:tabs>
        <w:numPr>
          <w:ilvl w:val="0"/>
          <w:numId w:val="381"/>
        </w:numPr>
        <w:rPr>
          <w:rFonts w:ascii="Arial" w:cs="Arial" w:eastAsia="Arial" w:hAnsi="Arial"/>
          <w:sz w:val="20"/>
          <w:szCs w:val="20"/>
          <w:color w:val="auto"/>
        </w:rPr>
      </w:pPr>
      <w:r>
        <w:rPr>
          <w:rFonts w:ascii="Arial" w:cs="Arial" w:eastAsia="Arial" w:hAnsi="Arial"/>
          <w:sz w:val="20"/>
          <w:szCs w:val="20"/>
          <w:color w:val="auto"/>
        </w:rPr>
        <w:t xml:space="preserve">In the case of Weatherford Australia Pty Limited (ACN 008 947 395) only (i) it is a wholly owned subsidiary of the Parent, (ii) it is not party to any other Loan Document as trustee and does not hold any property as trustee, (iii) it is Solvent and it is not presumed to be or taken to be insolvent under applicable law, and (iv) it is not prevented by Chapter 2E or Part 2J or other provision of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of Australia from entering into and performing any of the Loan Documents.</w:t>
      </w:r>
    </w:p>
    <w:p>
      <w:pPr>
        <w:spacing w:after="0" w:line="205" w:lineRule="exact"/>
        <w:rPr>
          <w:rFonts w:ascii="Arial" w:cs="Arial" w:eastAsia="Arial" w:hAnsi="Arial"/>
          <w:sz w:val="20"/>
          <w:szCs w:val="20"/>
          <w:color w:val="auto"/>
        </w:rPr>
      </w:pPr>
    </w:p>
    <w:p>
      <w:pPr>
        <w:ind w:left="1060" w:hanging="404"/>
        <w:spacing w:after="0"/>
        <w:tabs>
          <w:tab w:leader="none" w:pos="106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In the case of any Guarantor incorporated under the laws of Luxembourg (a “</w:t>
      </w:r>
      <w:r>
        <w:rPr>
          <w:rFonts w:ascii="Arial" w:cs="Arial" w:eastAsia="Arial" w:hAnsi="Arial"/>
          <w:sz w:val="20"/>
          <w:szCs w:val="20"/>
          <w:u w:val="single" w:color="auto"/>
          <w:color w:val="auto"/>
        </w:rPr>
        <w:t>Luxembourg Guarantor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firstLine="645"/>
        <w:spacing w:after="0" w:line="269" w:lineRule="auto"/>
        <w:tabs>
          <w:tab w:leader="none" w:pos="1807" w:val="left"/>
        </w:tabs>
        <w:numPr>
          <w:ilvl w:val="1"/>
          <w:numId w:val="381"/>
        </w:numPr>
        <w:rPr>
          <w:rFonts w:ascii="Arial" w:cs="Arial" w:eastAsia="Arial" w:hAnsi="Arial"/>
          <w:sz w:val="19"/>
          <w:szCs w:val="19"/>
          <w:color w:val="auto"/>
        </w:rPr>
      </w:pPr>
      <w:r>
        <w:rPr>
          <w:rFonts w:ascii="Arial" w:cs="Arial" w:eastAsia="Arial" w:hAnsi="Arial"/>
          <w:sz w:val="19"/>
          <w:szCs w:val="19"/>
          <w:color w:val="auto"/>
        </w:rPr>
        <w:t>such Luxembourg Guarantor’s head office (</w:t>
      </w:r>
      <w:r>
        <w:rPr>
          <w:rFonts w:ascii="Arial" w:cs="Arial" w:eastAsia="Arial" w:hAnsi="Arial"/>
          <w:sz w:val="19"/>
          <w:szCs w:val="19"/>
          <w:i w:val="1"/>
          <w:iCs w:val="1"/>
          <w:color w:val="auto"/>
        </w:rPr>
        <w:t>administration centrale</w:t>
      </w:r>
      <w:r>
        <w:rPr>
          <w:rFonts w:ascii="Arial" w:cs="Arial" w:eastAsia="Arial" w:hAnsi="Arial"/>
          <w:sz w:val="19"/>
          <w:szCs w:val="19"/>
          <w:color w:val="auto"/>
        </w:rPr>
        <w:t>), the place of its effective management (</w:t>
      </w:r>
      <w:r>
        <w:rPr>
          <w:rFonts w:ascii="Arial" w:cs="Arial" w:eastAsia="Arial" w:hAnsi="Arial"/>
          <w:sz w:val="19"/>
          <w:szCs w:val="19"/>
          <w:i w:val="1"/>
          <w:iCs w:val="1"/>
          <w:color w:val="auto"/>
        </w:rPr>
        <w:t>siège de</w:t>
      </w:r>
      <w:r>
        <w:rPr>
          <w:rFonts w:ascii="Arial" w:cs="Arial" w:eastAsia="Arial" w:hAnsi="Arial"/>
          <w:sz w:val="19"/>
          <w:szCs w:val="19"/>
          <w:color w:val="auto"/>
        </w:rPr>
        <w:t xml:space="preserve"> </w:t>
      </w:r>
      <w:r>
        <w:rPr>
          <w:rFonts w:ascii="Arial" w:cs="Arial" w:eastAsia="Arial" w:hAnsi="Arial"/>
          <w:sz w:val="19"/>
          <w:szCs w:val="19"/>
          <w:i w:val="1"/>
          <w:iCs w:val="1"/>
          <w:color w:val="auto"/>
        </w:rPr>
        <w:t>direction effective</w:t>
      </w:r>
      <w:r>
        <w:rPr>
          <w:rFonts w:ascii="Arial" w:cs="Arial" w:eastAsia="Arial" w:hAnsi="Arial"/>
          <w:sz w:val="19"/>
          <w:szCs w:val="19"/>
          <w:color w:val="auto"/>
        </w:rPr>
        <w:t>) and (for the purposes of the European Insolvency Regulation) (as defined below) the centre of its main interests</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centre des intérêts principaux</w:t>
      </w:r>
      <w:r>
        <w:rPr>
          <w:rFonts w:ascii="Arial" w:cs="Arial" w:eastAsia="Arial" w:hAnsi="Arial"/>
          <w:sz w:val="19"/>
          <w:szCs w:val="19"/>
          <w:color w:val="auto"/>
        </w:rPr>
        <w:t>) are located at the place of its registered office (</w:t>
      </w:r>
      <w:r>
        <w:rPr>
          <w:rFonts w:ascii="Arial" w:cs="Arial" w:eastAsia="Arial" w:hAnsi="Arial"/>
          <w:sz w:val="19"/>
          <w:szCs w:val="19"/>
          <w:i w:val="1"/>
          <w:iCs w:val="1"/>
          <w:color w:val="auto"/>
        </w:rPr>
        <w:t>siège statutaire</w:t>
      </w:r>
      <w:r>
        <w:rPr>
          <w:rFonts w:ascii="Arial" w:cs="Arial" w:eastAsia="Arial" w:hAnsi="Arial"/>
          <w:sz w:val="19"/>
          <w:szCs w:val="19"/>
          <w:color w:val="auto"/>
        </w:rPr>
        <w:t>) in Luxembourg;</w:t>
      </w:r>
    </w:p>
    <w:p>
      <w:pPr>
        <w:spacing w:after="0" w:line="183" w:lineRule="exact"/>
        <w:rPr>
          <w:rFonts w:ascii="Arial" w:cs="Arial" w:eastAsia="Arial" w:hAnsi="Arial"/>
          <w:sz w:val="19"/>
          <w:szCs w:val="19"/>
          <w:color w:val="auto"/>
        </w:rPr>
      </w:pPr>
    </w:p>
    <w:p>
      <w:pPr>
        <w:jc w:val="both"/>
        <w:ind w:left="660" w:firstLine="645"/>
        <w:spacing w:after="0" w:line="244" w:lineRule="auto"/>
        <w:tabs>
          <w:tab w:leader="none" w:pos="1782" w:val="left"/>
        </w:tabs>
        <w:numPr>
          <w:ilvl w:val="1"/>
          <w:numId w:val="381"/>
        </w:numPr>
        <w:rPr>
          <w:rFonts w:ascii="Arial" w:cs="Arial" w:eastAsia="Arial" w:hAnsi="Arial"/>
          <w:sz w:val="20"/>
          <w:szCs w:val="20"/>
          <w:color w:val="auto"/>
        </w:rPr>
      </w:pPr>
      <w:r>
        <w:rPr>
          <w:rFonts w:ascii="Arial" w:cs="Arial" w:eastAsia="Arial" w:hAnsi="Arial"/>
          <w:sz w:val="20"/>
          <w:szCs w:val="20"/>
          <w:color w:val="auto"/>
        </w:rPr>
        <w:t>such Luxembourg Guarantor is not subject to insolvency proceedings such as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winding-up, liquidation, moratorium,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suspension of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voluntary arrangement with creditors (</w:t>
      </w:r>
      <w:r>
        <w:rPr>
          <w:rFonts w:ascii="Arial" w:cs="Arial" w:eastAsia="Arial" w:hAnsi="Arial"/>
          <w:sz w:val="20"/>
          <w:szCs w:val="20"/>
          <w:i w:val="1"/>
          <w:iCs w:val="1"/>
          <w:color w:val="auto"/>
        </w:rPr>
        <w:t>concordat préventif de la faillite</w:t>
      </w:r>
      <w:r>
        <w:rPr>
          <w:rFonts w:ascii="Arial" w:cs="Arial" w:eastAsia="Arial" w:hAnsi="Arial"/>
          <w:sz w:val="20"/>
          <w:szCs w:val="20"/>
          <w:color w:val="auto"/>
        </w:rPr>
        <w:t>), fraudulent conveyance, general settlement with creditors, reorganization or similar order or proceedings affecting the rights of creditors generally and any proceedings in jurisdictions other than Luxembourg having similar effects;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58" w:name="page359"/>
    <w:bookmarkEnd w:id="358"/>
    <w:p>
      <w:pPr>
        <w:ind w:left="660" w:firstLine="645"/>
        <w:spacing w:after="0" w:line="260" w:lineRule="auto"/>
        <w:tabs>
          <w:tab w:leader="none" w:pos="1803" w:val="left"/>
        </w:tabs>
        <w:numPr>
          <w:ilvl w:val="1"/>
          <w:numId w:val="382"/>
        </w:numPr>
        <w:rPr>
          <w:rFonts w:ascii="Arial" w:cs="Arial" w:eastAsia="Arial" w:hAnsi="Arial"/>
          <w:sz w:val="20"/>
          <w:szCs w:val="20"/>
          <w:color w:val="auto"/>
        </w:rPr>
      </w:pPr>
      <w:r>
        <w:rPr>
          <w:rFonts w:ascii="Arial" w:cs="Arial" w:eastAsia="Arial" w:hAnsi="Arial"/>
          <w:sz w:val="20"/>
          <w:szCs w:val="20"/>
          <w:color w:val="auto"/>
        </w:rPr>
        <w:t>all legal requirements of the Luxembourg law of 31 May 1999 on domiciliation of the companies, as amended, have been complied with by such Luxembourg Guarantor.</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383"/>
        </w:numPr>
        <w:rPr>
          <w:rFonts w:ascii="Arial" w:cs="Arial" w:eastAsia="Arial" w:hAnsi="Arial"/>
          <w:sz w:val="20"/>
          <w:szCs w:val="20"/>
          <w:color w:val="auto"/>
        </w:rPr>
      </w:pPr>
      <w:r>
        <w:rPr>
          <w:rFonts w:ascii="Arial" w:cs="Arial" w:eastAsia="Arial" w:hAnsi="Arial"/>
          <w:sz w:val="20"/>
          <w:szCs w:val="20"/>
          <w:color w:val="auto"/>
        </w:rPr>
        <w:t>In the case of Precision Drilling Services Netherlands B.V. (the “</w:t>
      </w:r>
      <w:r>
        <w:rPr>
          <w:rFonts w:ascii="Arial" w:cs="Arial" w:eastAsia="Arial" w:hAnsi="Arial"/>
          <w:sz w:val="20"/>
          <w:szCs w:val="20"/>
          <w:u w:val="single" w:color="auto"/>
          <w:color w:val="auto"/>
        </w:rPr>
        <w:t>Specified Dutch Guarantor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60" w:lineRule="auto"/>
        <w:tabs>
          <w:tab w:leader="none" w:pos="1704" w:val="left"/>
        </w:tabs>
        <w:numPr>
          <w:ilvl w:val="1"/>
          <w:numId w:val="383"/>
        </w:numPr>
        <w:rPr>
          <w:rFonts w:ascii="Arial" w:cs="Arial" w:eastAsia="Arial" w:hAnsi="Arial"/>
          <w:sz w:val="20"/>
          <w:szCs w:val="20"/>
          <w:color w:val="auto"/>
        </w:rPr>
      </w:pPr>
      <w:r>
        <w:rPr>
          <w:rFonts w:ascii="Arial" w:cs="Arial" w:eastAsia="Arial" w:hAnsi="Arial"/>
          <w:sz w:val="20"/>
          <w:szCs w:val="20"/>
          <w:color w:val="auto"/>
        </w:rPr>
        <w:t>the “centre of main interests” (as such term is used in article 3(1) of the European Insolvency Regulation) of the Specified Dutch Guarantor is situated in the Netherlands;</w:t>
      </w:r>
    </w:p>
    <w:p>
      <w:pPr>
        <w:spacing w:after="0" w:line="190" w:lineRule="exact"/>
        <w:rPr>
          <w:sz w:val="20"/>
          <w:szCs w:val="20"/>
          <w:color w:val="auto"/>
        </w:rPr>
      </w:pPr>
    </w:p>
    <w:p>
      <w:pPr>
        <w:ind w:left="660" w:firstLine="645"/>
        <w:spacing w:after="0" w:line="260" w:lineRule="auto"/>
        <w:tabs>
          <w:tab w:leader="none" w:pos="1821" w:val="left"/>
        </w:tabs>
        <w:numPr>
          <w:ilvl w:val="0"/>
          <w:numId w:val="384"/>
        </w:numPr>
        <w:rPr>
          <w:rFonts w:ascii="Arial" w:cs="Arial" w:eastAsia="Arial" w:hAnsi="Arial"/>
          <w:sz w:val="20"/>
          <w:szCs w:val="20"/>
          <w:color w:val="auto"/>
        </w:rPr>
      </w:pPr>
      <w:r>
        <w:rPr>
          <w:rFonts w:ascii="Arial" w:cs="Arial" w:eastAsia="Arial" w:hAnsi="Arial"/>
          <w:sz w:val="20"/>
          <w:szCs w:val="20"/>
          <w:color w:val="auto"/>
        </w:rPr>
        <w:t>the Specified Dutch Guarantor does not have an “establishment” (as such term is used in article 2(h) of the European Insolvency Regulation) situated outside the Netherlands; and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each case, the Specified Dutch Guarantor shall not, without the prior written consent of the Administrative Agent, take any action that shall cause its “centre of main interests” to be situated outside the Netherlands, or cause it to have an “establishment” situated outside the Netherlands.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the foregoing, each of the Guarantors covenants that, until Payment in Full, it will, and, if necessary and permitted under applicable law, will cause (to the extent it can so cause) the Parent and each Borrower to, fully comply with those covenants and agreements of the Parent and the Borrowers applicable to such Guarantor set forth in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Section 1, the following term shall have the following meaning: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shall mean Council Regulation (EC) No 1346/2000 of 29 May 2000 on insolvency proceedings.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The Guaranty</w:t>
      </w:r>
      <w:r>
        <w:rPr>
          <w:rFonts w:ascii="Arial" w:cs="Arial" w:eastAsia="Arial" w:hAnsi="Arial"/>
          <w:sz w:val="18"/>
          <w:szCs w:val="18"/>
          <w:color w:val="auto"/>
        </w:rPr>
        <w:t>. Each of the Guarantors hereby irrevocably and unconditionally guarantees, jointly and severally with the other Guarantors, the full and punctual payment and performance when due (whether at stated maturity, upon acceleration or otherwise) of the Guaranteed Obligations (under and as defined in the Credit Agreement), which include, without limitation, (i) the principal of and interest on each Loan made to any Borrower pursuant to the Credit Agreement, (ii) obligations owing under or in connection with Letters of Credit, (iii) all other amounts payable by the Borrowers under the Credit Agreement and the other Loan Documents, and (iv) all Swap Obligations and Banking Services Obligations owing to one or more Lenders or their respective Affiliates; provided, however, that the definition of “Guaranteed Obligations” for the purpose of this Guaranty shall not create any guarantee by any Guarantor of (or grant of security by any Guarantor to support, if applicable) any Excluded Swap Obligations of such Guarantor. Upon the failure by any Borrower to pay punctually any such amount or perform such obligation, subject to any applicable grace or notice and cure period, each of the Guarantors agrees that it shall forthwith on demand pay such amount or perform such obligation at the place and in the manner specified in the Credit Agreement or the relevant other Loan Document, Swap Agreement evidencing Swap Obligations or any agreement evidencing Banking Services Obligations (a “</w:t>
      </w:r>
      <w:r>
        <w:rPr>
          <w:rFonts w:ascii="Arial" w:cs="Arial" w:eastAsia="Arial" w:hAnsi="Arial"/>
          <w:sz w:val="18"/>
          <w:szCs w:val="18"/>
          <w:u w:val="single" w:color="auto"/>
          <w:color w:val="auto"/>
        </w:rPr>
        <w:t>Banking Services Agreement</w:t>
      </w:r>
      <w:r>
        <w:rPr>
          <w:rFonts w:ascii="Arial" w:cs="Arial" w:eastAsia="Arial" w:hAnsi="Arial"/>
          <w:sz w:val="18"/>
          <w:szCs w:val="18"/>
          <w:color w:val="auto"/>
        </w:rPr>
        <w:t>”) as the case may be. Each of the Guarantors hereby agrees that this Guaranty is an absolute, irrevocable and unconditional guaranty of payment and is not a guaranty of collection.</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Guaranty Unconditional</w:t>
      </w:r>
      <w:r>
        <w:rPr>
          <w:rFonts w:ascii="Arial" w:cs="Arial" w:eastAsia="Arial" w:hAnsi="Arial"/>
          <w:sz w:val="20"/>
          <w:szCs w:val="20"/>
          <w:color w:val="auto"/>
        </w:rPr>
        <w:t xml:space="preserve">. The obligations of each of the Guarantors hereunder shall be unconditional and absolute and, without limiting the generality of the foregoing, shall not be released, discharged (save where such release and discharge is expressly contemplated by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or otherwise affected by: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59" w:name="page360"/>
    <w:bookmarkEnd w:id="359"/>
    <w:p>
      <w:pPr>
        <w:jc w:val="both"/>
        <w:ind w:left="660" w:firstLine="645"/>
        <w:spacing w:after="0" w:line="310" w:lineRule="auto"/>
        <w:tabs>
          <w:tab w:leader="none" w:pos="214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or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or any other guarantor of any of the Guaranteed Obligations;</w:t>
      </w:r>
    </w:p>
    <w:p>
      <w:pPr>
        <w:spacing w:after="0" w:line="175" w:lineRule="exact"/>
        <w:rPr>
          <w:rFonts w:ascii="Arial" w:cs="Arial" w:eastAsia="Arial" w:hAnsi="Arial"/>
          <w:sz w:val="18"/>
          <w:szCs w:val="18"/>
          <w:color w:val="auto"/>
        </w:rPr>
      </w:pPr>
    </w:p>
    <w:p>
      <w:pPr>
        <w:jc w:val="both"/>
        <w:ind w:left="660" w:firstLine="645"/>
        <w:spacing w:after="0" w:line="322" w:lineRule="auto"/>
        <w:tabs>
          <w:tab w:leader="none" w:pos="219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Credit Agreement, any Swap Agreement evidencing Swap Obligations, Banking Services Agreement or any other Loan Document, including, without limitation, any such amendment which may increase the amount of, or the interest rates applicable to, any of the Guaranteed Obligations guaranteed hereby;</w:t>
      </w:r>
    </w:p>
    <w:p>
      <w:pPr>
        <w:spacing w:after="0" w:line="166" w:lineRule="exact"/>
        <w:rPr>
          <w:rFonts w:ascii="Arial" w:cs="Arial" w:eastAsia="Arial" w:hAnsi="Arial"/>
          <w:sz w:val="18"/>
          <w:szCs w:val="18"/>
          <w:color w:val="auto"/>
        </w:rPr>
      </w:pPr>
    </w:p>
    <w:p>
      <w:pPr>
        <w:jc w:val="both"/>
        <w:ind w:left="660" w:firstLine="645"/>
        <w:spacing w:after="0" w:line="314" w:lineRule="auto"/>
        <w:tabs>
          <w:tab w:leader="none" w:pos="225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72" w:lineRule="exact"/>
        <w:rPr>
          <w:rFonts w:ascii="Arial" w:cs="Arial" w:eastAsia="Arial" w:hAnsi="Arial"/>
          <w:sz w:val="18"/>
          <w:szCs w:val="18"/>
          <w:color w:val="auto"/>
        </w:rPr>
      </w:pPr>
    </w:p>
    <w:p>
      <w:pPr>
        <w:jc w:val="both"/>
        <w:ind w:left="660" w:firstLine="645"/>
        <w:spacing w:after="0" w:line="290" w:lineRule="auto"/>
        <w:tabs>
          <w:tab w:leader="none" w:pos="2242" w:val="left"/>
        </w:tabs>
        <w:numPr>
          <w:ilvl w:val="0"/>
          <w:numId w:val="385"/>
        </w:numPr>
        <w:rPr>
          <w:rFonts w:ascii="Arial" w:cs="Arial" w:eastAsia="Arial" w:hAnsi="Arial"/>
          <w:sz w:val="19"/>
          <w:szCs w:val="19"/>
          <w:color w:val="auto"/>
        </w:rPr>
      </w:pPr>
      <w:r>
        <w:rPr>
          <w:rFonts w:ascii="Arial" w:cs="Arial" w:eastAsia="Arial" w:hAnsi="Arial"/>
          <w:sz w:val="19"/>
          <w:szCs w:val="19"/>
          <w:color w:val="auto"/>
        </w:rPr>
        <w:t>any change in the corporate, partnership, limited liability company or other existence, structure or ownership of any Borrower or any other Guarantor or any other guarantor of any of the Guaranteed Obligations, or any insolvency, bankruptcy, receivership, examinership, administration, liquidation, reorganization or other similar proceeding in any jurisdiction affecting any Borrower or any other guarantor of the Guaranteed Obligations, or any of their respective assets or any resulting release or discharge of any obligation of any Borrower or any other guarantor of any of the Guaranteed Obligations;</w:t>
      </w:r>
    </w:p>
    <w:p>
      <w:pPr>
        <w:spacing w:after="0" w:line="192" w:lineRule="exact"/>
        <w:rPr>
          <w:rFonts w:ascii="Arial" w:cs="Arial" w:eastAsia="Arial" w:hAnsi="Arial"/>
          <w:sz w:val="19"/>
          <w:szCs w:val="19"/>
          <w:color w:val="auto"/>
        </w:rPr>
      </w:pPr>
    </w:p>
    <w:p>
      <w:pPr>
        <w:jc w:val="both"/>
        <w:ind w:left="660" w:firstLine="645"/>
        <w:spacing w:after="0" w:line="293" w:lineRule="auto"/>
        <w:tabs>
          <w:tab w:leader="none" w:pos="2187"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such Guarantor may have at any time against any Borrower, any other Guarantor or any other guarantor of any of the Guaranteed Obligations, the Administrative Agent, any Guaranteed Party or any other Person, whether in connection herewith or in connection with any unrelated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assertion of any such claim by separate suit or compulsory counterclaim;</w:t>
      </w:r>
    </w:p>
    <w:p>
      <w:pPr>
        <w:spacing w:after="0" w:line="189" w:lineRule="exact"/>
        <w:rPr>
          <w:rFonts w:ascii="Arial" w:cs="Arial" w:eastAsia="Arial" w:hAnsi="Arial"/>
          <w:sz w:val="19"/>
          <w:szCs w:val="19"/>
          <w:color w:val="auto"/>
        </w:rPr>
      </w:pPr>
    </w:p>
    <w:p>
      <w:pPr>
        <w:jc w:val="both"/>
        <w:ind w:left="660" w:firstLine="645"/>
        <w:spacing w:after="0" w:line="305" w:lineRule="auto"/>
        <w:tabs>
          <w:tab w:leader="none" w:pos="224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Borrower, any other Guarantor or any other guarantor of any of the Guaranteed Obligations, for any reason related to the Credit Agreement, any Swap Agreement evidencing Swap Obligations, any Banking Services Agreement or any other Loan Document, or any provision of applicable law, decree, order or regulation purporting to prohibit the payment by any Borrower, any other Guarantor or any other guarantor of the Guaranteed Obligations, of any of the Guaranteed Obligations or otherwise affecting any term of any of the Guaranteed Obligations;</w:t>
      </w:r>
    </w:p>
    <w:p>
      <w:pPr>
        <w:spacing w:after="0" w:line="184" w:lineRule="exact"/>
        <w:rPr>
          <w:rFonts w:ascii="Arial" w:cs="Arial" w:eastAsia="Arial" w:hAnsi="Arial"/>
          <w:sz w:val="18"/>
          <w:szCs w:val="18"/>
          <w:color w:val="auto"/>
        </w:rPr>
      </w:pPr>
    </w:p>
    <w:p>
      <w:pPr>
        <w:jc w:val="both"/>
        <w:ind w:left="660" w:firstLine="645"/>
        <w:spacing w:after="0" w:line="278" w:lineRule="auto"/>
        <w:tabs>
          <w:tab w:leader="none" w:pos="2297" w:val="left"/>
        </w:tabs>
        <w:numPr>
          <w:ilvl w:val="0"/>
          <w:numId w:val="385"/>
        </w:numPr>
        <w:rPr>
          <w:rFonts w:ascii="Arial" w:cs="Arial" w:eastAsia="Arial" w:hAnsi="Arial"/>
          <w:sz w:val="20"/>
          <w:szCs w:val="20"/>
          <w:color w:val="auto"/>
        </w:rPr>
      </w:pPr>
      <w:r>
        <w:rPr>
          <w:rFonts w:ascii="Arial" w:cs="Arial" w:eastAsia="Arial" w:hAnsi="Arial"/>
          <w:sz w:val="20"/>
          <w:szCs w:val="20"/>
          <w:color w:val="auto"/>
        </w:rPr>
        <w:t>the enforceability or validity of this Guaranty or any part thereof with respect to any other Guarantor, or any provision of applicable law, decree, order or regulation purporting to prohibit the payment by any other Guarantor or any other guarantor of the Guaranteed Obligations, or any of the Guaranteed Obligations;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1082" w:right="239" w:bottom="1440" w:gutter="0" w:footer="0" w:header="0"/>
        </w:sectPr>
      </w:pPr>
    </w:p>
    <w:bookmarkStart w:id="360" w:name="page361"/>
    <w:bookmarkEnd w:id="360"/>
    <w:p>
      <w:pPr>
        <w:ind w:left="660" w:right="20" w:firstLine="645"/>
        <w:spacing w:after="0" w:line="260" w:lineRule="auto"/>
        <w:tabs>
          <w:tab w:leader="none" w:pos="1927" w:val="left"/>
        </w:tabs>
        <w:numPr>
          <w:ilvl w:val="0"/>
          <w:numId w:val="386"/>
        </w:numPr>
        <w:rPr>
          <w:rFonts w:ascii="Arial" w:cs="Arial" w:eastAsia="Arial" w:hAnsi="Arial"/>
          <w:sz w:val="20"/>
          <w:szCs w:val="20"/>
          <w:color w:val="auto"/>
        </w:rPr>
      </w:pPr>
      <w:r>
        <w:rPr>
          <w:rFonts w:ascii="Arial" w:cs="Arial" w:eastAsia="Arial" w:hAnsi="Arial"/>
          <w:sz w:val="20"/>
          <w:szCs w:val="20"/>
          <w:color w:val="auto"/>
        </w:rPr>
        <w:t>the failure of the Administrative Agent to take any steps to perfect and maintain any security interest in, or to preserve any rights to, any security or collateral for the Guaranteed Obligations, if any;</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799" w:val="left"/>
        </w:tabs>
        <w:numPr>
          <w:ilvl w:val="0"/>
          <w:numId w:val="386"/>
        </w:numPr>
        <w:rPr>
          <w:rFonts w:ascii="Arial" w:cs="Arial" w:eastAsia="Arial" w:hAnsi="Arial"/>
          <w:sz w:val="20"/>
          <w:szCs w:val="20"/>
          <w:color w:val="auto"/>
        </w:rPr>
      </w:pPr>
      <w:r>
        <w:rPr>
          <w:rFonts w:ascii="Arial" w:cs="Arial" w:eastAsia="Arial" w:hAnsi="Arial"/>
          <w:sz w:val="20"/>
          <w:szCs w:val="20"/>
          <w:color w:val="auto"/>
        </w:rPr>
        <w:t>the election by, or on behalf of, any one or more of the Guaranteed Parties, in any proceeding instituted under Chapter 11 of Title 11 of the United States Code (11 U.S.C. 101 et seq.) (or any successor statute, the “</w:t>
      </w:r>
      <w:r>
        <w:rPr>
          <w:rFonts w:ascii="Arial" w:cs="Arial" w:eastAsia="Arial" w:hAnsi="Arial"/>
          <w:sz w:val="20"/>
          <w:szCs w:val="20"/>
          <w:u w:val="single" w:color="auto"/>
          <w:color w:val="auto"/>
        </w:rPr>
        <w:t>Bankruptcy Code</w:t>
      </w:r>
      <w:r>
        <w:rPr>
          <w:rFonts w:ascii="Arial" w:cs="Arial" w:eastAsia="Arial" w:hAnsi="Arial"/>
          <w:sz w:val="20"/>
          <w:szCs w:val="20"/>
          <w:color w:val="auto"/>
        </w:rPr>
        <w:t>”), of the application of Section 1111(b)(2) of the Bankruptcy Code or any other applicable federal, state, provincial, municipal, local or foreign law relating to such matters;</w:t>
      </w:r>
    </w:p>
    <w:p>
      <w:pPr>
        <w:spacing w:after="0" w:line="205" w:lineRule="exact"/>
        <w:rPr>
          <w:rFonts w:ascii="Arial" w:cs="Arial" w:eastAsia="Arial" w:hAnsi="Arial"/>
          <w:sz w:val="20"/>
          <w:szCs w:val="20"/>
          <w:color w:val="auto"/>
        </w:rPr>
      </w:pPr>
    </w:p>
    <w:p>
      <w:pPr>
        <w:ind w:left="660" w:right="20" w:firstLine="645"/>
        <w:spacing w:after="0" w:line="287" w:lineRule="auto"/>
        <w:tabs>
          <w:tab w:leader="none" w:pos="1891" w:val="left"/>
        </w:tabs>
        <w:numPr>
          <w:ilvl w:val="0"/>
          <w:numId w:val="386"/>
        </w:numPr>
        <w:rPr>
          <w:rFonts w:ascii="Arial" w:cs="Arial" w:eastAsia="Arial" w:hAnsi="Arial"/>
          <w:sz w:val="19"/>
          <w:szCs w:val="19"/>
          <w:color w:val="auto"/>
        </w:rPr>
      </w:pPr>
      <w:r>
        <w:rPr>
          <w:rFonts w:ascii="Arial" w:cs="Arial" w:eastAsia="Arial" w:hAnsi="Arial"/>
          <w:sz w:val="19"/>
          <w:szCs w:val="19"/>
          <w:color w:val="auto"/>
        </w:rPr>
        <w:t>any borrowing or grant of a security interest by any Borrower, as debtor-in-possession, under Section 364 of the Bankruptcy Code or any other applicable federal, state, provincial, municipal, local or foreign law relating to such matters;</w:t>
      </w:r>
    </w:p>
    <w:p>
      <w:pPr>
        <w:spacing w:after="0" w:line="166" w:lineRule="exact"/>
        <w:rPr>
          <w:rFonts w:ascii="Arial" w:cs="Arial" w:eastAsia="Arial" w:hAnsi="Arial"/>
          <w:sz w:val="19"/>
          <w:szCs w:val="19"/>
          <w:color w:val="auto"/>
        </w:rPr>
      </w:pPr>
    </w:p>
    <w:p>
      <w:pPr>
        <w:jc w:val="both"/>
        <w:ind w:left="660" w:firstLine="645"/>
        <w:spacing w:after="0" w:line="250" w:lineRule="auto"/>
        <w:tabs>
          <w:tab w:leader="none" w:pos="180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the disallowance, under Section 502 of the Bankruptcy Code or any other applicable federal, state, provincial, municipal, local or foreign law relating to such matters, of all or any portion of the claims of the Guaranteed Parties or the Administrative Agent for repayment of all or any part of the Guaranteed Obligations;</w:t>
      </w:r>
    </w:p>
    <w:p>
      <w:pPr>
        <w:spacing w:after="0" w:line="199" w:lineRule="exact"/>
        <w:rPr>
          <w:rFonts w:ascii="Arial" w:cs="Arial" w:eastAsia="Arial" w:hAnsi="Arial"/>
          <w:sz w:val="20"/>
          <w:szCs w:val="20"/>
          <w:color w:val="auto"/>
        </w:rPr>
      </w:pPr>
    </w:p>
    <w:p>
      <w:pPr>
        <w:ind w:left="1860" w:hanging="555"/>
        <w:spacing w:after="0"/>
        <w:tabs>
          <w:tab w:leader="none" w:pos="18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failure of any other Guarantor to sign or become party to this Guaranty or any amendment, change, or reaffirmation</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hereof; or</w:t>
      </w:r>
    </w:p>
    <w:p>
      <w:pPr>
        <w:spacing w:after="0" w:line="213" w:lineRule="exact"/>
        <w:rPr>
          <w:rFonts w:ascii="Arial" w:cs="Arial" w:eastAsia="Arial" w:hAnsi="Arial"/>
          <w:sz w:val="18"/>
          <w:szCs w:val="18"/>
          <w:color w:val="auto"/>
        </w:rPr>
      </w:pPr>
    </w:p>
    <w:p>
      <w:pPr>
        <w:jc w:val="both"/>
        <w:ind w:left="660" w:firstLine="645"/>
        <w:spacing w:after="0" w:line="263" w:lineRule="auto"/>
        <w:tabs>
          <w:tab w:leader="none" w:pos="1908" w:val="left"/>
        </w:tabs>
        <w:numPr>
          <w:ilvl w:val="0"/>
          <w:numId w:val="386"/>
        </w:numPr>
        <w:rPr>
          <w:rFonts w:ascii="Arial" w:cs="Arial" w:eastAsia="Arial" w:hAnsi="Arial"/>
          <w:sz w:val="19"/>
          <w:szCs w:val="19"/>
          <w:color w:val="auto"/>
        </w:rPr>
      </w:pPr>
      <w:r>
        <w:rPr>
          <w:rFonts w:ascii="Arial" w:cs="Arial" w:eastAsia="Arial" w:hAnsi="Arial"/>
          <w:sz w:val="19"/>
          <w:szCs w:val="19"/>
          <w:color w:val="auto"/>
        </w:rPr>
        <w:t xml:space="preserve">any other act or omission to act or delay of any kind by the Borrower, any other Guarantor or any other guarantor of the Guaranteed Obligations, the Administrative Agent, any Guaranteed Party or any other Person or any other circumstance whatsoever which might, but for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constitute a legal or equitable discharge or limitation of any Guarantor’s obligations hereunder or otherwise reduce, release, prejudice or extinguish its liability under this Guaranty.</w:t>
      </w:r>
    </w:p>
    <w:p>
      <w:pPr>
        <w:spacing w:after="0" w:line="190" w:lineRule="exact"/>
        <w:rPr>
          <w:sz w:val="20"/>
          <w:szCs w:val="20"/>
          <w:color w:val="auto"/>
        </w:rPr>
      </w:pPr>
    </w:p>
    <w:p>
      <w:pPr>
        <w:ind w:right="60" w:firstLine="648"/>
        <w:spacing w:after="0" w:line="305"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Continuing Guarantee; Discharge Only Upon Payment In Full; Reinstatement In Certain Circumstances</w:t>
      </w:r>
      <w:r>
        <w:rPr>
          <w:rFonts w:ascii="Arial" w:cs="Arial" w:eastAsia="Arial" w:hAnsi="Arial"/>
          <w:sz w:val="16"/>
          <w:szCs w:val="16"/>
          <w:color w:val="auto"/>
        </w:rPr>
        <w:t>. Each of the Guarantors’ obligations hereunder shall constitute a continuing and irrevocable guarantee of all Guaranteed Obligations now or hereafter existing and shall remain in full force and effect until Payment in Full, at which time, subject to all the foregoing conditions, the guarantees made hereunder shall automatically terminate. Without limiting the foregoing and notwithstanding anything herein or in any other Loan Document to the contrary, the obligations of any individual Guarantor under this Guaranty shall automatically terminate to the extent provided in and in accordance with Sections 11.01(e) and 11.21 of the Credit Agreement. In connection with the foregoing, the Administrative Agent shall execute and deliver to such Guarantor or such Guarantor’s designee, at such Guarantor’s expense, any documents or instruments that such Guarantor shall reasonably request from time to time to evidence such termination. If at any time any payment of the principal of or interest on any Loan, other Guaranteed Obligation or any other amount payable by any Borrower or by the Parent or any Restricted Subsidiary under the Credit Agreement, any Swap Agreement evidencing Swap Obligations, any Banking Services Agreement or any other Loan Document (including a payment effected through exercise of a right of setoff) is rescinded, or is or must be otherwise restored or returned upon the insolvency, bankruptcy, receivership, examinership, administration, liquidation or reorganization of any Borrower or otherwise (including pursuant to any settlement entered into by a Guaranteed Party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that issues such currency with the result that such currency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Currency</w:t>
      </w:r>
      <w:r>
        <w:rPr>
          <w:rFonts w:ascii="Arial" w:cs="Arial" w:eastAsia="Arial" w:hAnsi="Arial"/>
          <w:sz w:val="16"/>
          <w:szCs w:val="16"/>
          <w:color w:val="auto"/>
        </w:rPr>
        <w:t>") no longer exists or the relevant Guarantor is not able to make payment in such Original Currency, then all payments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798" w:right="239" w:bottom="1440" w:gutter="0" w:footer="0" w:header="0"/>
        </w:sectPr>
      </w:pPr>
    </w:p>
    <w:bookmarkStart w:id="361" w:name="page362"/>
    <w:bookmarkEnd w:id="361"/>
    <w:p>
      <w:pPr>
        <w:jc w:val="both"/>
        <w:spacing w:after="0" w:line="250" w:lineRule="auto"/>
        <w:rPr>
          <w:sz w:val="20"/>
          <w:szCs w:val="20"/>
          <w:color w:val="auto"/>
        </w:rPr>
      </w:pPr>
      <w:r>
        <w:rPr>
          <w:rFonts w:ascii="Arial" w:cs="Arial" w:eastAsia="Arial" w:hAnsi="Arial"/>
          <w:sz w:val="20"/>
          <w:szCs w:val="20"/>
          <w:color w:val="auto"/>
        </w:rPr>
        <w:t>to be made by such Guarantor hereunder in such currency shall instead be made when due in Dollars in an amount equal to the Dollar Equivalent (as of the date of payment) of such payment due, it being the intention of the parties hereto that each Guarantor takes all risks of the imposition of any such currency control or exchange regulations.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General Waivers; Additional Waivers</w:t>
      </w:r>
      <w:r>
        <w:rPr>
          <w:rFonts w:ascii="Arial" w:cs="Arial" w:eastAsia="Arial" w:hAnsi="Arial"/>
          <w:sz w:val="20"/>
          <w:szCs w:val="20"/>
          <w:color w:val="auto"/>
        </w:rPr>
        <w:t>.</w:t>
      </w:r>
    </w:p>
    <w:p>
      <w:pPr>
        <w:spacing w:after="0" w:line="243" w:lineRule="exact"/>
        <w:rPr>
          <w:sz w:val="20"/>
          <w:szCs w:val="20"/>
          <w:color w:val="auto"/>
        </w:rPr>
      </w:pPr>
    </w:p>
    <w:p>
      <w:pPr>
        <w:jc w:val="both"/>
        <w:ind w:firstLine="656"/>
        <w:spacing w:after="0" w:line="274" w:lineRule="auto"/>
        <w:tabs>
          <w:tab w:leader="none" w:pos="1516" w:val="left"/>
        </w:tabs>
        <w:numPr>
          <w:ilvl w:val="0"/>
          <w:numId w:val="387"/>
        </w:numPr>
        <w:rPr>
          <w:rFonts w:ascii="Arial" w:cs="Arial" w:eastAsia="Arial" w:hAnsi="Arial"/>
          <w:sz w:val="20"/>
          <w:szCs w:val="20"/>
          <w:color w:val="auto"/>
        </w:rPr>
      </w:pPr>
      <w:r>
        <w:rPr>
          <w:rFonts w:ascii="Arial" w:cs="Arial" w:eastAsia="Arial" w:hAnsi="Arial"/>
          <w:sz w:val="20"/>
          <w:szCs w:val="20"/>
          <w:u w:val="single" w:color="auto"/>
          <w:color w:val="auto"/>
        </w:rPr>
        <w:t>General Waivers</w:t>
      </w:r>
      <w:r>
        <w:rPr>
          <w:rFonts w:ascii="Arial" w:cs="Arial" w:eastAsia="Arial" w:hAnsi="Arial"/>
          <w:sz w:val="20"/>
          <w:szCs w:val="20"/>
          <w:color w:val="auto"/>
        </w:rPr>
        <w:t>. Each of the Guarantors irrevocably waives acceptance hereof, presentment, demand or action on delinquency, protest, the benefit of any statutes of limitations and, to the fullest extent permitted by law, any notice not provided for herein or under the other Loan Documents, as well as any requirement that at any time any action be taken by any Person against any Borrower, any other guarantor of the Guaranteed Obligations, or any other Person.</w:t>
      </w:r>
    </w:p>
    <w:p>
      <w:pPr>
        <w:spacing w:after="0" w:line="205" w:lineRule="exact"/>
        <w:rPr>
          <w:rFonts w:ascii="Arial" w:cs="Arial" w:eastAsia="Arial" w:hAnsi="Arial"/>
          <w:sz w:val="20"/>
          <w:szCs w:val="20"/>
          <w:color w:val="auto"/>
        </w:rPr>
      </w:pPr>
    </w:p>
    <w:p>
      <w:pPr>
        <w:ind w:right="20" w:firstLine="656"/>
        <w:spacing w:after="0" w:line="289" w:lineRule="auto"/>
        <w:tabs>
          <w:tab w:leader="none" w:pos="1527" w:val="left"/>
        </w:tabs>
        <w:numPr>
          <w:ilvl w:val="0"/>
          <w:numId w:val="387"/>
        </w:numPr>
        <w:rPr>
          <w:rFonts w:ascii="Arial" w:cs="Arial" w:eastAsia="Arial" w:hAnsi="Arial"/>
          <w:sz w:val="20"/>
          <w:szCs w:val="20"/>
          <w:color w:val="auto"/>
        </w:rPr>
      </w:pPr>
      <w:r>
        <w:rPr>
          <w:rFonts w:ascii="Arial" w:cs="Arial" w:eastAsia="Arial" w:hAnsi="Arial"/>
          <w:sz w:val="20"/>
          <w:szCs w:val="20"/>
          <w:u w:val="single" w:color="auto"/>
          <w:color w:val="auto"/>
        </w:rPr>
        <w:t>Additional Waivers</w:t>
      </w:r>
      <w:r>
        <w:rPr>
          <w:rFonts w:ascii="Arial" w:cs="Arial" w:eastAsia="Arial" w:hAnsi="Arial"/>
          <w:sz w:val="20"/>
          <w:szCs w:val="20"/>
          <w:color w:val="auto"/>
        </w:rPr>
        <w:t>. Notwithstanding anything herein to the contrary, each of the Guarantors hereby absolutely, unconditionally, knowingly, and expressly waives, to the fullest extent permitted by law:</w:t>
      </w:r>
    </w:p>
    <w:p>
      <w:pPr>
        <w:spacing w:after="0" w:line="175" w:lineRule="exact"/>
        <w:rPr>
          <w:rFonts w:ascii="Arial" w:cs="Arial" w:eastAsia="Arial" w:hAnsi="Arial"/>
          <w:sz w:val="20"/>
          <w:szCs w:val="20"/>
          <w:color w:val="auto"/>
        </w:rPr>
      </w:pPr>
    </w:p>
    <w:p>
      <w:pPr>
        <w:ind w:left="1680" w:hanging="375"/>
        <w:spacing w:after="0"/>
        <w:tabs>
          <w:tab w:leader="none" w:pos="168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any right it may have to revoke this Guaranty as to future indebtedness or notice of acceptance hereof;</w:t>
      </w:r>
    </w:p>
    <w:p>
      <w:pPr>
        <w:spacing w:after="0" w:line="229" w:lineRule="exact"/>
        <w:rPr>
          <w:rFonts w:ascii="Arial" w:cs="Arial" w:eastAsia="Arial" w:hAnsi="Arial"/>
          <w:sz w:val="20"/>
          <w:szCs w:val="20"/>
          <w:color w:val="auto"/>
        </w:rPr>
      </w:pPr>
    </w:p>
    <w:p>
      <w:pPr>
        <w:jc w:val="both"/>
        <w:ind w:left="660" w:firstLine="645"/>
        <w:spacing w:after="0" w:line="257" w:lineRule="auto"/>
        <w:tabs>
          <w:tab w:leader="none" w:pos="1814" w:val="left"/>
        </w:tabs>
        <w:numPr>
          <w:ilvl w:val="1"/>
          <w:numId w:val="387"/>
        </w:numPr>
        <w:rPr>
          <w:rFonts w:ascii="Arial" w:cs="Arial" w:eastAsia="Arial" w:hAnsi="Arial"/>
          <w:sz w:val="19"/>
          <w:szCs w:val="19"/>
          <w:color w:val="auto"/>
        </w:rPr>
      </w:pPr>
      <w:r>
        <w:rPr>
          <w:rFonts w:ascii="Arial" w:cs="Arial" w:eastAsia="Arial" w:hAnsi="Arial"/>
          <w:sz w:val="19"/>
          <w:szCs w:val="19"/>
          <w:color w:val="auto"/>
        </w:rPr>
        <w:t>(1) notice of acceptance hereof; (2) notice of any Loans, Letters of Credit or other financial accommodations made or extended under the Loan Documents or the creation or existence of any Guaranteed Obligations; (3) notice of the amount of the Guaranteed Obligations, subject, however, to each Guarantor’s right to make inquiry of the Administrative Agent and the Guaranteed Parties to ascertain the amount of the Guaranteed Obligations at any reasonable time; (4) notice of any adverse change in the financial condition of any Borrower or of any other fact that might increase such Guarantor’s risk hereunder; (5) notice of presentment for payment, demand, protest, and notice thereof as to any instruments among the Loan Documents; (6) notice of any Default or Event of Default; and (7) all other notices (except if such notice is specifically required to be given to such Guarantor hereunder or under the Loan Documents) and demands to which each Guarantor might otherwise be entitled;</w:t>
      </w:r>
    </w:p>
    <w:p>
      <w:pPr>
        <w:spacing w:after="0" w:line="194" w:lineRule="exact"/>
        <w:rPr>
          <w:rFonts w:ascii="Arial" w:cs="Arial" w:eastAsia="Arial" w:hAnsi="Arial"/>
          <w:sz w:val="19"/>
          <w:szCs w:val="19"/>
          <w:color w:val="auto"/>
        </w:rPr>
      </w:pPr>
    </w:p>
    <w:p>
      <w:pPr>
        <w:jc w:val="both"/>
        <w:ind w:left="660" w:firstLine="645"/>
        <w:spacing w:after="0" w:line="321" w:lineRule="auto"/>
        <w:tabs>
          <w:tab w:leader="none" w:pos="1909" w:val="left"/>
        </w:tabs>
        <w:numPr>
          <w:ilvl w:val="1"/>
          <w:numId w:val="387"/>
        </w:numPr>
        <w:rPr>
          <w:rFonts w:ascii="Arial" w:cs="Arial" w:eastAsia="Arial" w:hAnsi="Arial"/>
          <w:sz w:val="16"/>
          <w:szCs w:val="16"/>
          <w:color w:val="auto"/>
        </w:rPr>
      </w:pPr>
      <w:r>
        <w:rPr>
          <w:rFonts w:ascii="Arial" w:cs="Arial" w:eastAsia="Arial" w:hAnsi="Arial"/>
          <w:sz w:val="16"/>
          <w:szCs w:val="16"/>
          <w:color w:val="auto"/>
        </w:rPr>
        <w:t>its right, if any, to require the Administrative Agent and the other Guaranteed Parties to institute suit against, or to exhaust any rights and remedies which the Administrative Agent and the other Guaranteed Parties have or may have against, the other Guarantors or any third party, or against any collateral provided by the other Guarantors or any third party; and each Guarantor further waives any defense arising by reason of any disability or other defense (other than the defense that Payment in Full has occurred) of the other Guarantors or by reason of the cessation from any cause whatsoever of the liability of the other Guarantors in respect thereof;</w:t>
      </w:r>
    </w:p>
    <w:p>
      <w:pPr>
        <w:spacing w:after="0" w:line="147" w:lineRule="exact"/>
        <w:rPr>
          <w:rFonts w:ascii="Arial" w:cs="Arial" w:eastAsia="Arial" w:hAnsi="Arial"/>
          <w:sz w:val="16"/>
          <w:szCs w:val="16"/>
          <w:color w:val="auto"/>
        </w:rPr>
      </w:pPr>
    </w:p>
    <w:p>
      <w:pPr>
        <w:ind w:left="660" w:right="80" w:firstLine="645"/>
        <w:spacing w:after="0" w:line="257" w:lineRule="auto"/>
        <w:tabs>
          <w:tab w:leader="none" w:pos="1792" w:val="left"/>
        </w:tabs>
        <w:numPr>
          <w:ilvl w:val="1"/>
          <w:numId w:val="387"/>
        </w:numPr>
        <w:rPr>
          <w:rFonts w:ascii="Arial" w:cs="Arial" w:eastAsia="Arial" w:hAnsi="Arial"/>
          <w:sz w:val="19"/>
          <w:szCs w:val="19"/>
          <w:color w:val="auto"/>
        </w:rPr>
      </w:pPr>
      <w:r>
        <w:rPr>
          <w:rFonts w:ascii="Arial" w:cs="Arial" w:eastAsia="Arial" w:hAnsi="Arial"/>
          <w:sz w:val="19"/>
          <w:szCs w:val="19"/>
          <w:color w:val="auto"/>
        </w:rPr>
        <w:t>(a) any rights to assert against the Administrative Agent and the other Guaranteed Parties any defense (legal or equitable), set-off, counterclaim, or claim which such Guarantor may now or at any time hereafter have against the other Guarantors or any other party liable to the Administrative Agent and the other Guaranteed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other Guaranteed Parties’ rights or remedies against the other guarantor of the Guaranteed Obligations; (2) the alteration by the Administrative Agent and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62" w:name="page363"/>
    <w:bookmarkEnd w:id="362"/>
    <w:p>
      <w:pPr>
        <w:jc w:val="both"/>
        <w:ind w:left="660"/>
        <w:spacing w:after="0" w:line="243" w:lineRule="auto"/>
        <w:rPr>
          <w:sz w:val="20"/>
          <w:szCs w:val="20"/>
          <w:color w:val="auto"/>
        </w:rPr>
      </w:pPr>
      <w:r>
        <w:rPr>
          <w:rFonts w:ascii="Arial" w:cs="Arial" w:eastAsia="Arial" w:hAnsi="Arial"/>
          <w:sz w:val="20"/>
          <w:szCs w:val="20"/>
          <w:color w:val="auto"/>
        </w:rPr>
        <w:t>other Guaranteed Parties of the Guaranteed Obligations; (3) any discharge of the other Guarantors’ obligations to the Administrative Agent and the other Guaranteed Parties by operation of law as a result of the Administrative Agent’s and the other Guaranteed Parties’ intervention or omission; or (4) the acceptance by the Administrative Agent and the other Guaranteed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207" w:lineRule="exact"/>
        <w:rPr>
          <w:sz w:val="20"/>
          <w:szCs w:val="20"/>
          <w:color w:val="auto"/>
        </w:rPr>
      </w:pPr>
    </w:p>
    <w:p>
      <w:pPr>
        <w:jc w:val="both"/>
        <w:ind w:left="660" w:firstLine="645"/>
        <w:spacing w:after="0" w:line="269" w:lineRule="auto"/>
        <w:tabs>
          <w:tab w:leader="none" w:pos="1806" w:val="left"/>
        </w:tabs>
        <w:numPr>
          <w:ilvl w:val="1"/>
          <w:numId w:val="388"/>
        </w:numPr>
        <w:rPr>
          <w:rFonts w:ascii="Arial" w:cs="Arial" w:eastAsia="Arial" w:hAnsi="Arial"/>
          <w:sz w:val="19"/>
          <w:szCs w:val="19"/>
          <w:color w:val="auto"/>
        </w:rPr>
      </w:pPr>
      <w:r>
        <w:rPr>
          <w:rFonts w:ascii="Arial" w:cs="Arial" w:eastAsia="Arial" w:hAnsi="Arial"/>
          <w:sz w:val="19"/>
          <w:szCs w:val="19"/>
          <w:color w:val="auto"/>
        </w:rPr>
        <w:t>any defense arising by reason of or deriving from (a) any claim or defense based upon an election of remedies by the Administrative Agent and the Guaranteed Parties; or (b) any election by the Administrative Agent and the other Guaranteed Parties under the Bankruptcy Code, to limit the amount of, or any collateral securing, its claim against the Guarantors.</w:t>
      </w:r>
    </w:p>
    <w:p>
      <w:pPr>
        <w:spacing w:after="0" w:line="183" w:lineRule="exact"/>
        <w:rPr>
          <w:rFonts w:ascii="Arial" w:cs="Arial" w:eastAsia="Arial" w:hAnsi="Arial"/>
          <w:sz w:val="19"/>
          <w:szCs w:val="19"/>
          <w:color w:val="auto"/>
        </w:rPr>
      </w:pPr>
    </w:p>
    <w:p>
      <w:pPr>
        <w:jc w:val="both"/>
        <w:ind w:firstLine="656"/>
        <w:spacing w:after="0" w:line="263" w:lineRule="auto"/>
        <w:tabs>
          <w:tab w:leader="none" w:pos="1093"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Texas Waivers</w:t>
      </w:r>
      <w:r>
        <w:rPr>
          <w:rFonts w:ascii="Arial" w:cs="Arial" w:eastAsia="Arial" w:hAnsi="Arial"/>
          <w:sz w:val="19"/>
          <w:szCs w:val="19"/>
          <w:color w:val="auto"/>
        </w:rPr>
        <w:t>. Without limiting any other waiver or provision, each Guarantor hereby expressly waives, to the maximum extent permitted by applicable law, each and every right to which it may be entitled by virtue of the suretyship laws of the State of Texas or any other state in which it may be located, including any and all rights it may have pursuant to Rule 31 of the Texas Rules of Civil Procedure and Section 17.001, Section 43.002 and Section 43.003 of the Texas Civil Practice and Remedies Code.</w:t>
      </w:r>
    </w:p>
    <w:p>
      <w:pPr>
        <w:spacing w:after="0" w:line="190" w:lineRule="exact"/>
        <w:rPr>
          <w:rFonts w:ascii="Arial" w:cs="Arial" w:eastAsia="Arial" w:hAnsi="Arial"/>
          <w:sz w:val="19"/>
          <w:szCs w:val="19"/>
          <w:color w:val="auto"/>
        </w:rPr>
      </w:pPr>
    </w:p>
    <w:p>
      <w:pPr>
        <w:jc w:val="both"/>
        <w:ind w:firstLine="656"/>
        <w:spacing w:after="0" w:line="244" w:lineRule="auto"/>
        <w:tabs>
          <w:tab w:leader="none" w:pos="1090" w:val="left"/>
        </w:tabs>
        <w:numPr>
          <w:ilvl w:val="0"/>
          <w:numId w:val="389"/>
        </w:numPr>
        <w:rPr>
          <w:rFonts w:ascii="Arial" w:cs="Arial" w:eastAsia="Arial" w:hAnsi="Arial"/>
          <w:sz w:val="20"/>
          <w:szCs w:val="20"/>
          <w:color w:val="auto"/>
        </w:rPr>
      </w:pPr>
      <w:r>
        <w:rPr>
          <w:rFonts w:ascii="Arial" w:cs="Arial" w:eastAsia="Arial" w:hAnsi="Arial"/>
          <w:sz w:val="20"/>
          <w:szCs w:val="20"/>
          <w:u w:val="single" w:color="auto"/>
          <w:color w:val="auto"/>
        </w:rPr>
        <w:t>California Waivers</w:t>
      </w:r>
      <w:r>
        <w:rPr>
          <w:rFonts w:ascii="Arial" w:cs="Arial" w:eastAsia="Arial" w:hAnsi="Arial"/>
          <w:sz w:val="20"/>
          <w:szCs w:val="20"/>
          <w:color w:val="auto"/>
        </w:rPr>
        <w:t>. Without limiting any other waiver or provision, each Guarantor waives, to the maximum extent permitted by law, all benefits or defenses directly or indirectly arising under California Civil Code §§ 2787, 2799, 2808, 2815, 2819, 2820, 2821, 2822, 2838, 2839, 2847, 2848, and 2855, Chapter 2 of Title 14 of the California Civil Code, and California Code of Civil Procedure §§ 580a, 580b, 580c, 580d, and 726 or any similar laws of any other applicable jurisdiction. The reference to certain provisions of California law is not intended to imply any application of California law to this Guaranty.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Subordination of Subrogation</w:t>
      </w:r>
      <w:r>
        <w:rPr>
          <w:rFonts w:ascii="Arial" w:cs="Arial" w:eastAsia="Arial" w:hAnsi="Arial"/>
          <w:sz w:val="18"/>
          <w:szCs w:val="18"/>
          <w:color w:val="auto"/>
        </w:rPr>
        <w:t xml:space="preserve">. Until Payment in Full, the Guarantors (a) shall have no right of subrogation with respect to such Guaranteed Obligations and (b) waive any right to enforce any remedy which the Issuing Bank, any of the Guaranteed Parties or the Administrative Agent now have or may hereafter have against any Borrower, any endorser or any guarantor of all or any part of the Guaranteed Obligations or any other Person and until such time the Guarantors waive any benefit of, and any right to participate in, any security or other collateral given to the Guaranteed Parties to secure the payment and/or performance of all or any part of the Guaranteed Obligations or any other liability of any Borrower to the Guaranteed Parties. Should any Guarantor have the right, notwithstanding the foregoing, to exercise its subrogation rights prior to Payment in Full, each Guarantor hereby expressly and irrevocably (i) subordinates any and all rights at law or in equity to subrogation, reimbursement, exoneration, contribution, indemnification or set off that such Guarantor may have to the payment in full in cash of the Guaranteed Obligations until Payment in Full and (ii) waives any and all defenses available to a surety, guarantor or accommodation co-obligor until Payment in Full. Each Guarantor acknowledges and agrees that this subordination is intended to benefit the Administrative Agent and the Guaranteed Parties and shall not limit or otherwise affect such Guarantor’s liability hereunder or the enforceability of this Guaranty (or any rights and obligations among or against any other Guarantor or the Borrowers upon Payment in Full), and that the Administrative Agent, the Guaranteed Parties and their respective successors and assigns are intended third party beneficiaries of the waivers and agreements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38" w:right="239" w:bottom="1440" w:gutter="0" w:footer="0" w:header="0"/>
        </w:sectPr>
      </w:pPr>
    </w:p>
    <w:bookmarkStart w:id="363" w:name="page364"/>
    <w:bookmarkEnd w:id="363"/>
    <w:p>
      <w:pPr>
        <w:ind w:left="660"/>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Contribution with Respect to Guaranteed Obligations</w:t>
      </w:r>
      <w:r>
        <w:rPr>
          <w:rFonts w:ascii="Arial" w:cs="Arial" w:eastAsia="Arial" w:hAnsi="Arial"/>
          <w:sz w:val="20"/>
          <w:szCs w:val="20"/>
          <w:color w:val="auto"/>
        </w:rPr>
        <w:t>.</w:t>
      </w:r>
    </w:p>
    <w:p>
      <w:pPr>
        <w:spacing w:after="0" w:line="243" w:lineRule="exact"/>
        <w:rPr>
          <w:sz w:val="20"/>
          <w:szCs w:val="20"/>
          <w:color w:val="auto"/>
        </w:rPr>
      </w:pPr>
    </w:p>
    <w:p>
      <w:pPr>
        <w:jc w:val="both"/>
        <w:ind w:firstLine="656"/>
        <w:spacing w:after="0" w:line="278" w:lineRule="auto"/>
        <w:tabs>
          <w:tab w:leader="none" w:pos="1516"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To the extent that any Guarantor shall make a Guarantor Payment and in the absence of any other express written agreement among one or more Obligors then, following Payment in Full, such Guarantor shall be entitled to receive contribution and indemnification payments from, and be reimbursed by:</w:t>
      </w:r>
    </w:p>
    <w:p>
      <w:pPr>
        <w:spacing w:after="0" w:line="200" w:lineRule="exact"/>
        <w:rPr>
          <w:rFonts w:ascii="Arial" w:cs="Arial" w:eastAsia="Arial" w:hAnsi="Arial"/>
          <w:sz w:val="20"/>
          <w:szCs w:val="20"/>
          <w:color w:val="auto"/>
        </w:rPr>
      </w:pPr>
    </w:p>
    <w:p>
      <w:pPr>
        <w:ind w:left="2140" w:hanging="835"/>
        <w:spacing w:after="0"/>
        <w:tabs>
          <w:tab w:leader="none" w:pos="2140" w:val="left"/>
        </w:tabs>
        <w:numPr>
          <w:ilvl w:val="1"/>
          <w:numId w:val="390"/>
        </w:numPr>
        <w:rPr>
          <w:rFonts w:ascii="Arial" w:cs="Arial" w:eastAsia="Arial" w:hAnsi="Arial"/>
          <w:sz w:val="19"/>
          <w:szCs w:val="19"/>
          <w:color w:val="auto"/>
        </w:rPr>
      </w:pPr>
      <w:r>
        <w:rPr>
          <w:rFonts w:ascii="Arial" w:cs="Arial" w:eastAsia="Arial" w:hAnsi="Arial"/>
          <w:sz w:val="19"/>
          <w:szCs w:val="19"/>
          <w:color w:val="auto"/>
        </w:rPr>
        <w:t>WIL-Ireland within sixty (60) days after written demand by the Guarantor for its Guaranty Loss Amount; then</w:t>
      </w:r>
    </w:p>
    <w:p>
      <w:pPr>
        <w:spacing w:after="0" w:line="267" w:lineRule="exact"/>
        <w:rPr>
          <w:rFonts w:ascii="Arial" w:cs="Arial" w:eastAsia="Arial" w:hAnsi="Arial"/>
          <w:sz w:val="19"/>
          <w:szCs w:val="19"/>
          <w:color w:val="auto"/>
        </w:rPr>
      </w:pPr>
    </w:p>
    <w:p>
      <w:pPr>
        <w:jc w:val="both"/>
        <w:ind w:left="660" w:firstLine="645"/>
        <w:spacing w:after="0" w:line="278" w:lineRule="auto"/>
        <w:tabs>
          <w:tab w:leader="none" w:pos="2198" w:val="left"/>
        </w:tabs>
        <w:numPr>
          <w:ilvl w:val="1"/>
          <w:numId w:val="390"/>
        </w:numPr>
        <w:rPr>
          <w:rFonts w:ascii="Arial" w:cs="Arial" w:eastAsia="Arial" w:hAnsi="Arial"/>
          <w:sz w:val="20"/>
          <w:szCs w:val="20"/>
          <w:color w:val="auto"/>
        </w:rPr>
      </w:pPr>
      <w:r>
        <w:rPr>
          <w:rFonts w:ascii="Arial" w:cs="Arial" w:eastAsia="Arial" w:hAnsi="Arial"/>
          <w:sz w:val="20"/>
          <w:szCs w:val="20"/>
          <w:color w:val="auto"/>
        </w:rPr>
        <w:t>if WIL-Ireland fails to satisfy its obligations, in whole or in part, under (i) above, WWH within thirty (30) days after written demand by the Guarantor for its Guaranty Loss Amount (such demand only being made after the time period in (i) above has elapsed); then</w:t>
      </w:r>
    </w:p>
    <w:p>
      <w:pPr>
        <w:spacing w:after="0" w:line="200" w:lineRule="exact"/>
        <w:rPr>
          <w:rFonts w:ascii="Arial" w:cs="Arial" w:eastAsia="Arial" w:hAnsi="Arial"/>
          <w:sz w:val="20"/>
          <w:szCs w:val="20"/>
          <w:color w:val="auto"/>
        </w:rPr>
      </w:pPr>
    </w:p>
    <w:p>
      <w:pPr>
        <w:jc w:val="both"/>
        <w:ind w:left="660" w:firstLine="645"/>
        <w:spacing w:after="0" w:line="290" w:lineRule="auto"/>
        <w:tabs>
          <w:tab w:leader="none" w:pos="2253" w:val="left"/>
        </w:tabs>
        <w:numPr>
          <w:ilvl w:val="1"/>
          <w:numId w:val="390"/>
        </w:numPr>
        <w:rPr>
          <w:rFonts w:ascii="Arial" w:cs="Arial" w:eastAsia="Arial" w:hAnsi="Arial"/>
          <w:sz w:val="19"/>
          <w:szCs w:val="19"/>
          <w:color w:val="auto"/>
        </w:rPr>
      </w:pPr>
      <w:r>
        <w:rPr>
          <w:rFonts w:ascii="Arial" w:cs="Arial" w:eastAsia="Arial" w:hAnsi="Arial"/>
          <w:sz w:val="19"/>
          <w:szCs w:val="19"/>
          <w:color w:val="auto"/>
        </w:rPr>
        <w:t>to the extent WIL-Ireland and WWH fail to satisfy their obligations, in whole or in part, under (i) and (ii) above, each Specified Guarantor, based upon the ratio of each such other Specified Guarantor’s Allocable Amount to the aggregate of all Specified Guarantors’ Allocable Amounts, within fifteen (15) days after written demand by the Specified Guarantor for its Guaranty Loss Amount (such demand only being made after the time periods in (i) and (ii) above have elapsed) after, for such calculation purposes, netting amounts that would otherwise be payable by and among any two Specified Guarantors.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It is the intent of the parties that WIL-Ireland and WWH will fully satisfy their obligations if called upon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both WIL-Ireland and WWH hereby agree to take all reasonable actions to do so including, without limitation, selling assets, liquidating subsidiaries and otherwise obtaining funding (to the extent available). If a Guarantor fails to satisfy its respective obligation, in whole or in part, in the time period prescribed, for the benefit of the other Guarantors,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be applied eliminating, in whole or in part, the nonperforming Guarantor. For the avoidance of doubt, no Guarantor shall be relieved of any obligations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 the event it fails to satisfy its respective obligations to any other Guarantor; rather, each such Guarantor that makes a contribution and indemnification payment shall be entitled to seek recovery from any other Guarantors that failed to fulfill their obligations hereunder; provided, however, (i) WIL-Ireland shall not have a claim for a Guaranty Loss Amount against any other Guarantor, (ii) WWH shall not have a claim for a Guaranty Loss Amount against any Guarantor other than WIL-Ireland, and (iii) a Specified Guarantor shall not have a claim for a Guaranty Loss Amount against any Guarantor other than WIL-Ireland, WWH, or another Specified Guarantor.</w:t>
      </w:r>
    </w:p>
    <w:p>
      <w:pPr>
        <w:spacing w:after="0" w:line="242" w:lineRule="exact"/>
        <w:rPr>
          <w:sz w:val="20"/>
          <w:szCs w:val="20"/>
          <w:color w:val="auto"/>
        </w:rPr>
      </w:pPr>
    </w:p>
    <w:p>
      <w:pPr>
        <w:ind w:left="1080" w:hanging="424"/>
        <w:spacing w:after="0"/>
        <w:tabs>
          <w:tab w:leader="none" w:pos="108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the following terms shall have the following meaning:</w:t>
      </w:r>
    </w:p>
    <w:p>
      <w:pPr>
        <w:spacing w:after="0" w:line="242" w:lineRule="exact"/>
        <w:rPr>
          <w:rFonts w:ascii="Arial" w:cs="Arial" w:eastAsia="Arial" w:hAnsi="Arial"/>
          <w:sz w:val="20"/>
          <w:szCs w:val="20"/>
          <w:color w:val="auto"/>
        </w:rPr>
      </w:pPr>
    </w:p>
    <w:p>
      <w:pPr>
        <w:jc w:val="both"/>
        <w:ind w:left="660" w:firstLine="645"/>
        <w:spacing w:after="0" w:line="274" w:lineRule="auto"/>
        <w:tabs>
          <w:tab w:leader="none" w:pos="2143" w:val="left"/>
        </w:tabs>
        <w:numPr>
          <w:ilvl w:val="1"/>
          <w:numId w:val="3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Allocable Amount</w:t>
      </w:r>
      <w:r>
        <w:rPr>
          <w:rFonts w:ascii="Arial" w:cs="Arial" w:eastAsia="Arial" w:hAnsi="Arial"/>
          <w:sz w:val="20"/>
          <w:szCs w:val="20"/>
          <w:color w:val="auto"/>
        </w:rPr>
        <w:t xml:space="preserve">” means, with respect to any Person, the amount equal to the excess of the fair market value of its property over the total liabilities of such Person determined as of the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Allocable Amount will be adjusted as and when agreed between the parties to take into account persons who become or cease to be Specified Guarantors after the Effective Date;</w:t>
      </w:r>
    </w:p>
    <w:p>
      <w:pPr>
        <w:spacing w:after="0" w:line="205" w:lineRule="exact"/>
        <w:rPr>
          <w:rFonts w:ascii="Arial" w:cs="Arial" w:eastAsia="Arial" w:hAnsi="Arial"/>
          <w:sz w:val="20"/>
          <w:szCs w:val="20"/>
          <w:color w:val="auto"/>
        </w:rPr>
      </w:pPr>
    </w:p>
    <w:p>
      <w:pPr>
        <w:jc w:val="both"/>
        <w:ind w:left="660" w:right="20" w:firstLine="645"/>
        <w:spacing w:after="0" w:line="274" w:lineRule="auto"/>
        <w:tabs>
          <w:tab w:leader="none" w:pos="2198" w:val="left"/>
        </w:tabs>
        <w:numPr>
          <w:ilvl w:val="1"/>
          <w:numId w:val="3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Loss Amount</w:t>
      </w:r>
      <w:r>
        <w:rPr>
          <w:rFonts w:ascii="Arial" w:cs="Arial" w:eastAsia="Arial" w:hAnsi="Arial"/>
          <w:sz w:val="20"/>
          <w:szCs w:val="20"/>
          <w:color w:val="auto"/>
        </w:rPr>
        <w:t xml:space="preserve">” means the monetary value of any and all claims, damages, costs, expenses or other losses (plus arm’s-length interest on such value) incurred or suffered by a Guarantor as a result of making a Guarantor Payment after taking into account any contributions, reimbursements or other payments received from any other person (including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with respect to such Guarantor Payment;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64" w:name="page365"/>
    <w:bookmarkEnd w:id="364"/>
    <w:p>
      <w:pPr>
        <w:ind w:left="660" w:firstLine="645"/>
        <w:spacing w:after="0" w:line="260" w:lineRule="auto"/>
        <w:tabs>
          <w:tab w:leader="none" w:pos="1911" w:val="left"/>
        </w:tabs>
        <w:numPr>
          <w:ilvl w:val="1"/>
          <w:numId w:val="3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 Payment</w:t>
      </w:r>
      <w:r>
        <w:rPr>
          <w:rFonts w:ascii="Arial" w:cs="Arial" w:eastAsia="Arial" w:hAnsi="Arial"/>
          <w:sz w:val="20"/>
          <w:szCs w:val="20"/>
          <w:color w:val="auto"/>
        </w:rPr>
        <w:t xml:space="preserve">” means a payment (which shall include any amounts setoff pursuant to </w:t>
      </w:r>
      <w:r>
        <w:rPr>
          <w:rFonts w:ascii="Arial" w:cs="Arial" w:eastAsia="Arial" w:hAnsi="Arial"/>
          <w:sz w:val="20"/>
          <w:szCs w:val="20"/>
          <w:u w:val="single" w:color="auto"/>
          <w:color w:val="auto"/>
        </w:rPr>
        <w:t>Section 17</w:t>
      </w:r>
      <w:r>
        <w:rPr>
          <w:rFonts w:ascii="Arial" w:cs="Arial" w:eastAsia="Arial" w:hAnsi="Arial"/>
          <w:sz w:val="20"/>
          <w:szCs w:val="20"/>
          <w:color w:val="auto"/>
        </w:rPr>
        <w:t>) under this Guaranty or the taking or use of any Collateral under any other Loan Document; and</w:t>
      </w:r>
    </w:p>
    <w:p>
      <w:pPr>
        <w:spacing w:after="0" w:line="190" w:lineRule="exact"/>
        <w:rPr>
          <w:rFonts w:ascii="Arial" w:cs="Arial" w:eastAsia="Arial" w:hAnsi="Arial"/>
          <w:sz w:val="20"/>
          <w:szCs w:val="20"/>
          <w:color w:val="auto"/>
        </w:rPr>
      </w:pPr>
    </w:p>
    <w:p>
      <w:pPr>
        <w:ind w:left="1780" w:hanging="475"/>
        <w:spacing w:after="0"/>
        <w:tabs>
          <w:tab w:leader="none" w:pos="1780" w:val="left"/>
        </w:tabs>
        <w:numPr>
          <w:ilvl w:val="1"/>
          <w:numId w:val="3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Guarantor</w:t>
      </w:r>
      <w:r>
        <w:rPr>
          <w:rFonts w:ascii="Arial" w:cs="Arial" w:eastAsia="Arial" w:hAnsi="Arial"/>
          <w:sz w:val="20"/>
          <w:szCs w:val="20"/>
          <w:color w:val="auto"/>
        </w:rPr>
        <w:t>” means any Guarantor other than WIL-Ireland and WWH.</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07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is intended only to define the relative rights of the Guarantors, and nothing set forth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is intended to or shall impair the obligations of the Guarantors, jointly and severally, to pay any amounts as and when the same shall become due and payable in accordance with the terms of this Guaranty.</w:t>
      </w:r>
    </w:p>
    <w:p>
      <w:pPr>
        <w:spacing w:after="0" w:line="199" w:lineRule="exact"/>
        <w:rPr>
          <w:rFonts w:ascii="Arial" w:cs="Arial" w:eastAsia="Arial" w:hAnsi="Arial"/>
          <w:sz w:val="20"/>
          <w:szCs w:val="20"/>
          <w:color w:val="auto"/>
        </w:rPr>
      </w:pPr>
    </w:p>
    <w:p>
      <w:pPr>
        <w:ind w:firstLine="656"/>
        <w:spacing w:after="0" w:line="260" w:lineRule="auto"/>
        <w:tabs>
          <w:tab w:leader="none" w:pos="1214" w:val="left"/>
        </w:tabs>
        <w:numPr>
          <w:ilvl w:val="0"/>
          <w:numId w:val="393"/>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Guarantor or Guarantors to which such contribution and indemnification is owing.</w:t>
      </w:r>
    </w:p>
    <w:p>
      <w:pPr>
        <w:spacing w:after="0" w:line="190" w:lineRule="exact"/>
        <w:rPr>
          <w:rFonts w:ascii="Arial" w:cs="Arial" w:eastAsia="Arial" w:hAnsi="Arial"/>
          <w:sz w:val="20"/>
          <w:szCs w:val="20"/>
          <w:color w:val="auto"/>
        </w:rPr>
      </w:pPr>
    </w:p>
    <w:p>
      <w:pPr>
        <w:jc w:val="both"/>
        <w:ind w:firstLine="656"/>
        <w:spacing w:after="0" w:line="246" w:lineRule="auto"/>
        <w:tabs>
          <w:tab w:leader="none" w:pos="1131" w:val="left"/>
        </w:tabs>
        <w:numPr>
          <w:ilvl w:val="0"/>
          <w:numId w:val="393"/>
        </w:numPr>
        <w:rPr>
          <w:rFonts w:ascii="Arial" w:cs="Arial" w:eastAsia="Arial" w:hAnsi="Arial"/>
          <w:sz w:val="20"/>
          <w:szCs w:val="20"/>
          <w:color w:val="auto"/>
        </w:rPr>
      </w:pPr>
      <w:r>
        <w:rPr>
          <w:rFonts w:ascii="Arial" w:cs="Arial" w:eastAsia="Arial" w:hAnsi="Arial"/>
          <w:sz w:val="20"/>
          <w:szCs w:val="20"/>
          <w:color w:val="auto"/>
        </w:rPr>
        <w:t xml:space="preserve">The rights of the indemnifying Guarantors against other Guarantors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shall be exercisable upon Payment in Full, and are intended to reflect the concept of indemnity and contribution among guarantors of an obligation that would otherwise exist under New York law. Nothing in this Section 7, however, shall negate or otherwise modify the rights of subrogation of a Guarantor against a Borrower.</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Limitation of Guaranty</w:t>
      </w:r>
      <w:r>
        <w:rPr>
          <w:rFonts w:ascii="Arial" w:cs="Arial" w:eastAsia="Arial" w:hAnsi="Arial"/>
          <w:sz w:val="18"/>
          <w:szCs w:val="18"/>
          <w:color w:val="auto"/>
        </w:rPr>
        <w:t>. Notwithstanding any other provision of this Guaranty to the contrary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2" w:right="239" w:bottom="1440" w:gutter="0" w:footer="0" w:header="0"/>
        </w:sectPr>
      </w:pPr>
    </w:p>
    <w:bookmarkStart w:id="365" w:name="page366"/>
    <w:bookmarkEnd w:id="365"/>
    <w:p>
      <w:pPr>
        <w:ind w:left="660"/>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Luxembourg Limitations</w:t>
      </w:r>
      <w:r>
        <w:rPr>
          <w:rFonts w:ascii="Arial" w:cs="Arial" w:eastAsia="Arial" w:hAnsi="Arial"/>
          <w:sz w:val="20"/>
          <w:szCs w:val="20"/>
          <w:color w:val="auto"/>
        </w:rPr>
        <w:t>.</w:t>
      </w:r>
    </w:p>
    <w:p>
      <w:pPr>
        <w:spacing w:after="0" w:line="229" w:lineRule="exact"/>
        <w:rPr>
          <w:sz w:val="20"/>
          <w:szCs w:val="20"/>
          <w:color w:val="auto"/>
        </w:rPr>
      </w:pPr>
    </w:p>
    <w:p>
      <w:pPr>
        <w:ind w:firstLine="656"/>
        <w:spacing w:after="0" w:line="287" w:lineRule="auto"/>
        <w:tabs>
          <w:tab w:leader="none" w:pos="1085" w:val="left"/>
        </w:tabs>
        <w:numPr>
          <w:ilvl w:val="0"/>
          <w:numId w:val="394"/>
        </w:numPr>
        <w:rPr>
          <w:rFonts w:ascii="Arial" w:cs="Arial" w:eastAsia="Arial" w:hAnsi="Arial"/>
          <w:sz w:val="19"/>
          <w:szCs w:val="19"/>
          <w:color w:val="auto"/>
        </w:rPr>
      </w:pPr>
      <w:r>
        <w:rPr>
          <w:rFonts w:ascii="Arial" w:cs="Arial" w:eastAsia="Arial" w:hAnsi="Arial"/>
          <w:sz w:val="19"/>
          <w:szCs w:val="19"/>
          <w:color w:val="auto"/>
        </w:rPr>
        <w:t>The payment obligation of any Luxembourg Guarantor for the obligations of any other Guarantor that is not a Subsidiary of such Luxembourg Guarantor, shall be limited at any time, with no double counting, to an aggregate amount not exceeding the higher of:</w:t>
      </w:r>
    </w:p>
    <w:p>
      <w:pPr>
        <w:spacing w:after="0" w:line="179" w:lineRule="exact"/>
        <w:rPr>
          <w:rFonts w:ascii="Arial" w:cs="Arial" w:eastAsia="Arial" w:hAnsi="Arial"/>
          <w:sz w:val="19"/>
          <w:szCs w:val="19"/>
          <w:color w:val="auto"/>
        </w:rPr>
      </w:pPr>
    </w:p>
    <w:p>
      <w:pPr>
        <w:jc w:val="both"/>
        <w:ind w:left="660" w:firstLine="645"/>
        <w:spacing w:after="0" w:line="334" w:lineRule="auto"/>
        <w:tabs>
          <w:tab w:leader="none" w:pos="2143" w:val="left"/>
        </w:tabs>
        <w:numPr>
          <w:ilvl w:val="1"/>
          <w:numId w:val="394"/>
        </w:numPr>
        <w:rPr>
          <w:rFonts w:ascii="Arial" w:cs="Arial" w:eastAsia="Arial" w:hAnsi="Arial"/>
          <w:sz w:val="16"/>
          <w:szCs w:val="16"/>
          <w:color w:val="auto"/>
        </w:rPr>
      </w:pPr>
      <w:r>
        <w:rPr>
          <w:rFonts w:ascii="Arial" w:cs="Arial" w:eastAsia="Arial" w:hAnsi="Arial"/>
          <w:sz w:val="16"/>
          <w:szCs w:val="16"/>
          <w:color w:val="auto"/>
        </w:rPr>
        <w:t>ninety five per cent. (95%) of the Luxembourg Guarantor’s own funds (</w:t>
      </w:r>
      <w:r>
        <w:rPr>
          <w:rFonts w:ascii="Arial" w:cs="Arial" w:eastAsia="Arial" w:hAnsi="Arial"/>
          <w:sz w:val="16"/>
          <w:szCs w:val="16"/>
          <w:i w:val="1"/>
          <w:iCs w:val="1"/>
          <w:color w:val="auto"/>
        </w:rPr>
        <w:t>capitaux propres</w:t>
      </w:r>
      <w:r>
        <w:rPr>
          <w:rFonts w:ascii="Arial" w:cs="Arial" w:eastAsia="Arial" w:hAnsi="Arial"/>
          <w:sz w:val="16"/>
          <w:szCs w:val="16"/>
          <w:color w:val="auto"/>
        </w:rPr>
        <w:t>) (as referred to in Annex 1 of the Luxembourg regulation dated 18 December 2015 defining the form and the content of the balance sheet and profit and loss account layouts (the “</w:t>
      </w:r>
      <w:r>
        <w:rPr>
          <w:rFonts w:ascii="Arial" w:cs="Arial" w:eastAsia="Arial" w:hAnsi="Arial"/>
          <w:sz w:val="16"/>
          <w:szCs w:val="16"/>
          <w:u w:val="single" w:color="auto"/>
          <w:color w:val="auto"/>
        </w:rPr>
        <w:t>Regulation</w:t>
      </w:r>
      <w:r>
        <w:rPr>
          <w:rFonts w:ascii="Arial" w:cs="Arial" w:eastAsia="Arial" w:hAnsi="Arial"/>
          <w:sz w:val="16"/>
          <w:szCs w:val="16"/>
          <w:color w:val="auto"/>
        </w:rPr>
        <w:t>”) and implementing among others article 34 of the Luxembourg law dated 19 December 2002 concerning the trade and companies register and the accounting and annual accounts of undertakings, as amended (the “</w:t>
      </w:r>
      <w:r>
        <w:rPr>
          <w:rFonts w:ascii="Arial" w:cs="Arial" w:eastAsia="Arial" w:hAnsi="Arial"/>
          <w:sz w:val="16"/>
          <w:szCs w:val="16"/>
          <w:u w:val="single" w:color="auto"/>
          <w:color w:val="auto"/>
        </w:rPr>
        <w:t>2002 Law</w:t>
      </w:r>
      <w:r>
        <w:rPr>
          <w:rFonts w:ascii="Arial" w:cs="Arial" w:eastAsia="Arial" w:hAnsi="Arial"/>
          <w:sz w:val="16"/>
          <w:szCs w:val="16"/>
          <w:color w:val="auto"/>
        </w:rPr>
        <w:t>”)) and subordinated debt (</w:t>
      </w:r>
      <w:r>
        <w:rPr>
          <w:rFonts w:ascii="Arial" w:cs="Arial" w:eastAsia="Arial" w:hAnsi="Arial"/>
          <w:sz w:val="16"/>
          <w:szCs w:val="16"/>
          <w:i w:val="1"/>
          <w:iCs w:val="1"/>
          <w:color w:val="auto"/>
        </w:rPr>
        <w:t>dette subordonnée</w:t>
      </w:r>
      <w:r>
        <w:rPr>
          <w:rFonts w:ascii="Arial" w:cs="Arial" w:eastAsia="Arial" w:hAnsi="Arial"/>
          <w:sz w:val="16"/>
          <w:szCs w:val="16"/>
          <w:color w:val="auto"/>
        </w:rPr>
        <w:t>) (excluding, however, any amounts borrowed by such Luxembourg Guarantor as per section</w:t>
      </w:r>
    </w:p>
    <w:p>
      <w:pPr>
        <w:spacing w:after="0" w:line="2" w:lineRule="exact"/>
        <w:rPr>
          <w:rFonts w:ascii="Arial" w:cs="Arial" w:eastAsia="Arial" w:hAnsi="Arial"/>
          <w:sz w:val="16"/>
          <w:szCs w:val="16"/>
          <w:color w:val="auto"/>
        </w:rPr>
      </w:pPr>
    </w:p>
    <w:p>
      <w:pPr>
        <w:ind w:left="940" w:hanging="284"/>
        <w:spacing w:after="0"/>
        <w:tabs>
          <w:tab w:leader="none" w:pos="940" w:val="left"/>
        </w:tabs>
        <w:numPr>
          <w:ilvl w:val="0"/>
          <w:numId w:val="394"/>
        </w:numPr>
        <w:rPr>
          <w:rFonts w:ascii="Arial" w:cs="Arial" w:eastAsia="Arial" w:hAnsi="Arial"/>
          <w:sz w:val="20"/>
          <w:szCs w:val="20"/>
          <w:color w:val="auto"/>
        </w:rPr>
      </w:pPr>
      <w:r>
        <w:rPr>
          <w:rFonts w:ascii="Arial" w:cs="Arial" w:eastAsia="Arial" w:hAnsi="Arial"/>
          <w:sz w:val="20"/>
          <w:szCs w:val="20"/>
          <w:color w:val="auto"/>
        </w:rPr>
        <w:t>below), as at the date of this Guaranty; and</w:t>
      </w:r>
    </w:p>
    <w:p>
      <w:pPr>
        <w:spacing w:after="0" w:line="256" w:lineRule="exact"/>
        <w:rPr>
          <w:rFonts w:ascii="Arial" w:cs="Arial" w:eastAsia="Arial" w:hAnsi="Arial"/>
          <w:sz w:val="20"/>
          <w:szCs w:val="20"/>
          <w:color w:val="auto"/>
        </w:rPr>
      </w:pPr>
    </w:p>
    <w:p>
      <w:pPr>
        <w:jc w:val="both"/>
        <w:ind w:left="660" w:firstLine="645"/>
        <w:spacing w:after="0" w:line="274" w:lineRule="auto"/>
        <w:tabs>
          <w:tab w:leader="none" w:pos="2198" w:val="left"/>
        </w:tabs>
        <w:numPr>
          <w:ilvl w:val="1"/>
          <w:numId w:val="395"/>
        </w:numPr>
        <w:rPr>
          <w:rFonts w:ascii="Arial" w:cs="Arial" w:eastAsia="Arial" w:hAnsi="Arial"/>
          <w:sz w:val="20"/>
          <w:szCs w:val="20"/>
          <w:color w:val="auto"/>
        </w:rPr>
      </w:pPr>
      <w:r>
        <w:rPr>
          <w:rFonts w:ascii="Arial" w:cs="Arial" w:eastAsia="Arial" w:hAnsi="Arial"/>
          <w:sz w:val="20"/>
          <w:szCs w:val="20"/>
          <w:color w:val="auto"/>
        </w:rPr>
        <w:t>ninety five per cent. (95%) of the Luxembourg Guarantor’s own funds (capitaux propres) (as referred to in Annex 1 of the Regulation implementing among others article 34 of the 2002 Law) and subordinated debt (</w:t>
      </w:r>
      <w:r>
        <w:rPr>
          <w:rFonts w:ascii="Arial" w:cs="Arial" w:eastAsia="Arial" w:hAnsi="Arial"/>
          <w:sz w:val="20"/>
          <w:szCs w:val="20"/>
          <w:i w:val="1"/>
          <w:iCs w:val="1"/>
          <w:color w:val="auto"/>
        </w:rPr>
        <w:t>dette subordonnée</w:t>
      </w:r>
      <w:r>
        <w:rPr>
          <w:rFonts w:ascii="Arial" w:cs="Arial" w:eastAsia="Arial" w:hAnsi="Arial"/>
          <w:sz w:val="20"/>
          <w:szCs w:val="20"/>
          <w:color w:val="auto"/>
        </w:rPr>
        <w:t>) (excluding, however, any amounts borrowed by such Luxembourg Guarantor as per section (b) below), as at the date of a guarantee payment under this Guaranty.</w:t>
      </w:r>
    </w:p>
    <w:p>
      <w:pPr>
        <w:spacing w:after="0" w:line="192" w:lineRule="exact"/>
        <w:rPr>
          <w:sz w:val="20"/>
          <w:szCs w:val="20"/>
          <w:color w:val="auto"/>
        </w:rPr>
      </w:pPr>
    </w:p>
    <w:p>
      <w:pPr>
        <w:ind w:firstLine="656"/>
        <w:spacing w:after="0" w:line="287" w:lineRule="auto"/>
        <w:tabs>
          <w:tab w:leader="none" w:pos="1093" w:val="left"/>
        </w:tabs>
        <w:numPr>
          <w:ilvl w:val="0"/>
          <w:numId w:val="396"/>
        </w:numPr>
        <w:rPr>
          <w:rFonts w:ascii="Arial" w:cs="Arial" w:eastAsia="Arial" w:hAnsi="Arial"/>
          <w:sz w:val="19"/>
          <w:szCs w:val="19"/>
          <w:color w:val="auto"/>
        </w:rPr>
      </w:pPr>
      <w:r>
        <w:rPr>
          <w:rFonts w:ascii="Arial" w:cs="Arial" w:eastAsia="Arial" w:hAnsi="Arial"/>
          <w:sz w:val="19"/>
          <w:szCs w:val="19"/>
          <w:color w:val="auto"/>
        </w:rPr>
        <w:t>The limitation set forth in this clause (b) shall not apply to any amounts borrowed under the Credit Agreement and made directly or indirectly available, in any form whatsoever, to the Luxembourg Guarantor or to any of its direct or indirect Subsidiaries.</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Norwegian Limitations</w:t>
      </w:r>
      <w:r>
        <w:rPr>
          <w:rFonts w:ascii="Arial" w:cs="Arial" w:eastAsia="Arial" w:hAnsi="Arial"/>
          <w:sz w:val="20"/>
          <w:szCs w:val="20"/>
          <w:color w:val="auto"/>
        </w:rPr>
        <w:t>. The Norwegian Financial Agreements Act shall not apply to this Guaranty, except as required by § 2-2 of the Financial Agreements Act (if applicable). The liability of each Guarantor incorporated in Norway in its capacity as Guarantor (each a “</w:t>
      </w:r>
      <w:r>
        <w:rPr>
          <w:rFonts w:ascii="Arial" w:cs="Arial" w:eastAsia="Arial" w:hAnsi="Arial"/>
          <w:sz w:val="20"/>
          <w:szCs w:val="20"/>
          <w:u w:val="single" w:color="auto"/>
          <w:color w:val="auto"/>
        </w:rPr>
        <w:t>Norwegian Guarantor</w:t>
      </w:r>
      <w:r>
        <w:rPr>
          <w:rFonts w:ascii="Arial" w:cs="Arial" w:eastAsia="Arial" w:hAnsi="Arial"/>
          <w:sz w:val="20"/>
          <w:szCs w:val="20"/>
          <w:color w:val="auto"/>
        </w:rPr>
        <w:t>”) shall be limited to USD $1,793,855,555, plus any interest, default interest, commissions, charges, fees and expenses due under any Guaranteed Obligation. Notwithstanding any other provision of this Guaranty to the contrary, the obligations and liabilities of any Norwegian Guarantor under this Guaranty shall be limited by such mandatory provisions of sections 8-7 and/or 8-10 of the Norwegian Limited Liability Companies Act of 13 June 1997 (the “</w:t>
      </w:r>
      <w:r>
        <w:rPr>
          <w:rFonts w:ascii="Arial" w:cs="Arial" w:eastAsia="Arial" w:hAnsi="Arial"/>
          <w:sz w:val="20"/>
          <w:szCs w:val="20"/>
          <w:u w:val="single" w:color="auto"/>
          <w:color w:val="auto"/>
        </w:rPr>
        <w:t>Act</w:t>
      </w:r>
      <w:r>
        <w:rPr>
          <w:rFonts w:ascii="Arial" w:cs="Arial" w:eastAsia="Arial" w:hAnsi="Arial"/>
          <w:sz w:val="20"/>
          <w:szCs w:val="20"/>
          <w:color w:val="auto"/>
        </w:rPr>
        <w:t>”)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Act as amended from time to time.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Swiss Financial Assistance</w:t>
      </w:r>
      <w:r>
        <w:rPr>
          <w:rFonts w:ascii="Arial" w:cs="Arial" w:eastAsia="Arial" w:hAnsi="Arial"/>
          <w:sz w:val="20"/>
          <w:szCs w:val="20"/>
          <w:color w:val="auto"/>
        </w:rPr>
        <w:t>.</w:t>
      </w:r>
    </w:p>
    <w:p>
      <w:pPr>
        <w:spacing w:after="0" w:line="229" w:lineRule="exact"/>
        <w:rPr>
          <w:sz w:val="20"/>
          <w:szCs w:val="20"/>
          <w:color w:val="auto"/>
        </w:rPr>
      </w:pPr>
    </w:p>
    <w:p>
      <w:pPr>
        <w:ind w:right="20" w:firstLine="656"/>
        <w:spacing w:after="0" w:line="242" w:lineRule="auto"/>
        <w:tabs>
          <w:tab w:leader="none" w:pos="1066" w:val="left"/>
        </w:tabs>
        <w:numPr>
          <w:ilvl w:val="0"/>
          <w:numId w:val="397"/>
        </w:numPr>
        <w:rPr>
          <w:rFonts w:ascii="Arial" w:cs="Arial" w:eastAsia="Arial" w:hAnsi="Arial"/>
          <w:sz w:val="20"/>
          <w:szCs w:val="20"/>
          <w:color w:val="auto"/>
        </w:rPr>
      </w:pPr>
      <w:r>
        <w:rPr>
          <w:rFonts w:ascii="Arial" w:cs="Arial" w:eastAsia="Arial" w:hAnsi="Arial"/>
          <w:sz w:val="20"/>
          <w:szCs w:val="20"/>
          <w:color w:val="auto"/>
        </w:rPr>
        <w:t>If and to the extent that a payment in fulfilling the Guaranteed Obligations under this Guaranty any Guarantor organized under the laws of Switzerland (the “</w:t>
      </w:r>
      <w:r>
        <w:rPr>
          <w:rFonts w:ascii="Arial" w:cs="Arial" w:eastAsia="Arial" w:hAnsi="Arial"/>
          <w:sz w:val="20"/>
          <w:szCs w:val="20"/>
          <w:u w:val="single" w:color="auto"/>
          <w:color w:val="auto"/>
        </w:rPr>
        <w:t>Swiss Guarantors</w:t>
      </w:r>
      <w:r>
        <w:rPr>
          <w:rFonts w:ascii="Arial" w:cs="Arial" w:eastAsia="Arial" w:hAnsi="Arial"/>
          <w:sz w:val="20"/>
          <w:szCs w:val="20"/>
          <w:color w:val="auto"/>
        </w:rPr>
        <w:t>”) would, at the time payment is due, under Swiss law and practice (inter alia, prohibiting capital repayments or restricting profit distributions) not be permitted, in particular if and to the extent that such Swiss Guarantor guarantees obligations other than obligations of one of its subsidiaries (i.e., obligations of its direct or indirect parent companies (up-stream guarantee) or sister companies (cross-stream guarantee)) (such obligations, “</w:t>
      </w:r>
      <w:r>
        <w:rPr>
          <w:rFonts w:ascii="Arial" w:cs="Arial" w:eastAsia="Arial" w:hAnsi="Arial"/>
          <w:sz w:val="20"/>
          <w:szCs w:val="20"/>
          <w:u w:val="single" w:color="auto"/>
          <w:color w:val="auto"/>
        </w:rPr>
        <w:t>Restricted Obligations</w:t>
      </w:r>
      <w:r>
        <w:rPr>
          <w:rFonts w:ascii="Arial" w:cs="Arial" w:eastAsia="Arial" w:hAnsi="Arial"/>
          <w:sz w:val="20"/>
          <w:szCs w:val="20"/>
          <w:color w:val="auto"/>
        </w:rPr>
        <w:t xml:space="preserve">”), then such obligations and payment amount shall from time to time be limited to the amount permitted to be paid;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limited amount shall at no time be less than such Swiss Guarantor’s profits and reserves available for distribution as dividends (being the balance sheet profits and any reserves available for this purpose, in each case in accordance with Article 798 of the Swiss Federal Code of Obligations) at the time or times payment under or pursuant to this Guaranty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66" w:name="page367"/>
    <w:bookmarkEnd w:id="366"/>
    <w:p>
      <w:pPr>
        <w:jc w:val="both"/>
        <w:spacing w:after="0" w:line="244" w:lineRule="auto"/>
        <w:rPr>
          <w:sz w:val="20"/>
          <w:szCs w:val="20"/>
          <w:color w:val="auto"/>
        </w:rPr>
      </w:pPr>
      <w:r>
        <w:rPr>
          <w:rFonts w:ascii="Arial" w:cs="Arial" w:eastAsia="Arial" w:hAnsi="Arial"/>
          <w:sz w:val="20"/>
          <w:szCs w:val="20"/>
          <w:color w:val="auto"/>
        </w:rPr>
        <w:t>requested from such Swiss Guarantor, and further provided that such limitation (as may apply from time to time or not) shall not (generally or definitively) free such Swiss Guarantor from payment obligations hereunder in excess thereof, but merely postpone the payment date therefor until such times as payment is again permitted notwithstanding such limitation. Any and all indemnities and guarantees contained in the Loan Documents including, in particular, Section 4.02(b) of the Credit Agreement shall be construed in a manner consistent with the provisions herein contained.</w:t>
      </w:r>
    </w:p>
    <w:p>
      <w:pPr>
        <w:spacing w:after="0" w:line="208" w:lineRule="exact"/>
        <w:rPr>
          <w:sz w:val="20"/>
          <w:szCs w:val="20"/>
          <w:color w:val="auto"/>
        </w:rPr>
      </w:pPr>
    </w:p>
    <w:p>
      <w:pPr>
        <w:ind w:left="1080" w:hanging="424"/>
        <w:spacing w:after="0"/>
        <w:tabs>
          <w:tab w:leader="none" w:pos="108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In respect of Restricted Obligations, each Swiss Guarantor shall:</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if and to the extent required by applicable law in force at the relevant time:</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781" w:val="left"/>
        </w:tabs>
        <w:numPr>
          <w:ilvl w:val="1"/>
          <w:numId w:val="398"/>
        </w:numPr>
        <w:rPr>
          <w:rFonts w:ascii="Arial" w:cs="Arial" w:eastAsia="Arial" w:hAnsi="Arial"/>
          <w:sz w:val="20"/>
          <w:szCs w:val="20"/>
          <w:color w:val="auto"/>
        </w:rPr>
      </w:pPr>
      <w:r>
        <w:rPr>
          <w:rFonts w:ascii="Arial" w:cs="Arial" w:eastAsia="Arial" w:hAnsi="Arial"/>
          <w:sz w:val="20"/>
          <w:szCs w:val="20"/>
          <w:color w:val="auto"/>
        </w:rPr>
        <w:t>subject to any applicable double taxation treaty, deduct Swiss anticipatory tax (</w:t>
      </w:r>
      <w:r>
        <w:rPr>
          <w:rFonts w:ascii="Arial" w:cs="Arial" w:eastAsia="Arial" w:hAnsi="Arial"/>
          <w:sz w:val="20"/>
          <w:szCs w:val="20"/>
          <w:i w:val="1"/>
          <w:iCs w:val="1"/>
          <w:color w:val="auto"/>
        </w:rPr>
        <w:t>Verrechnungssteuer</w:t>
      </w:r>
      <w:r>
        <w:rPr>
          <w:rFonts w:ascii="Arial" w:cs="Arial" w:eastAsia="Arial" w:hAnsi="Arial"/>
          <w:sz w:val="20"/>
          <w:szCs w:val="20"/>
          <w:color w:val="auto"/>
        </w:rPr>
        <w:t>; “</w:t>
      </w:r>
      <w:r>
        <w:rPr>
          <w:rFonts w:ascii="Arial" w:cs="Arial" w:eastAsia="Arial" w:hAnsi="Arial"/>
          <w:sz w:val="20"/>
          <w:szCs w:val="20"/>
          <w:u w:val="single" w:color="auto"/>
          <w:color w:val="auto"/>
        </w:rPr>
        <w:t>Swiss Withholding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Tax</w:t>
      </w:r>
      <w:r>
        <w:rPr>
          <w:rFonts w:ascii="Arial" w:cs="Arial" w:eastAsia="Arial" w:hAnsi="Arial"/>
          <w:sz w:val="20"/>
          <w:szCs w:val="20"/>
          <w:color w:val="auto"/>
        </w:rPr>
        <w:t>”) at the rate of 35% (or such other rate as in force from time to time) from any payment made by it in respect of Restricted Obligations;</w:t>
      </w:r>
    </w:p>
    <w:p>
      <w:pPr>
        <w:spacing w:after="0" w:line="199" w:lineRule="exact"/>
        <w:rPr>
          <w:rFonts w:ascii="Arial" w:cs="Arial" w:eastAsia="Arial" w:hAnsi="Arial"/>
          <w:sz w:val="20"/>
          <w:szCs w:val="20"/>
          <w:color w:val="auto"/>
        </w:rPr>
      </w:pPr>
    </w:p>
    <w:p>
      <w:pPr>
        <w:ind w:left="1800" w:hanging="495"/>
        <w:spacing w:after="0"/>
        <w:tabs>
          <w:tab w:leader="none" w:pos="180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pay any such deduction to the Swiss Federal Tax Administration; and</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933" w:val="left"/>
        </w:tabs>
        <w:numPr>
          <w:ilvl w:val="1"/>
          <w:numId w:val="398"/>
        </w:numPr>
        <w:rPr>
          <w:rFonts w:ascii="Arial" w:cs="Arial" w:eastAsia="Arial" w:hAnsi="Arial"/>
          <w:sz w:val="20"/>
          <w:szCs w:val="20"/>
          <w:color w:val="auto"/>
        </w:rPr>
      </w:pPr>
      <w:r>
        <w:rPr>
          <w:rFonts w:ascii="Arial" w:cs="Arial" w:eastAsia="Arial" w:hAnsi="Arial"/>
          <w:sz w:val="20"/>
          <w:szCs w:val="20"/>
          <w:color w:val="auto"/>
        </w:rPr>
        <w:t>notify the Administrative Agent that such a deduction has been made and provide the Administrative Agent with evidence that such a deduction has been paid to the Swiss Federal Tax Administration, all in accordance with Section 4.02(a) and Section 4.02(f) of the Credit Agreement; and</w:t>
      </w:r>
    </w:p>
    <w:p>
      <w:pPr>
        <w:spacing w:after="0" w:line="199" w:lineRule="exact"/>
        <w:rPr>
          <w:rFonts w:ascii="Arial" w:cs="Arial" w:eastAsia="Arial" w:hAnsi="Arial"/>
          <w:sz w:val="20"/>
          <w:szCs w:val="20"/>
          <w:color w:val="auto"/>
        </w:rPr>
      </w:pPr>
    </w:p>
    <w:p>
      <w:pPr>
        <w:jc w:val="both"/>
        <w:ind w:left="660" w:firstLine="645"/>
        <w:spacing w:after="0" w:line="246" w:lineRule="auto"/>
        <w:tabs>
          <w:tab w:leader="none" w:pos="1761" w:val="left"/>
        </w:tabs>
        <w:numPr>
          <w:ilvl w:val="1"/>
          <w:numId w:val="398"/>
        </w:numPr>
        <w:rPr>
          <w:rFonts w:ascii="Arial" w:cs="Arial" w:eastAsia="Arial" w:hAnsi="Arial"/>
          <w:sz w:val="20"/>
          <w:szCs w:val="20"/>
          <w:color w:val="auto"/>
        </w:rPr>
      </w:pPr>
      <w:r>
        <w:rPr>
          <w:rFonts w:ascii="Arial" w:cs="Arial" w:eastAsia="Arial" w:hAnsi="Arial"/>
          <w:sz w:val="20"/>
          <w:szCs w:val="20"/>
          <w:color w:val="auto"/>
        </w:rPr>
        <w:t xml:space="preserve">to the extent such a deduction is made, not be obliged to either gross-up in accordance with Section 4.02(a) of the Credit Agreement or </w:t>
      </w:r>
      <w:r>
        <w:rPr>
          <w:rFonts w:ascii="Arial" w:cs="Arial" w:eastAsia="Arial" w:hAnsi="Arial"/>
          <w:sz w:val="20"/>
          <w:szCs w:val="20"/>
          <w:u w:val="single" w:color="auto"/>
          <w:color w:val="auto"/>
        </w:rPr>
        <w:t>Section 19(a)</w:t>
      </w:r>
      <w:r>
        <w:rPr>
          <w:rFonts w:ascii="Arial" w:cs="Arial" w:eastAsia="Arial" w:hAnsi="Arial"/>
          <w:sz w:val="20"/>
          <w:szCs w:val="20"/>
          <w:color w:val="auto"/>
        </w:rPr>
        <w:t xml:space="preserve"> of this Guaranty or indemnify any of the Guaranteed Parties in accordance with Section 4.02(b) of the Credit Agreement in relation to any such payment made by it in respect of Restricted Obligations unless grossing-up is permitted under the laws of Switzerland then in force.</w:t>
      </w:r>
    </w:p>
    <w:p>
      <w:pPr>
        <w:spacing w:after="0" w:line="205" w:lineRule="exact"/>
        <w:rPr>
          <w:rFonts w:ascii="Arial" w:cs="Arial" w:eastAsia="Arial" w:hAnsi="Arial"/>
          <w:sz w:val="20"/>
          <w:szCs w:val="20"/>
          <w:color w:val="auto"/>
        </w:rPr>
      </w:pPr>
    </w:p>
    <w:p>
      <w:pPr>
        <w:jc w:val="both"/>
        <w:ind w:firstLine="656"/>
        <w:spacing w:after="0" w:line="282" w:lineRule="auto"/>
        <w:tabs>
          <w:tab w:leader="none" w:pos="109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If and to the extent requested by the Administrative Agent and if and to the extent this is from time to time required under Swiss law (restricting profit distributions), in order to allow the Guaranteed Parties to obtain a maximum benefit from the relevant Swiss Guarantor’s liabilities under this Guaranty, each Swiss Guarantor undertakes to promptly implement all such measures and/or to promptly obtain the fulfillment of all prerequisites allowing it to promptly make the requested payment(s) hereunder from time to time, including the following:</w:t>
      </w:r>
    </w:p>
    <w:p>
      <w:pPr>
        <w:spacing w:after="0" w:line="175" w:lineRule="exact"/>
        <w:rPr>
          <w:rFonts w:ascii="Arial" w:cs="Arial" w:eastAsia="Arial" w:hAnsi="Arial"/>
          <w:sz w:val="18"/>
          <w:szCs w:val="18"/>
          <w:color w:val="auto"/>
        </w:rPr>
      </w:pPr>
    </w:p>
    <w:p>
      <w:pPr>
        <w:ind w:left="1680" w:hanging="375"/>
        <w:spacing w:after="0"/>
        <w:tabs>
          <w:tab w:leader="none" w:pos="168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preparation of an up-to-date audited balance sheet of such Swiss Guarantor;</w:t>
      </w:r>
    </w:p>
    <w:p>
      <w:pPr>
        <w:spacing w:after="0" w:line="229" w:lineRule="exact"/>
        <w:rPr>
          <w:rFonts w:ascii="Arial" w:cs="Arial" w:eastAsia="Arial" w:hAnsi="Arial"/>
          <w:sz w:val="20"/>
          <w:szCs w:val="20"/>
          <w:color w:val="auto"/>
        </w:rPr>
      </w:pPr>
    </w:p>
    <w:p>
      <w:pPr>
        <w:ind w:left="660" w:right="20" w:firstLine="645"/>
        <w:spacing w:after="0" w:line="260" w:lineRule="auto"/>
        <w:tabs>
          <w:tab w:leader="none" w:pos="1956" w:val="left"/>
        </w:tabs>
        <w:numPr>
          <w:ilvl w:val="1"/>
          <w:numId w:val="398"/>
        </w:numPr>
        <w:rPr>
          <w:rFonts w:ascii="Arial" w:cs="Arial" w:eastAsia="Arial" w:hAnsi="Arial"/>
          <w:sz w:val="20"/>
          <w:szCs w:val="20"/>
          <w:color w:val="auto"/>
        </w:rPr>
      </w:pPr>
      <w:r>
        <w:rPr>
          <w:rFonts w:ascii="Arial" w:cs="Arial" w:eastAsia="Arial" w:hAnsi="Arial"/>
          <w:sz w:val="20"/>
          <w:szCs w:val="20"/>
          <w:color w:val="auto"/>
        </w:rPr>
        <w:t>confirmation of the auditors of such Swiss Guarantor that the relevant amount represents the maximum freely distributable profits;</w:t>
      </w:r>
    </w:p>
    <w:p>
      <w:pPr>
        <w:spacing w:after="0" w:line="190" w:lineRule="exact"/>
        <w:rPr>
          <w:rFonts w:ascii="Arial" w:cs="Arial" w:eastAsia="Arial" w:hAnsi="Arial"/>
          <w:sz w:val="20"/>
          <w:szCs w:val="20"/>
          <w:color w:val="auto"/>
        </w:rPr>
      </w:pPr>
    </w:p>
    <w:p>
      <w:pPr>
        <w:ind w:left="1800" w:hanging="495"/>
        <w:spacing w:after="0"/>
        <w:tabs>
          <w:tab w:leader="none" w:pos="1800" w:val="left"/>
        </w:tabs>
        <w:numPr>
          <w:ilvl w:val="1"/>
          <w:numId w:val="398"/>
        </w:numPr>
        <w:rPr>
          <w:rFonts w:ascii="Arial" w:cs="Arial" w:eastAsia="Arial" w:hAnsi="Arial"/>
          <w:sz w:val="20"/>
          <w:szCs w:val="20"/>
          <w:color w:val="auto"/>
        </w:rPr>
      </w:pPr>
      <w:r>
        <w:rPr>
          <w:rFonts w:ascii="Arial" w:cs="Arial" w:eastAsia="Arial" w:hAnsi="Arial"/>
          <w:sz w:val="20"/>
          <w:szCs w:val="20"/>
          <w:color w:val="auto"/>
        </w:rPr>
        <w:t>approval by a quotaholders’ meeting of such Swiss Guarantor of the resulting profit distribution; and</w:t>
      </w:r>
    </w:p>
    <w:p>
      <w:pPr>
        <w:spacing w:after="0" w:line="229" w:lineRule="exact"/>
        <w:rPr>
          <w:rFonts w:ascii="Arial" w:cs="Arial" w:eastAsia="Arial" w:hAnsi="Arial"/>
          <w:sz w:val="20"/>
          <w:szCs w:val="20"/>
          <w:color w:val="auto"/>
        </w:rPr>
      </w:pPr>
    </w:p>
    <w:p>
      <w:pPr>
        <w:jc w:val="both"/>
        <w:ind w:left="660" w:firstLine="645"/>
        <w:spacing w:after="0" w:line="250" w:lineRule="auto"/>
        <w:tabs>
          <w:tab w:leader="none" w:pos="1807" w:val="left"/>
        </w:tabs>
        <w:numPr>
          <w:ilvl w:val="1"/>
          <w:numId w:val="398"/>
        </w:numPr>
        <w:rPr>
          <w:rFonts w:ascii="Arial" w:cs="Arial" w:eastAsia="Arial" w:hAnsi="Arial"/>
          <w:sz w:val="20"/>
          <w:szCs w:val="20"/>
          <w:color w:val="auto"/>
        </w:rPr>
      </w:pPr>
      <w:r>
        <w:rPr>
          <w:rFonts w:ascii="Arial" w:cs="Arial" w:eastAsia="Arial" w:hAnsi="Arial"/>
          <w:sz w:val="20"/>
          <w:szCs w:val="20"/>
          <w:color w:val="auto"/>
        </w:rPr>
        <w:t>to the extent permitted by applicable law, write up any of the assets of the relevant Swiss Guarantor that are shown in its balance sheet with a book value that is significantly lower than the market value of the assets and provided that such write-up would not have materially adverse tax consequences for such Swiss Guarantor or any of its affiliates.</w:t>
      </w:r>
    </w:p>
    <w:p>
      <w:pPr>
        <w:spacing w:after="0" w:line="20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Stay of Acceleration</w:t>
      </w:r>
      <w:r>
        <w:rPr>
          <w:rFonts w:ascii="Arial" w:cs="Arial" w:eastAsia="Arial" w:hAnsi="Arial"/>
          <w:sz w:val="20"/>
          <w:szCs w:val="20"/>
          <w:color w:val="auto"/>
        </w:rPr>
        <w:t>. If acceleration (in accordance with the provisions of the Credit Agreement, any Swap Agreement evidencing Swap Obligations, any Banking Services Agreement or any other Loan Document, as applicable) of the time for payment of any amount payable by 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38" w:right="239" w:bottom="1440" w:gutter="0" w:footer="0" w:header="0"/>
        </w:sectPr>
      </w:pPr>
    </w:p>
    <w:bookmarkStart w:id="367" w:name="page368"/>
    <w:bookmarkEnd w:id="367"/>
    <w:p>
      <w:pPr>
        <w:jc w:val="both"/>
        <w:spacing w:after="0" w:line="260" w:lineRule="auto"/>
        <w:rPr>
          <w:sz w:val="20"/>
          <w:szCs w:val="20"/>
          <w:color w:val="auto"/>
        </w:rPr>
      </w:pPr>
      <w:r>
        <w:rPr>
          <w:rFonts w:ascii="Arial" w:cs="Arial" w:eastAsia="Arial" w:hAnsi="Arial"/>
          <w:sz w:val="19"/>
          <w:szCs w:val="19"/>
          <w:color w:val="auto"/>
        </w:rPr>
        <w:t>Borrower under the Credit Agreement, or any counterparty under any Swap Agreement evidencing Swap Obligations, any Banking Services Agreement or any other Loan Document is stayed upon the insolvency, bankruptcy, administration or reorganization of any Borrower or any of such Borrower’s Affiliates, all such amounts otherwise subject to acceleration (but for such stay) under the terms of the Credit Agreement, any Swap Agreement evidencing Swap Obligations, any Banking Services Agreement or any other Loan Document shall nonetheless be payable by each of the Guarantors hereunder forthwith on demand by the Administrative Agent.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other communications to any party hereunder shall be given in the manner prescribed in Section 11.02 of the Credit Agreement with respect to the Administrative Agent at its notice address therein and, with respect to any Guarantor, in the care of Weatherford International, LLC, as provided and at the notice address set forth in the Credit Agreement, or such other address or telecopy number as such party may hereafter specify for such purpose in accordance with the provisions of Section 11.02 of the Credit Agreement.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No Waivers</w:t>
      </w:r>
      <w:r>
        <w:rPr>
          <w:rFonts w:ascii="Arial" w:cs="Arial" w:eastAsia="Arial" w:hAnsi="Arial"/>
          <w:sz w:val="20"/>
          <w:szCs w:val="20"/>
          <w:color w:val="auto"/>
        </w:rPr>
        <w:t>. No failure or delay by the Administrative Agent or any Guaranteed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evidencing Swap Obligations, any Banking Services Agreement and the other Loan Documents shall be cumulative and not exclusive of any rights or remedies provided by law.</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Guaranty is for the benefit of the Administrative Agent and the Guaranteed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a transaction permitted pursuant to the Credit Agreement, no Guarantor shall have any right to assign its rights or obligations hereunder without the consent of the Administrative Agent, and any such assignment in violation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be null and void; and in the event of an assignment of any amounts payable under the Credit Agreement, any Swap Agreement evidencing Swap Obligations, any Banking Services Agreement or the other Loan Documents in accordance with the respective terms thereof, the rights hereunder, to the extent applicable to the indebtedness so assigned, shall be transferred with such indebtedness. This Guaranty shall be binding upon each of the Guarantors and their respective successors and assigns.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Changes in Writing</w:t>
      </w:r>
      <w:r>
        <w:rPr>
          <w:rFonts w:ascii="Arial" w:cs="Arial" w:eastAsia="Arial" w:hAnsi="Arial"/>
          <w:sz w:val="19"/>
          <w:szCs w:val="19"/>
          <w:color w:val="auto"/>
        </w:rPr>
        <w:t xml:space="preserve">. Other than in connection with the addition of additional Subsidiaries, which become parties hereto by executing a Guaranty Supplement hereto in the form attached as </w:t>
      </w:r>
      <w:r>
        <w:rPr>
          <w:rFonts w:ascii="Arial" w:cs="Arial" w:eastAsia="Arial" w:hAnsi="Arial"/>
          <w:sz w:val="19"/>
          <w:szCs w:val="19"/>
          <w:u w:val="single" w:color="auto"/>
          <w:color w:val="auto"/>
        </w:rPr>
        <w:t>Annex I</w:t>
      </w:r>
      <w:r>
        <w:rPr>
          <w:rFonts w:ascii="Arial" w:cs="Arial" w:eastAsia="Arial" w:hAnsi="Arial"/>
          <w:sz w:val="19"/>
          <w:szCs w:val="19"/>
          <w:color w:val="auto"/>
        </w:rPr>
        <w:t>, neither this Guaranty nor any provision hereof may be changed, waived, discharged or terminated orally, but only in writing signed by each of the Guarantors and the Administrative Agent (it being understood and agreed that any Guaranty Supplement providing for the addition of a Guarantor organized under the laws of a new Specified Jurisdiction may modify this Guaranty to incorporate any provisions specific to the applicable laws of such Specified Jurisdiction, as agreed to between such new Guarantor and the Administrative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Governing Law; Jurisdiction; Waiver of Jury Trial</w:t>
      </w:r>
      <w:r>
        <w:rPr>
          <w:rFonts w:ascii="Arial" w:cs="Arial" w:eastAsia="Arial" w:hAnsi="Arial"/>
          <w:sz w:val="20"/>
          <w:szCs w:val="20"/>
          <w:color w:val="auto"/>
        </w:rPr>
        <w:t>.</w:t>
      </w:r>
    </w:p>
    <w:p>
      <w:pPr>
        <w:spacing w:after="0" w:line="223" w:lineRule="exact"/>
        <w:rPr>
          <w:sz w:val="20"/>
          <w:szCs w:val="20"/>
          <w:color w:val="auto"/>
        </w:rPr>
      </w:pPr>
    </w:p>
    <w:p>
      <w:pPr>
        <w:ind w:firstLine="656"/>
        <w:spacing w:after="0" w:line="267" w:lineRule="auto"/>
        <w:tabs>
          <w:tab w:leader="none" w:pos="1246" w:val="left"/>
        </w:tabs>
        <w:numPr>
          <w:ilvl w:val="0"/>
          <w:numId w:val="399"/>
        </w:numPr>
        <w:rPr>
          <w:rFonts w:ascii="Arial" w:cs="Arial" w:eastAsia="Arial" w:hAnsi="Arial"/>
          <w:sz w:val="20"/>
          <w:szCs w:val="20"/>
          <w:color w:val="auto"/>
        </w:rPr>
      </w:pPr>
      <w:r>
        <w:rPr>
          <w:rFonts w:ascii="Arial" w:cs="Arial" w:eastAsia="Arial" w:hAnsi="Arial"/>
          <w:sz w:val="20"/>
          <w:szCs w:val="20"/>
          <w:b w:val="1"/>
          <w:bCs w:val="1"/>
          <w:color w:val="auto"/>
        </w:rPr>
        <w:t>THIS GUARANTY, INCLUDING THE SUBMISSION TO JURISDICTION AS SET OUT HEREIN, SHALL BE CONSTRUED IN ACCORDANCE WITH AND GOVERNED BY THE LAW OF THE STATE OF NEW YORK.</w:t>
      </w:r>
    </w:p>
    <w:p>
      <w:pPr>
        <w:spacing w:after="0" w:line="183" w:lineRule="exact"/>
        <w:rPr>
          <w:rFonts w:ascii="Arial" w:cs="Arial" w:eastAsia="Arial" w:hAnsi="Arial"/>
          <w:sz w:val="20"/>
          <w:szCs w:val="20"/>
          <w:color w:val="auto"/>
        </w:rPr>
      </w:pPr>
    </w:p>
    <w:p>
      <w:pPr>
        <w:jc w:val="both"/>
        <w:ind w:firstLine="656"/>
        <w:spacing w:after="0" w:line="250" w:lineRule="auto"/>
        <w:tabs>
          <w:tab w:leader="none" w:pos="1097" w:val="left"/>
        </w:tabs>
        <w:numPr>
          <w:ilvl w:val="0"/>
          <w:numId w:val="399"/>
        </w:numPr>
        <w:rPr>
          <w:rFonts w:ascii="Arial" w:cs="Arial" w:eastAsia="Arial" w:hAnsi="Arial"/>
          <w:sz w:val="20"/>
          <w:szCs w:val="20"/>
          <w:color w:val="auto"/>
        </w:rPr>
      </w:pPr>
      <w:r>
        <w:rPr>
          <w:rFonts w:ascii="Arial" w:cs="Arial" w:eastAsia="Arial" w:hAnsi="Arial"/>
          <w:sz w:val="20"/>
          <w:szCs w:val="20"/>
          <w:color w:val="auto"/>
        </w:rPr>
        <w:t>If a Guarantor incorporated under the laws of the Netherlands is represented by an attorney in connection with the signing and/or execution of this Guaranty or any other agreement, deed or document referred to in or made pursuant to this Guaranty, it is hereby expressly acknowledged and accepted by the other parties to this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68" w:name="page369"/>
    <w:bookmarkEnd w:id="368"/>
    <w:p>
      <w:pPr>
        <w:ind w:right="20"/>
        <w:spacing w:after="0" w:line="260" w:lineRule="auto"/>
        <w:rPr>
          <w:sz w:val="20"/>
          <w:szCs w:val="20"/>
          <w:color w:val="auto"/>
        </w:rPr>
      </w:pPr>
      <w:r>
        <w:rPr>
          <w:rFonts w:ascii="Arial" w:cs="Arial" w:eastAsia="Arial" w:hAnsi="Arial"/>
          <w:sz w:val="20"/>
          <w:szCs w:val="20"/>
          <w:color w:val="auto"/>
        </w:rPr>
        <w:t>Guaranty that the existence and extent of the attorney’s authority and the effects of the attorney’s exercise or purported exercise of his or her authority shall be governed by the laws of the Netherlands.</w:t>
      </w:r>
    </w:p>
    <w:p>
      <w:pPr>
        <w:spacing w:after="0" w:line="190" w:lineRule="exact"/>
        <w:rPr>
          <w:sz w:val="20"/>
          <w:szCs w:val="20"/>
          <w:color w:val="auto"/>
        </w:rPr>
      </w:pPr>
    </w:p>
    <w:p>
      <w:pPr>
        <w:jc w:val="both"/>
        <w:ind w:firstLine="656"/>
        <w:spacing w:after="0" w:line="256" w:lineRule="auto"/>
        <w:tabs>
          <w:tab w:leader="none" w:pos="114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 xml:space="preserve">Each Guarantor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Guaranty or any other Loan Document, or for recognition or enforcement of any judgment, and each Guarantor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Guaranty or any other Loan Document (including this </w:t>
      </w:r>
      <w:r>
        <w:rPr>
          <w:rFonts w:ascii="Arial" w:cs="Arial" w:eastAsia="Arial" w:hAnsi="Arial"/>
          <w:sz w:val="19"/>
          <w:szCs w:val="19"/>
          <w:u w:val="single" w:color="auto"/>
          <w:color w:val="auto"/>
        </w:rPr>
        <w:t>Section 17</w:t>
      </w:r>
      <w:r>
        <w:rPr>
          <w:rFonts w:ascii="Arial" w:cs="Arial" w:eastAsia="Arial" w:hAnsi="Arial"/>
          <w:sz w:val="19"/>
          <w:szCs w:val="19"/>
          <w:color w:val="auto"/>
        </w:rPr>
        <w:t>) shall affect any right that any Guaranteed Party may otherwise have to bring any suit, action or proceeding relating to this Guaranty or any other Loan Document against any Guarantor or its properties in the courts of any jurisdiction.</w:t>
      </w:r>
    </w:p>
    <w:p>
      <w:pPr>
        <w:spacing w:after="0" w:line="194" w:lineRule="exact"/>
        <w:rPr>
          <w:rFonts w:ascii="Arial" w:cs="Arial" w:eastAsia="Arial" w:hAnsi="Arial"/>
          <w:sz w:val="19"/>
          <w:szCs w:val="19"/>
          <w:color w:val="auto"/>
        </w:rPr>
      </w:pPr>
    </w:p>
    <w:p>
      <w:pPr>
        <w:jc w:val="both"/>
        <w:ind w:firstLine="656"/>
        <w:spacing w:after="0" w:line="282" w:lineRule="auto"/>
        <w:tabs>
          <w:tab w:leader="none" w:pos="1163"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Guarantor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(c) of this Section. Each Guarantor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18"/>
          <w:szCs w:val="18"/>
          <w:color w:val="auto"/>
        </w:rPr>
      </w:pPr>
    </w:p>
    <w:p>
      <w:pPr>
        <w:jc w:val="both"/>
        <w:ind w:firstLine="656"/>
        <w:spacing w:after="0" w:line="243" w:lineRule="auto"/>
        <w:tabs>
          <w:tab w:leader="none" w:pos="1127" w:val="left"/>
        </w:tabs>
        <w:numPr>
          <w:ilvl w:val="0"/>
          <w:numId w:val="400"/>
        </w:numPr>
        <w:rPr>
          <w:rFonts w:ascii="Arial" w:cs="Arial" w:eastAsia="Arial" w:hAnsi="Arial"/>
          <w:sz w:val="20"/>
          <w:szCs w:val="20"/>
          <w:color w:val="auto"/>
        </w:rPr>
      </w:pPr>
      <w:r>
        <w:rPr>
          <w:rFonts w:ascii="Arial" w:cs="Arial" w:eastAsia="Arial" w:hAnsi="Arial"/>
          <w:sz w:val="20"/>
          <w:szCs w:val="20"/>
          <w:color w:val="auto"/>
        </w:rPr>
        <w:t xml:space="preserve">Each party to this Guaranty irrevocably consents to service of process in the manner provided for notices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this Guaranty other than by facsimile, and each Guarantor (i) that is a domestic Obligor hereby appoints Weatherford International, LLC as its agent for service of process and (ii) that is a foreign Obligor hereby irrevocably designates CT Corporation System, 111 8th Avenue, New York, New York 10011, as the designee, appointee and agent of such foreign Obligor to receive, for and on behalf of such foreign Obligor, service of process in the State of New York, in each case in any suit, action or proceeding arising out of or relating to this Guaranty or any other Loan Document. Nothing in this Guaranty or any other Loan Document will affect the right of any party to this Guaranty to serve process in any other manner permitted by law.</w:t>
      </w:r>
    </w:p>
    <w:p>
      <w:pPr>
        <w:spacing w:after="0" w:line="206" w:lineRule="exact"/>
        <w:rPr>
          <w:rFonts w:ascii="Arial" w:cs="Arial" w:eastAsia="Arial" w:hAnsi="Arial"/>
          <w:sz w:val="20"/>
          <w:szCs w:val="20"/>
          <w:color w:val="auto"/>
        </w:rPr>
      </w:pPr>
    </w:p>
    <w:p>
      <w:pPr>
        <w:jc w:val="both"/>
        <w:ind w:firstLine="656"/>
        <w:spacing w:after="0" w:line="244" w:lineRule="auto"/>
        <w:tabs>
          <w:tab w:leader="none" w:pos="1046" w:val="left"/>
        </w:tabs>
        <w:numPr>
          <w:ilvl w:val="0"/>
          <w:numId w:val="400"/>
        </w:numPr>
        <w:rPr>
          <w:rFonts w:ascii="Arial" w:cs="Arial" w:eastAsia="Arial" w:hAnsi="Arial"/>
          <w:sz w:val="20"/>
          <w:szCs w:val="20"/>
          <w:color w:val="auto"/>
        </w:rPr>
      </w:pPr>
      <w:r>
        <w:rPr>
          <w:rFonts w:ascii="Arial" w:cs="Arial" w:eastAsia="Arial" w:hAnsi="Arial"/>
          <w:sz w:val="20"/>
          <w:szCs w:val="20"/>
          <w:color w:val="auto"/>
        </w:rPr>
        <w:t>Each Guarantor agrees that any suit, action or proceeding brought by any Guarantor or any of their respective Subsidiaries relating to this Guaranty or any other Loan Document against any Guaranteed Party or any Affiliate of a Guaranteed Party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208" w:lineRule="exact"/>
        <w:rPr>
          <w:rFonts w:ascii="Arial" w:cs="Arial" w:eastAsia="Arial" w:hAnsi="Arial"/>
          <w:sz w:val="20"/>
          <w:szCs w:val="20"/>
          <w:color w:val="auto"/>
        </w:rPr>
      </w:pPr>
    </w:p>
    <w:p>
      <w:pPr>
        <w:jc w:val="both"/>
        <w:ind w:firstLine="656"/>
        <w:spacing w:after="0" w:line="278" w:lineRule="auto"/>
        <w:tabs>
          <w:tab w:leader="none" w:pos="109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Administrative Agent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Guaranty or any other Loan Document, or for recognition or enforcement of any judgment, and each of the parties hereto hereby irrevocably and unconditionally agrees that all claims in respect of any such action or proceeding may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582" w:right="239" w:bottom="1440" w:gutter="0" w:footer="0" w:header="0"/>
        </w:sectPr>
      </w:pPr>
    </w:p>
    <w:bookmarkStart w:id="369" w:name="page370"/>
    <w:bookmarkEnd w:id="369"/>
    <w:p>
      <w:pPr>
        <w:jc w:val="both"/>
        <w:spacing w:after="0" w:line="250" w:lineRule="auto"/>
        <w:rPr>
          <w:sz w:val="20"/>
          <w:szCs w:val="20"/>
          <w:color w:val="auto"/>
        </w:rPr>
      </w:pPr>
      <w:r>
        <w:rPr>
          <w:rFonts w:ascii="Arial" w:cs="Arial" w:eastAsia="Arial" w:hAnsi="Arial"/>
          <w:sz w:val="20"/>
          <w:szCs w:val="20"/>
          <w:color w:val="auto"/>
        </w:rPr>
        <w:t>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jc w:val="both"/>
        <w:ind w:firstLine="656"/>
        <w:spacing w:after="0" w:line="244" w:lineRule="auto"/>
        <w:tabs>
          <w:tab w:leader="none" w:pos="1122" w:val="left"/>
        </w:tabs>
        <w:numPr>
          <w:ilvl w:val="0"/>
          <w:numId w:val="401"/>
        </w:numPr>
        <w:rPr>
          <w:rFonts w:ascii="Arial" w:cs="Arial" w:eastAsia="Arial" w:hAnsi="Arial"/>
          <w:sz w:val="20"/>
          <w:szCs w:val="20"/>
          <w:color w:val="auto"/>
        </w:rPr>
      </w:pPr>
      <w:r>
        <w:rPr>
          <w:rFonts w:ascii="Arial" w:cs="Arial" w:eastAsia="Arial" w:hAnsi="Arial"/>
          <w:sz w:val="20"/>
          <w:szCs w:val="20"/>
          <w:color w:val="auto"/>
        </w:rPr>
        <w:t>The Administrative Agent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(f) of this Section. The Administrative Agent hereby irrevocably waives, to the fullest extent permitted by law, the defense of an inconvenient forum to the maintenance of such action or proceeding in any such court</w:t>
      </w:r>
    </w:p>
    <w:p>
      <w:pPr>
        <w:spacing w:after="0" w:line="208" w:lineRule="exact"/>
        <w:rPr>
          <w:rFonts w:ascii="Arial" w:cs="Arial" w:eastAsia="Arial" w:hAnsi="Arial"/>
          <w:sz w:val="20"/>
          <w:szCs w:val="20"/>
          <w:color w:val="auto"/>
        </w:rPr>
      </w:pPr>
    </w:p>
    <w:p>
      <w:pPr>
        <w:jc w:val="both"/>
        <w:ind w:firstLine="656"/>
        <w:spacing w:after="0" w:line="246" w:lineRule="auto"/>
        <w:tabs>
          <w:tab w:leader="none" w:pos="1061" w:val="left"/>
        </w:tabs>
        <w:numPr>
          <w:ilvl w:val="0"/>
          <w:numId w:val="401"/>
        </w:numPr>
        <w:rPr>
          <w:rFonts w:ascii="Arial" w:cs="Arial" w:eastAsia="Arial" w:hAnsi="Arial"/>
          <w:sz w:val="20"/>
          <w:szCs w:val="20"/>
          <w:color w:val="auto"/>
        </w:rPr>
      </w:pPr>
      <w:r>
        <w:rPr>
          <w:rFonts w:ascii="Arial" w:cs="Arial" w:eastAsia="Arial" w:hAnsi="Arial"/>
          <w:sz w:val="20"/>
          <w:szCs w:val="20"/>
          <w:color w:val="auto"/>
        </w:rPr>
        <w:t>To the extent that any Guarantor has or hereafter may acquire any immunity from jurisdiction of any court or from set-off or any legal process (whether through service or notice, attachment prior to judgment, attachment in aid of execution, execution or otherwise) with respect to itself or its property, such Guarantor hereby irrevocably waives such immunity in respect of its obligations under the Loan Documents.</w:t>
      </w:r>
    </w:p>
    <w:p>
      <w:pPr>
        <w:spacing w:after="0" w:line="199" w:lineRule="exact"/>
        <w:rPr>
          <w:rFonts w:ascii="Arial" w:cs="Arial" w:eastAsia="Arial" w:hAnsi="Arial"/>
          <w:sz w:val="20"/>
          <w:szCs w:val="20"/>
          <w:color w:val="auto"/>
        </w:rPr>
      </w:pPr>
    </w:p>
    <w:p>
      <w:pPr>
        <w:jc w:val="both"/>
        <w:ind w:firstLine="656"/>
        <w:spacing w:after="0" w:line="243" w:lineRule="auto"/>
        <w:tabs>
          <w:tab w:leader="none" w:pos="1131" w:val="left"/>
        </w:tabs>
        <w:numPr>
          <w:ilvl w:val="0"/>
          <w:numId w:val="401"/>
        </w:numPr>
        <w:rPr>
          <w:rFonts w:ascii="Arial" w:cs="Arial" w:eastAsia="Arial" w:hAnsi="Arial"/>
          <w:sz w:val="20"/>
          <w:szCs w:val="20"/>
          <w:color w:val="auto"/>
        </w:rPr>
      </w:pPr>
      <w:r>
        <w:rPr>
          <w:rFonts w:ascii="Arial" w:cs="Arial" w:eastAsia="Arial" w:hAnsi="Arial"/>
          <w:sz w:val="20"/>
          <w:szCs w:val="20"/>
          <w:b w:val="1"/>
          <w:bCs w:val="1"/>
          <w:color w:val="auto"/>
        </w:rPr>
        <w:t>EACH PARTY HERETO HEREBY WAIVES, TO THE FULLEST EXTENT PERMITTED BY APPLICABLE LAW, ANY RIGHT IT MAY HAVE TO A TRIAL BY JURY IN ANY LEGAL PROCEEDING DIRECTLY OR INDIRECTLY ARISING OUT OF OR RELATING TO THIS GUARANTY,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AND THE OTHER LOAN DOCUMENTS BY, AMONG OTHER THINGS, THE MUTUAL WAIVERS AND CERTIFICATIONS IN THIS SECTION.</w:t>
      </w:r>
    </w:p>
    <w:p>
      <w:pPr>
        <w:spacing w:after="0" w:line="20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Taxes, Expenses of Enforcement, Etc.</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582" w:right="239" w:bottom="1440" w:gutter="0" w:footer="0" w:header="0"/>
        </w:sectPr>
      </w:pPr>
    </w:p>
    <w:bookmarkStart w:id="370" w:name="page371"/>
    <w:bookmarkEnd w:id="370"/>
    <w:p>
      <w:pPr>
        <w:ind w:left="1080" w:hanging="424"/>
        <w:spacing w:after="0"/>
        <w:tabs>
          <w:tab w:leader="none" w:pos="1080" w:val="left"/>
        </w:tabs>
        <w:numPr>
          <w:ilvl w:val="0"/>
          <w:numId w:val="402"/>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firstLine="645"/>
        <w:spacing w:after="0" w:line="258" w:lineRule="auto"/>
        <w:tabs>
          <w:tab w:leader="none" w:pos="1781" w:val="left"/>
        </w:tabs>
        <w:numPr>
          <w:ilvl w:val="1"/>
          <w:numId w:val="402"/>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a Guarantor hereunder or under any promissory note or application for a Letter of Credit shall be made free and clear of and without deduction for any Indemnified Taxes or Other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Guarantor shall be required to deduct any Indemnified Taxes or Other Taxes from such payments, then (A) the sum payable shall be increased as necessary so that after making all required deductions (including deductions applicable to additional sums payable under this Section) the Recipient receives an amount equal to the sum it would have received had no such deductions been made, (B) such Guarantor shall make such deductions and (C) such Guarantor shall pay the full amount deducted to the relevant Governmental Authority in accordance with applicable law.</w:t>
      </w:r>
    </w:p>
    <w:p>
      <w:pPr>
        <w:spacing w:after="0" w:line="192" w:lineRule="exact"/>
        <w:rPr>
          <w:rFonts w:ascii="Arial" w:cs="Arial" w:eastAsia="Arial" w:hAnsi="Arial"/>
          <w:sz w:val="19"/>
          <w:szCs w:val="19"/>
          <w:color w:val="auto"/>
        </w:rPr>
      </w:pPr>
    </w:p>
    <w:p>
      <w:pPr>
        <w:jc w:val="both"/>
        <w:ind w:left="660" w:firstLine="645"/>
        <w:spacing w:after="0" w:line="246" w:lineRule="auto"/>
        <w:tabs>
          <w:tab w:leader="none" w:pos="1801" w:val="left"/>
        </w:tabs>
        <w:numPr>
          <w:ilvl w:val="1"/>
          <w:numId w:val="402"/>
        </w:numPr>
        <w:rPr>
          <w:rFonts w:ascii="Arial" w:cs="Arial" w:eastAsia="Arial" w:hAnsi="Arial"/>
          <w:sz w:val="20"/>
          <w:szCs w:val="20"/>
          <w:color w:val="auto"/>
        </w:rPr>
      </w:pPr>
      <w:r>
        <w:rPr>
          <w:rFonts w:ascii="Arial" w:cs="Arial" w:eastAsia="Arial" w:hAnsi="Arial"/>
          <w:sz w:val="20"/>
          <w:szCs w:val="20"/>
          <w:color w:val="auto"/>
        </w:rPr>
        <w:t>As soon as practical after any payment of Indemnified or Other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5" w:lineRule="exact"/>
        <w:rPr>
          <w:rFonts w:ascii="Arial" w:cs="Arial" w:eastAsia="Arial" w:hAnsi="Arial"/>
          <w:sz w:val="20"/>
          <w:szCs w:val="20"/>
          <w:color w:val="auto"/>
        </w:rPr>
      </w:pPr>
    </w:p>
    <w:p>
      <w:pPr>
        <w:jc w:val="both"/>
        <w:ind w:left="660" w:firstLine="645"/>
        <w:spacing w:after="0" w:line="256" w:lineRule="auto"/>
        <w:tabs>
          <w:tab w:leader="none" w:pos="1829" w:val="left"/>
        </w:tabs>
        <w:numPr>
          <w:ilvl w:val="1"/>
          <w:numId w:val="402"/>
        </w:numPr>
        <w:rPr>
          <w:rFonts w:ascii="Arial" w:cs="Arial" w:eastAsia="Arial" w:hAnsi="Arial"/>
          <w:sz w:val="19"/>
          <w:szCs w:val="19"/>
          <w:color w:val="auto"/>
        </w:rPr>
      </w:pPr>
      <w:r>
        <w:rPr>
          <w:rFonts w:ascii="Arial" w:cs="Arial" w:eastAsia="Arial" w:hAnsi="Arial"/>
          <w:sz w:val="19"/>
          <w:szCs w:val="19"/>
          <w:color w:val="auto"/>
        </w:rPr>
        <w:t xml:space="preserve">The Guarantors, jointly and severally, shall indemnify the each Recipient, within twenty (20) days after written demand therefor, for the full amount of any Indemnified Taxes or Other Taxes paid by such Recipient on or with respect to any payment by or on account of any obligation of a Guarantor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Guarantors shall not be liable for any penalties, interest or expenses that result from the failure of the Recipient to notify the Guarantors of the Indemnified Taxes or Other Taxes within a reasonable period of time after becoming aware of such Indemnified or Other Taxes. A certificate as to the amount of such payment or liability delivered to the Guarantors by a Recipient shall be presumed correct absent manifest error.</w:t>
      </w:r>
    </w:p>
    <w:p>
      <w:pPr>
        <w:spacing w:after="0" w:line="198" w:lineRule="exact"/>
        <w:rPr>
          <w:rFonts w:ascii="Arial" w:cs="Arial" w:eastAsia="Arial" w:hAnsi="Arial"/>
          <w:sz w:val="19"/>
          <w:szCs w:val="19"/>
          <w:color w:val="auto"/>
        </w:rPr>
      </w:pPr>
    </w:p>
    <w:p>
      <w:pPr>
        <w:ind w:left="660" w:right="20" w:firstLine="645"/>
        <w:spacing w:after="0" w:line="260" w:lineRule="auto"/>
        <w:tabs>
          <w:tab w:leader="none" w:pos="1809" w:val="left"/>
        </w:tabs>
        <w:numPr>
          <w:ilvl w:val="1"/>
          <w:numId w:val="402"/>
        </w:numPr>
        <w:rPr>
          <w:rFonts w:ascii="Arial" w:cs="Arial" w:eastAsia="Arial" w:hAnsi="Arial"/>
          <w:sz w:val="20"/>
          <w:szCs w:val="20"/>
          <w:color w:val="auto"/>
        </w:rPr>
      </w:pPr>
      <w:r>
        <w:rPr>
          <w:rFonts w:ascii="Arial" w:cs="Arial" w:eastAsia="Arial" w:hAnsi="Arial"/>
          <w:sz w:val="20"/>
          <w:szCs w:val="20"/>
          <w:color w:val="auto"/>
        </w:rPr>
        <w:t>By accepting the benefits hereof, each Recipient agrees that it will comply with Section 4.02 of the Credit Agreement as if it were a Lender.</w:t>
      </w:r>
    </w:p>
    <w:p>
      <w:pPr>
        <w:spacing w:after="0" w:line="190" w:lineRule="exact"/>
        <w:rPr>
          <w:rFonts w:ascii="Arial" w:cs="Arial" w:eastAsia="Arial" w:hAnsi="Arial"/>
          <w:sz w:val="20"/>
          <w:szCs w:val="20"/>
          <w:color w:val="auto"/>
        </w:rPr>
      </w:pPr>
    </w:p>
    <w:p>
      <w:pPr>
        <w:jc w:val="both"/>
        <w:ind w:left="660" w:firstLine="645"/>
        <w:spacing w:after="0" w:line="255" w:lineRule="auto"/>
        <w:tabs>
          <w:tab w:leader="none" w:pos="1800" w:val="left"/>
        </w:tabs>
        <w:numPr>
          <w:ilvl w:val="1"/>
          <w:numId w:val="402"/>
        </w:numPr>
        <w:rPr>
          <w:rFonts w:ascii="Arial" w:cs="Arial" w:eastAsia="Arial" w:hAnsi="Arial"/>
          <w:sz w:val="19"/>
          <w:szCs w:val="19"/>
          <w:color w:val="auto"/>
        </w:rPr>
      </w:pPr>
      <w:r>
        <w:rPr>
          <w:rFonts w:ascii="Arial" w:cs="Arial" w:eastAsia="Arial" w:hAnsi="Arial"/>
          <w:sz w:val="19"/>
          <w:szCs w:val="19"/>
          <w:color w:val="auto"/>
        </w:rPr>
        <w:t>If the Administrative Agent or a Recipient determines, in its sole discretion, that it has received a refund of any Taxes paid by a Guarantor or with respect to which such Guarantor has paid additional amounts pursuant to this Section 19, it shall pay over such refund to the Guarantor (but only to the extent of indemnity payments made, or additional amounts paid, by the Guarantor under this Section 19 with respect to the Taxes giving rise to such refund), net of all out-of-pocket expenses of the Administrative Agent or such Recipient and without interest (other than any interest paid by the relevant Governmental Authority with respect to such refund); provided that the Guarantor, upon the request of the Administrative Agent or such Recipient, agrees to repay promptly the amount paid over to the Guarantor (plus any penalties, interest or other charges imposed by the relevant Governmental Authority with respect to such amount) to the Administrative Agent or such Recipient in the event the Administrative Agent or such Recipient is required to repay such refund to such Governmental Authority. This Section shall not be construed to require the Administrative Agent or any Recipient to make available its Tax returns (or any other information relating to its Taxes which it deems confidential) to the Guarantor or any other Person.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71" w:name="page372"/>
    <w:bookmarkEnd w:id="371"/>
    <w:p>
      <w:pPr>
        <w:jc w:val="both"/>
        <w:ind w:firstLine="656"/>
        <w:spacing w:after="0" w:line="260" w:lineRule="auto"/>
        <w:tabs>
          <w:tab w:leader="none" w:pos="1090" w:val="left"/>
        </w:tabs>
        <w:numPr>
          <w:ilvl w:val="0"/>
          <w:numId w:val="403"/>
        </w:numPr>
        <w:rPr>
          <w:rFonts w:ascii="Arial" w:cs="Arial" w:eastAsia="Arial" w:hAnsi="Arial"/>
          <w:sz w:val="19"/>
          <w:szCs w:val="19"/>
          <w:color w:val="auto"/>
        </w:rPr>
      </w:pPr>
      <w:r>
        <w:rPr>
          <w:rFonts w:ascii="Arial" w:cs="Arial" w:eastAsia="Arial" w:hAnsi="Arial"/>
          <w:sz w:val="19"/>
          <w:szCs w:val="19"/>
          <w:u w:val="single" w:color="auto"/>
          <w:color w:val="auto"/>
        </w:rPr>
        <w:t>Expenses of Enforcement, Etc</w:t>
      </w:r>
      <w:r>
        <w:rPr>
          <w:rFonts w:ascii="Arial" w:cs="Arial" w:eastAsia="Arial" w:hAnsi="Arial"/>
          <w:sz w:val="19"/>
          <w:szCs w:val="19"/>
          <w:color w:val="auto"/>
        </w:rPr>
        <w:t>. The Guarantors agree to reimburse the Administrative Agent and the other Guaranteed Parties for any reasonable and documented costs and out-of-pocket expenses (including attorneys’ fees) paid or incurred by the Administrative Agent or any other Guaranteed Party in connection with the collection and enforcement of amounts due under the Loan Documents, including without limitation this Guaranty, to the extent such costs and expenses are reimbursable pursuant to the terms of Section 11.03 of the Credit Agreement unless otherwise agreed in accordance with the terms of the Loan Documents.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20. </w:t>
      </w:r>
      <w:r>
        <w:rPr>
          <w:rFonts w:ascii="Arial" w:cs="Arial" w:eastAsia="Arial" w:hAnsi="Arial"/>
          <w:sz w:val="19"/>
          <w:szCs w:val="19"/>
          <w:u w:val="single" w:color="auto"/>
          <w:color w:val="auto"/>
        </w:rPr>
        <w:t>Setoff</w:t>
      </w:r>
      <w:r>
        <w:rPr>
          <w:rFonts w:ascii="Arial" w:cs="Arial" w:eastAsia="Arial" w:hAnsi="Arial"/>
          <w:sz w:val="19"/>
          <w:szCs w:val="19"/>
          <w:color w:val="auto"/>
        </w:rPr>
        <w:t>. If an Event of Default shall have occurred and be continuing and all or any part of the Guaranteed Obligations have become due and payable (by acceleration or otherwise), each Credit Party and the Administrative Agent may, without notice to any Guarantor and regardless of the acceptance of any security or collateral for the payment hereof, set off and apply toward the payment of all or any part of the Guaranteed Obligations any and all deposits (general or special, time or demand, provisional or final and in whatever currency denominated at any time held) and other obligations at any time owing by such Guaranteed Party or the Administrative Agent or any of their Affiliates to or for the credit or the account of any Guarantor against any of and all the Guaranteed Obligations, irrespective of whether or not such Guaranteed Party or the Administrative Agent shall have made any demand under this Guaranty. The rights of each Guaranteed Party or the Administrative Agent under this Section are in addition to other rights and remedies (including other rights of setoff) which such Guaranteed Party or the Administrative Agent may have.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Each Guarantor hereby assumes responsibility for keeping itself informed of the financial condition of the Borrowers, the other Guarantors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Guaranteed Parties or the Administrative Agent shall have any duty to advise such Guarantor of information known to any of them regarding such condition or any such circumstances. In the event any Guaranteed Party or the Administrative Agent, in its sole discretion, undertakes at any time or from time to time to provide any such information to a Guarantor, such Guaranteed Party or the Administrative Agent shall be under no obligation (i) to undertake any investigation not a part of its regular business routine, (ii) to disclose any information which such Guaranteed Party or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Merger</w:t>
      </w:r>
      <w:r>
        <w:rPr>
          <w:rFonts w:ascii="Arial" w:cs="Arial" w:eastAsia="Arial" w:hAnsi="Arial"/>
          <w:sz w:val="20"/>
          <w:szCs w:val="20"/>
          <w:color w:val="auto"/>
        </w:rPr>
        <w:t xml:space="preserve">. This Guaranty and the other Loan Documents constitute the entire contract among the parties relating to the subject matter hereof and, except as expressly provided in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hereof, supersede any and all previous agreements and understandings, oral or written, relating to the subject matter hereof.</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Guaranty are for convenience of reference only and shall not govern the interpretation of any provision of this Guaranty.</w:t>
      </w:r>
    </w:p>
    <w:p>
      <w:pPr>
        <w:spacing w:after="0" w:line="190"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Judgment Currency</w:t>
      </w:r>
      <w:r>
        <w:rPr>
          <w:rFonts w:ascii="Arial" w:cs="Arial" w:eastAsia="Arial" w:hAnsi="Arial"/>
          <w:sz w:val="20"/>
          <w:szCs w:val="20"/>
          <w:color w:val="auto"/>
        </w:rPr>
        <w:t>. The obligation of each Guarantor to make payments on any Obligation to the Lenders, to any Issuing Bank or to the Administrative Agent hereunder in any currency (the “</w:t>
      </w:r>
      <w:r>
        <w:rPr>
          <w:rFonts w:ascii="Arial" w:cs="Arial" w:eastAsia="Arial" w:hAnsi="Arial"/>
          <w:sz w:val="20"/>
          <w:szCs w:val="20"/>
          <w:u w:val="single" w:color="auto"/>
          <w:color w:val="auto"/>
        </w:rPr>
        <w:t>first currency</w:t>
      </w:r>
      <w:r>
        <w:rPr>
          <w:rFonts w:ascii="Arial" w:cs="Arial" w:eastAsia="Arial" w:hAnsi="Arial"/>
          <w:sz w:val="20"/>
          <w:szCs w:val="20"/>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38" w:right="239" w:bottom="1440" w:gutter="0" w:footer="0" w:header="0"/>
        </w:sectPr>
      </w:pPr>
    </w:p>
    <w:bookmarkStart w:id="372" w:name="page373"/>
    <w:bookmarkEnd w:id="372"/>
    <w:p>
      <w:pPr>
        <w:jc w:val="both"/>
        <w:spacing w:after="0" w:line="259" w:lineRule="auto"/>
        <w:rPr>
          <w:sz w:val="20"/>
          <w:szCs w:val="20"/>
          <w:color w:val="auto"/>
        </w:rPr>
      </w:pPr>
      <w:r>
        <w:rPr>
          <w:rFonts w:ascii="Arial" w:cs="Arial" w:eastAsia="Arial" w:hAnsi="Arial"/>
          <w:sz w:val="19"/>
          <w:szCs w:val="19"/>
          <w:color w:val="auto"/>
        </w:rPr>
        <w:t>is of the essence and shall not be discharged or satisfied by any tender or recovery pursuant to any judgment expressed in or converted into any 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Guarantor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Keepwell</w:t>
      </w:r>
      <w:r>
        <w:rPr>
          <w:rFonts w:ascii="Arial" w:cs="Arial" w:eastAsia="Arial" w:hAnsi="Arial"/>
          <w:sz w:val="18"/>
          <w:szCs w:val="18"/>
          <w:color w:val="auto"/>
        </w:rPr>
        <w:t xml:space="preserve">. Each Qualified ECP Guarantor (as defined below) hereby jointly and severally absolutely, unconditionally and irrevocably undertakes to provide such funds or other support as may be needed from time to time by each other Guarantor to honor all of its obligations under this Guaranty in respect of Specified Swap Obligations (provided, however, that each Qualified ECP Guarantor shall only be liable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be deemed to constitute, a “keepwell, support, or other agreement” for the benefit of each other Guarantor for all purposes of Section 1a(18)(A)(v)(II) of the Commodity Exchange Act. As used herein, “</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Counterparts</w:t>
      </w:r>
      <w:r>
        <w:rPr>
          <w:rFonts w:ascii="Arial" w:cs="Arial" w:eastAsia="Arial" w:hAnsi="Arial"/>
          <w:sz w:val="19"/>
          <w:szCs w:val="19"/>
          <w:color w:val="auto"/>
        </w:rPr>
        <w:t>.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telecopy, e-mailed .pdf or any other electronic means that reproduces an image of the actual executed signature page shall be effective as delivery of a manually executed counterpart of this Guaranty. The words “execution,” “signed,” “signature,” “delivery,” and words of like import in or relating to any document to be signed in connection with this Guaranty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Amendment and Restatement of Existing Guarantees; Reaffirmation of Existing Guarantors</w:t>
      </w:r>
      <w:r>
        <w:rPr>
          <w:rFonts w:ascii="Arial" w:cs="Arial" w:eastAsia="Arial" w:hAnsi="Arial"/>
          <w:sz w:val="20"/>
          <w:szCs w:val="20"/>
          <w:color w:val="auto"/>
        </w:rPr>
        <w:t xml:space="preserve">. This Guaranty amends and restates in its entirety each Existing Guaranty;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Guaranty is in no way intended to constitute a novation of any obligations owed by any Existing Guarantor to the Guaranteed Parties under any such Existing Guaranty, all of which are hereby reaffirmed, ratified and confirmed.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color w:val="auto"/>
        </w:rPr>
        <w:t>REMAINDER OF PAGE INTENTIONALLY LEFT BLANK</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Affiliate Guaranty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Revolving Credit Facility</w:t>
      </w:r>
    </w:p>
    <w:p>
      <w:pPr>
        <w:sectPr>
          <w:pgSz w:w="11900" w:h="16838" w:orient="portrait"/>
          <w:cols w:equalWidth="0" w:num="1">
            <w:col w:w="11420"/>
          </w:cols>
          <w:pgMar w:left="240" w:top="811" w:right="239" w:bottom="1440" w:gutter="0" w:footer="0" w:header="0"/>
        </w:sectPr>
      </w:pPr>
    </w:p>
    <w:bookmarkStart w:id="373" w:name="page374"/>
    <w:bookmarkEnd w:id="373"/>
    <w:p>
      <w:pPr>
        <w:ind w:firstLine="648"/>
        <w:spacing w:after="0" w:line="260" w:lineRule="auto"/>
        <w:rPr>
          <w:sz w:val="20"/>
          <w:szCs w:val="20"/>
          <w:color w:val="auto"/>
        </w:rPr>
      </w:pPr>
      <w:r>
        <w:rPr>
          <w:rFonts w:ascii="Arial" w:cs="Arial" w:eastAsia="Arial" w:hAnsi="Arial"/>
          <w:sz w:val="20"/>
          <w:szCs w:val="20"/>
          <w:color w:val="auto"/>
        </w:rPr>
        <w:t>IN WITNESS WHEREOF, each Initial Guarantor has caused this Guaranty to be duly executed by its authorized officer as of the day and year first above written.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color w:val="auto"/>
        </w:rPr>
        <w:t>SIGNATURE PAGES TO FOLLOW</w:t>
      </w:r>
      <w:r>
        <w:rPr>
          <w:rFonts w:ascii="Arial" w:cs="Arial" w:eastAsia="Arial" w:hAnsi="Arial"/>
          <w:sz w:val="25"/>
          <w:szCs w:val="25"/>
          <w:b w:val="1"/>
          <w:bCs w:val="1"/>
          <w:color w:val="auto"/>
        </w:rPr>
        <w: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11420"/>
          </w:cols>
          <w:pgMar w:left="240" w:top="1027" w:right="239" w:bottom="1440" w:gutter="0" w:footer="0" w:header="0"/>
        </w:sectPr>
      </w:pPr>
    </w:p>
    <w:bookmarkStart w:id="374" w:name="page375"/>
    <w:bookmarkEnd w:id="374"/>
    <w:p>
      <w:pPr>
        <w:jc w:val="center"/>
        <w:ind w:right="-20"/>
        <w:spacing w:after="0"/>
        <w:rPr>
          <w:sz w:val="20"/>
          <w:szCs w:val="20"/>
          <w:color w:val="auto"/>
        </w:rPr>
      </w:pPr>
      <w:r>
        <w:rPr>
          <w:rFonts w:ascii="Arial" w:cs="Arial" w:eastAsia="Arial" w:hAnsi="Arial"/>
          <w:sz w:val="18"/>
          <w:szCs w:val="18"/>
          <w:b w:val="1"/>
          <w:bCs w:val="1"/>
          <w:color w:val="auto"/>
        </w:rPr>
        <w:t>AUSTRALIA INITIAL GUARANTOR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79"/>
        <w:spacing w:after="0"/>
        <w:rPr>
          <w:sz w:val="20"/>
          <w:szCs w:val="20"/>
          <w:color w:val="auto"/>
        </w:rPr>
      </w:pPr>
      <w:r>
        <w:rPr>
          <w:rFonts w:ascii="Arial" w:cs="Arial" w:eastAsia="Arial" w:hAnsi="Arial"/>
          <w:sz w:val="20"/>
          <w:szCs w:val="20"/>
          <w:color w:val="auto"/>
        </w:rPr>
        <w:t>WEATHERFORD AUSTRALIA PTY LIMITED</w:t>
      </w:r>
    </w:p>
    <w:p>
      <w:pPr>
        <w:spacing w:after="0" w:line="373"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Chu Yuen Fai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24765</wp:posOffset>
            </wp:positionV>
            <wp:extent cx="234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2"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Chu Yuen Fai</w:t>
      </w:r>
    </w:p>
    <w:p>
      <w:pPr>
        <w:spacing w:after="0" w:line="54"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79"/>
        <w:spacing w:after="0"/>
        <w:rPr>
          <w:sz w:val="20"/>
          <w:szCs w:val="20"/>
          <w:color w:val="auto"/>
        </w:rPr>
      </w:pPr>
      <w:r>
        <w:rPr>
          <w:rFonts w:ascii="Arial" w:cs="Arial" w:eastAsia="Arial" w:hAnsi="Arial"/>
          <w:sz w:val="20"/>
          <w:szCs w:val="20"/>
          <w:color w:val="auto"/>
        </w:rPr>
        <w:t>WEATHERFORD AUSTRALIA PTY LIMITED</w:t>
      </w:r>
    </w:p>
    <w:p>
      <w:pPr>
        <w:spacing w:after="0" w:line="373"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Robert Degasperis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24765</wp:posOffset>
            </wp:positionV>
            <wp:extent cx="23412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2"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Robert Degasperis</w:t>
      </w:r>
    </w:p>
    <w:p>
      <w:pPr>
        <w:spacing w:after="0" w:line="54"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019"/>
          </w:cols>
          <w:pgMar w:left="1440" w:top="796" w:right="1440" w:bottom="1440" w:gutter="0" w:footer="0" w:header="0"/>
        </w:sectPr>
      </w:pPr>
    </w:p>
    <w:bookmarkStart w:id="375" w:name="page376"/>
    <w:bookmarkEnd w:id="375"/>
    <w:p>
      <w:pPr>
        <w:jc w:val="center"/>
        <w:ind w:right="200"/>
        <w:spacing w:after="0"/>
        <w:rPr>
          <w:sz w:val="20"/>
          <w:szCs w:val="20"/>
          <w:color w:val="auto"/>
        </w:rPr>
      </w:pPr>
      <w:r>
        <w:rPr>
          <w:rFonts w:ascii="Arial" w:cs="Arial" w:eastAsia="Arial" w:hAnsi="Arial"/>
          <w:sz w:val="18"/>
          <w:szCs w:val="18"/>
          <w:b w:val="1"/>
          <w:bCs w:val="1"/>
          <w:color w:val="auto"/>
        </w:rPr>
        <w:t>BERMUDA INITIAL GUARANTORS</w:t>
      </w: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INTERNATIONAL HOLDING</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(BERMUDA)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PANGAEA HOLDING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SABRE DRILLING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KEY INTERNATIONAL DRILLING COMPANY</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LIMITED</w:t>
      </w:r>
    </w:p>
    <w:p>
      <w:pPr>
        <w:spacing w:after="0" w:line="378" w:lineRule="exact"/>
        <w:rPr>
          <w:sz w:val="20"/>
          <w:szCs w:val="20"/>
          <w:color w:val="auto"/>
        </w:rPr>
      </w:pPr>
    </w:p>
    <w:tbl>
      <w:tblPr>
        <w:tblLayout w:type="fixed"/>
        <w:tblInd w:w="43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240" w:type="dxa"/>
            <w:vAlign w:val="bottom"/>
          </w:tcPr>
          <w:p>
            <w:pPr>
              <w:ind w:left="20"/>
              <w:spacing w:after="0"/>
              <w:rPr>
                <w:sz w:val="20"/>
                <w:szCs w:val="20"/>
                <w:color w:val="auto"/>
              </w:rPr>
            </w:pPr>
            <w:r>
              <w:rPr>
                <w:rFonts w:ascii="Arial" w:cs="Arial" w:eastAsia="Arial" w:hAnsi="Arial"/>
                <w:sz w:val="20"/>
                <w:szCs w:val="20"/>
                <w:color w:val="auto"/>
                <w:w w:val="94"/>
              </w:rPr>
              <w:t>/s/ Maximiliano Alberto Kricorian Sanchez Moreno</w:t>
            </w:r>
          </w:p>
        </w:tc>
      </w:tr>
      <w:tr>
        <w:trPr>
          <w:trHeight w:val="23"/>
        </w:trPr>
        <w:tc>
          <w:tcPr>
            <w:tcW w:w="68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240" w:type="dxa"/>
            <w:vAlign w:val="bottom"/>
          </w:tcPr>
          <w:p>
            <w:pPr>
              <w:ind w:left="20"/>
              <w:spacing w:after="0"/>
              <w:rPr>
                <w:sz w:val="20"/>
                <w:szCs w:val="20"/>
                <w:color w:val="auto"/>
              </w:rPr>
            </w:pPr>
            <w:r>
              <w:rPr>
                <w:rFonts w:ascii="Arial" w:cs="Arial" w:eastAsia="Arial" w:hAnsi="Arial"/>
                <w:sz w:val="20"/>
                <w:szCs w:val="20"/>
                <w:color w:val="auto"/>
              </w:rPr>
              <w:t>Maximiliano Alberto Kricorian Sanchez Moreno</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24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BERMUDA HOLDINGS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240"/>
          </w:cols>
          <w:pgMar w:left="1440" w:top="796" w:right="1219" w:bottom="1440" w:gutter="0" w:footer="0" w:header="0"/>
        </w:sectPr>
      </w:pPr>
    </w:p>
    <w:bookmarkStart w:id="376" w:name="page377"/>
    <w:bookmarkEnd w:id="376"/>
    <w:p>
      <w:pPr>
        <w:ind w:left="4180"/>
        <w:spacing w:after="0"/>
        <w:rPr>
          <w:sz w:val="20"/>
          <w:szCs w:val="20"/>
          <w:color w:val="auto"/>
        </w:rPr>
      </w:pPr>
      <w:r>
        <w:rPr>
          <w:rFonts w:ascii="Arial" w:cs="Arial" w:eastAsia="Arial" w:hAnsi="Arial"/>
          <w:sz w:val="20"/>
          <w:szCs w:val="20"/>
          <w:color w:val="auto"/>
        </w:rPr>
        <w:t>WEATHERFORD INTERNATIONAL LTD.</w:t>
      </w:r>
    </w:p>
    <w:p>
      <w:pPr>
        <w:spacing w:after="0" w:line="373" w:lineRule="exact"/>
        <w:rPr>
          <w:sz w:val="20"/>
          <w:szCs w:val="20"/>
          <w:color w:val="auto"/>
        </w:rPr>
      </w:pPr>
    </w:p>
    <w:p>
      <w:pPr>
        <w:jc w:val="both"/>
        <w:ind w:left="418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8"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019"/>
          </w:cols>
          <w:pgMar w:left="1440" w:top="1176" w:right="1440" w:bottom="1440" w:gutter="0" w:footer="0" w:header="0"/>
        </w:sectPr>
      </w:pPr>
    </w:p>
    <w:bookmarkStart w:id="377" w:name="page378"/>
    <w:bookmarkEnd w:id="377"/>
    <w:p>
      <w:pPr>
        <w:ind w:left="4180"/>
        <w:spacing w:after="0"/>
        <w:rPr>
          <w:sz w:val="20"/>
          <w:szCs w:val="20"/>
          <w:color w:val="auto"/>
        </w:rPr>
      </w:pPr>
      <w:r>
        <w:rPr>
          <w:rFonts w:ascii="Arial" w:cs="Arial" w:eastAsia="Arial" w:hAnsi="Arial"/>
          <w:sz w:val="20"/>
          <w:szCs w:val="20"/>
          <w:color w:val="auto"/>
        </w:rPr>
        <w:t>WEATHERFORD SERVICES, LTD.</w:t>
      </w:r>
    </w:p>
    <w:p>
      <w:pPr>
        <w:spacing w:after="0" w:line="373" w:lineRule="exact"/>
        <w:rPr>
          <w:sz w:val="20"/>
          <w:szCs w:val="20"/>
          <w:color w:val="auto"/>
        </w:rPr>
      </w:pPr>
    </w:p>
    <w:p>
      <w:pPr>
        <w:jc w:val="both"/>
        <w:ind w:left="418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8"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019"/>
          </w:cols>
          <w:pgMar w:left="1440" w:top="1432" w:right="1440" w:bottom="1440" w:gutter="0" w:footer="0" w:header="0"/>
        </w:sectPr>
      </w:pPr>
    </w:p>
    <w:bookmarkStart w:id="378" w:name="page379"/>
    <w:bookmarkEnd w:id="378"/>
    <w:p>
      <w:pPr>
        <w:jc w:val="center"/>
        <w:ind w:right="-20"/>
        <w:spacing w:after="0"/>
        <w:rPr>
          <w:sz w:val="20"/>
          <w:szCs w:val="20"/>
          <w:color w:val="auto"/>
        </w:rPr>
      </w:pPr>
      <w:r>
        <w:rPr>
          <w:rFonts w:ascii="Arial" w:cs="Arial" w:eastAsia="Arial" w:hAnsi="Arial"/>
          <w:sz w:val="18"/>
          <w:szCs w:val="18"/>
          <w:b w:val="1"/>
          <w:bCs w:val="1"/>
          <w:color w:val="auto"/>
        </w:rPr>
        <w:t>BRITISH VIRGIN ISLANDS INITIAL GUARANTORS</w:t>
      </w: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DRILLING INTERNATIONAL</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HOLDINGS (BVI)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DRILLING INTERNATIONAL</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(BVI)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LAND DRILLING ASSET HOLDINGS INC.</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HOLDINGS (BVI) LTD.</w:t>
      </w:r>
    </w:p>
    <w:p>
      <w:pPr>
        <w:spacing w:after="0" w:line="373"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President and General Manager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WEATHERFORD OIL TOOL MIDDLE EAST</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233680</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jc w:val="both"/>
        <w:ind w:left="432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24765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320"/>
        <w:spacing w:after="0"/>
        <w:tabs>
          <w:tab w:leader="none" w:pos="50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President</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019"/>
          </w:cols>
          <w:pgMar w:left="1440" w:top="796" w:right="1440" w:bottom="1440" w:gutter="0" w:footer="0" w:header="0"/>
        </w:sectPr>
      </w:pPr>
    </w:p>
    <w:bookmarkStart w:id="379" w:name="page380"/>
    <w:bookmarkEnd w:id="379"/>
    <w:p>
      <w:pPr>
        <w:ind w:left="4180"/>
        <w:spacing w:after="0"/>
        <w:rPr>
          <w:sz w:val="20"/>
          <w:szCs w:val="20"/>
          <w:color w:val="auto"/>
        </w:rPr>
      </w:pPr>
      <w:r>
        <w:rPr>
          <w:rFonts w:ascii="Arial" w:cs="Arial" w:eastAsia="Arial" w:hAnsi="Arial"/>
          <w:sz w:val="20"/>
          <w:szCs w:val="20"/>
          <w:color w:val="auto"/>
        </w:rPr>
        <w:t>WEATHERFORD COLOMBIA LIMITED</w:t>
      </w:r>
    </w:p>
    <w:p>
      <w:pPr>
        <w:spacing w:after="0" w:line="373" w:lineRule="exact"/>
        <w:rPr>
          <w:sz w:val="20"/>
          <w:szCs w:val="20"/>
          <w:color w:val="auto"/>
        </w:rPr>
      </w:pPr>
    </w:p>
    <w:p>
      <w:pPr>
        <w:jc w:val="both"/>
        <w:ind w:left="418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Yazid Jamil Khalil Abu Khalid Altamimi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8"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Yazid Jamil Khalil Abu Khalid Altamimi</w:t>
      </w:r>
    </w:p>
    <w:p>
      <w:pPr>
        <w:spacing w:after="0" w:line="67" w:lineRule="exact"/>
        <w:rPr>
          <w:sz w:val="20"/>
          <w:szCs w:val="20"/>
          <w:color w:val="auto"/>
        </w:rPr>
      </w:pPr>
    </w:p>
    <w:p>
      <w:pPr>
        <w:ind w:left="4180"/>
        <w:spacing w:after="0"/>
        <w:tabs>
          <w:tab w:leader="none" w:pos="4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2"/>
          <w:szCs w:val="22"/>
          <w:color w:val="auto"/>
        </w:rPr>
        <w:t>Vice President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019"/>
          </w:cols>
          <w:pgMar w:left="1440" w:top="1433" w:right="1440" w:bottom="1440" w:gutter="0" w:footer="0" w:header="0"/>
        </w:sectPr>
      </w:pPr>
    </w:p>
    <w:bookmarkStart w:id="380" w:name="page381"/>
    <w:bookmarkEnd w:id="380"/>
    <w:p>
      <w:pPr>
        <w:jc w:val="center"/>
        <w:ind w:right="220"/>
        <w:spacing w:after="0"/>
        <w:rPr>
          <w:sz w:val="20"/>
          <w:szCs w:val="20"/>
          <w:color w:val="auto"/>
        </w:rPr>
      </w:pPr>
      <w:r>
        <w:rPr>
          <w:rFonts w:ascii="Arial" w:cs="Arial" w:eastAsia="Arial" w:hAnsi="Arial"/>
          <w:sz w:val="18"/>
          <w:szCs w:val="18"/>
          <w:b w:val="1"/>
          <w:bCs w:val="1"/>
          <w:color w:val="auto"/>
        </w:rPr>
        <w:t>CANADA INITIAL GUARANTORS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WEATHERFORD CANADA LTD.</w:t>
      </w:r>
    </w:p>
    <w:p>
      <w:pPr>
        <w:spacing w:after="0" w:line="378" w:lineRule="exact"/>
        <w:rPr>
          <w:sz w:val="20"/>
          <w:szCs w:val="20"/>
          <w:color w:val="auto"/>
        </w:rPr>
      </w:pPr>
    </w:p>
    <w:tbl>
      <w:tblPr>
        <w:tblLayout w:type="fixed"/>
        <w:tblInd w:w="424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WEATHERFORD (NOVA SCOTIA) ULC</w:t>
      </w:r>
    </w:p>
    <w:p>
      <w:pPr>
        <w:spacing w:after="0" w:line="378" w:lineRule="exact"/>
        <w:rPr>
          <w:sz w:val="20"/>
          <w:szCs w:val="20"/>
          <w:color w:val="auto"/>
        </w:rPr>
      </w:pPr>
    </w:p>
    <w:tbl>
      <w:tblPr>
        <w:tblLayout w:type="fixed"/>
        <w:tblInd w:w="424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WEATHERFORD CANADA PARTNERSHIP</w:t>
      </w:r>
    </w:p>
    <w:p>
      <w:pPr>
        <w:spacing w:after="0" w:line="54"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By its Partners</w:t>
      </w:r>
    </w:p>
    <w:p>
      <w:pPr>
        <w:spacing w:after="0" w:line="378"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WEATHERFORD CANADA LTD.</w:t>
      </w:r>
    </w:p>
    <w:p>
      <w:pPr>
        <w:spacing w:after="0" w:line="378" w:lineRule="exact"/>
        <w:rPr>
          <w:sz w:val="20"/>
          <w:szCs w:val="20"/>
          <w:color w:val="auto"/>
        </w:rPr>
      </w:pPr>
    </w:p>
    <w:tbl>
      <w:tblPr>
        <w:tblLayout w:type="fixed"/>
        <w:tblInd w:w="490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7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364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jc w:val="right"/>
        <w:ind w:right="1040"/>
        <w:spacing w:after="0"/>
        <w:rPr>
          <w:sz w:val="20"/>
          <w:szCs w:val="20"/>
          <w:color w:val="auto"/>
        </w:rPr>
      </w:pPr>
      <w:r>
        <w:rPr>
          <w:rFonts w:ascii="Arial" w:cs="Arial" w:eastAsia="Arial" w:hAnsi="Arial"/>
          <w:sz w:val="20"/>
          <w:szCs w:val="20"/>
          <w:color w:val="auto"/>
        </w:rPr>
        <w:t>PRECISION ENERGY SERVICES ULC</w:t>
      </w:r>
    </w:p>
    <w:p>
      <w:pPr>
        <w:spacing w:after="0" w:line="378" w:lineRule="exact"/>
        <w:rPr>
          <w:sz w:val="20"/>
          <w:szCs w:val="20"/>
          <w:color w:val="auto"/>
        </w:rPr>
      </w:pPr>
    </w:p>
    <w:tbl>
      <w:tblPr>
        <w:tblLayout w:type="fixed"/>
        <w:tblInd w:w="490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7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364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WEATHERFORD DEUTSCHE HOLDING</w:t>
      </w:r>
    </w:p>
    <w:p>
      <w:pPr>
        <w:spacing w:after="0" w:line="54" w:lineRule="exact"/>
        <w:rPr>
          <w:sz w:val="20"/>
          <w:szCs w:val="20"/>
          <w:color w:val="auto"/>
        </w:rPr>
      </w:pPr>
    </w:p>
    <w:p>
      <w:pPr>
        <w:ind w:left="4240"/>
        <w:spacing w:after="0"/>
        <w:rPr>
          <w:sz w:val="20"/>
          <w:szCs w:val="20"/>
          <w:color w:val="auto"/>
        </w:rPr>
      </w:pPr>
      <w:r>
        <w:rPr>
          <w:rFonts w:ascii="Arial" w:cs="Arial" w:eastAsia="Arial" w:hAnsi="Arial"/>
          <w:sz w:val="20"/>
          <w:szCs w:val="20"/>
          <w:color w:val="202020"/>
        </w:rPr>
        <w:t>(CANADA) ULC</w:t>
      </w:r>
    </w:p>
    <w:p>
      <w:pPr>
        <w:spacing w:after="0" w:line="378" w:lineRule="exact"/>
        <w:rPr>
          <w:sz w:val="20"/>
          <w:szCs w:val="20"/>
          <w:color w:val="auto"/>
        </w:rPr>
      </w:pPr>
    </w:p>
    <w:tbl>
      <w:tblPr>
        <w:tblLayout w:type="fixed"/>
        <w:tblInd w:w="424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ectPr>
          <w:pgSz w:w="11900" w:h="16838" w:orient="portrait"/>
          <w:cols w:equalWidth="0" w:num="1">
            <w:col w:w="9240"/>
          </w:cols>
          <w:pgMar w:left="1440" w:top="796"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240"/>
          </w:cols>
          <w:pgMar w:left="1440" w:top="796" w:right="1219" w:bottom="1440" w:gutter="0" w:footer="0" w:header="0"/>
          <w:type w:val="continuous"/>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t>ENGLAND INITIAL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1179"/>
        <w:spacing w:after="0"/>
        <w:rPr>
          <w:sz w:val="20"/>
          <w:szCs w:val="20"/>
          <w:color w:val="auto"/>
        </w:rPr>
      </w:pPr>
      <w:r>
        <w:rPr>
          <w:rFonts w:ascii="Arial" w:cs="Arial" w:eastAsia="Arial" w:hAnsi="Arial"/>
          <w:sz w:val="20"/>
          <w:szCs w:val="20"/>
          <w:color w:val="auto"/>
        </w:rPr>
        <w:t>WEATHERFORD EURASIA LIMITED</w:t>
      </w:r>
    </w:p>
    <w:p>
      <w:pPr>
        <w:spacing w:after="0" w:line="373"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Euan Prentice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24765</wp:posOffset>
            </wp:positionV>
            <wp:extent cx="234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2"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Euan Prentice</w:t>
      </w:r>
    </w:p>
    <w:p>
      <w:pPr>
        <w:spacing w:after="0" w:line="54"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WEATHERFORD U.K. LIMITED</w:t>
      </w:r>
    </w:p>
    <w:p>
      <w:pPr>
        <w:spacing w:after="0" w:line="373"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Euan Prentice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24765</wp:posOffset>
            </wp:positionV>
            <wp:extent cx="23412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2"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Euan Prentice</w:t>
      </w:r>
    </w:p>
    <w:p>
      <w:pPr>
        <w:spacing w:after="0" w:line="54" w:lineRule="exact"/>
        <w:rPr>
          <w:sz w:val="20"/>
          <w:szCs w:val="20"/>
          <w:color w:val="auto"/>
        </w:rPr>
      </w:pPr>
    </w:p>
    <w:p>
      <w:pPr>
        <w:ind w:left="4600"/>
        <w:spacing w:after="0"/>
        <w:tabs>
          <w:tab w:leader="none" w:pos="52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019"/>
          </w:cols>
          <w:pgMar w:left="1440" w:top="797" w:right="1440" w:bottom="1440" w:gutter="0" w:footer="0" w:header="0"/>
        </w:sectPr>
      </w:pPr>
    </w:p>
    <w:bookmarkStart w:id="382" w:name="page383"/>
    <w:bookmarkEnd w:id="382"/>
    <w:p>
      <w:pPr>
        <w:jc w:val="center"/>
        <w:ind w:right="-20"/>
        <w:spacing w:after="0"/>
        <w:rPr>
          <w:sz w:val="20"/>
          <w:szCs w:val="20"/>
          <w:color w:val="auto"/>
        </w:rPr>
      </w:pPr>
      <w:r>
        <w:rPr>
          <w:rFonts w:ascii="Arial" w:cs="Arial" w:eastAsia="Arial" w:hAnsi="Arial"/>
          <w:sz w:val="18"/>
          <w:szCs w:val="18"/>
          <w:b w:val="1"/>
          <w:bCs w:val="1"/>
          <w:color w:val="auto"/>
        </w:rPr>
        <w:t>HUNGARY INITIAL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WEATHERFORD CAPITAL MANAGEMENT</w:t>
      </w:r>
    </w:p>
    <w:p>
      <w:pPr>
        <w:spacing w:after="0" w:line="54"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SERVICES LIMITED LIABILITY COMPANY</w:t>
      </w:r>
    </w:p>
    <w:p>
      <w:pPr>
        <w:spacing w:after="0" w:line="378" w:lineRule="exact"/>
        <w:rPr>
          <w:sz w:val="20"/>
          <w:szCs w:val="20"/>
          <w:color w:val="auto"/>
        </w:rPr>
      </w:pPr>
    </w:p>
    <w:tbl>
      <w:tblPr>
        <w:tblLayout w:type="fixed"/>
        <w:tblInd w:w="460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68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368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3680" w:type="dxa"/>
            <w:vAlign w:val="bottom"/>
          </w:tcPr>
          <w:p>
            <w:pPr>
              <w:ind w:left="20"/>
              <w:spacing w:after="0"/>
              <w:rPr>
                <w:sz w:val="20"/>
                <w:szCs w:val="20"/>
                <w:color w:val="auto"/>
              </w:rPr>
            </w:pPr>
            <w:r>
              <w:rPr>
                <w:rFonts w:ascii="Arial" w:cs="Arial" w:eastAsia="Arial" w:hAnsi="Arial"/>
                <w:sz w:val="20"/>
                <w:szCs w:val="20"/>
                <w:color w:val="auto"/>
              </w:rPr>
              <w:t>Assistant Treasurer</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019"/>
          </w:cols>
          <w:pgMar w:left="1440" w:top="796" w:right="1440" w:bottom="1440" w:gutter="0" w:footer="0" w:header="0"/>
        </w:sectPr>
      </w:pPr>
    </w:p>
    <w:bookmarkStart w:id="383" w:name="page384"/>
    <w:bookmarkEnd w:id="383"/>
    <w:p>
      <w:pPr>
        <w:jc w:val="center"/>
        <w:ind w:right="240"/>
        <w:spacing w:after="0"/>
        <w:rPr>
          <w:sz w:val="20"/>
          <w:szCs w:val="20"/>
          <w:color w:val="auto"/>
        </w:rPr>
      </w:pPr>
      <w:r>
        <w:rPr>
          <w:rFonts w:ascii="Arial" w:cs="Arial" w:eastAsia="Arial" w:hAnsi="Arial"/>
          <w:sz w:val="18"/>
          <w:szCs w:val="18"/>
          <w:b w:val="1"/>
          <w:bCs w:val="1"/>
          <w:color w:val="auto"/>
        </w:rPr>
        <w:t>IRELAND INITIAL GUARANTOR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INTERNATIONAL PLC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Assistant Treasurer</w:t>
            </w:r>
          </w:p>
        </w:tc>
      </w:tr>
    </w:tbl>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15"/>
          <w:szCs w:val="15"/>
          <w:i w:val="1"/>
          <w:iCs w:val="1"/>
          <w:color w:val="auto"/>
        </w:rPr>
        <w:t>Signature Page to RCF Affiliate Guaranty</w:t>
      </w:r>
    </w:p>
    <w:p>
      <w:pPr>
        <w:sectPr>
          <w:pgSz w:w="11900" w:h="16838" w:orient="portrait"/>
          <w:cols w:equalWidth="0" w:num="1">
            <w:col w:w="9280"/>
          </w:cols>
          <w:pgMar w:left="1440" w:top="796" w:right="1179" w:bottom="1440" w:gutter="0" w:footer="0" w:header="0"/>
        </w:sectPr>
      </w:pPr>
    </w:p>
    <w:bookmarkStart w:id="384" w:name="page385"/>
    <w:bookmarkEnd w:id="384"/>
    <w:p>
      <w:pPr>
        <w:jc w:val="center"/>
        <w:ind w:right="240"/>
        <w:spacing w:after="0"/>
        <w:rPr>
          <w:sz w:val="20"/>
          <w:szCs w:val="20"/>
          <w:color w:val="auto"/>
        </w:rPr>
      </w:pPr>
      <w:r>
        <w:rPr>
          <w:rFonts w:ascii="Arial" w:cs="Arial" w:eastAsia="Arial" w:hAnsi="Arial"/>
          <w:sz w:val="18"/>
          <w:szCs w:val="18"/>
          <w:b w:val="1"/>
          <w:bCs w:val="1"/>
          <w:color w:val="auto"/>
        </w:rPr>
        <w:t>LUXEMBOURG INITIAL GUARANTORS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INVESTMENT</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(LUXEMBOURG) S.A.R.L.</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932"/>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INTERNATIONAL</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(LUXEMBOURG) HOLDINGS S.A.R.L.</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EUROPEAN HOLDINGS</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(LUXEMBOURG) S.A.R.L.</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280"/>
          </w:cols>
          <w:pgMar w:left="1440" w:top="796" w:right="1179" w:bottom="1440" w:gutter="0" w:footer="0" w:header="0"/>
        </w:sectPr>
      </w:pPr>
    </w:p>
    <w:bookmarkStart w:id="385" w:name="page386"/>
    <w:bookmarkEnd w:id="385"/>
    <w:p>
      <w:pPr>
        <w:jc w:val="center"/>
        <w:ind w:right="260"/>
        <w:spacing w:after="0"/>
        <w:rPr>
          <w:sz w:val="20"/>
          <w:szCs w:val="20"/>
          <w:color w:val="auto"/>
        </w:rPr>
      </w:pPr>
      <w:r>
        <w:rPr>
          <w:rFonts w:ascii="Arial" w:cs="Arial" w:eastAsia="Arial" w:hAnsi="Arial"/>
          <w:sz w:val="18"/>
          <w:szCs w:val="18"/>
          <w:b w:val="1"/>
          <w:bCs w:val="1"/>
          <w:color w:val="auto"/>
        </w:rPr>
        <w:t>NETHERLANDS INITIAL GUARANTOR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PRECISION DRILLING SERVICES</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(NETHERLANDS) B.V.</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Arnould Hermen Hensing</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Arnould Hermen Hensing</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INVESTMENTS HOLDING</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B.V.</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280"/>
          </w:cols>
          <w:pgMar w:left="1440" w:top="796" w:right="1179" w:bottom="1440" w:gutter="0" w:footer="0" w:header="0"/>
        </w:sectPr>
      </w:pPr>
    </w:p>
    <w:bookmarkStart w:id="386" w:name="page387"/>
    <w:bookmarkEnd w:id="386"/>
    <w:p>
      <w:pPr>
        <w:jc w:val="center"/>
        <w:ind w:right="260"/>
        <w:spacing w:after="0"/>
        <w:rPr>
          <w:sz w:val="20"/>
          <w:szCs w:val="20"/>
          <w:color w:val="auto"/>
        </w:rPr>
      </w:pPr>
      <w:r>
        <w:rPr>
          <w:rFonts w:ascii="Arial" w:cs="Arial" w:eastAsia="Arial" w:hAnsi="Arial"/>
          <w:sz w:val="18"/>
          <w:szCs w:val="18"/>
          <w:b w:val="1"/>
          <w:bCs w:val="1"/>
          <w:color w:val="auto"/>
        </w:rPr>
        <w:t>NORWAY INITIAL GUARANTOR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80"/>
        <w:spacing w:after="0"/>
        <w:rPr>
          <w:sz w:val="20"/>
          <w:szCs w:val="20"/>
          <w:color w:val="auto"/>
        </w:rPr>
      </w:pPr>
      <w:r>
        <w:rPr>
          <w:rFonts w:ascii="Arial" w:cs="Arial" w:eastAsia="Arial" w:hAnsi="Arial"/>
          <w:sz w:val="20"/>
          <w:szCs w:val="20"/>
          <w:color w:val="252525"/>
        </w:rPr>
        <w:t>WEATHERFORD NORGE AS</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Eugene L Nathan</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Eugene L Nathan</w:t>
            </w:r>
          </w:p>
        </w:tc>
      </w:tr>
      <w:tr>
        <w:trPr>
          <w:trHeight w:val="303"/>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5"/>
          <w:szCs w:val="15"/>
          <w:i w:val="1"/>
          <w:iCs w:val="1"/>
          <w:color w:val="auto"/>
        </w:rPr>
        <w:t>Signature Page to RCF Affiliate Guaranty</w:t>
      </w:r>
    </w:p>
    <w:p>
      <w:pPr>
        <w:sectPr>
          <w:pgSz w:w="11900" w:h="16838" w:orient="portrait"/>
          <w:cols w:equalWidth="0" w:num="1">
            <w:col w:w="9280"/>
          </w:cols>
          <w:pgMar w:left="1440" w:top="797" w:right="1179" w:bottom="1440" w:gutter="0" w:footer="0" w:header="0"/>
        </w:sectPr>
      </w:pPr>
    </w:p>
    <w:bookmarkStart w:id="387" w:name="page388"/>
    <w:bookmarkEnd w:id="387"/>
    <w:p>
      <w:pPr>
        <w:jc w:val="center"/>
        <w:ind w:right="260"/>
        <w:spacing w:after="0"/>
        <w:rPr>
          <w:sz w:val="20"/>
          <w:szCs w:val="20"/>
          <w:color w:val="auto"/>
        </w:rPr>
      </w:pPr>
      <w:r>
        <w:rPr>
          <w:rFonts w:ascii="Arial" w:cs="Arial" w:eastAsia="Arial" w:hAnsi="Arial"/>
          <w:sz w:val="18"/>
          <w:szCs w:val="18"/>
          <w:b w:val="1"/>
          <w:bCs w:val="1"/>
          <w:color w:val="auto"/>
        </w:rPr>
        <w:t>SWITZERLAND INITIAL GUARANTORS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WOFS INTERNATIONAL FINANCE GMBH</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Julie Thomson</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Julie Thomson</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540"/>
        <w:spacing w:after="0"/>
        <w:rPr>
          <w:sz w:val="20"/>
          <w:szCs w:val="20"/>
          <w:color w:val="auto"/>
        </w:rPr>
      </w:pPr>
      <w:r>
        <w:rPr>
          <w:rFonts w:ascii="Arial" w:cs="Arial" w:eastAsia="Arial" w:hAnsi="Arial"/>
          <w:sz w:val="20"/>
          <w:szCs w:val="20"/>
          <w:color w:val="auto"/>
        </w:rPr>
        <w:t>WEATHERFORD WORLDWIDE HOLDINGS GMBH</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SWITZERLAND TRADING</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AND DEVELOPMENT GMBH</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HOLDINGS (SWISS) 1 GMBH</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MANAGEMENT COMPANY</w:t>
      </w:r>
    </w:p>
    <w:p>
      <w:pPr>
        <w:spacing w:after="0" w:line="5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SWITZERLAND SARL</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Stuart Fraser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Stuart Fraser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280"/>
          </w:cols>
          <w:pgMar w:left="1440" w:top="796" w:right="1179" w:bottom="1440" w:gutter="0" w:footer="0" w:header="0"/>
        </w:sectPr>
      </w:pPr>
    </w:p>
    <w:bookmarkStart w:id="388" w:name="page389"/>
    <w:bookmarkEnd w:id="388"/>
    <w:p>
      <w:pPr>
        <w:spacing w:after="0" w:line="18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PRODUCTS GMBH</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WOFS SWISS FINANCE AG</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Philipp Andermatt</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Philipp Andermatt</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Member of the Board</w:t>
            </w:r>
          </w:p>
        </w:tc>
      </w:tr>
    </w:tbl>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280"/>
          </w:cols>
          <w:pgMar w:left="1440" w:top="1440" w:right="1179" w:bottom="1440" w:gutter="0" w:footer="0" w:header="0"/>
        </w:sectPr>
      </w:pPr>
    </w:p>
    <w:bookmarkStart w:id="389" w:name="page390"/>
    <w:bookmarkEnd w:id="389"/>
    <w:p>
      <w:pPr>
        <w:jc w:val="center"/>
        <w:ind w:right="240"/>
        <w:spacing w:after="0"/>
        <w:rPr>
          <w:sz w:val="20"/>
          <w:szCs w:val="20"/>
          <w:color w:val="auto"/>
        </w:rPr>
      </w:pPr>
      <w:r>
        <w:rPr>
          <w:rFonts w:ascii="Arial" w:cs="Arial" w:eastAsia="Arial" w:hAnsi="Arial"/>
          <w:sz w:val="18"/>
          <w:szCs w:val="18"/>
          <w:b w:val="1"/>
          <w:bCs w:val="1"/>
          <w:color w:val="auto"/>
        </w:rPr>
        <w:t>UNITED STATES INITIAL GUARANTORS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80"/>
        <w:spacing w:after="0"/>
        <w:rPr>
          <w:sz w:val="20"/>
          <w:szCs w:val="20"/>
          <w:color w:val="auto"/>
        </w:rPr>
      </w:pPr>
      <w:r>
        <w:rPr>
          <w:rFonts w:ascii="Arial" w:cs="Arial" w:eastAsia="Arial" w:hAnsi="Arial"/>
          <w:sz w:val="20"/>
          <w:szCs w:val="20"/>
          <w:color w:val="252525"/>
        </w:rPr>
        <w:t>WEATHERFORD HOLDINGS U</w:t>
      </w:r>
      <w:r>
        <w:rPr>
          <w:rFonts w:ascii="Arial" w:cs="Arial" w:eastAsia="Arial" w:hAnsi="Arial"/>
          <w:sz w:val="20"/>
          <w:szCs w:val="20"/>
          <w:color w:val="444444"/>
        </w:rPr>
        <w:t>.</w:t>
      </w:r>
      <w:r>
        <w:rPr>
          <w:rFonts w:ascii="Arial" w:cs="Arial" w:eastAsia="Arial" w:hAnsi="Arial"/>
          <w:sz w:val="20"/>
          <w:szCs w:val="20"/>
          <w:color w:val="252525"/>
        </w:rPr>
        <w:t>S.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252525"/>
        </w:rPr>
        <w:t>WEATHERFORD U</w:t>
      </w:r>
      <w:r>
        <w:rPr>
          <w:rFonts w:ascii="Arial" w:cs="Arial" w:eastAsia="Arial" w:hAnsi="Arial"/>
          <w:sz w:val="20"/>
          <w:szCs w:val="20"/>
          <w:color w:val="000007"/>
        </w:rPr>
        <w:t>.</w:t>
      </w:r>
      <w:r>
        <w:rPr>
          <w:rFonts w:ascii="Arial" w:cs="Arial" w:eastAsia="Arial" w:hAnsi="Arial"/>
          <w:sz w:val="20"/>
          <w:szCs w:val="20"/>
          <w:color w:val="252525"/>
        </w:rPr>
        <w:t>S. HOLDINGS</w:t>
      </w:r>
      <w:r>
        <w:rPr>
          <w:rFonts w:ascii="Arial" w:cs="Arial" w:eastAsia="Arial" w:hAnsi="Arial"/>
          <w:sz w:val="20"/>
          <w:szCs w:val="20"/>
          <w:color w:val="444444"/>
        </w:rPr>
        <w:t>,</w:t>
      </w:r>
      <w:r>
        <w:rPr>
          <w:rFonts w:ascii="Arial" w:cs="Arial" w:eastAsia="Arial" w:hAnsi="Arial"/>
          <w:sz w:val="20"/>
          <w:szCs w:val="20"/>
          <w:color w:val="252525"/>
        </w:rPr>
        <w:t xml:space="preserve">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INTERNATIONAL,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WEUS HOLDING,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520"/>
        <w:spacing w:after="0"/>
        <w:rPr>
          <w:sz w:val="20"/>
          <w:szCs w:val="20"/>
          <w:color w:val="auto"/>
        </w:rPr>
      </w:pPr>
      <w:r>
        <w:rPr>
          <w:rFonts w:ascii="Arial" w:cs="Arial" w:eastAsia="Arial" w:hAnsi="Arial"/>
          <w:sz w:val="20"/>
          <w:szCs w:val="20"/>
          <w:color w:val="auto"/>
        </w:rPr>
        <w:t>WEATHERFORD ARTIFICIAL LIFT SYSTEMS,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9280"/>
          </w:cols>
          <w:pgMar w:left="1440" w:top="796" w:right="1179" w:bottom="1440" w:gutter="0" w:footer="0" w:header="0"/>
        </w:sectPr>
      </w:pPr>
    </w:p>
    <w:bookmarkStart w:id="390" w:name="page391"/>
    <w:bookmarkEnd w:id="390"/>
    <w:p>
      <w:pPr>
        <w:spacing w:after="0" w:line="182" w:lineRule="exact"/>
        <w:rPr>
          <w:sz w:val="20"/>
          <w:szCs w:val="20"/>
          <w:color w:val="auto"/>
        </w:rPr>
      </w:pPr>
    </w:p>
    <w:p>
      <w:pPr>
        <w:jc w:val="right"/>
        <w:ind w:right="1120"/>
        <w:spacing w:after="0"/>
        <w:rPr>
          <w:sz w:val="20"/>
          <w:szCs w:val="20"/>
          <w:color w:val="auto"/>
        </w:rPr>
      </w:pPr>
      <w:r>
        <w:rPr>
          <w:rFonts w:ascii="Arial" w:cs="Arial" w:eastAsia="Arial" w:hAnsi="Arial"/>
          <w:sz w:val="20"/>
          <w:szCs w:val="20"/>
          <w:color w:val="auto"/>
        </w:rPr>
        <w:t>WEATHERFORD LIMITED PARTNER,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Jennifer Presnall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Jennifer Presnall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PD HOLDINGS (USA), L.P.</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PRECISION DRILLING HOLDINGS, INC.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Kamini D. Patel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Kamini D. Patel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PRECISION DRILLING LP, INC.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Kamini D. Patel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Kamini D. Patel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PRECISION USA HOLDINGS, INC.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PRECISION ENERGY SERVICES, INC.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280"/>
          </w:cols>
          <w:pgMar w:left="1440" w:top="1440" w:right="1179" w:bottom="1440" w:gutter="0" w:footer="0" w:header="0"/>
        </w:sectPr>
      </w:pPr>
    </w:p>
    <w:bookmarkStart w:id="391" w:name="page392"/>
    <w:bookmarkEnd w:id="391"/>
    <w:p>
      <w:pPr>
        <w:spacing w:after="0" w:line="39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U.S., L.P.</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U.S. INVESTMENT, LLC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WEATHERFORD/LAMB, INC.</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4"/>
          <w:szCs w:val="14"/>
          <w:i w:val="1"/>
          <w:iCs w:val="1"/>
          <w:color w:val="auto"/>
        </w:rPr>
        <w:t>Signature Page to RCF Affiliate Guaranty</w:t>
      </w:r>
    </w:p>
    <w:p>
      <w:pPr>
        <w:sectPr>
          <w:pgSz w:w="11900" w:h="16838" w:orient="portrait"/>
          <w:cols w:equalWidth="0" w:num="1">
            <w:col w:w="9280"/>
          </w:cols>
          <w:pgMar w:left="1440" w:top="1440" w:right="1179" w:bottom="1440" w:gutter="0" w:footer="0" w:header="0"/>
        </w:sectPr>
      </w:pPr>
    </w:p>
    <w:bookmarkStart w:id="392" w:name="page393"/>
    <w:bookmarkEnd w:id="392"/>
    <w:p>
      <w:pPr>
        <w:spacing w:after="0"/>
        <w:rPr>
          <w:sz w:val="20"/>
          <w:szCs w:val="20"/>
          <w:color w:val="auto"/>
        </w:rPr>
      </w:pPr>
      <w:r>
        <w:rPr>
          <w:rFonts w:ascii="Arial" w:cs="Arial" w:eastAsia="Arial" w:hAnsi="Arial"/>
          <w:sz w:val="20"/>
          <w:szCs w:val="20"/>
          <w:color w:val="auto"/>
        </w:rPr>
        <w:t>Acknowledged and Agreed to:</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JPMORGAN CHASE BANK, N.A., as Administrative Agent</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Dave Katz</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Dave Katz</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72" w:lineRule="exact"/>
        <w:rPr>
          <w:sz w:val="20"/>
          <w:szCs w:val="20"/>
          <w:color w:val="auto"/>
        </w:rPr>
      </w:pPr>
    </w:p>
    <w:p>
      <w:pPr>
        <w:jc w:val="right"/>
        <w:ind w:right="3139"/>
        <w:spacing w:after="0"/>
        <w:rPr>
          <w:sz w:val="20"/>
          <w:szCs w:val="20"/>
          <w:color w:val="auto"/>
        </w:rPr>
      </w:pPr>
      <w:r>
        <w:rPr>
          <w:rFonts w:ascii="Arial" w:cs="Arial" w:eastAsia="Arial" w:hAnsi="Arial"/>
          <w:sz w:val="16"/>
          <w:szCs w:val="16"/>
          <w:i w:val="1"/>
          <w:iCs w:val="1"/>
          <w:color w:val="auto"/>
        </w:rPr>
        <w:t>Signature Page to RCF Affiliate Guaranty</w:t>
      </w:r>
    </w:p>
    <w:p>
      <w:pPr>
        <w:sectPr>
          <w:pgSz w:w="11900" w:h="16838" w:orient="portrait"/>
          <w:cols w:equalWidth="0" w:num="1">
            <w:col w:w="10219"/>
          </w:cols>
          <w:pgMar w:left="240" w:top="798" w:right="1440" w:bottom="1440" w:gutter="0" w:footer="0" w:header="0"/>
        </w:sectPr>
      </w:pPr>
    </w:p>
    <w:bookmarkStart w:id="393" w:name="page394"/>
    <w:bookmarkEnd w:id="393"/>
    <w:p>
      <w:pPr>
        <w:jc w:val="center"/>
        <w:spacing w:after="0"/>
        <w:rPr>
          <w:sz w:val="20"/>
          <w:szCs w:val="20"/>
          <w:color w:val="auto"/>
        </w:rPr>
      </w:pPr>
      <w:r>
        <w:rPr>
          <w:rFonts w:ascii="Arial" w:cs="Arial" w:eastAsia="Arial" w:hAnsi="Arial"/>
          <w:sz w:val="20"/>
          <w:szCs w:val="20"/>
          <w:u w:val="single" w:color="auto"/>
          <w:color w:val="auto"/>
        </w:rPr>
        <w:t>ANNEX I TO GUARANTY</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Reference is hereby made to the Affiliate Guaranty (as the same may be amended, restated, supplemented or otherwise modified from time to time, the “Guaranty”), dated as of May </w:t>
      </w:r>
      <w:r>
        <w:rPr>
          <w:rFonts w:ascii="Arial" w:cs="Arial" w:eastAsia="Arial" w:hAnsi="Arial"/>
          <w:sz w:val="20"/>
          <w:szCs w:val="20"/>
          <w:b w:val="1"/>
          <w:bCs w:val="1"/>
          <w:color w:val="auto"/>
        </w:rPr>
        <w:t>[</w:t>
      </w:r>
      <w:r>
        <w:rPr>
          <w:rFonts w:ascii="Arial" w:cs="Arial" w:eastAsia="Arial" w:hAnsi="Arial"/>
          <w:sz w:val="20"/>
          <w:szCs w:val="20"/>
          <w:color w:val="auto"/>
        </w:rPr>
        <w:t>__</w:t>
      </w:r>
      <w:r>
        <w:rPr>
          <w:rFonts w:ascii="Arial" w:cs="Arial" w:eastAsia="Arial" w:hAnsi="Arial"/>
          <w:sz w:val="20"/>
          <w:szCs w:val="20"/>
          <w:b w:val="1"/>
          <w:bCs w:val="1"/>
          <w:color w:val="auto"/>
        </w:rPr>
        <w:t>]</w:t>
      </w:r>
      <w:r>
        <w:rPr>
          <w:rFonts w:ascii="Arial" w:cs="Arial" w:eastAsia="Arial" w:hAnsi="Arial"/>
          <w:sz w:val="20"/>
          <w:szCs w:val="20"/>
          <w:color w:val="auto"/>
        </w:rPr>
        <w:t>, 2016, made by Weatherford International plc, an Irish public limited company (the “Parent”) and each Subsidiary of the Parent listed on the signature pages thereto (the Parent and each such Subsidiary, an “Initial Guarantor”, and together with any additional Subsidiaries of the Parent that become parties to the Guaranty by executing Guaranty Supplements thereto substantially similar in form and substance hereto, the “Guarantors”), in favor of the Administrative Agent, for the ratable benefit of the Guaranteed Parties, under the Credit Agreement. Each capitalized term used herein and not defined herein shall have the meaning given to it in the Guaranty.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its execution below, the undersigned, </w:t>
      </w:r>
      <w:r>
        <w:rPr>
          <w:rFonts w:ascii="Arial" w:cs="Arial" w:eastAsia="Arial" w:hAnsi="Arial"/>
          <w:sz w:val="24"/>
          <w:szCs w:val="24"/>
          <w:b w:val="1"/>
          <w:bCs w:val="1"/>
          <w:color w:val="auto"/>
        </w:rPr>
        <w:t>[</w:t>
      </w:r>
      <w:r>
        <w:rPr>
          <w:rFonts w:ascii="Arial" w:cs="Arial" w:eastAsia="Arial" w:hAnsi="Arial"/>
          <w:sz w:val="19"/>
          <w:szCs w:val="19"/>
          <w:color w:val="auto"/>
        </w:rPr>
        <w:t>NAME OF NEW GUARANTOR</w:t>
      </w:r>
      <w:r>
        <w:rPr>
          <w:rFonts w:ascii="Arial" w:cs="Arial" w:eastAsia="Arial" w:hAnsi="Arial"/>
          <w:sz w:val="24"/>
          <w:szCs w:val="24"/>
          <w:b w:val="1"/>
          <w:bCs w:val="1"/>
          <w:color w:val="auto"/>
        </w:rPr>
        <w:t>]</w:t>
      </w:r>
      <w:r>
        <w:rPr>
          <w:rFonts w:ascii="Arial" w:cs="Arial" w:eastAsia="Arial" w:hAnsi="Arial"/>
          <w:sz w:val="19"/>
          <w:szCs w:val="19"/>
          <w:color w:val="auto"/>
        </w:rPr>
        <w:t xml:space="preserve">, a </w:t>
      </w:r>
      <w:r>
        <w:rPr>
          <w:rFonts w:ascii="Arial" w:cs="Arial" w:eastAsia="Arial" w:hAnsi="Arial"/>
          <w:sz w:val="24"/>
          <w:szCs w:val="24"/>
          <w:b w:val="1"/>
          <w:bCs w:val="1"/>
          <w:color w:val="auto"/>
        </w:rPr>
        <w:t>[</w:t>
      </w:r>
      <w:r>
        <w:rPr>
          <w:rFonts w:ascii="Arial" w:cs="Arial" w:eastAsia="Arial" w:hAnsi="Arial"/>
          <w:sz w:val="19"/>
          <w:szCs w:val="19"/>
          <w:color w:val="auto"/>
        </w:rPr>
        <w:t>________________</w:t>
      </w:r>
      <w:r>
        <w:rPr>
          <w:rFonts w:ascii="Arial" w:cs="Arial" w:eastAsia="Arial" w:hAnsi="Arial"/>
          <w:sz w:val="24"/>
          <w:szCs w:val="24"/>
          <w:b w:val="1"/>
          <w:bCs w:val="1"/>
          <w:color w:val="auto"/>
        </w:rPr>
        <w:t>][</w:t>
      </w:r>
      <w:r>
        <w:rPr>
          <w:rFonts w:ascii="Arial" w:cs="Arial" w:eastAsia="Arial" w:hAnsi="Arial"/>
          <w:sz w:val="19"/>
          <w:szCs w:val="19"/>
          <w:color w:val="auto"/>
        </w:rPr>
        <w:t>corporation</w:t>
      </w:r>
      <w:r>
        <w:rPr>
          <w:rFonts w:ascii="Arial" w:cs="Arial" w:eastAsia="Arial" w:hAnsi="Arial"/>
          <w:sz w:val="24"/>
          <w:szCs w:val="24"/>
          <w:b w:val="1"/>
          <w:bCs w:val="1"/>
          <w:color w:val="auto"/>
        </w:rPr>
        <w:t>] [</w:t>
      </w:r>
      <w:r>
        <w:rPr>
          <w:rFonts w:ascii="Arial" w:cs="Arial" w:eastAsia="Arial" w:hAnsi="Arial"/>
          <w:sz w:val="19"/>
          <w:szCs w:val="19"/>
          <w:color w:val="auto"/>
        </w:rPr>
        <w:t>partnership</w:t>
      </w:r>
      <w:r>
        <w:rPr>
          <w:rFonts w:ascii="Arial" w:cs="Arial" w:eastAsia="Arial" w:hAnsi="Arial"/>
          <w:sz w:val="24"/>
          <w:szCs w:val="24"/>
          <w:b w:val="1"/>
          <w:bCs w:val="1"/>
          <w:color w:val="auto"/>
        </w:rPr>
        <w:t>] [</w:t>
      </w:r>
      <w:r>
        <w:rPr>
          <w:rFonts w:ascii="Arial" w:cs="Arial" w:eastAsia="Arial" w:hAnsi="Arial"/>
          <w:sz w:val="19"/>
          <w:szCs w:val="19"/>
          <w:color w:val="auto"/>
        </w:rPr>
        <w:t>limited</w:t>
      </w:r>
    </w:p>
    <w:p>
      <w:pPr>
        <w:spacing w:after="0" w:line="53" w:lineRule="exact"/>
        <w:rPr>
          <w:sz w:val="20"/>
          <w:szCs w:val="20"/>
          <w:color w:val="auto"/>
        </w:rPr>
      </w:pPr>
    </w:p>
    <w:p>
      <w:pPr>
        <w:spacing w:after="0" w:line="301" w:lineRule="auto"/>
        <w:rPr>
          <w:sz w:val="20"/>
          <w:szCs w:val="20"/>
          <w:color w:val="auto"/>
        </w:rPr>
      </w:pPr>
      <w:r>
        <w:rPr>
          <w:rFonts w:ascii="Arial" w:cs="Arial" w:eastAsia="Arial" w:hAnsi="Arial"/>
          <w:sz w:val="20"/>
          <w:szCs w:val="20"/>
          <w:color w:val="auto"/>
        </w:rPr>
        <w:t>liability company</w:t>
      </w:r>
      <w:r>
        <w:rPr>
          <w:rFonts w:ascii="Arial" w:cs="Arial" w:eastAsia="Arial" w:hAnsi="Arial"/>
          <w:sz w:val="25"/>
          <w:szCs w:val="25"/>
          <w:b w:val="1"/>
          <w:bCs w:val="1"/>
          <w:color w:val="auto"/>
        </w:rPr>
        <w:t>] [</w:t>
      </w:r>
      <w:r>
        <w:rPr>
          <w:rFonts w:ascii="Arial" w:cs="Arial" w:eastAsia="Arial" w:hAnsi="Arial"/>
          <w:sz w:val="20"/>
          <w:szCs w:val="20"/>
          <w:color w:val="auto"/>
        </w:rPr>
        <w:t>other form of legal entity</w:t>
      </w:r>
      <w:r>
        <w:rPr>
          <w:rFonts w:ascii="Arial" w:cs="Arial" w:eastAsia="Arial" w:hAnsi="Arial"/>
          <w:sz w:val="25"/>
          <w:szCs w:val="25"/>
          <w:b w:val="1"/>
          <w:bCs w:val="1"/>
          <w:color w:val="auto"/>
        </w:rPr>
        <w:t>]</w:t>
      </w:r>
      <w:r>
        <w:rPr>
          <w:rFonts w:ascii="Arial" w:cs="Arial" w:eastAsia="Arial" w:hAnsi="Arial"/>
          <w:sz w:val="20"/>
          <w:szCs w:val="20"/>
          <w:color w:val="auto"/>
        </w:rPr>
        <w:t xml:space="preserve"> (the “New Guarantor”), agrees to become, and does hereby become, a Guarantor under the Guaranty and agrees to be bound by such Guaranty as if originally a party thereto. Without limiting the foregoing, the undersigned hereby absolutely and unconditionally, and jointly and severally with the other Guarantors, guarantees the punctual payment and performance when due (whether at stated maturity, by acceleration or otherwise), of all Guaranteed Obligations. By its execution below, the undersigned represents and warrants as to itself that all of the representations and warranties contained in Section 1 of the Guaranty are true and correct in all respects as of the date hereof.</w:t>
      </w:r>
      <w:r>
        <w:rPr>
          <w:rFonts w:ascii="Arial" w:cs="Arial" w:eastAsia="Arial" w:hAnsi="Arial"/>
          <w:sz w:val="25"/>
          <w:szCs w:val="25"/>
          <w:color w:val="auto"/>
          <w:vertAlign w:val="superscript"/>
        </w:rPr>
        <w:t>1</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New Guarantor has executed and delivered this Annex I counterpart to the Guaranty as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 day of _________, 20___.</w:t>
      </w: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color w:val="auto"/>
        </w:rPr>
        <w:t>NAME OF NEW GUARANTOR</w:t>
      </w:r>
      <w:r>
        <w:rPr>
          <w:rFonts w:ascii="Arial" w:cs="Arial" w:eastAsia="Arial" w:hAnsi="Arial"/>
          <w:sz w:val="25"/>
          <w:szCs w:val="25"/>
          <w:b w:val="1"/>
          <w:bCs w:val="1"/>
          <w:color w:val="auto"/>
        </w:rPr>
        <w:t>]</w:t>
      </w:r>
    </w:p>
    <w:p>
      <w:pPr>
        <w:spacing w:after="0" w:line="4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By:____________________________________</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 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rPr>
          <w:sz w:val="20"/>
          <w:szCs w:val="20"/>
          <w:color w:val="auto"/>
        </w:rPr>
      </w:pPr>
      <w:r>
        <w:rPr>
          <w:rFonts w:ascii="Arial" w:cs="Arial" w:eastAsia="Arial" w:hAnsi="Arial"/>
          <w:sz w:val="20"/>
          <w:szCs w:val="20"/>
          <w:color w:val="auto"/>
        </w:rPr>
        <w:t>By:__________________________________</w:t>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w:t>
      </w:r>
    </w:p>
    <w:p>
      <w:pPr>
        <w:spacing w:after="0" w:line="11" w:lineRule="exact"/>
        <w:rPr>
          <w:sz w:val="20"/>
          <w:szCs w:val="20"/>
          <w:color w:val="auto"/>
        </w:rPr>
      </w:pPr>
    </w:p>
    <w:p>
      <w:pPr>
        <w:ind w:left="80" w:hanging="72"/>
        <w:spacing w:after="0"/>
        <w:tabs>
          <w:tab w:leader="none" w:pos="80" w:val="left"/>
        </w:tabs>
        <w:numPr>
          <w:ilvl w:val="0"/>
          <w:numId w:val="404"/>
        </w:numPr>
        <w:rPr>
          <w:rFonts w:ascii="Arial" w:cs="Arial" w:eastAsia="Arial" w:hAnsi="Arial"/>
          <w:sz w:val="18"/>
          <w:szCs w:val="18"/>
          <w:color w:val="auto"/>
          <w:vertAlign w:val="superscript"/>
        </w:rPr>
      </w:pPr>
      <w:r>
        <w:rPr>
          <w:rFonts w:ascii="Arial" w:cs="Arial" w:eastAsia="Arial" w:hAnsi="Arial"/>
          <w:sz w:val="20"/>
          <w:szCs w:val="20"/>
          <w:color w:val="auto"/>
        </w:rPr>
        <w:t>Provisions applicable to any Guarantor organized in a new Specified Jurisdiction to be inserted.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ACTIVE 214265930v.13</w:t>
      </w:r>
    </w:p>
    <w:p>
      <w:pPr>
        <w:sectPr>
          <w:pgSz w:w="11900" w:h="16838" w:orient="portrait"/>
          <w:cols w:equalWidth="0" w:num="1">
            <w:col w:w="11420"/>
          </w:cols>
          <w:pgMar w:left="240" w:top="582"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20"/>
          <w:szCs w:val="20"/>
          <w:b w:val="1"/>
          <w:bCs w:val="1"/>
          <w:color w:val="auto"/>
        </w:rPr>
        <w:t>Exhibit 10.6</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AFFILIATE GUARANTY</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THIS AFFILIATE GUARANTY (as the same may be amended, restated, supplemented or otherwise modified from time to time,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May 9, 2016 by and among Weatherford International plc, an Irish public limited company (the “</w:t>
      </w:r>
      <w:r>
        <w:rPr>
          <w:rFonts w:ascii="Arial" w:cs="Arial" w:eastAsia="Arial" w:hAnsi="Arial"/>
          <w:sz w:val="18"/>
          <w:szCs w:val="18"/>
          <w:u w:val="single" w:color="auto"/>
          <w:color w:val="auto"/>
        </w:rPr>
        <w:t>Parent</w:t>
      </w:r>
      <w:r>
        <w:rPr>
          <w:rFonts w:ascii="Arial" w:cs="Arial" w:eastAsia="Arial" w:hAnsi="Arial"/>
          <w:sz w:val="18"/>
          <w:szCs w:val="18"/>
          <w:color w:val="auto"/>
        </w:rPr>
        <w:t>”) and each of the Subsidiaries of the Parent listed on the signature pages hereto (the Parent and each such listed Subsidiary, each an “</w:t>
      </w:r>
      <w:r>
        <w:rPr>
          <w:rFonts w:ascii="Arial" w:cs="Arial" w:eastAsia="Arial" w:hAnsi="Arial"/>
          <w:sz w:val="18"/>
          <w:szCs w:val="18"/>
          <w:u w:val="single" w:color="auto"/>
          <w:color w:val="auto"/>
        </w:rPr>
        <w:t>Initial Guarantor</w:t>
      </w:r>
      <w:r>
        <w:rPr>
          <w:rFonts w:ascii="Arial" w:cs="Arial" w:eastAsia="Arial" w:hAnsi="Arial"/>
          <w:sz w:val="18"/>
          <w:szCs w:val="18"/>
          <w:color w:val="auto"/>
        </w:rPr>
        <w:t>”) and those additional Subsidiaries of the Parent that become parties to this Guaranty by executing a supplement hereto (a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(such additional Subsidiaries, together with the Initial Guarantors,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benefit of itself and the other holders of the Guaranteed Obligations (as defined below) (all such holders, the “</w:t>
      </w:r>
      <w:r>
        <w:rPr>
          <w:rFonts w:ascii="Arial" w:cs="Arial" w:eastAsia="Arial" w:hAnsi="Arial"/>
          <w:sz w:val="18"/>
          <w:szCs w:val="18"/>
          <w:u w:val="single" w:color="auto"/>
          <w:color w:val="auto"/>
        </w:rPr>
        <w:t>Guaranteed Parties</w:t>
      </w:r>
      <w:r>
        <w:rPr>
          <w:rFonts w:ascii="Arial" w:cs="Arial" w:eastAsia="Arial" w:hAnsi="Arial"/>
          <w:sz w:val="18"/>
          <w:szCs w:val="18"/>
          <w:color w:val="auto"/>
        </w:rPr>
        <w:t>”). Unless otherwise defined herein, capitalized terms used herein and not defined herein shall have the respective meanings ascribed to such terms in the Credit Agreement (as defined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Weatherford International Ltd., a Bermuda exempted company (“</w:t>
      </w:r>
      <w:r>
        <w:rPr>
          <w:rFonts w:ascii="Arial" w:cs="Arial" w:eastAsia="Arial" w:hAnsi="Arial"/>
          <w:sz w:val="20"/>
          <w:szCs w:val="20"/>
          <w:u w:val="single" w:color="auto"/>
          <w:color w:val="auto"/>
        </w:rPr>
        <w:t>WIL-Bermuda</w:t>
      </w:r>
      <w:r>
        <w:rPr>
          <w:rFonts w:ascii="Arial" w:cs="Arial" w:eastAsia="Arial" w:hAnsi="Arial"/>
          <w:sz w:val="20"/>
          <w:szCs w:val="20"/>
          <w:color w:val="auto"/>
        </w:rPr>
        <w:t>”), the Parent, the financial institutions from time to time party thereto as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have entered into that certain Term Loan Agreement dated as of May 4, 2016 (as the same may be amended, restated, supplemented or otherwise modified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which provides, subject to the terms and conditions thereof, for Loans to be made by the Lenders to the Borrower on the Effective Date;</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it is a condition precedent to the Effective Date under the Credit Agreement and to each Lender’s obligation to make its Loan to the Borrower thereunder on the terms therein that each of the Guarantors execute and deliver this Guaranty, whereby each of the Guarantors, without limitation and with full recourse, shall guarantee the payment and performance when due of all Guaranteed Obligations;</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without limitation or prejudice to any and all rights and remedies available to any Guaranteed Party against any Guarantor hereunder (or under any other Loan Document) on a joint and several liability basis, as fully set forth in the Loan Documents, the Guaranteed Parties acknowledge that the guarantee of the Guaranteed Obligations by the Parent, the publicly-traded parent company and direct and indirect owner of all the WIL-Ireland Group’s assets and operations, provides the greatest economic protection to the Guaranteed Parties in the case of an Event of Default; and</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WHEREAS, in consideration of the direct and indirect financial and other support and benefits that the Borrower has provided, and such direct and indirect financial and other support and benefits as the Borrower may in the future provide, to the Guarantors, and in consideration for the increased ability of each Guarantor, as an Affiliate of the Borrower, to benefit from the Loans made to the Borrower pursuant to the Credit Agreement and the flexibility provided by the Credit Agreement for each Guarantor to do so, and in order to induce the Lenders and the Administrative Agent to enter into the Credit Agreement, and to make the Loans to the Borrower on the Effective Date on the terms described in the Credit Agreement, each of the Guarantors is willing to guarantee the Guaranteed Obligations;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parties hereto agree as follows: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Representations, Warranties and Covenants</w:t>
      </w:r>
      <w:r>
        <w:rPr>
          <w:rFonts w:ascii="Arial" w:cs="Arial" w:eastAsia="Arial" w:hAnsi="Arial"/>
          <w:sz w:val="20"/>
          <w:szCs w:val="20"/>
          <w:color w:val="auto"/>
        </w:rPr>
        <w:t>. Each of the Guarantors represents and warrants to each Lender and the Administrative Agent as of the date of this Guaranty, giving effect to the consummation of the transactions contemplated by the Loan Documents on the Effective Date that: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115" w:right="239" w:bottom="1440" w:gutter="0" w:footer="0" w:header="0"/>
        </w:sectPr>
      </w:pPr>
    </w:p>
    <w:bookmarkStart w:id="395" w:name="page396"/>
    <w:bookmarkEnd w:id="395"/>
    <w:p>
      <w:pPr>
        <w:jc w:val="both"/>
        <w:ind w:firstLine="656"/>
        <w:spacing w:after="0" w:line="276" w:lineRule="auto"/>
        <w:tabs>
          <w:tab w:leader="none" w:pos="11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Such Guarantor (i) is a company, corporation, partnership, unlimited liability company or entity having limited liability that is duly organized (or in the case of any English, Australian, British Virgin Islands or Bermuda Guarantor, duly incorporated) or formed, validly existing and, to the extent applicable, in good standing under the laws of the jurisdiction of its incorporation or formation, (ii) has the corporate, partnership or other power and authority to own its property and to carry on its business as now conducted and (iii) is duly qualified as a foreign corporation or other foreign entity to do business and is in good standing in every jurisdiction in which the failure to be so qualified would, together with all such other failures of the Guarantors to be so qualified or in good standing, have a Material Adverse Effect.</w:t>
      </w:r>
    </w:p>
    <w:p>
      <w:pPr>
        <w:spacing w:after="0" w:line="178" w:lineRule="exact"/>
        <w:rPr>
          <w:rFonts w:ascii="Arial" w:cs="Arial" w:eastAsia="Arial" w:hAnsi="Arial"/>
          <w:sz w:val="18"/>
          <w:szCs w:val="18"/>
          <w:color w:val="auto"/>
        </w:rPr>
      </w:pPr>
    </w:p>
    <w:p>
      <w:pPr>
        <w:jc w:val="both"/>
        <w:ind w:firstLine="656"/>
        <w:spacing w:after="0" w:line="255" w:lineRule="auto"/>
        <w:tabs>
          <w:tab w:leader="none" w:pos="1077" w:val="left"/>
        </w:tabs>
        <w:numPr>
          <w:ilvl w:val="0"/>
          <w:numId w:val="405"/>
        </w:numPr>
        <w:rPr>
          <w:rFonts w:ascii="Arial" w:cs="Arial" w:eastAsia="Arial" w:hAnsi="Arial"/>
          <w:sz w:val="19"/>
          <w:szCs w:val="19"/>
          <w:color w:val="auto"/>
        </w:rPr>
      </w:pPr>
      <w:r>
        <w:rPr>
          <w:rFonts w:ascii="Arial" w:cs="Arial" w:eastAsia="Arial" w:hAnsi="Arial"/>
          <w:sz w:val="19"/>
          <w:szCs w:val="19"/>
          <w:color w:val="auto"/>
        </w:rPr>
        <w:t>Such Guarantor has the corporate or other power and authority to execute, deliver and perform its obligations hereunder and under the other Loan Documents to which it is a party and to consummate the Transactions, and all such action has been duly authorized by all necessary corporate, partnership or other proceedings on its part or on its behalf. Each Loan Document to which it is a party has been duly and validly executed and delivered by or on behalf of such Guarantor and constitutes valid and legally binding agreements of such Guarantor enforceable against such Guarantor in accordance with the terms hereof, and the Loan Documents to which such Guarantor is a party, when duly executed and delivered by or on behalf of such Guarantor, shall constitute valid and legally binding obligations of such Guarantor enforceable in accordance with the respective terms thereof and of this Guaranty, except, in each case (a) as may be limited by bankruptcy, insolvency, examinership, administration,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201" w:lineRule="exact"/>
        <w:rPr>
          <w:rFonts w:ascii="Arial" w:cs="Arial" w:eastAsia="Arial" w:hAnsi="Arial"/>
          <w:sz w:val="19"/>
          <w:szCs w:val="19"/>
          <w:color w:val="auto"/>
        </w:rPr>
      </w:pPr>
    </w:p>
    <w:p>
      <w:pPr>
        <w:jc w:val="both"/>
        <w:ind w:firstLine="656"/>
        <w:spacing w:after="0" w:line="260" w:lineRule="auto"/>
        <w:tabs>
          <w:tab w:leader="none" w:pos="1201" w:val="left"/>
        </w:tabs>
        <w:numPr>
          <w:ilvl w:val="0"/>
          <w:numId w:val="405"/>
        </w:numPr>
        <w:rPr>
          <w:rFonts w:ascii="Arial" w:cs="Arial" w:eastAsia="Arial" w:hAnsi="Arial"/>
          <w:sz w:val="19"/>
          <w:szCs w:val="19"/>
          <w:color w:val="auto"/>
        </w:rPr>
      </w:pPr>
      <w:r>
        <w:rPr>
          <w:rFonts w:ascii="Arial" w:cs="Arial" w:eastAsia="Arial" w:hAnsi="Arial"/>
          <w:sz w:val="19"/>
          <w:szCs w:val="19"/>
          <w:color w:val="auto"/>
        </w:rPr>
        <w:t>No authorization, consent, approval, license or exemption of, or filing or registration with, any Governmental Authority is necessary to have been made or obtained by such Guarantor for the valid execution, delivery and performance by such Guarantor of this Guaranty or any other Loan Document to which it is a party or the consummation of the Transactions, except those that have been obtained and are in full force and effect and such matters relating to performance as would ordinarily be done in the ordinary course of business after the Effective Date or any other date on which such Guarantor becomes a party hereto, as applicable.</w:t>
      </w:r>
    </w:p>
    <w:p>
      <w:pPr>
        <w:spacing w:after="0" w:line="194" w:lineRule="exact"/>
        <w:rPr>
          <w:rFonts w:ascii="Arial" w:cs="Arial" w:eastAsia="Arial" w:hAnsi="Arial"/>
          <w:sz w:val="19"/>
          <w:szCs w:val="19"/>
          <w:color w:val="auto"/>
        </w:rPr>
      </w:pPr>
    </w:p>
    <w:p>
      <w:pPr>
        <w:jc w:val="both"/>
        <w:ind w:firstLine="656"/>
        <w:spacing w:after="0" w:line="256" w:lineRule="auto"/>
        <w:tabs>
          <w:tab w:leader="none" w:pos="1088" w:val="left"/>
        </w:tabs>
        <w:numPr>
          <w:ilvl w:val="0"/>
          <w:numId w:val="405"/>
        </w:numPr>
        <w:rPr>
          <w:rFonts w:ascii="Arial" w:cs="Arial" w:eastAsia="Arial" w:hAnsi="Arial"/>
          <w:sz w:val="19"/>
          <w:szCs w:val="19"/>
          <w:color w:val="auto"/>
        </w:rPr>
      </w:pPr>
      <w:r>
        <w:rPr>
          <w:rFonts w:ascii="Arial" w:cs="Arial" w:eastAsia="Arial" w:hAnsi="Arial"/>
          <w:sz w:val="19"/>
          <w:szCs w:val="19"/>
          <w:color w:val="auto"/>
        </w:rPr>
        <w:t>Neither the execution, delivery and performance by such Guarantor of this Guaranty or the other Loan Documents to which it is a party, nor compliance with the terms and provisions thereof, nor the extensions of credit contemplated by the Loan Documents, nor the consummation of the Transactions (i) will breach or violate any applicable Requirement of Law, (ii) will result in any breach or violation of, or constitute a default under, or result in the creation or imposition of (or the obligation to create or impose) any Lien prohibited hereunder upon any of its property or assets pursuant to the terms of, (x) the Existing Senior Notes or any Existing Senior Notes Indenture or (y) any other indenture, agreement or other instrument to which it or any of its Restricted Subsidiaries is party or by which any property or asset of it or any of its Restricted Subsidiaries is bound or to which it is subject, except for breaches, violations and defaults under clauses (d)(i) and (d)(ii)(y) that collectively for the Guarantors would not have a Material Adverse Effect, or (v) will violate any provision of the organizational and/or constitutional documents or by-laws of such Guarantor.</w:t>
      </w:r>
    </w:p>
    <w:p>
      <w:pPr>
        <w:spacing w:after="0" w:line="198" w:lineRule="exact"/>
        <w:rPr>
          <w:rFonts w:ascii="Arial" w:cs="Arial" w:eastAsia="Arial" w:hAnsi="Arial"/>
          <w:sz w:val="19"/>
          <w:szCs w:val="19"/>
          <w:color w:val="auto"/>
        </w:rPr>
      </w:pPr>
    </w:p>
    <w:p>
      <w:pPr>
        <w:ind w:left="1080" w:hanging="424"/>
        <w:spacing w:after="0"/>
        <w:tabs>
          <w:tab w:leader="none" w:pos="108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In the case of Weatherford Australia Pty Limited (ACN 008 947 395) only (i) it is a wholly owned</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595" w:right="239" w:bottom="1440" w:gutter="0" w:footer="0" w:header="0"/>
        </w:sectPr>
      </w:pPr>
    </w:p>
    <w:bookmarkStart w:id="396" w:name="page397"/>
    <w:bookmarkEnd w:id="396"/>
    <w:p>
      <w:pPr>
        <w:jc w:val="both"/>
        <w:spacing w:after="0" w:line="269" w:lineRule="auto"/>
        <w:rPr>
          <w:sz w:val="20"/>
          <w:szCs w:val="20"/>
          <w:color w:val="auto"/>
        </w:rPr>
      </w:pPr>
      <w:r>
        <w:rPr>
          <w:rFonts w:ascii="Arial" w:cs="Arial" w:eastAsia="Arial" w:hAnsi="Arial"/>
          <w:sz w:val="19"/>
          <w:szCs w:val="19"/>
          <w:color w:val="auto"/>
        </w:rPr>
        <w:t xml:space="preserve">subsidiary of the Parent, (ii) it is not party to any other Loan Document as trustee and does not hold any property as trustee, (iii) it is Solvent and it is not presumed to be or taken to be insolvent under applicable law, and (iv) it is not prevented by Chapter 2E or Part 2J or other provision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Australia from entering into and performing any of the Loan Documents.</w:t>
      </w:r>
    </w:p>
    <w:p>
      <w:pPr>
        <w:spacing w:after="0" w:line="170" w:lineRule="exact"/>
        <w:rPr>
          <w:sz w:val="20"/>
          <w:szCs w:val="20"/>
          <w:color w:val="auto"/>
        </w:rPr>
      </w:pPr>
    </w:p>
    <w:p>
      <w:pPr>
        <w:ind w:left="1060" w:hanging="404"/>
        <w:spacing w:after="0"/>
        <w:tabs>
          <w:tab w:leader="none" w:pos="106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In the case of any Guarantor incorporated under the laws of Luxembourg (a “</w:t>
      </w:r>
      <w:r>
        <w:rPr>
          <w:rFonts w:ascii="Arial" w:cs="Arial" w:eastAsia="Arial" w:hAnsi="Arial"/>
          <w:sz w:val="20"/>
          <w:szCs w:val="20"/>
          <w:u w:val="single" w:color="auto"/>
          <w:color w:val="auto"/>
        </w:rPr>
        <w:t>Luxembourg Guarantor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firstLine="645"/>
        <w:spacing w:after="0" w:line="269" w:lineRule="auto"/>
        <w:tabs>
          <w:tab w:leader="none" w:pos="1807" w:val="left"/>
        </w:tabs>
        <w:numPr>
          <w:ilvl w:val="1"/>
          <w:numId w:val="406"/>
        </w:numPr>
        <w:rPr>
          <w:rFonts w:ascii="Arial" w:cs="Arial" w:eastAsia="Arial" w:hAnsi="Arial"/>
          <w:sz w:val="19"/>
          <w:szCs w:val="19"/>
          <w:color w:val="auto"/>
        </w:rPr>
      </w:pPr>
      <w:r>
        <w:rPr>
          <w:rFonts w:ascii="Arial" w:cs="Arial" w:eastAsia="Arial" w:hAnsi="Arial"/>
          <w:sz w:val="19"/>
          <w:szCs w:val="19"/>
          <w:color w:val="auto"/>
        </w:rPr>
        <w:t>such Luxembourg Guarantor’s head office (</w:t>
      </w:r>
      <w:r>
        <w:rPr>
          <w:rFonts w:ascii="Arial" w:cs="Arial" w:eastAsia="Arial" w:hAnsi="Arial"/>
          <w:sz w:val="19"/>
          <w:szCs w:val="19"/>
          <w:i w:val="1"/>
          <w:iCs w:val="1"/>
          <w:color w:val="auto"/>
        </w:rPr>
        <w:t>administration centrale</w:t>
      </w:r>
      <w:r>
        <w:rPr>
          <w:rFonts w:ascii="Arial" w:cs="Arial" w:eastAsia="Arial" w:hAnsi="Arial"/>
          <w:sz w:val="19"/>
          <w:szCs w:val="19"/>
          <w:color w:val="auto"/>
        </w:rPr>
        <w:t>), the place of its effective management (</w:t>
      </w:r>
      <w:r>
        <w:rPr>
          <w:rFonts w:ascii="Arial" w:cs="Arial" w:eastAsia="Arial" w:hAnsi="Arial"/>
          <w:sz w:val="19"/>
          <w:szCs w:val="19"/>
          <w:i w:val="1"/>
          <w:iCs w:val="1"/>
          <w:color w:val="auto"/>
        </w:rPr>
        <w:t>siège de</w:t>
      </w:r>
      <w:r>
        <w:rPr>
          <w:rFonts w:ascii="Arial" w:cs="Arial" w:eastAsia="Arial" w:hAnsi="Arial"/>
          <w:sz w:val="19"/>
          <w:szCs w:val="19"/>
          <w:color w:val="auto"/>
        </w:rPr>
        <w:t xml:space="preserve"> </w:t>
      </w:r>
      <w:r>
        <w:rPr>
          <w:rFonts w:ascii="Arial" w:cs="Arial" w:eastAsia="Arial" w:hAnsi="Arial"/>
          <w:sz w:val="19"/>
          <w:szCs w:val="19"/>
          <w:i w:val="1"/>
          <w:iCs w:val="1"/>
          <w:color w:val="auto"/>
        </w:rPr>
        <w:t>direction effective</w:t>
      </w:r>
      <w:r>
        <w:rPr>
          <w:rFonts w:ascii="Arial" w:cs="Arial" w:eastAsia="Arial" w:hAnsi="Arial"/>
          <w:sz w:val="19"/>
          <w:szCs w:val="19"/>
          <w:color w:val="auto"/>
        </w:rPr>
        <w:t>) and (for the purposes of the European Insolvency Regulation) (as defined below) the centre of its main interests</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centre des intérêts principaux</w:t>
      </w:r>
      <w:r>
        <w:rPr>
          <w:rFonts w:ascii="Arial" w:cs="Arial" w:eastAsia="Arial" w:hAnsi="Arial"/>
          <w:sz w:val="19"/>
          <w:szCs w:val="19"/>
          <w:color w:val="auto"/>
        </w:rPr>
        <w:t>) are located at the place of its registered office (</w:t>
      </w:r>
      <w:r>
        <w:rPr>
          <w:rFonts w:ascii="Arial" w:cs="Arial" w:eastAsia="Arial" w:hAnsi="Arial"/>
          <w:sz w:val="19"/>
          <w:szCs w:val="19"/>
          <w:i w:val="1"/>
          <w:iCs w:val="1"/>
          <w:color w:val="auto"/>
        </w:rPr>
        <w:t>siège statutaire</w:t>
      </w:r>
      <w:r>
        <w:rPr>
          <w:rFonts w:ascii="Arial" w:cs="Arial" w:eastAsia="Arial" w:hAnsi="Arial"/>
          <w:sz w:val="19"/>
          <w:szCs w:val="19"/>
          <w:color w:val="auto"/>
        </w:rPr>
        <w:t>) in Luxembourg;</w:t>
      </w:r>
    </w:p>
    <w:p>
      <w:pPr>
        <w:spacing w:after="0" w:line="183" w:lineRule="exact"/>
        <w:rPr>
          <w:rFonts w:ascii="Arial" w:cs="Arial" w:eastAsia="Arial" w:hAnsi="Arial"/>
          <w:sz w:val="19"/>
          <w:szCs w:val="19"/>
          <w:color w:val="auto"/>
        </w:rPr>
      </w:pPr>
    </w:p>
    <w:p>
      <w:pPr>
        <w:jc w:val="both"/>
        <w:ind w:left="660" w:firstLine="645"/>
        <w:spacing w:after="0" w:line="244" w:lineRule="auto"/>
        <w:tabs>
          <w:tab w:leader="none" w:pos="1782" w:val="left"/>
        </w:tabs>
        <w:numPr>
          <w:ilvl w:val="1"/>
          <w:numId w:val="406"/>
        </w:numPr>
        <w:rPr>
          <w:rFonts w:ascii="Arial" w:cs="Arial" w:eastAsia="Arial" w:hAnsi="Arial"/>
          <w:sz w:val="20"/>
          <w:szCs w:val="20"/>
          <w:color w:val="auto"/>
        </w:rPr>
      </w:pPr>
      <w:r>
        <w:rPr>
          <w:rFonts w:ascii="Arial" w:cs="Arial" w:eastAsia="Arial" w:hAnsi="Arial"/>
          <w:sz w:val="20"/>
          <w:szCs w:val="20"/>
          <w:color w:val="auto"/>
        </w:rPr>
        <w:t>such Luxembourg Guarantor is not subject to insolvency proceedings such as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winding-up, liquidation, moratorium,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suspension of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voluntary arrangement with creditors (</w:t>
      </w:r>
      <w:r>
        <w:rPr>
          <w:rFonts w:ascii="Arial" w:cs="Arial" w:eastAsia="Arial" w:hAnsi="Arial"/>
          <w:sz w:val="20"/>
          <w:szCs w:val="20"/>
          <w:i w:val="1"/>
          <w:iCs w:val="1"/>
          <w:color w:val="auto"/>
        </w:rPr>
        <w:t>concordat préventif de la faillite</w:t>
      </w:r>
      <w:r>
        <w:rPr>
          <w:rFonts w:ascii="Arial" w:cs="Arial" w:eastAsia="Arial" w:hAnsi="Arial"/>
          <w:sz w:val="20"/>
          <w:szCs w:val="20"/>
          <w:color w:val="auto"/>
        </w:rPr>
        <w:t>), fraudulent conveyance, general settlement with creditors, reorganization or similar order or proceedings affecting the rights of creditors generally and any proceedings in jurisdictions other than Luxembourg having similar effects; and</w:t>
      </w:r>
    </w:p>
    <w:p>
      <w:pPr>
        <w:spacing w:after="0" w:line="208" w:lineRule="exact"/>
        <w:rPr>
          <w:rFonts w:ascii="Arial" w:cs="Arial" w:eastAsia="Arial" w:hAnsi="Arial"/>
          <w:sz w:val="20"/>
          <w:szCs w:val="20"/>
          <w:color w:val="auto"/>
        </w:rPr>
      </w:pPr>
    </w:p>
    <w:p>
      <w:pPr>
        <w:ind w:left="660" w:firstLine="645"/>
        <w:spacing w:after="0" w:line="260" w:lineRule="auto"/>
        <w:tabs>
          <w:tab w:leader="none" w:pos="1803" w:val="left"/>
        </w:tabs>
        <w:numPr>
          <w:ilvl w:val="1"/>
          <w:numId w:val="406"/>
        </w:numPr>
        <w:rPr>
          <w:rFonts w:ascii="Arial" w:cs="Arial" w:eastAsia="Arial" w:hAnsi="Arial"/>
          <w:sz w:val="20"/>
          <w:szCs w:val="20"/>
          <w:color w:val="auto"/>
        </w:rPr>
      </w:pPr>
      <w:r>
        <w:rPr>
          <w:rFonts w:ascii="Arial" w:cs="Arial" w:eastAsia="Arial" w:hAnsi="Arial"/>
          <w:sz w:val="20"/>
          <w:szCs w:val="20"/>
          <w:color w:val="auto"/>
        </w:rPr>
        <w:t>all legal requirements of the Luxembourg law of 31 May 1999 on domiciliation of the companies, as amended, have been complied with by such Luxembourg Guarantor.</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In the case of Precision Drilling Services Netherlands B.V. (the “</w:t>
      </w:r>
      <w:r>
        <w:rPr>
          <w:rFonts w:ascii="Arial" w:cs="Arial" w:eastAsia="Arial" w:hAnsi="Arial"/>
          <w:sz w:val="20"/>
          <w:szCs w:val="20"/>
          <w:u w:val="single" w:color="auto"/>
          <w:color w:val="auto"/>
        </w:rPr>
        <w:t>Specified Dutch Guarantor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60" w:lineRule="auto"/>
        <w:tabs>
          <w:tab w:leader="none" w:pos="1704" w:val="left"/>
        </w:tabs>
        <w:numPr>
          <w:ilvl w:val="1"/>
          <w:numId w:val="406"/>
        </w:numPr>
        <w:rPr>
          <w:rFonts w:ascii="Arial" w:cs="Arial" w:eastAsia="Arial" w:hAnsi="Arial"/>
          <w:sz w:val="20"/>
          <w:szCs w:val="20"/>
          <w:color w:val="auto"/>
        </w:rPr>
      </w:pPr>
      <w:r>
        <w:rPr>
          <w:rFonts w:ascii="Arial" w:cs="Arial" w:eastAsia="Arial" w:hAnsi="Arial"/>
          <w:sz w:val="20"/>
          <w:szCs w:val="20"/>
          <w:color w:val="auto"/>
        </w:rPr>
        <w:t>the “centre of main interests” (as such term is used in article 3(1) of the European Insolvency Regulation) of the Specified Dutch Guarantor is situated in the Netherlands;</w:t>
      </w:r>
    </w:p>
    <w:p>
      <w:pPr>
        <w:spacing w:after="0" w:line="190" w:lineRule="exact"/>
        <w:rPr>
          <w:rFonts w:ascii="Arial" w:cs="Arial" w:eastAsia="Arial" w:hAnsi="Arial"/>
          <w:sz w:val="20"/>
          <w:szCs w:val="20"/>
          <w:color w:val="auto"/>
        </w:rPr>
      </w:pPr>
    </w:p>
    <w:p>
      <w:pPr>
        <w:ind w:left="660" w:firstLine="645"/>
        <w:spacing w:after="0" w:line="260" w:lineRule="auto"/>
        <w:tabs>
          <w:tab w:leader="none" w:pos="1821" w:val="left"/>
        </w:tabs>
        <w:numPr>
          <w:ilvl w:val="1"/>
          <w:numId w:val="406"/>
        </w:numPr>
        <w:rPr>
          <w:rFonts w:ascii="Arial" w:cs="Arial" w:eastAsia="Arial" w:hAnsi="Arial"/>
          <w:sz w:val="20"/>
          <w:szCs w:val="20"/>
          <w:color w:val="auto"/>
        </w:rPr>
      </w:pPr>
      <w:r>
        <w:rPr>
          <w:rFonts w:ascii="Arial" w:cs="Arial" w:eastAsia="Arial" w:hAnsi="Arial"/>
          <w:sz w:val="20"/>
          <w:szCs w:val="20"/>
          <w:color w:val="auto"/>
        </w:rPr>
        <w:t>the Specified Dutch Guarantor does not have an “establishment” (as such term is used in article 2(h) of the European Insolvency Regulation) situated outside the Netherlands; and</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each case, the Specified Dutch Guarantor shall not, without the prior written consent of the Administrative Agent, take any action that shall cause its “centre of main interests” to be situated outside the Netherlands, or cause it to have an “establishment” situated outside the Netherlands.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Section 1, the following term shall have the following meaning: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Insolvency Regulation</w:t>
      </w:r>
      <w:r>
        <w:rPr>
          <w:rFonts w:ascii="Arial" w:cs="Arial" w:eastAsia="Arial" w:hAnsi="Arial"/>
          <w:sz w:val="18"/>
          <w:szCs w:val="18"/>
          <w:color w:val="auto"/>
        </w:rPr>
        <w:t>” shall mean Council Regulation (EC) No 1346/2000 of 29 May 2000 on insolvency proceedings.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The Guaranty</w:t>
      </w:r>
      <w:r>
        <w:rPr>
          <w:rFonts w:ascii="Arial" w:cs="Arial" w:eastAsia="Arial" w:hAnsi="Arial"/>
          <w:sz w:val="19"/>
          <w:szCs w:val="19"/>
          <w:color w:val="auto"/>
        </w:rPr>
        <w:t>. Each of the Guarantors hereby irrevocably and unconditionally guarantees, jointly and severally with the other Guarantors, the full and punctual payment and performance when due (whether at stated maturity, upon acceleration or otherwise) of the Secured Obligations (under and as defined in the Credit Agreement), which include, without limitation, (i) the principal of and interest on each Loan made to the Borrower pursuant to the Credit Agreement, (ii) all other amounts payable by the Borrower under the Credit Agreement and the other Loan Documents, and (iii) all Swap Obligations and Banking Services Obligations owing to one or more Lenders or their respective Affiliates (for purposes of this Guaranty, all such obligations being referred to as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provided, however, that the Guaranteed Obligations shall not include or create any guarantee by any Guarantor of (or grant of security by any Guarantor to support, if applicable) any Excluded Swap Obligations of such</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397" w:name="page398"/>
    <w:bookmarkEnd w:id="397"/>
    <w:p>
      <w:pPr>
        <w:jc w:val="both"/>
        <w:spacing w:after="0" w:line="321" w:lineRule="auto"/>
        <w:rPr>
          <w:sz w:val="20"/>
          <w:szCs w:val="20"/>
          <w:color w:val="auto"/>
        </w:rPr>
      </w:pPr>
      <w:r>
        <w:rPr>
          <w:rFonts w:ascii="Arial" w:cs="Arial" w:eastAsia="Arial" w:hAnsi="Arial"/>
          <w:sz w:val="16"/>
          <w:szCs w:val="16"/>
          <w:color w:val="auto"/>
        </w:rPr>
        <w:t>Guarantor. Upon the failure by the Borrower to pay punctually any such amount or perform such obligation, subject to any applicable grace or notice and cure period, each of the Guarantors agrees that it shall forthwith on demand pay such amount or perform such obligation at the place and in the manner specified in the Credit Agreement or the relevant other Loan Document, Swap Agreement evidencing Swap Obligations or any agreement evidencing Banking Services Obligations (a “</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as the case may be. Each of the Guarantors hereby agrees that this Guaranty is an absolute, irrevocable and unconditional guaranty of payment and is not a guaranty of collection.</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Guaranty Unconditional</w:t>
      </w:r>
      <w:r>
        <w:rPr>
          <w:rFonts w:ascii="Arial" w:cs="Arial" w:eastAsia="Arial" w:hAnsi="Arial"/>
          <w:sz w:val="20"/>
          <w:szCs w:val="20"/>
          <w:color w:val="auto"/>
        </w:rPr>
        <w:t xml:space="preserve">. The obligations of each of the Guarantors hereunder shall be unconditional and absolute and, without limiting the generality of the foregoing, shall not be released, discharged (save where such release and discharge is expressly contemplated by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or otherwise affected by:</w:t>
      </w:r>
    </w:p>
    <w:p>
      <w:pPr>
        <w:spacing w:after="0" w:line="200" w:lineRule="exact"/>
        <w:rPr>
          <w:sz w:val="20"/>
          <w:szCs w:val="20"/>
          <w:color w:val="auto"/>
        </w:rPr>
      </w:pPr>
    </w:p>
    <w:p>
      <w:pPr>
        <w:jc w:val="both"/>
        <w:ind w:left="660" w:firstLine="645"/>
        <w:spacing w:after="0" w:line="278" w:lineRule="auto"/>
        <w:tabs>
          <w:tab w:leader="none" w:pos="181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or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or any other guarantor of any of the Guaranteed Obligations;</w:t>
      </w:r>
    </w:p>
    <w:p>
      <w:pPr>
        <w:spacing w:after="0" w:line="178" w:lineRule="exact"/>
        <w:rPr>
          <w:rFonts w:ascii="Arial" w:cs="Arial" w:eastAsia="Arial" w:hAnsi="Arial"/>
          <w:sz w:val="18"/>
          <w:szCs w:val="18"/>
          <w:color w:val="auto"/>
        </w:rPr>
      </w:pPr>
    </w:p>
    <w:p>
      <w:pPr>
        <w:jc w:val="both"/>
        <w:ind w:left="660" w:firstLine="645"/>
        <w:spacing w:after="0" w:line="291" w:lineRule="auto"/>
        <w:tabs>
          <w:tab w:leader="none" w:pos="186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Credit Agreement, any Swap Agreement evidencing Swap Obligations, Banking Services Agreement or any other Loan Document, including, without limitation, any such amendment which may increase the amount of, or the interest rates applicable to, any of the Guaranteed Obligations guaranteed hereby;</w:t>
      </w:r>
    </w:p>
    <w:p>
      <w:pPr>
        <w:spacing w:after="0" w:line="165" w:lineRule="exact"/>
        <w:rPr>
          <w:rFonts w:ascii="Arial" w:cs="Arial" w:eastAsia="Arial" w:hAnsi="Arial"/>
          <w:sz w:val="18"/>
          <w:szCs w:val="18"/>
          <w:color w:val="auto"/>
        </w:rPr>
      </w:pPr>
    </w:p>
    <w:p>
      <w:pPr>
        <w:jc w:val="both"/>
        <w:ind w:left="660" w:firstLine="645"/>
        <w:spacing w:after="0" w:line="282" w:lineRule="auto"/>
        <w:tabs>
          <w:tab w:leader="none" w:pos="182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175" w:lineRule="exact"/>
        <w:rPr>
          <w:rFonts w:ascii="Arial" w:cs="Arial" w:eastAsia="Arial" w:hAnsi="Arial"/>
          <w:sz w:val="18"/>
          <w:szCs w:val="18"/>
          <w:color w:val="auto"/>
        </w:rPr>
      </w:pPr>
    </w:p>
    <w:p>
      <w:pPr>
        <w:jc w:val="both"/>
        <w:ind w:left="660" w:firstLine="645"/>
        <w:spacing w:after="0" w:line="260" w:lineRule="auto"/>
        <w:tabs>
          <w:tab w:leader="none" w:pos="1895" w:val="left"/>
        </w:tabs>
        <w:numPr>
          <w:ilvl w:val="0"/>
          <w:numId w:val="407"/>
        </w:numPr>
        <w:rPr>
          <w:rFonts w:ascii="Arial" w:cs="Arial" w:eastAsia="Arial" w:hAnsi="Arial"/>
          <w:sz w:val="19"/>
          <w:szCs w:val="19"/>
          <w:color w:val="auto"/>
        </w:rPr>
      </w:pPr>
      <w:r>
        <w:rPr>
          <w:rFonts w:ascii="Arial" w:cs="Arial" w:eastAsia="Arial" w:hAnsi="Arial"/>
          <w:sz w:val="19"/>
          <w:szCs w:val="19"/>
          <w:color w:val="auto"/>
        </w:rPr>
        <w:t>any change in the corporate, partnership, limited liability company or other existence, structure or ownership of the Borrower or any other Guarantor or any other guarantor of any of the Guaranteed Obligations, or any insolvency, bankruptcy, receivership, examinership, administration, liquidation, reorganization or other similar proceeding in any jurisdiction affecting the Borrower or any other guarantor of the Guaranteed Obligations, or any of their respective assets or any resulting release or discharge of any obligation of the Borrower or any other guarantor of any of the Guaranteed Obligations;</w:t>
      </w:r>
    </w:p>
    <w:p>
      <w:pPr>
        <w:spacing w:after="0" w:line="194" w:lineRule="exact"/>
        <w:rPr>
          <w:rFonts w:ascii="Arial" w:cs="Arial" w:eastAsia="Arial" w:hAnsi="Arial"/>
          <w:sz w:val="19"/>
          <w:szCs w:val="19"/>
          <w:color w:val="auto"/>
        </w:rPr>
      </w:pPr>
    </w:p>
    <w:p>
      <w:pPr>
        <w:jc w:val="both"/>
        <w:ind w:left="660" w:firstLine="645"/>
        <w:spacing w:after="0" w:line="263" w:lineRule="auto"/>
        <w:tabs>
          <w:tab w:leader="none" w:pos="1782" w:val="left"/>
        </w:tabs>
        <w:numPr>
          <w:ilvl w:val="0"/>
          <w:numId w:val="407"/>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such Guarantor may have at any time against the Borrower, any other Guarantor or any other guarantor of any of the Guaranteed Obligations, the Administrative Agent, any Guaranteed Party or any other Person, whether in connection herewith or in connection with any unrelated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assertion of any such claim by separate suit or compulsory counterclaim;</w:t>
      </w:r>
    </w:p>
    <w:p>
      <w:pPr>
        <w:spacing w:after="0" w:line="190" w:lineRule="exact"/>
        <w:rPr>
          <w:rFonts w:ascii="Arial" w:cs="Arial" w:eastAsia="Arial" w:hAnsi="Arial"/>
          <w:sz w:val="19"/>
          <w:szCs w:val="19"/>
          <w:color w:val="auto"/>
        </w:rPr>
      </w:pPr>
    </w:p>
    <w:p>
      <w:pPr>
        <w:ind w:left="660" w:firstLine="645"/>
        <w:spacing w:after="0" w:line="260" w:lineRule="auto"/>
        <w:tabs>
          <w:tab w:leader="none" w:pos="1887"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the enforceability or validity of the Guaranteed Obligations or any part thereof or the genuineness, enforceability or validity of any agreement relating thereto or with respect to any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5" w:right="239" w:bottom="1440" w:gutter="0" w:footer="0" w:header="0"/>
        </w:sectPr>
      </w:pPr>
    </w:p>
    <w:bookmarkStart w:id="398" w:name="page399"/>
    <w:bookmarkEnd w:id="398"/>
    <w:p>
      <w:pPr>
        <w:jc w:val="both"/>
        <w:ind w:left="660"/>
        <w:spacing w:after="0" w:line="243" w:lineRule="auto"/>
        <w:rPr>
          <w:sz w:val="20"/>
          <w:szCs w:val="20"/>
          <w:color w:val="auto"/>
        </w:rPr>
      </w:pPr>
      <w:r>
        <w:rPr>
          <w:rFonts w:ascii="Arial" w:cs="Arial" w:eastAsia="Arial" w:hAnsi="Arial"/>
          <w:sz w:val="20"/>
          <w:szCs w:val="20"/>
          <w:color w:val="auto"/>
        </w:rPr>
        <w:t>securing the Guaranteed Obligations or any part thereof, or any other invalidity or unenforceability relating to or against the Borrower, any other Guarantor or any other guarantor of any of the Guaranteed Obligations, for any reason related to the Credit Agreement, any Swap Agreement evidencing Swap Obligations, any Banking Services Agreement or any other Loan Document, or any provision of applicable law, decree, order or regulation purporting to prohibit the payment by the Borrower, any other Guarantor or any other guarantor of the Guaranteed Obligations, of any of the Guaranteed Obligations or otherwise affecting any term of any of the Guaranteed Obligations;</w:t>
      </w:r>
    </w:p>
    <w:p>
      <w:pPr>
        <w:spacing w:after="0" w:line="210" w:lineRule="exact"/>
        <w:rPr>
          <w:sz w:val="20"/>
          <w:szCs w:val="20"/>
          <w:color w:val="auto"/>
        </w:rPr>
      </w:pPr>
    </w:p>
    <w:p>
      <w:pPr>
        <w:jc w:val="both"/>
        <w:ind w:left="660" w:firstLine="645"/>
        <w:spacing w:after="0" w:line="250" w:lineRule="auto"/>
        <w:tabs>
          <w:tab w:leader="none" w:pos="1847"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enforceability or validity of this Guaranty or any part thereof with respect to any other Guarantor, or any provision of applicable law, decree, order or regulation purporting to prohibit the payment by any other Guarantor or any other guarantor of the Guaranteed Obligations, or any of the Guaranteed Obligations;</w:t>
      </w:r>
    </w:p>
    <w:p>
      <w:pPr>
        <w:spacing w:after="0" w:line="199" w:lineRule="exact"/>
        <w:rPr>
          <w:rFonts w:ascii="Arial" w:cs="Arial" w:eastAsia="Arial" w:hAnsi="Arial"/>
          <w:sz w:val="20"/>
          <w:szCs w:val="20"/>
          <w:color w:val="auto"/>
        </w:rPr>
      </w:pPr>
    </w:p>
    <w:p>
      <w:pPr>
        <w:ind w:left="660" w:right="20" w:firstLine="645"/>
        <w:spacing w:after="0" w:line="260" w:lineRule="auto"/>
        <w:tabs>
          <w:tab w:leader="none" w:pos="1927"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failure of the Administrative Agent to take any steps to perfect and maintain any security interest in, or to preserve any rights to, any security or collateral for the Guaranteed Obligations, if any;</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799"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election by, or on behalf of, any one or more of the Guaranteed Parties, in any proceeding instituted under Chapter 11 of Title 11 of the United States Code (11 U.S.C. 101 et seq.) (or any successor statute, the “</w:t>
      </w:r>
      <w:r>
        <w:rPr>
          <w:rFonts w:ascii="Arial" w:cs="Arial" w:eastAsia="Arial" w:hAnsi="Arial"/>
          <w:sz w:val="20"/>
          <w:szCs w:val="20"/>
          <w:u w:val="single" w:color="auto"/>
          <w:color w:val="auto"/>
        </w:rPr>
        <w:t>Bankruptcy Code</w:t>
      </w:r>
      <w:r>
        <w:rPr>
          <w:rFonts w:ascii="Arial" w:cs="Arial" w:eastAsia="Arial" w:hAnsi="Arial"/>
          <w:sz w:val="20"/>
          <w:szCs w:val="20"/>
          <w:color w:val="auto"/>
        </w:rPr>
        <w:t>”), of the application of Section 1111(b)(2) of the Bankruptcy Code or any other applicable federal, state, provincial, municipal, local or foreign law relating to such matters;</w:t>
      </w:r>
    </w:p>
    <w:p>
      <w:pPr>
        <w:spacing w:after="0" w:line="205" w:lineRule="exact"/>
        <w:rPr>
          <w:rFonts w:ascii="Arial" w:cs="Arial" w:eastAsia="Arial" w:hAnsi="Arial"/>
          <w:sz w:val="20"/>
          <w:szCs w:val="20"/>
          <w:color w:val="auto"/>
        </w:rPr>
      </w:pPr>
    </w:p>
    <w:p>
      <w:pPr>
        <w:ind w:left="660" w:firstLine="645"/>
        <w:spacing w:after="0" w:line="287" w:lineRule="auto"/>
        <w:tabs>
          <w:tab w:leader="none" w:pos="1902" w:val="left"/>
        </w:tabs>
        <w:numPr>
          <w:ilvl w:val="0"/>
          <w:numId w:val="408"/>
        </w:numPr>
        <w:rPr>
          <w:rFonts w:ascii="Arial" w:cs="Arial" w:eastAsia="Arial" w:hAnsi="Arial"/>
          <w:sz w:val="19"/>
          <w:szCs w:val="19"/>
          <w:color w:val="auto"/>
        </w:rPr>
      </w:pPr>
      <w:r>
        <w:rPr>
          <w:rFonts w:ascii="Arial" w:cs="Arial" w:eastAsia="Arial" w:hAnsi="Arial"/>
          <w:sz w:val="19"/>
          <w:szCs w:val="19"/>
          <w:color w:val="auto"/>
        </w:rPr>
        <w:t>any borrowing or grant of a security interest by the Borrower, as debtor-in-possession, under Section 364 of the Bankruptcy Code or any other applicable federal, state, provincial, municipal, local or foreign law relating to such matters;</w:t>
      </w:r>
    </w:p>
    <w:p>
      <w:pPr>
        <w:spacing w:after="0" w:line="166" w:lineRule="exact"/>
        <w:rPr>
          <w:rFonts w:ascii="Arial" w:cs="Arial" w:eastAsia="Arial" w:hAnsi="Arial"/>
          <w:sz w:val="19"/>
          <w:szCs w:val="19"/>
          <w:color w:val="auto"/>
        </w:rPr>
      </w:pPr>
    </w:p>
    <w:p>
      <w:pPr>
        <w:jc w:val="both"/>
        <w:ind w:left="660" w:firstLine="645"/>
        <w:spacing w:after="0" w:line="250" w:lineRule="auto"/>
        <w:tabs>
          <w:tab w:leader="none" w:pos="18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the disallowance, under Section 502 of the Bankruptcy Code or any other applicable federal, state, provincial, municipal, local or foreign law relating to such matters, of all or any portion of the claims of the Guaranteed Parties or the Administrative Agent for repayment of all or any part of the Guaranteed Obligations;</w:t>
      </w:r>
    </w:p>
    <w:p>
      <w:pPr>
        <w:spacing w:after="0" w:line="199" w:lineRule="exact"/>
        <w:rPr>
          <w:rFonts w:ascii="Arial" w:cs="Arial" w:eastAsia="Arial" w:hAnsi="Arial"/>
          <w:sz w:val="20"/>
          <w:szCs w:val="20"/>
          <w:color w:val="auto"/>
        </w:rPr>
      </w:pPr>
    </w:p>
    <w:p>
      <w:pPr>
        <w:ind w:left="1860" w:hanging="555"/>
        <w:spacing w:after="0"/>
        <w:tabs>
          <w:tab w:leader="none" w:pos="1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failure of any other Guarantor to sign or become party to this Guaranty or any amendment, change, or reaffirmation</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hereof; or</w:t>
      </w:r>
    </w:p>
    <w:p>
      <w:pPr>
        <w:spacing w:after="0" w:line="213" w:lineRule="exact"/>
        <w:rPr>
          <w:rFonts w:ascii="Arial" w:cs="Arial" w:eastAsia="Arial" w:hAnsi="Arial"/>
          <w:sz w:val="18"/>
          <w:szCs w:val="18"/>
          <w:color w:val="auto"/>
        </w:rPr>
      </w:pPr>
    </w:p>
    <w:p>
      <w:pPr>
        <w:jc w:val="both"/>
        <w:ind w:left="660" w:firstLine="645"/>
        <w:spacing w:after="0" w:line="263" w:lineRule="auto"/>
        <w:tabs>
          <w:tab w:leader="none" w:pos="1908" w:val="left"/>
        </w:tabs>
        <w:numPr>
          <w:ilvl w:val="0"/>
          <w:numId w:val="408"/>
        </w:numPr>
        <w:rPr>
          <w:rFonts w:ascii="Arial" w:cs="Arial" w:eastAsia="Arial" w:hAnsi="Arial"/>
          <w:sz w:val="19"/>
          <w:szCs w:val="19"/>
          <w:color w:val="auto"/>
        </w:rPr>
      </w:pPr>
      <w:r>
        <w:rPr>
          <w:rFonts w:ascii="Arial" w:cs="Arial" w:eastAsia="Arial" w:hAnsi="Arial"/>
          <w:sz w:val="19"/>
          <w:szCs w:val="19"/>
          <w:color w:val="auto"/>
        </w:rPr>
        <w:t xml:space="preserve">any other act or omission to act or delay of any kind by the Borrower, any other Guarantor or any other guarantor of the Guaranteed Obligations, the Administrative Agent, any Guaranteed Party or any other Person or any other circumstance whatsoever which might, but for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constitute a legal or equitable discharge or limitation of any Guarantor’s obligations hereunder or otherwise reduce, release, prejudice or extinguish its liability under this Guaranty.</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Continuing Guarantee; Discharge Only Upon Payment In Full; Reinstatement In Certain Circumstances</w:t>
      </w:r>
      <w:r>
        <w:rPr>
          <w:rFonts w:ascii="Arial" w:cs="Arial" w:eastAsia="Arial" w:hAnsi="Arial"/>
          <w:sz w:val="19"/>
          <w:szCs w:val="19"/>
          <w:color w:val="auto"/>
        </w:rPr>
        <w:t>. Each of the Guarantors’ obligations hereunder shall constitute a continuing and irrevocable guarantee of all Guaranteed Obligations now or hereafter existing and shall remain in full force and effect until Payment in Full, at which time, subject to all the foregoing conditions, the guarantees made hereunder shall automatically terminate. Without limiting the foregoing and notwithstanding anything herein or in any other Loan Document to the contrary, the obligations of any individual Guarantor under this Guaranty shall automatically terminate to the extent provided in and in accordance with Sections 11.01(e), 11.04(c) and 11.21 of the Credit Agreement. In connection with the</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5" w:right="239" w:bottom="1440" w:gutter="0" w:footer="0" w:header="0"/>
        </w:sectPr>
      </w:pPr>
    </w:p>
    <w:bookmarkStart w:id="399" w:name="page400"/>
    <w:bookmarkEnd w:id="399"/>
    <w:p>
      <w:pPr>
        <w:jc w:val="both"/>
        <w:spacing w:after="0" w:line="270" w:lineRule="auto"/>
        <w:rPr>
          <w:sz w:val="20"/>
          <w:szCs w:val="20"/>
          <w:color w:val="auto"/>
        </w:rPr>
      </w:pPr>
      <w:r>
        <w:rPr>
          <w:rFonts w:ascii="Arial" w:cs="Arial" w:eastAsia="Arial" w:hAnsi="Arial"/>
          <w:sz w:val="18"/>
          <w:szCs w:val="18"/>
          <w:color w:val="auto"/>
        </w:rPr>
        <w:t>foregoing, the Administrative Agent shall execute and deliver to such Guarantor or such Guarantor’s designee, at such Guarantor’s expense, any documents or instruments that such Guarantor shall reasonably request from time to time to evidence such termination. If at any time any payment of the principal of or interest on any Loan, other Guaranteed Obligation or any other amount payable by the Borrower or by the Parent or any Restricted Subsidiary under the Credit Agreement, any Swap Agreement evidencing Swap Obligations, any Banking Services Agreement or any other Loan Document (including a payment effected through exercise of a right of setoff) is rescinded, or is or must be otherwise restored or returned upon the insolvency, bankruptcy, receivership, examinership, administration, liquidation or reorganization of the Borrower or otherwise (including pursuant to any settlement entered into by a Guaranteed Party in its discretion), each of the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that issues such currency with the result that such currency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relevant Guarantor is not able to make payment in such Original Currency, then all payments to be made by such Guarantor hereunder in such currency shall instead be made when due in Dollars in an amount equal to the Dollar Equivalent (as of the date of payment) of such payment due, it being the intention of the parties hereto that each Guarantor takes all risks of the imposition of any such currency control or exchange regulations.</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General Waivers; Additional Waivers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46" w:lineRule="auto"/>
        <w:tabs>
          <w:tab w:leader="none" w:pos="1106" w:val="left"/>
        </w:tabs>
        <w:numPr>
          <w:ilvl w:val="0"/>
          <w:numId w:val="409"/>
        </w:numPr>
        <w:rPr>
          <w:rFonts w:ascii="Arial" w:cs="Arial" w:eastAsia="Arial" w:hAnsi="Arial"/>
          <w:sz w:val="20"/>
          <w:szCs w:val="20"/>
          <w:color w:val="auto"/>
        </w:rPr>
      </w:pPr>
      <w:r>
        <w:rPr>
          <w:rFonts w:ascii="Arial" w:cs="Arial" w:eastAsia="Arial" w:hAnsi="Arial"/>
          <w:sz w:val="20"/>
          <w:szCs w:val="20"/>
          <w:u w:val="single" w:color="auto"/>
          <w:color w:val="auto"/>
        </w:rPr>
        <w:t>General Waivers</w:t>
      </w:r>
      <w:r>
        <w:rPr>
          <w:rFonts w:ascii="Arial" w:cs="Arial" w:eastAsia="Arial" w:hAnsi="Arial"/>
          <w:sz w:val="20"/>
          <w:szCs w:val="20"/>
          <w:color w:val="auto"/>
        </w:rPr>
        <w:t>. Each of the Guarantors irrevocably waives acceptance hereof, presentment, demand or action on delinquency, protest, the benefit of any statutes of limitations and, to the fullest extent permitted by law, any notice not provided for herein or under the other Loan Documents, as well as any requirement that at any time any action be taken by any Person against the Borrower, any other guarantor of the Guaranteed Obligations, or any other Person.</w:t>
      </w:r>
    </w:p>
    <w:p>
      <w:pPr>
        <w:spacing w:after="0" w:line="205" w:lineRule="exact"/>
        <w:rPr>
          <w:rFonts w:ascii="Arial" w:cs="Arial" w:eastAsia="Arial" w:hAnsi="Arial"/>
          <w:sz w:val="20"/>
          <w:szCs w:val="20"/>
          <w:color w:val="auto"/>
        </w:rPr>
      </w:pPr>
    </w:p>
    <w:p>
      <w:pPr>
        <w:ind w:right="20" w:firstLine="656"/>
        <w:spacing w:after="0" w:line="260" w:lineRule="auto"/>
        <w:tabs>
          <w:tab w:leader="none" w:pos="1117" w:val="left"/>
        </w:tabs>
        <w:numPr>
          <w:ilvl w:val="0"/>
          <w:numId w:val="409"/>
        </w:numPr>
        <w:rPr>
          <w:rFonts w:ascii="Arial" w:cs="Arial" w:eastAsia="Arial" w:hAnsi="Arial"/>
          <w:sz w:val="20"/>
          <w:szCs w:val="20"/>
          <w:color w:val="auto"/>
        </w:rPr>
      </w:pPr>
      <w:r>
        <w:rPr>
          <w:rFonts w:ascii="Arial" w:cs="Arial" w:eastAsia="Arial" w:hAnsi="Arial"/>
          <w:sz w:val="20"/>
          <w:szCs w:val="20"/>
          <w:u w:val="single" w:color="auto"/>
          <w:color w:val="auto"/>
        </w:rPr>
        <w:t>Additional Waivers</w:t>
      </w:r>
      <w:r>
        <w:rPr>
          <w:rFonts w:ascii="Arial" w:cs="Arial" w:eastAsia="Arial" w:hAnsi="Arial"/>
          <w:sz w:val="20"/>
          <w:szCs w:val="20"/>
          <w:color w:val="auto"/>
        </w:rPr>
        <w:t>. Notwithstanding anything herein to the contrary, each of the Guarantors hereby absolutely, unconditionally, knowingly, and expressly waives, to the fullest extent permitted by law:</w:t>
      </w:r>
    </w:p>
    <w:p>
      <w:pPr>
        <w:spacing w:after="0" w:line="203" w:lineRule="exact"/>
        <w:rPr>
          <w:rFonts w:ascii="Arial" w:cs="Arial" w:eastAsia="Arial" w:hAnsi="Arial"/>
          <w:sz w:val="20"/>
          <w:szCs w:val="20"/>
          <w:color w:val="auto"/>
        </w:rPr>
      </w:pPr>
    </w:p>
    <w:p>
      <w:pPr>
        <w:ind w:left="2120" w:hanging="815"/>
        <w:spacing w:after="0"/>
        <w:tabs>
          <w:tab w:leader="none" w:pos="2120" w:val="left"/>
        </w:tabs>
        <w:numPr>
          <w:ilvl w:val="1"/>
          <w:numId w:val="409"/>
        </w:numPr>
        <w:rPr>
          <w:rFonts w:ascii="Arial" w:cs="Arial" w:eastAsia="Arial" w:hAnsi="Arial"/>
          <w:sz w:val="18"/>
          <w:szCs w:val="18"/>
          <w:color w:val="auto"/>
        </w:rPr>
      </w:pPr>
      <w:r>
        <w:rPr>
          <w:rFonts w:ascii="Arial" w:cs="Arial" w:eastAsia="Arial" w:hAnsi="Arial"/>
          <w:sz w:val="20"/>
          <w:szCs w:val="20"/>
          <w:color w:val="auto"/>
        </w:rPr>
        <w:t>any right it may have to revoke this Guaranty as to future indebtedness or notice of acceptance hereof;</w:t>
      </w:r>
    </w:p>
    <w:p>
      <w:pPr>
        <w:spacing w:after="0" w:line="256" w:lineRule="exact"/>
        <w:rPr>
          <w:rFonts w:ascii="Arial" w:cs="Arial" w:eastAsia="Arial" w:hAnsi="Arial"/>
          <w:sz w:val="18"/>
          <w:szCs w:val="18"/>
          <w:color w:val="auto"/>
        </w:rPr>
      </w:pPr>
    </w:p>
    <w:p>
      <w:pPr>
        <w:jc w:val="both"/>
        <w:ind w:left="660" w:firstLine="645"/>
        <w:spacing w:after="0" w:line="281" w:lineRule="auto"/>
        <w:tabs>
          <w:tab w:leader="none" w:pos="2176" w:val="left"/>
        </w:tabs>
        <w:numPr>
          <w:ilvl w:val="1"/>
          <w:numId w:val="409"/>
        </w:numPr>
        <w:rPr>
          <w:rFonts w:ascii="Arial" w:cs="Arial" w:eastAsia="Arial" w:hAnsi="Arial"/>
          <w:sz w:val="17"/>
          <w:szCs w:val="17"/>
          <w:color w:val="auto"/>
        </w:rPr>
      </w:pPr>
      <w:r>
        <w:rPr>
          <w:rFonts w:ascii="Arial" w:cs="Arial" w:eastAsia="Arial" w:hAnsi="Arial"/>
          <w:sz w:val="19"/>
          <w:szCs w:val="19"/>
          <w:color w:val="auto"/>
        </w:rPr>
        <w:t>(1) notice of acceptance hereof; (2) notice of any Loans or other financial accommodations made or extended under the Loan Documents or the creation or existence of any Guaranteed Obligations; (3) notice of the amount of the Guaranteed Obligations, subject, however, to each Guarantor’s right to make inquiry of the Administrative Agent and the Guaranteed Parties to ascertain the amount of the Guaranteed Obligations at any reasonable time; (4) notice of any adverse change in the financial condition of the Borrower or of any other fact that might increase such Guarantor’s risk hereunder; (5) notice of presentment for payment, demand, protest, and notice thereof as to any instruments among the Loan Documents; (6) notice of any Default or Event of Default; and (7) all other notices (except if such notice is specifically required to be given to such Guarantor hereunder or under the Loan Documents) and demands to which each Guarantor might otherwise be entitled;</w:t>
      </w:r>
    </w:p>
    <w:p>
      <w:pPr>
        <w:spacing w:after="0" w:line="6" w:lineRule="exact"/>
        <w:rPr>
          <w:rFonts w:ascii="Arial" w:cs="Arial" w:eastAsia="Arial" w:hAnsi="Arial"/>
          <w:sz w:val="17"/>
          <w:szCs w:val="17"/>
          <w:color w:val="auto"/>
        </w:rPr>
      </w:pPr>
    </w:p>
    <w:p>
      <w:pPr>
        <w:jc w:val="both"/>
        <w:ind w:left="660" w:firstLine="645"/>
        <w:spacing w:after="0" w:line="274" w:lineRule="auto"/>
        <w:tabs>
          <w:tab w:leader="none" w:pos="2226" w:val="left"/>
        </w:tabs>
        <w:numPr>
          <w:ilvl w:val="1"/>
          <w:numId w:val="409"/>
        </w:numPr>
        <w:rPr>
          <w:rFonts w:ascii="Arial" w:cs="Arial" w:eastAsia="Arial" w:hAnsi="Arial"/>
          <w:sz w:val="18"/>
          <w:szCs w:val="18"/>
          <w:color w:val="auto"/>
        </w:rPr>
      </w:pPr>
      <w:r>
        <w:rPr>
          <w:rFonts w:ascii="Arial" w:cs="Arial" w:eastAsia="Arial" w:hAnsi="Arial"/>
          <w:sz w:val="20"/>
          <w:szCs w:val="20"/>
          <w:color w:val="auto"/>
        </w:rPr>
        <w:t>its right, if any, to require the Administrative Agent and the other Guaranteed Parties to institute suit against, or to exhaust any rights and remedies which the Administrative Agent and the other Guaranteed Parties have or may have against, the other Guarantors or any third party, or against any collateral provided by the other Guarantors or any third party; and each Guarantor further waives any defense arising by reason</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400" w:name="page401"/>
    <w:bookmarkEnd w:id="400"/>
    <w:p>
      <w:pPr>
        <w:ind w:left="660"/>
        <w:spacing w:after="0" w:line="260" w:lineRule="auto"/>
        <w:rPr>
          <w:sz w:val="20"/>
          <w:szCs w:val="20"/>
          <w:color w:val="auto"/>
        </w:rPr>
      </w:pPr>
      <w:r>
        <w:rPr>
          <w:rFonts w:ascii="Arial" w:cs="Arial" w:eastAsia="Arial" w:hAnsi="Arial"/>
          <w:sz w:val="20"/>
          <w:szCs w:val="20"/>
          <w:color w:val="auto"/>
        </w:rPr>
        <w:t>of any disability or other defense (other than the defense that Payment in Full has occurred) of the other Guarantors or by reason of the cessation from any cause whatsoever of the liability of the other Guarantors in respect thereof;</w:t>
      </w:r>
    </w:p>
    <w:p>
      <w:pPr>
        <w:spacing w:after="0" w:line="204" w:lineRule="exact"/>
        <w:rPr>
          <w:sz w:val="20"/>
          <w:szCs w:val="20"/>
          <w:color w:val="auto"/>
        </w:rPr>
      </w:pPr>
    </w:p>
    <w:p>
      <w:pPr>
        <w:jc w:val="both"/>
        <w:ind w:left="660" w:firstLine="645"/>
        <w:spacing w:after="0" w:line="301" w:lineRule="auto"/>
        <w:tabs>
          <w:tab w:leader="none" w:pos="2216" w:val="left"/>
        </w:tabs>
        <w:numPr>
          <w:ilvl w:val="1"/>
          <w:numId w:val="410"/>
        </w:numPr>
        <w:rPr>
          <w:rFonts w:ascii="Arial" w:cs="Arial" w:eastAsia="Arial" w:hAnsi="Arial"/>
          <w:sz w:val="16"/>
          <w:szCs w:val="16"/>
          <w:color w:val="auto"/>
        </w:rPr>
      </w:pPr>
      <w:r>
        <w:rPr>
          <w:rFonts w:ascii="Arial" w:cs="Arial" w:eastAsia="Arial" w:hAnsi="Arial"/>
          <w:sz w:val="18"/>
          <w:szCs w:val="18"/>
          <w:color w:val="auto"/>
        </w:rPr>
        <w:t>(a) any rights to assert against the Administrative Agent and the other Guaranteed Parties any defense (legal or equitable), set-off, counterclaim, or claim which such Guarantor may now or at any time hereafter have against the other Guarantors or any other party liable to the Administrative Agent and the other Guaranteed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other Guaranteed Parties’ rights or remedies against the other guarantor of the Guaranteed Obligations; (2) the alteration by the Administrative Agent and the other Guaranteed Parties of the Guaranteed Obligations; (3) any discharge of the other Guarantors’ obligations to the Administrative Agent and the other Guaranteed Parties by operation of law as a result of the Administrative Agent’s and the other Guaranteed Parties’ intervention or omission; or (4) the acceptance by the Administrative Agent and the other Guaranteed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87" w:lineRule="exact"/>
        <w:rPr>
          <w:rFonts w:ascii="Arial" w:cs="Arial" w:eastAsia="Arial" w:hAnsi="Arial"/>
          <w:sz w:val="16"/>
          <w:szCs w:val="16"/>
          <w:color w:val="auto"/>
        </w:rPr>
      </w:pPr>
    </w:p>
    <w:p>
      <w:pPr>
        <w:jc w:val="both"/>
        <w:ind w:left="660" w:firstLine="645"/>
        <w:spacing w:after="0" w:line="322" w:lineRule="auto"/>
        <w:tabs>
          <w:tab w:leader="none" w:pos="2166" w:val="left"/>
        </w:tabs>
        <w:numPr>
          <w:ilvl w:val="1"/>
          <w:numId w:val="410"/>
        </w:numPr>
        <w:rPr>
          <w:rFonts w:ascii="Arial" w:cs="Arial" w:eastAsia="Arial" w:hAnsi="Arial"/>
          <w:sz w:val="16"/>
          <w:szCs w:val="16"/>
          <w:color w:val="auto"/>
        </w:rPr>
      </w:pPr>
      <w:r>
        <w:rPr>
          <w:rFonts w:ascii="Arial" w:cs="Arial" w:eastAsia="Arial" w:hAnsi="Arial"/>
          <w:sz w:val="18"/>
          <w:szCs w:val="18"/>
          <w:color w:val="auto"/>
        </w:rPr>
        <w:t>any defense arising by reason of or deriving from (a) any claim or defense based upon an election of remedies by the Administrative Agent and the Guaranteed Parties; or (b) any election by the Administrative Agent and the other Guaranteed Parties under the Bankruptcy Code, to limit the amount of, or any collateral securing, its claim against the Guarantors.</w:t>
      </w:r>
    </w:p>
    <w:p>
      <w:pPr>
        <w:spacing w:after="0" w:line="152" w:lineRule="exact"/>
        <w:rPr>
          <w:rFonts w:ascii="Arial" w:cs="Arial" w:eastAsia="Arial" w:hAnsi="Arial"/>
          <w:sz w:val="16"/>
          <w:szCs w:val="16"/>
          <w:color w:val="auto"/>
        </w:rPr>
      </w:pPr>
    </w:p>
    <w:p>
      <w:pPr>
        <w:jc w:val="both"/>
        <w:ind w:firstLine="656"/>
        <w:spacing w:after="0" w:line="263" w:lineRule="auto"/>
        <w:tabs>
          <w:tab w:leader="none" w:pos="1093"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Texas Waivers</w:t>
      </w:r>
      <w:r>
        <w:rPr>
          <w:rFonts w:ascii="Arial" w:cs="Arial" w:eastAsia="Arial" w:hAnsi="Arial"/>
          <w:sz w:val="19"/>
          <w:szCs w:val="19"/>
          <w:color w:val="auto"/>
        </w:rPr>
        <w:t>. Without limiting any other waiver or provision, each Guarantor hereby expressly waives, to the maximum extent permitted by applicable law, each and every right to which it may be entitled by virtue of the suretyship laws of the State of Texas or any other state in which it may be located, including any and all rights it may have pursuant to Rule 31 of the Texas Rules of Civil Procedure and Section 17.001, Section 43.002 and Section 43.003 of the Texas Civil Practice and Remedies Code.</w:t>
      </w:r>
    </w:p>
    <w:p>
      <w:pPr>
        <w:spacing w:after="0" w:line="190" w:lineRule="exact"/>
        <w:rPr>
          <w:rFonts w:ascii="Arial" w:cs="Arial" w:eastAsia="Arial" w:hAnsi="Arial"/>
          <w:sz w:val="19"/>
          <w:szCs w:val="19"/>
          <w:color w:val="auto"/>
        </w:rPr>
      </w:pPr>
    </w:p>
    <w:p>
      <w:pPr>
        <w:jc w:val="both"/>
        <w:ind w:firstLine="656"/>
        <w:spacing w:after="0" w:line="244" w:lineRule="auto"/>
        <w:tabs>
          <w:tab w:leader="none" w:pos="1090" w:val="left"/>
        </w:tabs>
        <w:numPr>
          <w:ilvl w:val="0"/>
          <w:numId w:val="411"/>
        </w:numPr>
        <w:rPr>
          <w:rFonts w:ascii="Arial" w:cs="Arial" w:eastAsia="Arial" w:hAnsi="Arial"/>
          <w:sz w:val="20"/>
          <w:szCs w:val="20"/>
          <w:color w:val="auto"/>
        </w:rPr>
      </w:pPr>
      <w:r>
        <w:rPr>
          <w:rFonts w:ascii="Arial" w:cs="Arial" w:eastAsia="Arial" w:hAnsi="Arial"/>
          <w:sz w:val="20"/>
          <w:szCs w:val="20"/>
          <w:u w:val="single" w:color="auto"/>
          <w:color w:val="auto"/>
        </w:rPr>
        <w:t>California Waivers</w:t>
      </w:r>
      <w:r>
        <w:rPr>
          <w:rFonts w:ascii="Arial" w:cs="Arial" w:eastAsia="Arial" w:hAnsi="Arial"/>
          <w:sz w:val="20"/>
          <w:szCs w:val="20"/>
          <w:color w:val="auto"/>
        </w:rPr>
        <w:t>. Without limiting any other waiver or provision, each Guarantor waives, to the maximum extent permitted by law, all benefits or defenses directly or indirectly arising under California Civil Code §§ 2787, 2799, 2808, 2815, 2819, 2820, 2821, 2822, 2838, 2839, 2847, 2848, and 2855, Chapter 2 of Title 14 of the California Civil Code, and California Code of Civil Procedure §§ 580a, 580b, 580c, 580d, and 726 or any similar laws of any other applicable jurisdiction. The reference to certain provisions of California law is not intended to imply any application of California law to this Guaranty.</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Subordination of Subrogation</w:t>
      </w:r>
      <w:r>
        <w:rPr>
          <w:rFonts w:ascii="Arial" w:cs="Arial" w:eastAsia="Arial" w:hAnsi="Arial"/>
          <w:sz w:val="20"/>
          <w:szCs w:val="20"/>
          <w:color w:val="auto"/>
        </w:rPr>
        <w:t>. Until Payment in Full, the Guarantors (a) shall have no right of subrogation with respect to such Guaranteed Obligations and (b) waive any right to enforce any remedy which any of the Guaranteed Parties or the Administrative Agent now have or may hereafter have against the Borrower, any endorser or any guarantor of all or any part of the Guaranteed Obligations or any other Person and until such time the Guarantors waive any benefit of, and any right to participate in, any security or other collateral given to the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401" w:name="page402"/>
    <w:bookmarkEnd w:id="401"/>
    <w:p>
      <w:pPr>
        <w:jc w:val="both"/>
        <w:spacing w:after="0" w:line="272" w:lineRule="auto"/>
        <w:rPr>
          <w:sz w:val="20"/>
          <w:szCs w:val="20"/>
          <w:color w:val="auto"/>
        </w:rPr>
      </w:pPr>
      <w:r>
        <w:rPr>
          <w:rFonts w:ascii="Arial" w:cs="Arial" w:eastAsia="Arial" w:hAnsi="Arial"/>
          <w:sz w:val="18"/>
          <w:szCs w:val="18"/>
          <w:color w:val="auto"/>
        </w:rPr>
        <w:t xml:space="preserve">Parties to secure the payment and/or performance of all or any part of the Guaranteed Obligations or any other liability of the Borrower to the Guaranteed Parties. Should any Guarantor have the right, notwithstanding the foregoing, to exercise its subrogation rights prior to Payment in Full, each Guarantor hereby expressly and irrevocably (i) subordinates any and all rights at law or in equity to subrogation, reimbursement, exoneration, contribution, indemnification or set off that such Guarantor may have to the payment in full in cash of the Guaranteed Obligations until Payment in Full and (ii) waives any and all defenses available to a surety, guarantor or accommodation co-obligor until Payment in Full. Each Guarantor acknowledges and agrees that this subordination is intended to benefit the Administrative Agent and the Guaranteed Parties and shall not limit or otherwise affect such Guarantor’s liability hereunder or the enforceability of this Guaranty (or any rights and obligations among or against any other Guarantor or the Borrower upon Payment in Full), and that the Administrative Agent, the Guaranteed Parties and their respective successors and assigns are intended third party beneficiaries of the waivers and agreements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u w:val="single" w:color="auto"/>
          <w:color w:val="auto"/>
        </w:rPr>
        <w:t>Contribution with Respect to Guaranteed Obligations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0" w:lineRule="auto"/>
        <w:tabs>
          <w:tab w:leader="none" w:pos="1148" w:val="left"/>
        </w:tabs>
        <w:numPr>
          <w:ilvl w:val="0"/>
          <w:numId w:val="412"/>
        </w:numPr>
        <w:rPr>
          <w:rFonts w:ascii="Arial" w:cs="Arial" w:eastAsia="Arial" w:hAnsi="Arial"/>
          <w:sz w:val="20"/>
          <w:szCs w:val="20"/>
          <w:color w:val="auto"/>
        </w:rPr>
      </w:pPr>
      <w:r>
        <w:rPr>
          <w:rFonts w:ascii="Arial" w:cs="Arial" w:eastAsia="Arial" w:hAnsi="Arial"/>
          <w:sz w:val="20"/>
          <w:szCs w:val="20"/>
          <w:color w:val="auto"/>
        </w:rPr>
        <w:t>To the extent that any Guarantor shall make a Guarantor Payment and in the absence of any other express written agreement among one or more Obligors then, following Payment in Full, such Guarantor shall be entitled to receive contribution and indemnification payments from, and be reimbursed by:</w:t>
      </w:r>
    </w:p>
    <w:p>
      <w:pPr>
        <w:spacing w:after="0" w:line="199" w:lineRule="exact"/>
        <w:rPr>
          <w:rFonts w:ascii="Arial" w:cs="Arial" w:eastAsia="Arial" w:hAnsi="Arial"/>
          <w:sz w:val="20"/>
          <w:szCs w:val="20"/>
          <w:color w:val="auto"/>
        </w:rPr>
      </w:pPr>
    </w:p>
    <w:p>
      <w:pPr>
        <w:ind w:left="1680" w:hanging="375"/>
        <w:spacing w:after="0"/>
        <w:tabs>
          <w:tab w:leader="none" w:pos="1680" w:val="left"/>
        </w:tabs>
        <w:numPr>
          <w:ilvl w:val="1"/>
          <w:numId w:val="412"/>
        </w:numPr>
        <w:rPr>
          <w:rFonts w:ascii="Arial" w:cs="Arial" w:eastAsia="Arial" w:hAnsi="Arial"/>
          <w:sz w:val="20"/>
          <w:szCs w:val="20"/>
          <w:color w:val="auto"/>
        </w:rPr>
      </w:pPr>
      <w:r>
        <w:rPr>
          <w:rFonts w:ascii="Arial" w:cs="Arial" w:eastAsia="Arial" w:hAnsi="Arial"/>
          <w:sz w:val="20"/>
          <w:szCs w:val="20"/>
          <w:color w:val="auto"/>
        </w:rPr>
        <w:t>WIL-Ireland within sixty (60) days after written demand by the Guarantor for its Guaranty Loss Amount; then</w:t>
      </w:r>
    </w:p>
    <w:p>
      <w:pPr>
        <w:spacing w:after="0" w:line="229" w:lineRule="exact"/>
        <w:rPr>
          <w:rFonts w:ascii="Arial" w:cs="Arial" w:eastAsia="Arial" w:hAnsi="Arial"/>
          <w:sz w:val="20"/>
          <w:szCs w:val="20"/>
          <w:color w:val="auto"/>
        </w:rPr>
      </w:pPr>
    </w:p>
    <w:p>
      <w:pPr>
        <w:jc w:val="both"/>
        <w:ind w:left="660" w:right="20" w:firstLine="645"/>
        <w:spacing w:after="0" w:line="250" w:lineRule="auto"/>
        <w:tabs>
          <w:tab w:leader="none" w:pos="1822" w:val="left"/>
        </w:tabs>
        <w:numPr>
          <w:ilvl w:val="1"/>
          <w:numId w:val="412"/>
        </w:numPr>
        <w:rPr>
          <w:rFonts w:ascii="Arial" w:cs="Arial" w:eastAsia="Arial" w:hAnsi="Arial"/>
          <w:sz w:val="20"/>
          <w:szCs w:val="20"/>
          <w:color w:val="auto"/>
        </w:rPr>
      </w:pPr>
      <w:r>
        <w:rPr>
          <w:rFonts w:ascii="Arial" w:cs="Arial" w:eastAsia="Arial" w:hAnsi="Arial"/>
          <w:sz w:val="20"/>
          <w:szCs w:val="20"/>
          <w:color w:val="auto"/>
        </w:rPr>
        <w:t>if WIL-Ireland fails to satisfy its obligations, in whole or in part, under (i) above, WWH within thirty (30) days after written demand by the Guarantor for its Guaranty Loss Amount (such demand only being made after the time period in (i) above has elapsed); then</w:t>
      </w:r>
    </w:p>
    <w:p>
      <w:pPr>
        <w:spacing w:after="0" w:line="199" w:lineRule="exact"/>
        <w:rPr>
          <w:rFonts w:ascii="Arial" w:cs="Arial" w:eastAsia="Arial" w:hAnsi="Arial"/>
          <w:sz w:val="20"/>
          <w:szCs w:val="20"/>
          <w:color w:val="auto"/>
        </w:rPr>
      </w:pPr>
    </w:p>
    <w:p>
      <w:pPr>
        <w:jc w:val="both"/>
        <w:ind w:left="660" w:firstLine="645"/>
        <w:spacing w:after="0" w:line="260" w:lineRule="auto"/>
        <w:tabs>
          <w:tab w:leader="none" w:pos="1851" w:val="left"/>
        </w:tabs>
        <w:numPr>
          <w:ilvl w:val="1"/>
          <w:numId w:val="412"/>
        </w:numPr>
        <w:rPr>
          <w:rFonts w:ascii="Arial" w:cs="Arial" w:eastAsia="Arial" w:hAnsi="Arial"/>
          <w:sz w:val="19"/>
          <w:szCs w:val="19"/>
          <w:color w:val="auto"/>
        </w:rPr>
      </w:pPr>
      <w:r>
        <w:rPr>
          <w:rFonts w:ascii="Arial" w:cs="Arial" w:eastAsia="Arial" w:hAnsi="Arial"/>
          <w:sz w:val="19"/>
          <w:szCs w:val="19"/>
          <w:color w:val="auto"/>
        </w:rPr>
        <w:t>to the extent WIL-Ireland and WWH fail to satisfy their obligations, in whole or in part, under (i) and (ii) above, each Specified Guarantor, based upon the ratio of each such other Specified Guarantor’s Allocable Amount to the aggregate of all Specified Guarantors’ Allocable Amounts, within fifteen (15) days after written demand by the Specified Guarantor for its Guaranty Loss Amount (such demand only being made after the time periods in (i) and (ii) above have elapsed) after, for such calculation purposes, netting amounts that would otherwise be payable by and among any two Specified Guarantors.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It is the intent of the parties that WIL-Ireland and WWH will fully satisfy their obligations if called upon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both WIL-Ireland and WWH hereby agree to take all reasonable actions to do so including, without limitation, selling assets, liquidating subsidiaries and otherwise obtaining funding (to the extent available). If a Guarantor fails to satisfy its respective obligation, in whole or in part, in the time period prescribed, for the benefit of the other Guarantors,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be applied eliminating, in whole or in part, the nonperforming Guarantor. For the avoidance of doubt, no Guarantor shall be relieved of any obligations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 the event it fails to satisfy its respective obligations to any other Guarantor; rather, each such Guarantor that makes a contribution and indemnification payment shall be entitled to seek recovery from any other Guarantors that failed to fulfill their obligations hereunder; provided, however, (i) WIL-Ireland shall not have a claim for a Guaranty Loss Amount against any other Guarantor, (ii) WWH shall not have a claim for a Guaranty Loss Amount against any Guarantor other than WIL-Ireland, and (iii) a Specified Guarantor shall not have a claim for a Guaranty Loss Amount against any Guarantor other than WIL-Ireland, WWH, or another Specified Guarantor.</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402" w:name="page403"/>
    <w:bookmarkEnd w:id="402"/>
    <w:p>
      <w:pPr>
        <w:ind w:left="1080" w:hanging="424"/>
        <w:spacing w:after="0"/>
        <w:tabs>
          <w:tab w:leader="none" w:pos="108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the following terms shall have the following meaning:</w:t>
      </w:r>
    </w:p>
    <w:p>
      <w:pPr>
        <w:spacing w:after="0" w:line="229" w:lineRule="exact"/>
        <w:rPr>
          <w:rFonts w:ascii="Arial" w:cs="Arial" w:eastAsia="Arial" w:hAnsi="Arial"/>
          <w:sz w:val="20"/>
          <w:szCs w:val="20"/>
          <w:color w:val="auto"/>
        </w:rPr>
      </w:pPr>
    </w:p>
    <w:p>
      <w:pPr>
        <w:jc w:val="both"/>
        <w:ind w:left="660" w:firstLine="645"/>
        <w:spacing w:after="0" w:line="246" w:lineRule="auto"/>
        <w:tabs>
          <w:tab w:leader="none" w:pos="1761" w:val="left"/>
        </w:tabs>
        <w:numPr>
          <w:ilvl w:val="1"/>
          <w:numId w:val="4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Allocable Amount</w:t>
      </w:r>
      <w:r>
        <w:rPr>
          <w:rFonts w:ascii="Arial" w:cs="Arial" w:eastAsia="Arial" w:hAnsi="Arial"/>
          <w:sz w:val="20"/>
          <w:szCs w:val="20"/>
          <w:color w:val="auto"/>
        </w:rPr>
        <w:t xml:space="preserve">” means, with respect to any Person, the amount equal to the excess of the fair market value of its property over the total liabilities of such Person determined as of the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Allocable Amount will be adjusted as and when agreed between the parties to take into account Persons who become or cease to be Specified Guarantors after the Effective Date;</w:t>
      </w:r>
    </w:p>
    <w:p>
      <w:pPr>
        <w:spacing w:after="0" w:line="205" w:lineRule="exact"/>
        <w:rPr>
          <w:rFonts w:ascii="Arial" w:cs="Arial" w:eastAsia="Arial" w:hAnsi="Arial"/>
          <w:sz w:val="20"/>
          <w:szCs w:val="20"/>
          <w:color w:val="auto"/>
        </w:rPr>
      </w:pPr>
    </w:p>
    <w:p>
      <w:pPr>
        <w:jc w:val="both"/>
        <w:ind w:left="660" w:firstLine="645"/>
        <w:spacing w:after="0" w:line="246" w:lineRule="auto"/>
        <w:tabs>
          <w:tab w:leader="none" w:pos="1762" w:val="left"/>
        </w:tabs>
        <w:numPr>
          <w:ilvl w:val="1"/>
          <w:numId w:val="4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Loss Amount</w:t>
      </w:r>
      <w:r>
        <w:rPr>
          <w:rFonts w:ascii="Arial" w:cs="Arial" w:eastAsia="Arial" w:hAnsi="Arial"/>
          <w:sz w:val="20"/>
          <w:szCs w:val="20"/>
          <w:color w:val="auto"/>
        </w:rPr>
        <w:t xml:space="preserve">” means the monetary value of any and all claims, damages, costs, expenses or other losses (plus arm’s-length interest on such value) incurred or suffered by a Guarantor as a result of making a Guarantor Payment after taking into account any contributions, reimbursements or other payments received from any other Person (including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with respect to such Guarantor Payment;</w:t>
      </w:r>
    </w:p>
    <w:p>
      <w:pPr>
        <w:spacing w:after="0" w:line="205" w:lineRule="exact"/>
        <w:rPr>
          <w:rFonts w:ascii="Arial" w:cs="Arial" w:eastAsia="Arial" w:hAnsi="Arial"/>
          <w:sz w:val="20"/>
          <w:szCs w:val="20"/>
          <w:color w:val="auto"/>
        </w:rPr>
      </w:pPr>
    </w:p>
    <w:p>
      <w:pPr>
        <w:ind w:left="660" w:firstLine="645"/>
        <w:spacing w:after="0" w:line="260" w:lineRule="auto"/>
        <w:tabs>
          <w:tab w:leader="none" w:pos="1911" w:val="left"/>
        </w:tabs>
        <w:numPr>
          <w:ilvl w:val="1"/>
          <w:numId w:val="4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 Payment</w:t>
      </w:r>
      <w:r>
        <w:rPr>
          <w:rFonts w:ascii="Arial" w:cs="Arial" w:eastAsia="Arial" w:hAnsi="Arial"/>
          <w:sz w:val="20"/>
          <w:szCs w:val="20"/>
          <w:color w:val="auto"/>
        </w:rPr>
        <w:t xml:space="preserve">” means a payment (which shall include any amounts setoff pursuant to </w:t>
      </w:r>
      <w:r>
        <w:rPr>
          <w:rFonts w:ascii="Arial" w:cs="Arial" w:eastAsia="Arial" w:hAnsi="Arial"/>
          <w:sz w:val="20"/>
          <w:szCs w:val="20"/>
          <w:u w:val="single" w:color="auto"/>
          <w:color w:val="auto"/>
        </w:rPr>
        <w:t>Section 17</w:t>
      </w:r>
      <w:r>
        <w:rPr>
          <w:rFonts w:ascii="Arial" w:cs="Arial" w:eastAsia="Arial" w:hAnsi="Arial"/>
          <w:sz w:val="20"/>
          <w:szCs w:val="20"/>
          <w:color w:val="auto"/>
        </w:rPr>
        <w:t>) under this Guaranty or the taking or use of any Collateral under any other Loan Document; and</w:t>
      </w:r>
    </w:p>
    <w:p>
      <w:pPr>
        <w:spacing w:after="0" w:line="190" w:lineRule="exact"/>
        <w:rPr>
          <w:rFonts w:ascii="Arial" w:cs="Arial" w:eastAsia="Arial" w:hAnsi="Arial"/>
          <w:sz w:val="20"/>
          <w:szCs w:val="20"/>
          <w:color w:val="auto"/>
        </w:rPr>
      </w:pPr>
    </w:p>
    <w:p>
      <w:pPr>
        <w:ind w:left="1780" w:hanging="475"/>
        <w:spacing w:after="0"/>
        <w:tabs>
          <w:tab w:leader="none" w:pos="1780" w:val="left"/>
        </w:tabs>
        <w:numPr>
          <w:ilvl w:val="1"/>
          <w:numId w:val="4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Guarantor</w:t>
      </w:r>
      <w:r>
        <w:rPr>
          <w:rFonts w:ascii="Arial" w:cs="Arial" w:eastAsia="Arial" w:hAnsi="Arial"/>
          <w:sz w:val="20"/>
          <w:szCs w:val="20"/>
          <w:color w:val="auto"/>
        </w:rPr>
        <w:t>” means any Guarantor other than WIL-Ireland and WWH.</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073" w:val="left"/>
        </w:tabs>
        <w:numPr>
          <w:ilvl w:val="0"/>
          <w:numId w:val="413"/>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is intended only to define the relative rights of the Guarantors, and nothing set forth in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is intended to or shall impair the obligations of the Guarantors, jointly and severally, to pay any amounts as and when the same shall become due and payable in accordance with the terms of this Guaranty.</w:t>
      </w:r>
    </w:p>
    <w:p>
      <w:pPr>
        <w:spacing w:after="0" w:line="199" w:lineRule="exact"/>
        <w:rPr>
          <w:rFonts w:ascii="Arial" w:cs="Arial" w:eastAsia="Arial" w:hAnsi="Arial"/>
          <w:sz w:val="20"/>
          <w:szCs w:val="20"/>
          <w:color w:val="auto"/>
        </w:rPr>
      </w:pPr>
    </w:p>
    <w:p>
      <w:pPr>
        <w:ind w:firstLine="656"/>
        <w:spacing w:after="0" w:line="260" w:lineRule="auto"/>
        <w:tabs>
          <w:tab w:leader="none" w:pos="1214" w:val="left"/>
        </w:tabs>
        <w:numPr>
          <w:ilvl w:val="0"/>
          <w:numId w:val="413"/>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Guarantor or Guarantors to which such contribution and indemnification is owing.</w:t>
      </w:r>
    </w:p>
    <w:p>
      <w:pPr>
        <w:spacing w:after="0" w:line="190" w:lineRule="exact"/>
        <w:rPr>
          <w:rFonts w:ascii="Arial" w:cs="Arial" w:eastAsia="Arial" w:hAnsi="Arial"/>
          <w:sz w:val="20"/>
          <w:szCs w:val="20"/>
          <w:color w:val="auto"/>
        </w:rPr>
      </w:pPr>
    </w:p>
    <w:p>
      <w:pPr>
        <w:jc w:val="both"/>
        <w:ind w:firstLine="656"/>
        <w:spacing w:after="0" w:line="246" w:lineRule="auto"/>
        <w:tabs>
          <w:tab w:leader="none" w:pos="1131" w:val="left"/>
        </w:tabs>
        <w:numPr>
          <w:ilvl w:val="0"/>
          <w:numId w:val="413"/>
        </w:numPr>
        <w:rPr>
          <w:rFonts w:ascii="Arial" w:cs="Arial" w:eastAsia="Arial" w:hAnsi="Arial"/>
          <w:sz w:val="20"/>
          <w:szCs w:val="20"/>
          <w:color w:val="auto"/>
        </w:rPr>
      </w:pPr>
      <w:r>
        <w:rPr>
          <w:rFonts w:ascii="Arial" w:cs="Arial" w:eastAsia="Arial" w:hAnsi="Arial"/>
          <w:sz w:val="20"/>
          <w:szCs w:val="20"/>
          <w:color w:val="auto"/>
        </w:rPr>
        <w:t xml:space="preserve">The rights of the indemnifying Guarantors against other Guarantors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shall be exercisable upon Payment in Full, and are intended to reflect the concept of indemnity and contribution among guarantors of an obligation that would otherwise exist under New York law. Nothing in this Section 7, however, shall negate or otherwise modify the rights of subrogation of a Guarantor against a Borrower.</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Limitation of Guaranty</w:t>
      </w:r>
      <w:r>
        <w:rPr>
          <w:rFonts w:ascii="Arial" w:cs="Arial" w:eastAsia="Arial" w:hAnsi="Arial"/>
          <w:sz w:val="18"/>
          <w:szCs w:val="18"/>
          <w:color w:val="auto"/>
        </w:rPr>
        <w:t>. Notwithstanding any other provision of this Guaranty to the contrary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7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Luxembourg Limitations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87" w:lineRule="auto"/>
        <w:tabs>
          <w:tab w:leader="none" w:pos="1085" w:val="left"/>
        </w:tabs>
        <w:numPr>
          <w:ilvl w:val="0"/>
          <w:numId w:val="414"/>
        </w:numPr>
        <w:rPr>
          <w:rFonts w:ascii="Arial" w:cs="Arial" w:eastAsia="Arial" w:hAnsi="Arial"/>
          <w:sz w:val="19"/>
          <w:szCs w:val="19"/>
          <w:color w:val="auto"/>
        </w:rPr>
      </w:pPr>
      <w:r>
        <w:rPr>
          <w:rFonts w:ascii="Arial" w:cs="Arial" w:eastAsia="Arial" w:hAnsi="Arial"/>
          <w:sz w:val="19"/>
          <w:szCs w:val="19"/>
          <w:color w:val="auto"/>
        </w:rPr>
        <w:t>The payment obligation of any Luxembourg Guarantor for the obligations of any other Guarantor that is not a Subsidiary of such Luxembourg Guarantor, shall be limited at any time, with no double counting, to an aggregate amount not exceeding the higher of:</w:t>
      </w:r>
    </w:p>
    <w:p>
      <w:pPr>
        <w:spacing w:after="0" w:line="166" w:lineRule="exact"/>
        <w:rPr>
          <w:sz w:val="20"/>
          <w:szCs w:val="20"/>
          <w:color w:val="auto"/>
        </w:rPr>
      </w:pPr>
    </w:p>
    <w:p>
      <w:pPr>
        <w:ind w:left="1680" w:hanging="375"/>
        <w:spacing w:after="0"/>
        <w:tabs>
          <w:tab w:leader="none" w:pos="168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ninety five per cent. (95%) of the Luxembourg Guarantor’s own funds (</w:t>
      </w:r>
      <w:r>
        <w:rPr>
          <w:rFonts w:ascii="Arial" w:cs="Arial" w:eastAsia="Arial" w:hAnsi="Arial"/>
          <w:sz w:val="20"/>
          <w:szCs w:val="20"/>
          <w:i w:val="1"/>
          <w:iCs w:val="1"/>
          <w:color w:val="auto"/>
        </w:rPr>
        <w:t>capitaux propres</w:t>
      </w:r>
      <w:r>
        <w:rPr>
          <w:rFonts w:ascii="Arial" w:cs="Arial" w:eastAsia="Arial" w:hAnsi="Arial"/>
          <w:sz w:val="20"/>
          <w:szCs w:val="20"/>
          <w:color w:val="auto"/>
        </w:rPr>
        <w:t>) (as</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865" w:right="239" w:bottom="1440" w:gutter="0" w:footer="0" w:header="0"/>
        </w:sectPr>
      </w:pPr>
    </w:p>
    <w:bookmarkStart w:id="403" w:name="page404"/>
    <w:bookmarkEnd w:id="403"/>
    <w:p>
      <w:pPr>
        <w:jc w:val="both"/>
        <w:ind w:left="660"/>
        <w:spacing w:after="0" w:line="260" w:lineRule="auto"/>
        <w:rPr>
          <w:sz w:val="20"/>
          <w:szCs w:val="20"/>
          <w:color w:val="auto"/>
        </w:rPr>
      </w:pPr>
      <w:r>
        <w:rPr>
          <w:rFonts w:ascii="Arial" w:cs="Arial" w:eastAsia="Arial" w:hAnsi="Arial"/>
          <w:sz w:val="19"/>
          <w:szCs w:val="19"/>
          <w:color w:val="auto"/>
        </w:rPr>
        <w:t>referred to in Annex 1 of the Luxembourg regulation dated 18 December 2015 defining the form and the content of the balance sheet and profit and loss account layouts (the “</w:t>
      </w:r>
      <w:r>
        <w:rPr>
          <w:rFonts w:ascii="Arial" w:cs="Arial" w:eastAsia="Arial" w:hAnsi="Arial"/>
          <w:sz w:val="19"/>
          <w:szCs w:val="19"/>
          <w:u w:val="single" w:color="auto"/>
          <w:color w:val="auto"/>
        </w:rPr>
        <w:t>Regulation</w:t>
      </w:r>
      <w:r>
        <w:rPr>
          <w:rFonts w:ascii="Arial" w:cs="Arial" w:eastAsia="Arial" w:hAnsi="Arial"/>
          <w:sz w:val="19"/>
          <w:szCs w:val="19"/>
          <w:color w:val="auto"/>
        </w:rPr>
        <w:t>”) and implementing among others article 34 of the Luxembourg law dated 19 December 2002 concerning the trade and companies register and the accounting and annual accounts of undertakings, as amended (the “</w:t>
      </w:r>
      <w:r>
        <w:rPr>
          <w:rFonts w:ascii="Arial" w:cs="Arial" w:eastAsia="Arial" w:hAnsi="Arial"/>
          <w:sz w:val="19"/>
          <w:szCs w:val="19"/>
          <w:u w:val="single" w:color="auto"/>
          <w:color w:val="auto"/>
        </w:rPr>
        <w:t>2002 Law</w:t>
      </w:r>
      <w:r>
        <w:rPr>
          <w:rFonts w:ascii="Arial" w:cs="Arial" w:eastAsia="Arial" w:hAnsi="Arial"/>
          <w:sz w:val="19"/>
          <w:szCs w:val="19"/>
          <w:color w:val="auto"/>
        </w:rPr>
        <w:t>”)) and subordinated debt (</w:t>
      </w:r>
      <w:r>
        <w:rPr>
          <w:rFonts w:ascii="Arial" w:cs="Arial" w:eastAsia="Arial" w:hAnsi="Arial"/>
          <w:sz w:val="19"/>
          <w:szCs w:val="19"/>
          <w:i w:val="1"/>
          <w:iCs w:val="1"/>
          <w:color w:val="auto"/>
        </w:rPr>
        <w:t>dette subordonnée</w:t>
      </w:r>
      <w:r>
        <w:rPr>
          <w:rFonts w:ascii="Arial" w:cs="Arial" w:eastAsia="Arial" w:hAnsi="Arial"/>
          <w:sz w:val="19"/>
          <w:szCs w:val="19"/>
          <w:color w:val="auto"/>
        </w:rPr>
        <w:t>) (excluding, however, any amounts borrowed by such Luxembourg Guarantor as per section (b) below), as at the date of this Guaranty; and</w:t>
      </w:r>
    </w:p>
    <w:p>
      <w:pPr>
        <w:spacing w:after="0" w:line="194" w:lineRule="exact"/>
        <w:rPr>
          <w:sz w:val="20"/>
          <w:szCs w:val="20"/>
          <w:color w:val="auto"/>
        </w:rPr>
      </w:pPr>
    </w:p>
    <w:p>
      <w:pPr>
        <w:jc w:val="both"/>
        <w:ind w:left="660" w:firstLine="645"/>
        <w:spacing w:after="0" w:line="246" w:lineRule="auto"/>
        <w:tabs>
          <w:tab w:leader="none" w:pos="1750" w:val="left"/>
        </w:tabs>
        <w:numPr>
          <w:ilvl w:val="1"/>
          <w:numId w:val="416"/>
        </w:numPr>
        <w:rPr>
          <w:rFonts w:ascii="Arial" w:cs="Arial" w:eastAsia="Arial" w:hAnsi="Arial"/>
          <w:sz w:val="20"/>
          <w:szCs w:val="20"/>
          <w:color w:val="auto"/>
        </w:rPr>
      </w:pPr>
      <w:r>
        <w:rPr>
          <w:rFonts w:ascii="Arial" w:cs="Arial" w:eastAsia="Arial" w:hAnsi="Arial"/>
          <w:sz w:val="20"/>
          <w:szCs w:val="20"/>
          <w:color w:val="auto"/>
        </w:rPr>
        <w:t>ninety five per cent. (95%) of the Luxembourg Guarantor’s own funds (capitaux propres) (as referred to in Annex 1 of the Regulation implementing among others article 34 of the 2002 Law) and subordinated debt (</w:t>
      </w:r>
      <w:r>
        <w:rPr>
          <w:rFonts w:ascii="Arial" w:cs="Arial" w:eastAsia="Arial" w:hAnsi="Arial"/>
          <w:sz w:val="20"/>
          <w:szCs w:val="20"/>
          <w:i w:val="1"/>
          <w:iCs w:val="1"/>
          <w:color w:val="auto"/>
        </w:rPr>
        <w:t>dette subordonnée</w:t>
      </w:r>
      <w:r>
        <w:rPr>
          <w:rFonts w:ascii="Arial" w:cs="Arial" w:eastAsia="Arial" w:hAnsi="Arial"/>
          <w:sz w:val="20"/>
          <w:szCs w:val="20"/>
          <w:color w:val="auto"/>
        </w:rPr>
        <w:t>) (excluding, however, any amounts borrowed by such Luxembourg Guarantor as per section (b) below), as at the date of a guarantee payment under this Guaranty.</w:t>
      </w:r>
    </w:p>
    <w:p>
      <w:pPr>
        <w:spacing w:after="0" w:line="205" w:lineRule="exact"/>
        <w:rPr>
          <w:rFonts w:ascii="Arial" w:cs="Arial" w:eastAsia="Arial" w:hAnsi="Arial"/>
          <w:sz w:val="20"/>
          <w:szCs w:val="20"/>
          <w:color w:val="auto"/>
        </w:rPr>
      </w:pPr>
    </w:p>
    <w:p>
      <w:pPr>
        <w:ind w:firstLine="656"/>
        <w:spacing w:after="0" w:line="287" w:lineRule="auto"/>
        <w:tabs>
          <w:tab w:leader="none" w:pos="1093" w:val="left"/>
        </w:tabs>
        <w:numPr>
          <w:ilvl w:val="0"/>
          <w:numId w:val="417"/>
        </w:numPr>
        <w:rPr>
          <w:rFonts w:ascii="Arial" w:cs="Arial" w:eastAsia="Arial" w:hAnsi="Arial"/>
          <w:sz w:val="19"/>
          <w:szCs w:val="19"/>
          <w:color w:val="auto"/>
        </w:rPr>
      </w:pPr>
      <w:r>
        <w:rPr>
          <w:rFonts w:ascii="Arial" w:cs="Arial" w:eastAsia="Arial" w:hAnsi="Arial"/>
          <w:sz w:val="19"/>
          <w:szCs w:val="19"/>
          <w:color w:val="auto"/>
        </w:rPr>
        <w:t>The limitation set forth in this clause (b) shall not apply to any amounts borrowed under the Credit Agreement and made directly or indirectly available, in any form whatsoever, to the Luxembourg Guarantor or to any of its direct or indirect Subsidiaries.</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Norwegian Limitations</w:t>
      </w:r>
      <w:r>
        <w:rPr>
          <w:rFonts w:ascii="Arial" w:cs="Arial" w:eastAsia="Arial" w:hAnsi="Arial"/>
          <w:sz w:val="20"/>
          <w:szCs w:val="20"/>
          <w:color w:val="auto"/>
        </w:rPr>
        <w:t>. The Norwegian Financial Agreements Act shall not apply to this Guaranty, except as required by § 2-2 of the Financial Agreements Act (if applicable). The liability of each Guarantor incorporated in Norway in its capacity as Guarantor (each a “</w:t>
      </w:r>
      <w:r>
        <w:rPr>
          <w:rFonts w:ascii="Arial" w:cs="Arial" w:eastAsia="Arial" w:hAnsi="Arial"/>
          <w:sz w:val="20"/>
          <w:szCs w:val="20"/>
          <w:u w:val="single" w:color="auto"/>
          <w:color w:val="auto"/>
        </w:rPr>
        <w:t>Norwegian Guarantor</w:t>
      </w:r>
      <w:r>
        <w:rPr>
          <w:rFonts w:ascii="Arial" w:cs="Arial" w:eastAsia="Arial" w:hAnsi="Arial"/>
          <w:sz w:val="20"/>
          <w:szCs w:val="20"/>
          <w:color w:val="auto"/>
        </w:rPr>
        <w:t>”) shall be limited to USD $650,000,000, plus any interest, default interest, commissions, charges, fees and expenses due under any Guaranteed Obligation. Notwithstanding any other provision of this Guaranty to the contrary, the obligations and liabilities of any Norwegian Guarantor under this Guaranty shall be limited by such mandatory provisions of sections 8-7 and/or 8-10 of the Norwegian Limited Liability Companies Act of 13 June 1997 (the “</w:t>
      </w:r>
      <w:r>
        <w:rPr>
          <w:rFonts w:ascii="Arial" w:cs="Arial" w:eastAsia="Arial" w:hAnsi="Arial"/>
          <w:sz w:val="20"/>
          <w:szCs w:val="20"/>
          <w:u w:val="single" w:color="auto"/>
          <w:color w:val="auto"/>
        </w:rPr>
        <w:t>Act</w:t>
      </w:r>
      <w:r>
        <w:rPr>
          <w:rFonts w:ascii="Arial" w:cs="Arial" w:eastAsia="Arial" w:hAnsi="Arial"/>
          <w:sz w:val="20"/>
          <w:szCs w:val="20"/>
          <w:color w:val="auto"/>
        </w:rPr>
        <w:t>”)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Act as amended from time to time.</w:t>
      </w:r>
    </w:p>
    <w:p>
      <w:pPr>
        <w:spacing w:after="0" w:line="20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Swiss Financial Assistance</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4" w:lineRule="auto"/>
        <w:tabs>
          <w:tab w:leader="none" w:pos="1516" w:val="left"/>
        </w:tabs>
        <w:numPr>
          <w:ilvl w:val="0"/>
          <w:numId w:val="418"/>
        </w:numPr>
        <w:rPr>
          <w:rFonts w:ascii="Arial" w:cs="Arial" w:eastAsia="Arial" w:hAnsi="Arial"/>
          <w:sz w:val="19"/>
          <w:szCs w:val="19"/>
          <w:color w:val="auto"/>
        </w:rPr>
      </w:pPr>
      <w:r>
        <w:rPr>
          <w:rFonts w:ascii="Arial" w:cs="Arial" w:eastAsia="Arial" w:hAnsi="Arial"/>
          <w:sz w:val="19"/>
          <w:szCs w:val="19"/>
          <w:color w:val="auto"/>
        </w:rPr>
        <w:t>If and to the extent that a payment in fulfilling the Guaranteed Obligations under this Guaranty any Guarantor organized under the laws of Switzerland (the “</w:t>
      </w:r>
      <w:r>
        <w:rPr>
          <w:rFonts w:ascii="Arial" w:cs="Arial" w:eastAsia="Arial" w:hAnsi="Arial"/>
          <w:sz w:val="19"/>
          <w:szCs w:val="19"/>
          <w:u w:val="single" w:color="auto"/>
          <w:color w:val="auto"/>
        </w:rPr>
        <w:t>Swiss Guarantors</w:t>
      </w:r>
      <w:r>
        <w:rPr>
          <w:rFonts w:ascii="Arial" w:cs="Arial" w:eastAsia="Arial" w:hAnsi="Arial"/>
          <w:sz w:val="19"/>
          <w:szCs w:val="19"/>
          <w:color w:val="auto"/>
        </w:rPr>
        <w:t>”) would, at the time payment is due, under Swiss law and practice (inter alia, prohibiting capital repayments or restricting profit distributions) not be permitted, in particular if and to the extent that such Swiss Guarantor guarantees obligations other than obligations of one of its subsidiaries (i.e., obligations of its direct or indirect parent companies (up-stream guarantee) or sister companies (cross-stream guarantee)) (such obligations, “</w:t>
      </w:r>
      <w:r>
        <w:rPr>
          <w:rFonts w:ascii="Arial" w:cs="Arial" w:eastAsia="Arial" w:hAnsi="Arial"/>
          <w:sz w:val="19"/>
          <w:szCs w:val="19"/>
          <w:u w:val="single" w:color="auto"/>
          <w:color w:val="auto"/>
        </w:rPr>
        <w:t>Restricted Obligations</w:t>
      </w:r>
      <w:r>
        <w:rPr>
          <w:rFonts w:ascii="Arial" w:cs="Arial" w:eastAsia="Arial" w:hAnsi="Arial"/>
          <w:sz w:val="19"/>
          <w:szCs w:val="19"/>
          <w:color w:val="auto"/>
        </w:rPr>
        <w:t xml:space="preserve">”), then such obligations and payment amount shall from time to time be limited to the amount permitted to be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limited amount shall at no time be less than such Swiss Guarantor’s profits and reserves available for distribution as dividends (being the balance sheet profits and any reserves available for this purpose, in each case in accordance with Article 798 of the Swiss Federal Code of Obligations) at the time or times payment under or pursuant to this Guaranty is requested from such Swiss Guarantor, and further provided that such limitation (as may apply from time to time or not) shall not (generally or definitively) free such Swiss Guarantor from payment obligations hereunder in excess thereof, but merely postpone the payment date therefor until such times as payment is again permitted notwithstanding such limitation. Any and all indemnities and guarantees contained in the Loan Documents including, in particular, Section 4.02(b) of the Credit Agreement shall be construed in a manner consistent with the provisions herein contained.</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5" w:right="239" w:bottom="1440" w:gutter="0" w:footer="0" w:header="0"/>
        </w:sectPr>
      </w:pPr>
    </w:p>
    <w:bookmarkStart w:id="404" w:name="page405"/>
    <w:bookmarkEnd w:id="404"/>
    <w:p>
      <w:pPr>
        <w:ind w:left="1540" w:hanging="884"/>
        <w:spacing w:after="0"/>
        <w:tabs>
          <w:tab w:leader="none" w:pos="154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In respect of Restricted Obligations, each Swiss Guarantor shall:</w:t>
      </w:r>
    </w:p>
    <w:p>
      <w:pPr>
        <w:spacing w:after="0" w:line="256" w:lineRule="exact"/>
        <w:rPr>
          <w:rFonts w:ascii="Arial" w:cs="Arial" w:eastAsia="Arial" w:hAnsi="Arial"/>
          <w:sz w:val="20"/>
          <w:szCs w:val="20"/>
          <w:color w:val="auto"/>
        </w:rPr>
      </w:pPr>
    </w:p>
    <w:p>
      <w:pPr>
        <w:ind w:left="2140" w:hanging="835"/>
        <w:spacing w:after="0"/>
        <w:tabs>
          <w:tab w:leader="none" w:pos="2140" w:val="left"/>
        </w:tabs>
        <w:numPr>
          <w:ilvl w:val="1"/>
          <w:numId w:val="419"/>
        </w:numPr>
        <w:rPr>
          <w:rFonts w:ascii="Arial" w:cs="Arial" w:eastAsia="Arial" w:hAnsi="Arial"/>
          <w:sz w:val="20"/>
          <w:szCs w:val="20"/>
          <w:color w:val="auto"/>
        </w:rPr>
      </w:pPr>
      <w:r>
        <w:rPr>
          <w:rFonts w:ascii="Arial" w:cs="Arial" w:eastAsia="Arial" w:hAnsi="Arial"/>
          <w:sz w:val="20"/>
          <w:szCs w:val="20"/>
          <w:color w:val="auto"/>
        </w:rPr>
        <w:t>if and to the extent required by applicable law in force at the relevant time:</w:t>
      </w:r>
    </w:p>
    <w:p>
      <w:pPr>
        <w:spacing w:after="0" w:line="256" w:lineRule="exact"/>
        <w:rPr>
          <w:rFonts w:ascii="Arial" w:cs="Arial" w:eastAsia="Arial" w:hAnsi="Arial"/>
          <w:sz w:val="20"/>
          <w:szCs w:val="20"/>
          <w:color w:val="auto"/>
        </w:rPr>
      </w:pPr>
    </w:p>
    <w:p>
      <w:pPr>
        <w:jc w:val="both"/>
        <w:ind w:left="660" w:firstLine="645"/>
        <w:spacing w:after="0" w:line="278" w:lineRule="auto"/>
        <w:tabs>
          <w:tab w:leader="none" w:pos="2198" w:val="left"/>
        </w:tabs>
        <w:numPr>
          <w:ilvl w:val="1"/>
          <w:numId w:val="419"/>
        </w:numPr>
        <w:rPr>
          <w:rFonts w:ascii="Arial" w:cs="Arial" w:eastAsia="Arial" w:hAnsi="Arial"/>
          <w:sz w:val="20"/>
          <w:szCs w:val="20"/>
          <w:color w:val="auto"/>
        </w:rPr>
      </w:pPr>
      <w:r>
        <w:rPr>
          <w:rFonts w:ascii="Arial" w:cs="Arial" w:eastAsia="Arial" w:hAnsi="Arial"/>
          <w:sz w:val="20"/>
          <w:szCs w:val="20"/>
          <w:color w:val="auto"/>
        </w:rPr>
        <w:t>subject to any applicable double taxation treaty, deduct Swiss anticipatory tax (</w:t>
      </w:r>
      <w:r>
        <w:rPr>
          <w:rFonts w:ascii="Arial" w:cs="Arial" w:eastAsia="Arial" w:hAnsi="Arial"/>
          <w:sz w:val="20"/>
          <w:szCs w:val="20"/>
          <w:i w:val="1"/>
          <w:iCs w:val="1"/>
          <w:color w:val="auto"/>
        </w:rPr>
        <w:t>Verrechnungssteuer</w:t>
      </w:r>
      <w:r>
        <w:rPr>
          <w:rFonts w:ascii="Arial" w:cs="Arial" w:eastAsia="Arial" w:hAnsi="Arial"/>
          <w:sz w:val="20"/>
          <w:szCs w:val="20"/>
          <w:color w:val="auto"/>
        </w:rPr>
        <w:t>; “</w:t>
      </w:r>
      <w:r>
        <w:rPr>
          <w:rFonts w:ascii="Arial" w:cs="Arial" w:eastAsia="Arial" w:hAnsi="Arial"/>
          <w:sz w:val="20"/>
          <w:szCs w:val="20"/>
          <w:u w:val="single" w:color="auto"/>
          <w:color w:val="auto"/>
        </w:rPr>
        <w:t>Swiss</w:t>
      </w:r>
      <w:r>
        <w:rPr>
          <w:rFonts w:ascii="Arial" w:cs="Arial" w:eastAsia="Arial" w:hAnsi="Arial"/>
          <w:sz w:val="20"/>
          <w:szCs w:val="20"/>
          <w:color w:val="auto"/>
        </w:rPr>
        <w:t xml:space="preserve"> </w:t>
      </w:r>
      <w:r>
        <w:rPr>
          <w:rFonts w:ascii="Arial" w:cs="Arial" w:eastAsia="Arial" w:hAnsi="Arial"/>
          <w:sz w:val="20"/>
          <w:szCs w:val="20"/>
          <w:u w:val="single" w:color="auto"/>
          <w:color w:val="auto"/>
        </w:rPr>
        <w:t>Withholding Tax</w:t>
      </w:r>
      <w:r>
        <w:rPr>
          <w:rFonts w:ascii="Arial" w:cs="Arial" w:eastAsia="Arial" w:hAnsi="Arial"/>
          <w:sz w:val="20"/>
          <w:szCs w:val="20"/>
          <w:color w:val="auto"/>
        </w:rPr>
        <w:t>”) at the rate of 35% (or such other rate as in force from time to time) from any payment made by it in respect of Restricted Obligations;</w:t>
      </w:r>
    </w:p>
    <w:p>
      <w:pPr>
        <w:spacing w:after="0" w:line="200" w:lineRule="exact"/>
        <w:rPr>
          <w:rFonts w:ascii="Arial" w:cs="Arial" w:eastAsia="Arial" w:hAnsi="Arial"/>
          <w:sz w:val="20"/>
          <w:szCs w:val="20"/>
          <w:color w:val="auto"/>
        </w:rPr>
      </w:pPr>
    </w:p>
    <w:p>
      <w:pPr>
        <w:ind w:left="2240" w:hanging="935"/>
        <w:spacing w:after="0"/>
        <w:tabs>
          <w:tab w:leader="none" w:pos="2240" w:val="left"/>
        </w:tabs>
        <w:numPr>
          <w:ilvl w:val="1"/>
          <w:numId w:val="419"/>
        </w:numPr>
        <w:rPr>
          <w:rFonts w:ascii="Arial" w:cs="Arial" w:eastAsia="Arial" w:hAnsi="Arial"/>
          <w:sz w:val="20"/>
          <w:szCs w:val="20"/>
          <w:color w:val="auto"/>
        </w:rPr>
      </w:pPr>
      <w:r>
        <w:rPr>
          <w:rFonts w:ascii="Arial" w:cs="Arial" w:eastAsia="Arial" w:hAnsi="Arial"/>
          <w:sz w:val="20"/>
          <w:szCs w:val="20"/>
          <w:color w:val="auto"/>
        </w:rPr>
        <w:t>pay any such deduction to the Swiss Federal Tax Administration; and</w:t>
      </w:r>
    </w:p>
    <w:p>
      <w:pPr>
        <w:spacing w:after="0" w:line="256" w:lineRule="exact"/>
        <w:rPr>
          <w:rFonts w:ascii="Arial" w:cs="Arial" w:eastAsia="Arial" w:hAnsi="Arial"/>
          <w:sz w:val="20"/>
          <w:szCs w:val="20"/>
          <w:color w:val="auto"/>
        </w:rPr>
      </w:pPr>
    </w:p>
    <w:p>
      <w:pPr>
        <w:jc w:val="both"/>
        <w:ind w:left="660" w:firstLine="645"/>
        <w:spacing w:after="0" w:line="278" w:lineRule="auto"/>
        <w:tabs>
          <w:tab w:leader="none" w:pos="2242" w:val="left"/>
        </w:tabs>
        <w:numPr>
          <w:ilvl w:val="1"/>
          <w:numId w:val="419"/>
        </w:numPr>
        <w:rPr>
          <w:rFonts w:ascii="Arial" w:cs="Arial" w:eastAsia="Arial" w:hAnsi="Arial"/>
          <w:sz w:val="20"/>
          <w:szCs w:val="20"/>
          <w:color w:val="auto"/>
        </w:rPr>
      </w:pPr>
      <w:r>
        <w:rPr>
          <w:rFonts w:ascii="Arial" w:cs="Arial" w:eastAsia="Arial" w:hAnsi="Arial"/>
          <w:sz w:val="20"/>
          <w:szCs w:val="20"/>
          <w:color w:val="auto"/>
        </w:rPr>
        <w:t>notify the Administrative Agent that such a deduction has been made and provide the Administrative Agent with evidence that such a deduction has been paid to the Swiss Federal Tax Administration, all in accordance with Section 4.02(a) and Section 4.02(f) of the Credit Agreement; and</w:t>
      </w:r>
    </w:p>
    <w:p>
      <w:pPr>
        <w:spacing w:after="0" w:line="200" w:lineRule="exact"/>
        <w:rPr>
          <w:rFonts w:ascii="Arial" w:cs="Arial" w:eastAsia="Arial" w:hAnsi="Arial"/>
          <w:sz w:val="20"/>
          <w:szCs w:val="20"/>
          <w:color w:val="auto"/>
        </w:rPr>
      </w:pPr>
    </w:p>
    <w:p>
      <w:pPr>
        <w:jc w:val="both"/>
        <w:ind w:left="660" w:firstLine="645"/>
        <w:spacing w:after="0" w:line="274" w:lineRule="auto"/>
        <w:tabs>
          <w:tab w:leader="none" w:pos="2187" w:val="left"/>
        </w:tabs>
        <w:numPr>
          <w:ilvl w:val="1"/>
          <w:numId w:val="419"/>
        </w:numPr>
        <w:rPr>
          <w:rFonts w:ascii="Arial" w:cs="Arial" w:eastAsia="Arial" w:hAnsi="Arial"/>
          <w:sz w:val="20"/>
          <w:szCs w:val="20"/>
          <w:color w:val="auto"/>
        </w:rPr>
      </w:pPr>
      <w:r>
        <w:rPr>
          <w:rFonts w:ascii="Arial" w:cs="Arial" w:eastAsia="Arial" w:hAnsi="Arial"/>
          <w:sz w:val="20"/>
          <w:szCs w:val="20"/>
          <w:color w:val="auto"/>
        </w:rPr>
        <w:t xml:space="preserve">to the extent such a deduction is made, not be obliged to either gross-up in accordance with Section 4.02(a) of the Credit Agreement or </w:t>
      </w:r>
      <w:r>
        <w:rPr>
          <w:rFonts w:ascii="Arial" w:cs="Arial" w:eastAsia="Arial" w:hAnsi="Arial"/>
          <w:sz w:val="20"/>
          <w:szCs w:val="20"/>
          <w:u w:val="single" w:color="auto"/>
          <w:color w:val="auto"/>
        </w:rPr>
        <w:t>Section 19(a)</w:t>
      </w:r>
      <w:r>
        <w:rPr>
          <w:rFonts w:ascii="Arial" w:cs="Arial" w:eastAsia="Arial" w:hAnsi="Arial"/>
          <w:sz w:val="20"/>
          <w:szCs w:val="20"/>
          <w:color w:val="auto"/>
        </w:rPr>
        <w:t xml:space="preserve"> of this Guaranty or indemnify any of the Guaranteed Parties in accordance with Section 4.02(b) of the Credit Agreement in relation to any such payment made by it in respect of Restricted Obligations unless grossing-up is permitted under the laws of Switzerland then in force.</w:t>
      </w:r>
    </w:p>
    <w:p>
      <w:pPr>
        <w:spacing w:after="0" w:line="205" w:lineRule="exact"/>
        <w:rPr>
          <w:rFonts w:ascii="Arial" w:cs="Arial" w:eastAsia="Arial" w:hAnsi="Arial"/>
          <w:sz w:val="20"/>
          <w:szCs w:val="20"/>
          <w:color w:val="auto"/>
        </w:rPr>
      </w:pPr>
    </w:p>
    <w:p>
      <w:pPr>
        <w:jc w:val="both"/>
        <w:ind w:firstLine="656"/>
        <w:spacing w:after="0" w:line="273" w:lineRule="auto"/>
        <w:tabs>
          <w:tab w:leader="none" w:pos="1516" w:val="left"/>
        </w:tabs>
        <w:numPr>
          <w:ilvl w:val="0"/>
          <w:numId w:val="419"/>
        </w:numPr>
        <w:rPr>
          <w:rFonts w:ascii="Arial" w:cs="Arial" w:eastAsia="Arial" w:hAnsi="Arial"/>
          <w:sz w:val="20"/>
          <w:szCs w:val="20"/>
          <w:color w:val="auto"/>
        </w:rPr>
      </w:pPr>
      <w:r>
        <w:rPr>
          <w:rFonts w:ascii="Arial" w:cs="Arial" w:eastAsia="Arial" w:hAnsi="Arial"/>
          <w:sz w:val="20"/>
          <w:szCs w:val="20"/>
          <w:color w:val="auto"/>
        </w:rPr>
        <w:t>If and to the extent requested by the Administrative Agent and if and to the extent this is from time to time required under Swiss law (restricting profit distributions), in order to allow the Guaranteed Parties to obtain a maximum benefit from the relevant Swiss Guarantor’s liabilities under this Guaranty, each Swiss Guarantor undertakes to promptly implement all such measures and/or to promptly obtain the fulfillment of all prerequisites allowing it to promptly make the requested payment(s) hereunder from time to time, including the following:</w:t>
      </w:r>
    </w:p>
    <w:p>
      <w:pPr>
        <w:spacing w:after="0" w:line="204" w:lineRule="exact"/>
        <w:rPr>
          <w:rFonts w:ascii="Arial" w:cs="Arial" w:eastAsia="Arial" w:hAnsi="Arial"/>
          <w:sz w:val="20"/>
          <w:szCs w:val="20"/>
          <w:color w:val="auto"/>
        </w:rPr>
      </w:pPr>
    </w:p>
    <w:p>
      <w:pPr>
        <w:ind w:left="2140" w:hanging="835"/>
        <w:spacing w:after="0"/>
        <w:tabs>
          <w:tab w:leader="none" w:pos="2140" w:val="left"/>
        </w:tabs>
        <w:numPr>
          <w:ilvl w:val="1"/>
          <w:numId w:val="419"/>
        </w:numPr>
        <w:rPr>
          <w:rFonts w:ascii="Arial" w:cs="Arial" w:eastAsia="Arial" w:hAnsi="Arial"/>
          <w:sz w:val="20"/>
          <w:szCs w:val="20"/>
          <w:color w:val="auto"/>
        </w:rPr>
      </w:pPr>
      <w:r>
        <w:rPr>
          <w:rFonts w:ascii="Arial" w:cs="Arial" w:eastAsia="Arial" w:hAnsi="Arial"/>
          <w:sz w:val="20"/>
          <w:szCs w:val="20"/>
          <w:color w:val="auto"/>
        </w:rPr>
        <w:t>preparation of an up-to-date audited balance sheet of such Swiss Guarantor;</w:t>
      </w:r>
    </w:p>
    <w:p>
      <w:pPr>
        <w:spacing w:after="0" w:line="256" w:lineRule="exact"/>
        <w:rPr>
          <w:rFonts w:ascii="Arial" w:cs="Arial" w:eastAsia="Arial" w:hAnsi="Arial"/>
          <w:sz w:val="20"/>
          <w:szCs w:val="20"/>
          <w:color w:val="auto"/>
        </w:rPr>
      </w:pPr>
    </w:p>
    <w:p>
      <w:pPr>
        <w:ind w:left="660" w:firstLine="645"/>
        <w:spacing w:after="0" w:line="289" w:lineRule="auto"/>
        <w:tabs>
          <w:tab w:leader="none" w:pos="2198" w:val="left"/>
        </w:tabs>
        <w:numPr>
          <w:ilvl w:val="1"/>
          <w:numId w:val="419"/>
        </w:numPr>
        <w:rPr>
          <w:rFonts w:ascii="Arial" w:cs="Arial" w:eastAsia="Arial" w:hAnsi="Arial"/>
          <w:sz w:val="20"/>
          <w:szCs w:val="20"/>
          <w:color w:val="auto"/>
        </w:rPr>
      </w:pPr>
      <w:r>
        <w:rPr>
          <w:rFonts w:ascii="Arial" w:cs="Arial" w:eastAsia="Arial" w:hAnsi="Arial"/>
          <w:sz w:val="20"/>
          <w:szCs w:val="20"/>
          <w:color w:val="auto"/>
        </w:rPr>
        <w:t>confirmation of the auditors of such Swiss Guarantor that the relevant amount represents the maximum freely distributable profits;</w:t>
      </w:r>
    </w:p>
    <w:p>
      <w:pPr>
        <w:spacing w:after="0" w:line="188" w:lineRule="exact"/>
        <w:rPr>
          <w:rFonts w:ascii="Arial" w:cs="Arial" w:eastAsia="Arial" w:hAnsi="Arial"/>
          <w:sz w:val="20"/>
          <w:szCs w:val="20"/>
          <w:color w:val="auto"/>
        </w:rPr>
      </w:pPr>
    </w:p>
    <w:p>
      <w:pPr>
        <w:ind w:left="2240" w:hanging="935"/>
        <w:spacing w:after="0"/>
        <w:tabs>
          <w:tab w:leader="none" w:pos="2240" w:val="left"/>
        </w:tabs>
        <w:numPr>
          <w:ilvl w:val="1"/>
          <w:numId w:val="419"/>
        </w:numPr>
        <w:rPr>
          <w:rFonts w:ascii="Arial" w:cs="Arial" w:eastAsia="Arial" w:hAnsi="Arial"/>
          <w:sz w:val="20"/>
          <w:szCs w:val="20"/>
          <w:color w:val="auto"/>
        </w:rPr>
      </w:pPr>
      <w:r>
        <w:rPr>
          <w:rFonts w:ascii="Arial" w:cs="Arial" w:eastAsia="Arial" w:hAnsi="Arial"/>
          <w:sz w:val="20"/>
          <w:szCs w:val="20"/>
          <w:color w:val="auto"/>
        </w:rPr>
        <w:t>approval by a quotaholders’ meeting of such Swiss Guarantor of the resulting profit distribution; and</w:t>
      </w:r>
    </w:p>
    <w:p>
      <w:pPr>
        <w:spacing w:after="0" w:line="256" w:lineRule="exact"/>
        <w:rPr>
          <w:rFonts w:ascii="Arial" w:cs="Arial" w:eastAsia="Arial" w:hAnsi="Arial"/>
          <w:sz w:val="20"/>
          <w:szCs w:val="20"/>
          <w:color w:val="auto"/>
        </w:rPr>
      </w:pPr>
    </w:p>
    <w:p>
      <w:pPr>
        <w:jc w:val="both"/>
        <w:ind w:left="660" w:firstLine="645"/>
        <w:spacing w:after="0" w:line="299" w:lineRule="auto"/>
        <w:tabs>
          <w:tab w:leader="none" w:pos="2242" w:val="left"/>
        </w:tabs>
        <w:numPr>
          <w:ilvl w:val="1"/>
          <w:numId w:val="419"/>
        </w:numPr>
        <w:rPr>
          <w:rFonts w:ascii="Arial" w:cs="Arial" w:eastAsia="Arial" w:hAnsi="Arial"/>
          <w:sz w:val="19"/>
          <w:szCs w:val="19"/>
          <w:color w:val="auto"/>
        </w:rPr>
      </w:pPr>
      <w:r>
        <w:rPr>
          <w:rFonts w:ascii="Arial" w:cs="Arial" w:eastAsia="Arial" w:hAnsi="Arial"/>
          <w:sz w:val="19"/>
          <w:szCs w:val="19"/>
          <w:color w:val="auto"/>
        </w:rPr>
        <w:t>to the extent permitted by applicable law, write up any of the assets of the relevant Swiss Guarantor that are shown in its balance sheet with a book value that is significantly lower than the market value of the assets and provided that such write-up would not have materially adverse tax consequences for such Swiss Guarantor or any of its affiliates.</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(in accordance with the provisions of the Credit Agreement, any Swap Agreement evidencing Swap Obligations, any Banking Services Agreement or any other Loan Document, as applicable) of the time for payment of any amount payable by the Borrower under the Credit Agreement, or any counterparty under any Swap Agreement evidencing Swap Obligations, any Banking Services Agreement or any other Loan Document is stayed upon the insolvency, bankruptcy, administration or reorganization of the Borrower or any of such Borrower’s Affiliates, all such amounts otherwise subject to acceleration (but for such stay) under the terms of the Credit Agreement, any Swap Agreement evidencing Swap Obligations, any Banking Services Agreement or any other Loan Document shall nonetheless be payable by each of the Guarantors hereunder forthwith on demand by the Administrative Agent.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609" w:right="239" w:bottom="1440" w:gutter="0" w:footer="0" w:header="0"/>
        </w:sectPr>
      </w:pPr>
    </w:p>
    <w:bookmarkStart w:id="405" w:name="page406"/>
    <w:bookmarkEnd w:id="405"/>
    <w:p>
      <w:pPr>
        <w:jc w:val="both"/>
        <w:ind w:firstLine="648"/>
        <w:spacing w:after="0" w:line="244"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and other communications to any party hereunder shall be given in the manner prescribed in Section 11.02 of the Credit Agreement with respect to the Administrative Agent at its notice address therein and, with respect to any Guarantor, in the care of Weatherford International, LLC, as provided and at the notice address set forth in the Credit Agreement, or such other address or telecopy number as such party may hereafter specify for such purpose in accordance with the provisions of Section 11.02 of the Credit Agreement.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No Waivers</w:t>
      </w:r>
      <w:r>
        <w:rPr>
          <w:rFonts w:ascii="Arial" w:cs="Arial" w:eastAsia="Arial" w:hAnsi="Arial"/>
          <w:sz w:val="20"/>
          <w:szCs w:val="20"/>
          <w:color w:val="auto"/>
        </w:rPr>
        <w:t>. No failure or delay by the Administrative Agent or any Guaranteed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evidencing Swap Obligations, any Banking Services Agreement and the other Loan Documents shall be cumulative and not exclusive of any rights or remedies provided by law.</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Guaranty is for the benefit of the Administrative Agent and the Guaranteed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a transaction permitted pursuant to the Credit Agreement, no Guarantor shall have any right to assign its rights or obligations hereunder without the consent of the Administrative Agent, and any such assignment in violation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be null and void; and in the event of an assignment of any amounts payable under the Credit Agreement, any Swap Agreement evidencing Swap Obligations, any Banking Services Agreement or the other Loan Documents in accordance with the respective terms thereof, the rights hereunder, to the extent applicable to the indebtedness so assigned, shall be transferred with such indebtedness. This Guaranty shall be binding upon each of the Guarantors and their respective successors and assigns.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Changes in Writing</w:t>
      </w:r>
      <w:r>
        <w:rPr>
          <w:rFonts w:ascii="Arial" w:cs="Arial" w:eastAsia="Arial" w:hAnsi="Arial"/>
          <w:sz w:val="19"/>
          <w:szCs w:val="19"/>
          <w:color w:val="auto"/>
        </w:rPr>
        <w:t xml:space="preserve">. Other than in connection with the addition of additional Subsidiaries, which become parties hereto by executing a Guaranty Supplement hereto in the form attached as </w:t>
      </w:r>
      <w:r>
        <w:rPr>
          <w:rFonts w:ascii="Arial" w:cs="Arial" w:eastAsia="Arial" w:hAnsi="Arial"/>
          <w:sz w:val="19"/>
          <w:szCs w:val="19"/>
          <w:u w:val="single" w:color="auto"/>
          <w:color w:val="auto"/>
        </w:rPr>
        <w:t>Annex I</w:t>
      </w:r>
      <w:r>
        <w:rPr>
          <w:rFonts w:ascii="Arial" w:cs="Arial" w:eastAsia="Arial" w:hAnsi="Arial"/>
          <w:sz w:val="19"/>
          <w:szCs w:val="19"/>
          <w:color w:val="auto"/>
        </w:rPr>
        <w:t>, neither this Guaranty nor any provision hereof may be changed, waived, discharged or terminated orally, but only in writing signed by each of the Guarantors and the Administrative Agent (it being understood and agreed that any Guaranty Supplement providing for the addition of a Guarantor organized under the laws of a new Specified Jurisdiction may modify this Guaranty to incorporate any provisions specific to the applicable laws of such Specified Jurisdiction, as agreed to between such new Guarantor and the Administrative Agent).</w:t>
      </w:r>
    </w:p>
    <w:p>
      <w:pPr>
        <w:spacing w:after="0" w:line="19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3" w:lineRule="exact"/>
        <w:rPr>
          <w:sz w:val="20"/>
          <w:szCs w:val="20"/>
          <w:color w:val="auto"/>
        </w:rPr>
      </w:pPr>
    </w:p>
    <w:p>
      <w:pPr>
        <w:ind w:firstLine="656"/>
        <w:spacing w:after="0" w:line="267" w:lineRule="auto"/>
        <w:tabs>
          <w:tab w:leader="none" w:pos="1241" w:val="left"/>
        </w:tabs>
        <w:numPr>
          <w:ilvl w:val="0"/>
          <w:numId w:val="420"/>
        </w:numPr>
        <w:rPr>
          <w:rFonts w:ascii="Arial" w:cs="Arial" w:eastAsia="Arial" w:hAnsi="Arial"/>
          <w:sz w:val="20"/>
          <w:szCs w:val="20"/>
          <w:color w:val="auto"/>
        </w:rPr>
      </w:pPr>
      <w:r>
        <w:rPr>
          <w:rFonts w:ascii="Arial" w:cs="Arial" w:eastAsia="Arial" w:hAnsi="Arial"/>
          <w:sz w:val="20"/>
          <w:szCs w:val="20"/>
          <w:b w:val="1"/>
          <w:bCs w:val="1"/>
          <w:color w:val="auto"/>
        </w:rPr>
        <w:t>THIS GUARANTY, INCLUDING THE SUBMISSION TO JURISDICTION AS SET OUT HEREIN, SHALL BE CONSTRUED IN ACCORDANCE WITH AND GOVERNED BY THE LAW OF THE STATE OF NEW YORK.</w:t>
      </w:r>
    </w:p>
    <w:p>
      <w:pPr>
        <w:spacing w:after="0" w:line="183" w:lineRule="exact"/>
        <w:rPr>
          <w:rFonts w:ascii="Arial" w:cs="Arial" w:eastAsia="Arial" w:hAnsi="Arial"/>
          <w:sz w:val="20"/>
          <w:szCs w:val="20"/>
          <w:color w:val="auto"/>
        </w:rPr>
      </w:pPr>
    </w:p>
    <w:p>
      <w:pPr>
        <w:jc w:val="both"/>
        <w:ind w:firstLine="656"/>
        <w:spacing w:after="0" w:line="282" w:lineRule="auto"/>
        <w:tabs>
          <w:tab w:leader="none" w:pos="109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If a Guarantor incorporated under the laws of the Netherlands is represented by an attorney in connection with the signing and/or execution of this Guaranty or any other agreement, deed or document referred to in or made pursuant to this Guaranty, it is hereby expressly acknowledged and accepted by the other parties to this Guaranty that the existence and extent of the attorney’s authority and the effects of the attorney’s exercise or purported exercise of his or her authority shall be governed by the laws of the Netherlands.</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14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Each Guarantor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595" w:right="239" w:bottom="1440" w:gutter="0" w:footer="0" w:header="0"/>
        </w:sectPr>
      </w:pPr>
    </w:p>
    <w:bookmarkStart w:id="406" w:name="page407"/>
    <w:bookmarkEnd w:id="406"/>
    <w:p>
      <w:pPr>
        <w:jc w:val="both"/>
        <w:spacing w:after="0" w:line="274" w:lineRule="auto"/>
        <w:rPr>
          <w:sz w:val="20"/>
          <w:szCs w:val="20"/>
          <w:color w:val="auto"/>
        </w:rPr>
      </w:pPr>
      <w:r>
        <w:rPr>
          <w:rFonts w:ascii="Arial" w:cs="Arial" w:eastAsia="Arial" w:hAnsi="Arial"/>
          <w:sz w:val="18"/>
          <w:szCs w:val="18"/>
          <w:color w:val="auto"/>
        </w:rPr>
        <w:t xml:space="preserve">and any appellate court from any thereof, in any suit, action or proceeding arising out of or relating to this Guaranty or any other Loan Document, or for recognition or enforcement of any judgment, and each Guarantor hereby irrevocably and unconditionally agrees that all claims in respect of any such action or proceeding may be heard and determined in such New York State court or, to the extent permitted by law, in such Federal court. Each party hereto agrees that a final, non-appealable judgment in any such action or proceeding shall be conclusive and may be enforced in other jurisdictions by suit on the judgment or in any other manner provided by law. Nothing in this Guaranty or any other Loan Document (including this </w:t>
      </w:r>
      <w:r>
        <w:rPr>
          <w:rFonts w:ascii="Arial" w:cs="Arial" w:eastAsia="Arial" w:hAnsi="Arial"/>
          <w:sz w:val="18"/>
          <w:szCs w:val="18"/>
          <w:u w:val="single" w:color="auto"/>
          <w:color w:val="auto"/>
        </w:rPr>
        <w:t>Section 17</w:t>
      </w:r>
      <w:r>
        <w:rPr>
          <w:rFonts w:ascii="Arial" w:cs="Arial" w:eastAsia="Arial" w:hAnsi="Arial"/>
          <w:sz w:val="18"/>
          <w:szCs w:val="18"/>
          <w:color w:val="auto"/>
        </w:rPr>
        <w:t>) shall affect any right that any Guaranteed Party may otherwise have to bring any suit, action or proceeding relating to this Guaranty or any other Loan Document against any Guarantor or its properties in the courts of any jurisdiction.</w:t>
      </w:r>
    </w:p>
    <w:p>
      <w:pPr>
        <w:spacing w:after="0" w:line="196" w:lineRule="exact"/>
        <w:rPr>
          <w:sz w:val="20"/>
          <w:szCs w:val="20"/>
          <w:color w:val="auto"/>
        </w:rPr>
      </w:pPr>
    </w:p>
    <w:p>
      <w:pPr>
        <w:jc w:val="both"/>
        <w:ind w:firstLine="656"/>
        <w:spacing w:after="0" w:line="314" w:lineRule="auto"/>
        <w:tabs>
          <w:tab w:leader="none" w:pos="159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Guarantor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(c) of this Section. Each Guarantor hereby irrevocably waives, to the fullest extent permitted by law, the defense of an inconvenient forum to the maintenance of such action or proceeding in any such court.</w:t>
      </w:r>
    </w:p>
    <w:p>
      <w:pPr>
        <w:spacing w:after="0" w:line="172" w:lineRule="exact"/>
        <w:rPr>
          <w:rFonts w:ascii="Arial" w:cs="Arial" w:eastAsia="Arial" w:hAnsi="Arial"/>
          <w:sz w:val="18"/>
          <w:szCs w:val="18"/>
          <w:color w:val="auto"/>
        </w:rPr>
      </w:pPr>
    </w:p>
    <w:p>
      <w:pPr>
        <w:jc w:val="both"/>
        <w:ind w:firstLine="656"/>
        <w:spacing w:after="0" w:line="271" w:lineRule="auto"/>
        <w:tabs>
          <w:tab w:leader="none" w:pos="1576" w:val="left"/>
        </w:tabs>
        <w:numPr>
          <w:ilvl w:val="0"/>
          <w:numId w:val="421"/>
        </w:numPr>
        <w:rPr>
          <w:rFonts w:ascii="Arial" w:cs="Arial" w:eastAsia="Arial" w:hAnsi="Arial"/>
          <w:sz w:val="20"/>
          <w:szCs w:val="20"/>
          <w:color w:val="auto"/>
        </w:rPr>
      </w:pPr>
      <w:r>
        <w:rPr>
          <w:rFonts w:ascii="Arial" w:cs="Arial" w:eastAsia="Arial" w:hAnsi="Arial"/>
          <w:sz w:val="20"/>
          <w:szCs w:val="20"/>
          <w:color w:val="auto"/>
        </w:rPr>
        <w:t xml:space="preserve">Each party to this Guaranty irrevocably consents to service of process in the manner provided for notices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this Guaranty other than by facsimile, and each Guarantor (i) that is a domestic Obligor hereby appoints Weatherford International, LLC as its agent for service of process and (ii) that is a foreign Obligor hereby irrevocably designates CT Corporation System, 111 8th Avenue, New York, New York 10011, as the designee, appointee and agent of such foreign Obligor to receive, for and on behalf of such foreign Obligor, service of process in the State of New York, in each case in any suit, action or proceeding arising out of or relating to this Guaranty or any other Loan Document. Nothing in this Guaranty or any other Loan Document will affect the right of any party to this Guaranty to serve process in any other manner permitted by law.</w:t>
      </w:r>
    </w:p>
    <w:p>
      <w:pPr>
        <w:spacing w:after="0" w:line="207" w:lineRule="exact"/>
        <w:rPr>
          <w:rFonts w:ascii="Arial" w:cs="Arial" w:eastAsia="Arial" w:hAnsi="Arial"/>
          <w:sz w:val="20"/>
          <w:szCs w:val="20"/>
          <w:color w:val="auto"/>
        </w:rPr>
      </w:pPr>
    </w:p>
    <w:p>
      <w:pPr>
        <w:jc w:val="both"/>
        <w:ind w:firstLine="656"/>
        <w:spacing w:after="0" w:line="273" w:lineRule="auto"/>
        <w:tabs>
          <w:tab w:leader="none" w:pos="1553" w:val="left"/>
        </w:tabs>
        <w:numPr>
          <w:ilvl w:val="0"/>
          <w:numId w:val="421"/>
        </w:numPr>
        <w:rPr>
          <w:rFonts w:ascii="Arial" w:cs="Arial" w:eastAsia="Arial" w:hAnsi="Arial"/>
          <w:sz w:val="20"/>
          <w:szCs w:val="20"/>
          <w:color w:val="auto"/>
        </w:rPr>
      </w:pPr>
      <w:r>
        <w:rPr>
          <w:rFonts w:ascii="Arial" w:cs="Arial" w:eastAsia="Arial" w:hAnsi="Arial"/>
          <w:sz w:val="20"/>
          <w:szCs w:val="20"/>
          <w:color w:val="auto"/>
        </w:rPr>
        <w:t>Each Guarantor agrees that any suit, action or proceeding brought by any Guarantor or any of their respective Subsidiaries relating to this Guaranty or any other Loan Document against any Guaranteed Party or any Affiliate of a Guaranteed Party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204" w:lineRule="exact"/>
        <w:rPr>
          <w:rFonts w:ascii="Arial" w:cs="Arial" w:eastAsia="Arial" w:hAnsi="Arial"/>
          <w:sz w:val="20"/>
          <w:szCs w:val="20"/>
          <w:color w:val="auto"/>
        </w:rPr>
      </w:pPr>
    </w:p>
    <w:p>
      <w:pPr>
        <w:jc w:val="both"/>
        <w:ind w:firstLine="656"/>
        <w:spacing w:after="0" w:line="286" w:lineRule="auto"/>
        <w:tabs>
          <w:tab w:leader="none" w:pos="1527" w:val="left"/>
        </w:tabs>
        <w:numPr>
          <w:ilvl w:val="0"/>
          <w:numId w:val="421"/>
        </w:numPr>
        <w:rPr>
          <w:rFonts w:ascii="Arial" w:cs="Arial" w:eastAsia="Arial" w:hAnsi="Arial"/>
          <w:sz w:val="19"/>
          <w:szCs w:val="19"/>
          <w:color w:val="auto"/>
        </w:rPr>
      </w:pPr>
      <w:r>
        <w:rPr>
          <w:rFonts w:ascii="Arial" w:cs="Arial" w:eastAsia="Arial" w:hAnsi="Arial"/>
          <w:sz w:val="19"/>
          <w:szCs w:val="19"/>
          <w:color w:val="auto"/>
        </w:rPr>
        <w:t>The Administrative Agent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Guaranty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99" w:lineRule="exact"/>
        <w:rPr>
          <w:rFonts w:ascii="Arial" w:cs="Arial" w:eastAsia="Arial" w:hAnsi="Arial"/>
          <w:sz w:val="19"/>
          <w:szCs w:val="19"/>
          <w:color w:val="auto"/>
        </w:rPr>
      </w:pPr>
    </w:p>
    <w:p>
      <w:pPr>
        <w:jc w:val="both"/>
        <w:ind w:firstLine="656"/>
        <w:spacing w:after="0" w:line="274" w:lineRule="auto"/>
        <w:tabs>
          <w:tab w:leader="none" w:pos="1527" w:val="left"/>
        </w:tabs>
        <w:numPr>
          <w:ilvl w:val="0"/>
          <w:numId w:val="421"/>
        </w:numPr>
        <w:rPr>
          <w:rFonts w:ascii="Arial" w:cs="Arial" w:eastAsia="Arial" w:hAnsi="Arial"/>
          <w:sz w:val="20"/>
          <w:szCs w:val="20"/>
          <w:color w:val="auto"/>
        </w:rPr>
      </w:pPr>
      <w:r>
        <w:rPr>
          <w:rFonts w:ascii="Arial" w:cs="Arial" w:eastAsia="Arial" w:hAnsi="Arial"/>
          <w:sz w:val="20"/>
          <w:szCs w:val="20"/>
          <w:color w:val="auto"/>
        </w:rPr>
        <w:t>The Administrative Agent hereby irrevocably and unconditionally waives, to the fullest extent it may legally and effectively do so, any objection which it may now or hereafter have to the laying of venue of any suit, action or proceeding arising out of or relating to this Guaranty or any other Loan Document in any court referred to in paragraph (f) of this Section. The Administrative Agent hereby irrevocably waives, to the fullest extent permitted</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407" w:name="page408"/>
    <w:bookmarkEnd w:id="407"/>
    <w:p>
      <w:pPr>
        <w:spacing w:after="0"/>
        <w:rPr>
          <w:sz w:val="20"/>
          <w:szCs w:val="20"/>
          <w:color w:val="auto"/>
        </w:rPr>
      </w:pPr>
      <w:r>
        <w:rPr>
          <w:rFonts w:ascii="Arial" w:cs="Arial" w:eastAsia="Arial" w:hAnsi="Arial"/>
          <w:sz w:val="20"/>
          <w:szCs w:val="20"/>
          <w:color w:val="auto"/>
        </w:rPr>
        <w:t>by law, the defense of an inconvenient forum to the maintenance of such action or proceeding in any such court</w:t>
      </w:r>
    </w:p>
    <w:p>
      <w:pPr>
        <w:spacing w:after="0" w:line="243" w:lineRule="exact"/>
        <w:rPr>
          <w:sz w:val="20"/>
          <w:szCs w:val="20"/>
          <w:color w:val="auto"/>
        </w:rPr>
      </w:pPr>
    </w:p>
    <w:p>
      <w:pPr>
        <w:jc w:val="both"/>
        <w:ind w:firstLine="656"/>
        <w:spacing w:after="0" w:line="274" w:lineRule="auto"/>
        <w:tabs>
          <w:tab w:leader="none" w:pos="1483" w:val="left"/>
        </w:tabs>
        <w:numPr>
          <w:ilvl w:val="0"/>
          <w:numId w:val="422"/>
        </w:numPr>
        <w:rPr>
          <w:rFonts w:ascii="Arial" w:cs="Arial" w:eastAsia="Arial" w:hAnsi="Arial"/>
          <w:sz w:val="20"/>
          <w:szCs w:val="20"/>
          <w:color w:val="auto"/>
        </w:rPr>
      </w:pPr>
      <w:r>
        <w:rPr>
          <w:rFonts w:ascii="Arial" w:cs="Arial" w:eastAsia="Arial" w:hAnsi="Arial"/>
          <w:sz w:val="20"/>
          <w:szCs w:val="20"/>
          <w:color w:val="auto"/>
        </w:rPr>
        <w:t>To the extent that any Guarantor has or hereafter may acquire any immunity from jurisdiction of any court or from set-off or any legal process (whether through service or notice, attachment prior to judgment, attachment in aid of execution, execution or otherwise) with respect to itself or its property, such Guarantor hereby irrevocably waives such immunity in respect of its obligations under the Loan Documents.</w:t>
      </w:r>
    </w:p>
    <w:p>
      <w:pPr>
        <w:spacing w:after="0" w:line="199" w:lineRule="exact"/>
        <w:rPr>
          <w:rFonts w:ascii="Arial" w:cs="Arial" w:eastAsia="Arial" w:hAnsi="Arial"/>
          <w:sz w:val="20"/>
          <w:szCs w:val="20"/>
          <w:color w:val="auto"/>
        </w:rPr>
      </w:pPr>
    </w:p>
    <w:p>
      <w:pPr>
        <w:jc w:val="both"/>
        <w:ind w:firstLine="656"/>
        <w:spacing w:after="0" w:line="271" w:lineRule="auto"/>
        <w:tabs>
          <w:tab w:leader="none" w:pos="1466" w:val="left"/>
        </w:tabs>
        <w:numPr>
          <w:ilvl w:val="0"/>
          <w:numId w:val="422"/>
        </w:numPr>
        <w:rPr>
          <w:rFonts w:ascii="Arial" w:cs="Arial" w:eastAsia="Arial" w:hAnsi="Arial"/>
          <w:sz w:val="18"/>
          <w:szCs w:val="18"/>
          <w:color w:val="auto"/>
        </w:rPr>
      </w:pPr>
      <w:r>
        <w:rPr>
          <w:rFonts w:ascii="Arial" w:cs="Arial" w:eastAsia="Arial" w:hAnsi="Arial"/>
          <w:sz w:val="20"/>
          <w:szCs w:val="20"/>
          <w:b w:val="1"/>
          <w:bCs w:val="1"/>
          <w:color w:val="auto"/>
        </w:rPr>
        <w:t>EACH PARTY HERETO HEREBY WAIVES, TO THE FULLEST EXTENT PERMITTED BY APPLICABLE LAW, ANY RIGHT IT MAY HAVE TO A TRIAL BY JURY IN ANY LEGAL PROCEEDING DIRECTLY OR INDIRECTLY ARISING OUT OF OR RELATING TO THIS GUARANTY,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AND THE OTHER LOAN DOCUMENTS BY, AMONG OTHER THINGS, THE MUTUAL WAIVERS AND CERTIFICATIONS IN THIS SECTION.</w:t>
      </w:r>
    </w:p>
    <w:p>
      <w:pPr>
        <w:spacing w:after="0" w:line="19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 Guaranty. In 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2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6"/>
          <w:szCs w:val="16"/>
          <w:u w:val="single" w:color="auto"/>
          <w:color w:val="auto"/>
        </w:rPr>
        <w:t>Taxes, Expenses of Enforcement, Etc.</w:t>
      </w:r>
    </w:p>
    <w:p>
      <w:pPr>
        <w:spacing w:after="0" w:line="229" w:lineRule="exact"/>
        <w:rPr>
          <w:sz w:val="20"/>
          <w:szCs w:val="20"/>
          <w:color w:val="auto"/>
        </w:rPr>
      </w:pPr>
    </w:p>
    <w:p>
      <w:pPr>
        <w:ind w:left="1080" w:hanging="424"/>
        <w:spacing w:after="0"/>
        <w:tabs>
          <w:tab w:leader="none" w:pos="1080" w:val="left"/>
        </w:tabs>
        <w:numPr>
          <w:ilvl w:val="0"/>
          <w:numId w:val="423"/>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71" w:lineRule="auto"/>
        <w:tabs>
          <w:tab w:leader="none" w:pos="2143" w:val="left"/>
        </w:tabs>
        <w:numPr>
          <w:ilvl w:val="1"/>
          <w:numId w:val="423"/>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 Guarantor hereunder or under any promissory note shall be made free and clear of and without deduction for any Indemnified Taxes or Other Taxes;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Guarantor shall be required to deduct any Indemnified Taxes or Other Taxes from such payments, then (A) the sum payable shall be increased as necessary so that after making all required deductions (including deductions applicable to additional sums payable under this Section) the Recipient receives an amount equal to the sum it would have received had no such deductions been made, (B) such Guarantor shall make such deductions and (C) such Guarantor shall pay the full amount deducted to the relevant Governmental Authority in accordance with applicable law.</w:t>
      </w:r>
    </w:p>
    <w:p>
      <w:pPr>
        <w:spacing w:after="0" w:line="207" w:lineRule="exact"/>
        <w:rPr>
          <w:rFonts w:ascii="Arial" w:cs="Arial" w:eastAsia="Arial" w:hAnsi="Arial"/>
          <w:sz w:val="20"/>
          <w:szCs w:val="20"/>
          <w:color w:val="auto"/>
        </w:rPr>
      </w:pPr>
    </w:p>
    <w:p>
      <w:pPr>
        <w:jc w:val="both"/>
        <w:ind w:left="660" w:firstLine="645"/>
        <w:spacing w:after="0" w:line="274" w:lineRule="auto"/>
        <w:tabs>
          <w:tab w:leader="none" w:pos="2198" w:val="left"/>
        </w:tabs>
        <w:numPr>
          <w:ilvl w:val="1"/>
          <w:numId w:val="423"/>
        </w:numPr>
        <w:rPr>
          <w:rFonts w:ascii="Arial" w:cs="Arial" w:eastAsia="Arial" w:hAnsi="Arial"/>
          <w:sz w:val="20"/>
          <w:szCs w:val="20"/>
          <w:color w:val="auto"/>
        </w:rPr>
      </w:pPr>
      <w:r>
        <w:rPr>
          <w:rFonts w:ascii="Arial" w:cs="Arial" w:eastAsia="Arial" w:hAnsi="Arial"/>
          <w:sz w:val="20"/>
          <w:szCs w:val="20"/>
          <w:color w:val="auto"/>
        </w:rPr>
        <w:t>As soon as practical after any payment of Indemnified or Other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5" w:lineRule="exact"/>
        <w:rPr>
          <w:rFonts w:ascii="Arial" w:cs="Arial" w:eastAsia="Arial" w:hAnsi="Arial"/>
          <w:sz w:val="20"/>
          <w:szCs w:val="20"/>
          <w:color w:val="auto"/>
        </w:rPr>
      </w:pPr>
    </w:p>
    <w:p>
      <w:pPr>
        <w:ind w:left="660" w:right="20" w:firstLine="645"/>
        <w:spacing w:after="0" w:line="289" w:lineRule="auto"/>
        <w:tabs>
          <w:tab w:leader="none" w:pos="2253" w:val="left"/>
        </w:tabs>
        <w:numPr>
          <w:ilvl w:val="1"/>
          <w:numId w:val="423"/>
        </w:numPr>
        <w:rPr>
          <w:rFonts w:ascii="Arial" w:cs="Arial" w:eastAsia="Arial" w:hAnsi="Arial"/>
          <w:sz w:val="20"/>
          <w:szCs w:val="20"/>
          <w:color w:val="auto"/>
        </w:rPr>
      </w:pPr>
      <w:r>
        <w:rPr>
          <w:rFonts w:ascii="Arial" w:cs="Arial" w:eastAsia="Arial" w:hAnsi="Arial"/>
          <w:sz w:val="20"/>
          <w:szCs w:val="20"/>
          <w:color w:val="auto"/>
        </w:rPr>
        <w:t>The Guarantors, jointly and severally, shall indemnify the each Recipient, within twenty (20) days after written demand therefor, for the full amount of any Indemnified Taxes or Other Taxes paid by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5" w:right="239" w:bottom="1440" w:gutter="0" w:footer="0" w:header="0"/>
        </w:sectPr>
      </w:pPr>
    </w:p>
    <w:bookmarkStart w:id="408" w:name="page409"/>
    <w:bookmarkEnd w:id="408"/>
    <w:p>
      <w:pPr>
        <w:jc w:val="both"/>
        <w:ind w:left="660"/>
        <w:spacing w:after="0" w:line="274" w:lineRule="auto"/>
        <w:rPr>
          <w:sz w:val="20"/>
          <w:szCs w:val="20"/>
          <w:color w:val="auto"/>
        </w:rPr>
      </w:pPr>
      <w:r>
        <w:rPr>
          <w:rFonts w:ascii="Arial" w:cs="Arial" w:eastAsia="Arial" w:hAnsi="Arial"/>
          <w:sz w:val="18"/>
          <w:szCs w:val="18"/>
          <w:color w:val="auto"/>
        </w:rPr>
        <w:t xml:space="preserve">such Recipient on or with respect to any payment by or on account of any obligation of a Guarantor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Guarantors shall not be liable for any penalties, interest or expenses that result from the failure of the Recipient to notify the Guarantors of the Indemnified Taxes or Other Taxes within a reasonable period of time after becoming aware of such Indemnified or Other Taxes. A certificate as to the amount of such payment or liability delivered to the Guarantors by a Recipient shall be presumed correct absent manifest error.</w:t>
      </w:r>
    </w:p>
    <w:p>
      <w:pPr>
        <w:spacing w:after="0" w:line="196" w:lineRule="exact"/>
        <w:rPr>
          <w:sz w:val="20"/>
          <w:szCs w:val="20"/>
          <w:color w:val="auto"/>
        </w:rPr>
      </w:pPr>
    </w:p>
    <w:p>
      <w:pPr>
        <w:ind w:left="660" w:firstLine="645"/>
        <w:spacing w:after="0" w:line="289" w:lineRule="auto"/>
        <w:tabs>
          <w:tab w:leader="none" w:pos="2242" w:val="left"/>
        </w:tabs>
        <w:numPr>
          <w:ilvl w:val="1"/>
          <w:numId w:val="424"/>
        </w:numPr>
        <w:rPr>
          <w:rFonts w:ascii="Arial" w:cs="Arial" w:eastAsia="Arial" w:hAnsi="Arial"/>
          <w:sz w:val="20"/>
          <w:szCs w:val="20"/>
          <w:color w:val="auto"/>
        </w:rPr>
      </w:pPr>
      <w:r>
        <w:rPr>
          <w:rFonts w:ascii="Arial" w:cs="Arial" w:eastAsia="Arial" w:hAnsi="Arial"/>
          <w:sz w:val="20"/>
          <w:szCs w:val="20"/>
          <w:color w:val="auto"/>
        </w:rPr>
        <w:t>By accepting the benefits hereof, each Recipient agrees that it will comply with Section 4.02 of the Credit Agreement as if it were a Lender.</w:t>
      </w:r>
    </w:p>
    <w:p>
      <w:pPr>
        <w:spacing w:after="0" w:line="188" w:lineRule="exact"/>
        <w:rPr>
          <w:rFonts w:ascii="Arial" w:cs="Arial" w:eastAsia="Arial" w:hAnsi="Arial"/>
          <w:sz w:val="20"/>
          <w:szCs w:val="20"/>
          <w:color w:val="auto"/>
        </w:rPr>
      </w:pPr>
    </w:p>
    <w:p>
      <w:pPr>
        <w:jc w:val="both"/>
        <w:ind w:left="660" w:firstLine="645"/>
        <w:spacing w:after="0" w:line="285" w:lineRule="auto"/>
        <w:tabs>
          <w:tab w:leader="none" w:pos="2187" w:val="left"/>
        </w:tabs>
        <w:numPr>
          <w:ilvl w:val="1"/>
          <w:numId w:val="424"/>
        </w:numPr>
        <w:rPr>
          <w:rFonts w:ascii="Arial" w:cs="Arial" w:eastAsia="Arial" w:hAnsi="Arial"/>
          <w:sz w:val="19"/>
          <w:szCs w:val="19"/>
          <w:color w:val="auto"/>
        </w:rPr>
      </w:pPr>
      <w:r>
        <w:rPr>
          <w:rFonts w:ascii="Arial" w:cs="Arial" w:eastAsia="Arial" w:hAnsi="Arial"/>
          <w:sz w:val="19"/>
          <w:szCs w:val="19"/>
          <w:color w:val="auto"/>
        </w:rPr>
        <w:t>If the Administrative Agent or a Recipient determines, in its sole discretion, that it has received a refund of any Taxes paid by a Guarantor or with respect to which such Guarantor has paid additional amounts pursuant to this Section 19, it shall pay over such refund to the Guarantor (but only to the extent of indemnity payments made, or additional amounts paid, by the Guarantor under this Section 19 with respect to the Taxes giving rise to such refund), net of all out-of-pocket expenses of the Administrative Agent or such Recipient and without interest (other than any interest paid by the relevant Governmental Authority with respect to such refund); provided that the Guarantor, upon the request of the Administrative Agent or such Recipient, agrees to repay promptly the amount paid over to the Guarantor (plus any penalties, interest or other charges imposed by the relevant Governmental Authority with respect to such amount) to the Administrative Agent or such Recipient in the event the Administrative Agent or such Recipient is required to repay such refund to such Governmental Authority. This Section shall not be construed to require the Administrative Agent or any Recipient to make available its Tax returns (or any other information relating to its Taxes which it deems confidential) to the Guarantor or any other Person.</w:t>
      </w:r>
    </w:p>
    <w:p>
      <w:pPr>
        <w:spacing w:after="0" w:line="184" w:lineRule="exact"/>
        <w:rPr>
          <w:rFonts w:ascii="Arial" w:cs="Arial" w:eastAsia="Arial" w:hAnsi="Arial"/>
          <w:sz w:val="19"/>
          <w:szCs w:val="19"/>
          <w:color w:val="auto"/>
        </w:rPr>
      </w:pPr>
    </w:p>
    <w:p>
      <w:pPr>
        <w:jc w:val="both"/>
        <w:ind w:firstLine="656"/>
        <w:spacing w:after="0" w:line="260" w:lineRule="auto"/>
        <w:tabs>
          <w:tab w:leader="none" w:pos="1090" w:val="left"/>
        </w:tabs>
        <w:numPr>
          <w:ilvl w:val="0"/>
          <w:numId w:val="425"/>
        </w:numPr>
        <w:rPr>
          <w:rFonts w:ascii="Arial" w:cs="Arial" w:eastAsia="Arial" w:hAnsi="Arial"/>
          <w:sz w:val="19"/>
          <w:szCs w:val="19"/>
          <w:color w:val="auto"/>
        </w:rPr>
      </w:pPr>
      <w:r>
        <w:rPr>
          <w:rFonts w:ascii="Arial" w:cs="Arial" w:eastAsia="Arial" w:hAnsi="Arial"/>
          <w:sz w:val="19"/>
          <w:szCs w:val="19"/>
          <w:u w:val="single" w:color="auto"/>
          <w:color w:val="auto"/>
        </w:rPr>
        <w:t>Expenses of Enforcement, Etc</w:t>
      </w:r>
      <w:r>
        <w:rPr>
          <w:rFonts w:ascii="Arial" w:cs="Arial" w:eastAsia="Arial" w:hAnsi="Arial"/>
          <w:sz w:val="19"/>
          <w:szCs w:val="19"/>
          <w:color w:val="auto"/>
        </w:rPr>
        <w:t>. The Guarantors agree to reimburse the Administrative Agent and the other Guaranteed Parties for any reasonable and documented costs and out-of-pocket expenses (including attorneys’ fees) paid or incurred by the Administrative Agent or any other Guaranteed Party in connection with the collection and enforcement of amounts due under the Loan Documents, including without limitation this Guaranty, to the extent such costs and expenses are reimbursable pursuant to the terms of Section 11.03 of the Credit Agreement unless otherwise agreed in accordance with the terms of the Loan Documents.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20. </w:t>
      </w:r>
      <w:r>
        <w:rPr>
          <w:rFonts w:ascii="Arial" w:cs="Arial" w:eastAsia="Arial" w:hAnsi="Arial"/>
          <w:sz w:val="19"/>
          <w:szCs w:val="19"/>
          <w:u w:val="single" w:color="auto"/>
          <w:color w:val="auto"/>
        </w:rPr>
        <w:t>Setoff</w:t>
      </w:r>
      <w:r>
        <w:rPr>
          <w:rFonts w:ascii="Arial" w:cs="Arial" w:eastAsia="Arial" w:hAnsi="Arial"/>
          <w:sz w:val="19"/>
          <w:szCs w:val="19"/>
          <w:color w:val="auto"/>
        </w:rPr>
        <w:t>. If an Event of Default shall have occurred and be continuing and all or any part of the Guaranteed Obligations have become due and payable (by acceleration or otherwise), each Credit Party and the Administrative Agent may, without notice to any Guarantor and regardless of the acceptance of any security or collateral for the payment hereof, set off and apply toward the payment of all or any part of the Guaranteed Obligations any and all deposits (general or special, time or demand, provisional or final and in whatever currency denominated at any time held) and other obligations at any time owing by such Guaranteed Party or the Administrative Agent or any of their Affiliates to or for the credit or the account of any Guarantor against any of and all the Guaranteed Obligations, irrespective of whether or not such Guaranteed Party or the Administrative Agent shall have made any demand under this Guaranty. The rights of each Guaranteed Party or the Administrative Agent under this Section are in addition to other rights and remedies (including other rights of setoff) which such Guaranteed Party or the Administrative Agent may have.</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5" w:right="239" w:bottom="1440" w:gutter="0" w:footer="0" w:header="0"/>
        </w:sectPr>
      </w:pPr>
    </w:p>
    <w:bookmarkStart w:id="409" w:name="page410"/>
    <w:bookmarkEnd w:id="409"/>
    <w:p>
      <w:pPr>
        <w:jc w:val="both"/>
        <w:ind w:firstLine="648"/>
        <w:spacing w:after="0" w:line="256"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Each Guarantor hereby assumes responsibility for keeping itself informed of the financial condition of the Borrower, the other Guarantors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Guaranteed Parties or the Administrative Agent shall have any duty to advise such Guarantor of information known to any of them regarding such condition or any such circumstances. In the event any Guaranteed Party or the Administrative Agent, in its sole discretion, undertakes at any time or from time to time to provide any such information to a Guarantor, such Guaranteed Party or the Administrative Agent shall be under no obligation (i) to undertake any investigation not a part of its regular business routine, (ii) to disclose any information which such Guaranteed Party or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2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Merger</w:t>
      </w:r>
      <w:r>
        <w:rPr>
          <w:rFonts w:ascii="Arial" w:cs="Arial" w:eastAsia="Arial" w:hAnsi="Arial"/>
          <w:sz w:val="18"/>
          <w:szCs w:val="18"/>
          <w:color w:val="auto"/>
        </w:rPr>
        <w:t>. This Guaranty and the other Loan Documents constitute the entire contract among the parties relating to the subject matter hereof and supersede any and all previous agreements and understandings, oral or written, relating to the subject matter hereof.</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Guaranty are for convenience of reference only and shall not govern the interpretation of any provision of this Guaranty.</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The obligation of each Guarantor to make payments on any Obligation to the Lenders or to the Administrative Agent hereunder in any currency (the “</w:t>
      </w:r>
      <w:r>
        <w:rPr>
          <w:rFonts w:ascii="Arial" w:cs="Arial" w:eastAsia="Arial" w:hAnsi="Arial"/>
          <w:sz w:val="18"/>
          <w:szCs w:val="18"/>
          <w:u w:val="single" w:color="auto"/>
          <w:color w:val="auto"/>
        </w:rPr>
        <w:t>first currency</w:t>
      </w:r>
      <w:r>
        <w:rPr>
          <w:rFonts w:ascii="Arial" w:cs="Arial" w:eastAsia="Arial" w:hAnsi="Arial"/>
          <w:sz w:val="18"/>
          <w:szCs w:val="18"/>
          <w:color w:val="auto"/>
        </w:rPr>
        <w:t>”) is of the essence and shall not be discharged or satisfied by any tender or recovery pursuant to any judgment expressed in or converted into any other currency (the “</w:t>
      </w:r>
      <w:r>
        <w:rPr>
          <w:rFonts w:ascii="Arial" w:cs="Arial" w:eastAsia="Arial" w:hAnsi="Arial"/>
          <w:sz w:val="18"/>
          <w:szCs w:val="18"/>
          <w:u w:val="single" w:color="auto"/>
          <w:color w:val="auto"/>
        </w:rPr>
        <w:t>second currency</w:t>
      </w:r>
      <w:r>
        <w:rPr>
          <w:rFonts w:ascii="Arial" w:cs="Arial" w:eastAsia="Arial" w:hAnsi="Arial"/>
          <w:sz w:val="18"/>
          <w:szCs w:val="18"/>
          <w:color w:val="auto"/>
        </w:rPr>
        <w:t>”) except to the extent to which such tender or recovery shall result in the effective receipt by the applicable Lender or the Administrative Agent of the full amount of the first currency payable, and accordingly the primary obligation of each Guarantor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Keepwell</w:t>
      </w:r>
      <w:r>
        <w:rPr>
          <w:rFonts w:ascii="Arial" w:cs="Arial" w:eastAsia="Arial" w:hAnsi="Arial"/>
          <w:sz w:val="19"/>
          <w:szCs w:val="19"/>
          <w:color w:val="auto"/>
        </w:rPr>
        <w:t xml:space="preserve">. Each Qualified ECP Guarantor (as defined below) hereby jointly and severally absolutely, unconditionally and irrevocably undertakes to provide such funds or other support as may be needed from time to time by each other Guarantor to honor all of its obligations under this Guaranty in respect of Specified Swap Obligations (provided, however, that each Qualified ECP Guarantor shall only be liable under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be deemed to constitute, a “keepwell, support, or other agreement” for the benefit of each</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596" w:right="239" w:bottom="1440" w:gutter="0" w:footer="0" w:header="0"/>
        </w:sectPr>
      </w:pPr>
    </w:p>
    <w:bookmarkStart w:id="410" w:name="page411"/>
    <w:bookmarkEnd w:id="410"/>
    <w:p>
      <w:pPr>
        <w:jc w:val="both"/>
        <w:spacing w:after="0" w:line="244" w:lineRule="auto"/>
        <w:rPr>
          <w:sz w:val="20"/>
          <w:szCs w:val="20"/>
          <w:color w:val="auto"/>
        </w:rPr>
      </w:pPr>
      <w:r>
        <w:rPr>
          <w:rFonts w:ascii="Arial" w:cs="Arial" w:eastAsia="Arial" w:hAnsi="Arial"/>
          <w:sz w:val="20"/>
          <w:szCs w:val="20"/>
          <w:color w:val="auto"/>
        </w:rPr>
        <w:t>other Guarantor for all purposes of Section 1a(18)(A)(v)(II) of the Commodity Exchange Act. As used herein, “</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Counterparts</w:t>
      </w:r>
      <w:r>
        <w:rPr>
          <w:rFonts w:ascii="Arial" w:cs="Arial" w:eastAsia="Arial" w:hAnsi="Arial"/>
          <w:sz w:val="19"/>
          <w:szCs w:val="19"/>
          <w:color w:val="auto"/>
        </w:rPr>
        <w:t>. This Guaranty may be executed in counterparts (and by different parties hereto in different counterparts), each of which shall constitute an original, but all of which when taken together shall constitute a single contract. Delivery of an executed counterpart of a signature page of this Guaranty by telecopy, e-mailed .pdf or any other electronic means that reproduces an image of the actual executed signature page shall be effective as delivery of a manually executed counterpart of this Guaranty. The words “execution,” “signed,” “signature,” “delivery,” and words of like import in or relating to any document to be signed in connection with this Guaranty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color w:val="auto"/>
        </w:rPr>
        <w:t>REMAINDER OF PAGE INTENTIONALLY LEFT BLANK</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Affiliate Guarantee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Term Loan Agreement</w:t>
      </w:r>
    </w:p>
    <w:p>
      <w:pPr>
        <w:sectPr>
          <w:pgSz w:w="11900" w:h="16838" w:orient="portrait"/>
          <w:cols w:equalWidth="0" w:num="1">
            <w:col w:w="11420"/>
          </w:cols>
          <w:pgMar w:left="240" w:top="366" w:right="239" w:bottom="1440" w:gutter="0" w:footer="0" w:header="0"/>
        </w:sectPr>
      </w:pPr>
    </w:p>
    <w:bookmarkStart w:id="411" w:name="page412"/>
    <w:bookmarkEnd w:id="411"/>
    <w:p>
      <w:pPr>
        <w:ind w:right="1319" w:firstLine="648"/>
        <w:spacing w:after="0" w:line="263" w:lineRule="auto"/>
        <w:rPr>
          <w:sz w:val="20"/>
          <w:szCs w:val="20"/>
          <w:color w:val="auto"/>
        </w:rPr>
      </w:pPr>
      <w:r>
        <w:rPr>
          <w:rFonts w:ascii="Arial" w:cs="Arial" w:eastAsia="Arial" w:hAnsi="Arial"/>
          <w:sz w:val="22"/>
          <w:szCs w:val="22"/>
          <w:color w:val="auto"/>
        </w:rPr>
        <w:t>IN WITNESS WHEREOF, each Initial Guarantor has caused this Guaranty to be duly executed by its authorized officer as of the day and year first above written.</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Arial" w:cs="Arial" w:eastAsia="Arial" w:hAnsi="Arial"/>
          <w:sz w:val="20"/>
          <w:szCs w:val="20"/>
          <w:i w:val="1"/>
          <w:iCs w:val="1"/>
          <w:color w:val="auto"/>
        </w:rPr>
        <w:t>Signature Page to Affiliate Guaranty - Term Loan</w:t>
      </w:r>
    </w:p>
    <w:p>
      <w:pPr>
        <w:sectPr>
          <w:pgSz w:w="11900" w:h="16838" w:orient="portrait"/>
          <w:cols w:equalWidth="0" w:num="1">
            <w:col w:w="10219"/>
          </w:cols>
          <w:pgMar w:left="240" w:top="375" w:right="1440" w:bottom="1440" w:gutter="0" w:footer="0" w:header="0"/>
        </w:sectPr>
      </w:pPr>
    </w:p>
    <w:bookmarkStart w:id="412" w:name="page413"/>
    <w:bookmarkEnd w:id="412"/>
    <w:p>
      <w:pPr>
        <w:ind w:left="3980"/>
        <w:spacing w:after="0"/>
        <w:rPr>
          <w:sz w:val="20"/>
          <w:szCs w:val="20"/>
          <w:color w:val="auto"/>
        </w:rPr>
      </w:pPr>
      <w:r>
        <w:rPr>
          <w:rFonts w:ascii="Arial" w:cs="Arial" w:eastAsia="Arial" w:hAnsi="Arial"/>
          <w:sz w:val="20"/>
          <w:szCs w:val="20"/>
          <w:color w:val="auto"/>
        </w:rPr>
        <w:t>AUSTRALIA INITIAL GUARANTOR</w:t>
      </w:r>
    </w:p>
    <w:p>
      <w:pPr>
        <w:spacing w:after="0" w:line="37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AUSTRALIA PTY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Chu Yuen Fai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Chu Yuen Fai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WEATHERFORD AUSTRALIA PTY LIMITED</w:t>
      </w:r>
    </w:p>
    <w:p>
      <w:pPr>
        <w:spacing w:after="0" w:line="378" w:lineRule="exact"/>
        <w:rPr>
          <w:sz w:val="20"/>
          <w:szCs w:val="20"/>
          <w:color w:val="auto"/>
        </w:rPr>
      </w:pPr>
    </w:p>
    <w:tbl>
      <w:tblPr>
        <w:tblLayout w:type="fixed"/>
        <w:tblInd w:w="42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Robert Degasperis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Robert Degasperis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280"/>
          </w:cols>
          <w:pgMar w:left="1440" w:top="1041" w:right="1179" w:bottom="1440" w:gutter="0" w:footer="0" w:header="0"/>
        </w:sectPr>
      </w:pPr>
    </w:p>
    <w:bookmarkStart w:id="413" w:name="page414"/>
    <w:bookmarkEnd w:id="413"/>
    <w:p>
      <w:pPr>
        <w:ind w:left="3820"/>
        <w:spacing w:after="0"/>
        <w:rPr>
          <w:sz w:val="20"/>
          <w:szCs w:val="20"/>
          <w:color w:val="auto"/>
        </w:rPr>
      </w:pPr>
      <w:r>
        <w:rPr>
          <w:rFonts w:ascii="Arial" w:cs="Arial" w:eastAsia="Arial" w:hAnsi="Arial"/>
          <w:sz w:val="20"/>
          <w:szCs w:val="20"/>
          <w:color w:val="auto"/>
        </w:rPr>
        <w:t>BERMUDA INITIAL GUARANTOR</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2B2B2B"/>
        </w:rPr>
        <w:t>W</w:t>
      </w:r>
      <w:r>
        <w:rPr>
          <w:rFonts w:ascii="Arial" w:cs="Arial" w:eastAsia="Arial" w:hAnsi="Arial"/>
          <w:sz w:val="20"/>
          <w:szCs w:val="20"/>
          <w:color w:val="4E4E4E"/>
        </w:rPr>
        <w:t>E</w:t>
      </w:r>
      <w:r>
        <w:rPr>
          <w:rFonts w:ascii="Arial" w:cs="Arial" w:eastAsia="Arial" w:hAnsi="Arial"/>
          <w:sz w:val="20"/>
          <w:szCs w:val="20"/>
          <w:color w:val="2B2B2B"/>
        </w:rPr>
        <w:t>ATHERFORD INT</w:t>
      </w:r>
      <w:r>
        <w:rPr>
          <w:rFonts w:ascii="Arial" w:cs="Arial" w:eastAsia="Arial" w:hAnsi="Arial"/>
          <w:sz w:val="20"/>
          <w:szCs w:val="20"/>
          <w:color w:val="4E4E4E"/>
        </w:rPr>
        <w:t>E</w:t>
      </w:r>
      <w:r>
        <w:rPr>
          <w:rFonts w:ascii="Arial" w:cs="Arial" w:eastAsia="Arial" w:hAnsi="Arial"/>
          <w:sz w:val="20"/>
          <w:szCs w:val="20"/>
          <w:color w:val="2B2B2B"/>
        </w:rPr>
        <w:t>RNATIONAL HOLDING</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3D3D3E"/>
        </w:rPr>
        <w:t xml:space="preserve">(BERMUDA) </w:t>
      </w:r>
      <w:r>
        <w:rPr>
          <w:rFonts w:ascii="Arial" w:cs="Arial" w:eastAsia="Arial" w:hAnsi="Arial"/>
          <w:sz w:val="20"/>
          <w:szCs w:val="20"/>
          <w:color w:val="2B2B2B"/>
        </w:rPr>
        <w:t>LTD.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PANGAEA HOLDINGS LTD.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932"/>
        </w:trPr>
        <w:tc>
          <w:tcPr>
            <w:tcW w:w="5000" w:type="dxa"/>
            <w:vAlign w:val="bottom"/>
            <w:gridSpan w:val="2"/>
          </w:tcPr>
          <w:p>
            <w:pPr>
              <w:spacing w:after="0"/>
              <w:rPr>
                <w:sz w:val="20"/>
                <w:szCs w:val="20"/>
                <w:color w:val="auto"/>
              </w:rPr>
            </w:pPr>
            <w:r>
              <w:rPr>
                <w:rFonts w:ascii="Arial" w:cs="Arial" w:eastAsia="Arial" w:hAnsi="Arial"/>
                <w:sz w:val="20"/>
                <w:szCs w:val="20"/>
                <w:color w:val="auto"/>
              </w:rPr>
              <w:t>SABRE DRILLING LTD.</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KEY INTERNATIONAL DRILLING COMPANY</w:t>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LIMITED</w:t>
      </w:r>
    </w:p>
    <w:p>
      <w:pPr>
        <w:spacing w:after="0" w:line="362"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w w:val="96"/>
              </w:rPr>
              <w:t>/s/ Maximiliano Alberto Kricorian Sanchez Moreno</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Maximiliano Alberto Kricorian Sanchez Moreno</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WEATHERFORD BERMUDA HOLDINGS LTD.</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ectPr>
          <w:pgSz w:w="11900" w:h="16838" w:orient="portrait"/>
          <w:cols w:equalWidth="0" w:num="1">
            <w:col w:w="9120"/>
          </w:cols>
          <w:pgMar w:left="1440" w:top="78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784" w:right="1339" w:bottom="1440" w:gutter="0" w:footer="0" w:header="0"/>
          <w:type w:val="continuous"/>
        </w:sectPr>
      </w:pPr>
    </w:p>
    <w:bookmarkStart w:id="414" w:name="page415"/>
    <w:bookmarkEnd w:id="414"/>
    <w:p>
      <w:pPr>
        <w:ind w:left="3980"/>
        <w:spacing w:after="0"/>
        <w:rPr>
          <w:sz w:val="20"/>
          <w:szCs w:val="20"/>
          <w:color w:val="auto"/>
        </w:rPr>
      </w:pPr>
      <w:r>
        <w:rPr>
          <w:rFonts w:ascii="Arial" w:cs="Arial" w:eastAsia="Arial" w:hAnsi="Arial"/>
          <w:sz w:val="20"/>
          <w:szCs w:val="20"/>
          <w:color w:val="auto"/>
        </w:rPr>
        <w:t>WEATHERFORD INTERNATIONAL LTD.</w:t>
      </w:r>
    </w:p>
    <w:p>
      <w:pPr>
        <w:spacing w:after="0" w:line="378" w:lineRule="exact"/>
        <w:rPr>
          <w:sz w:val="20"/>
          <w:szCs w:val="20"/>
          <w:color w:val="auto"/>
        </w:rPr>
      </w:pPr>
    </w:p>
    <w:tbl>
      <w:tblPr>
        <w:tblLayout w:type="fixed"/>
        <w:tblInd w:w="39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ectPr>
          <w:pgSz w:w="11900" w:h="16838" w:orient="portrait"/>
          <w:cols w:equalWidth="0" w:num="1">
            <w:col w:w="9019"/>
          </w:cols>
          <w:pgMar w:left="1440"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019"/>
          </w:cols>
          <w:pgMar w:left="1440" w:top="960" w:right="1440" w:bottom="1440" w:gutter="0" w:footer="0" w:header="0"/>
          <w:type w:val="continuous"/>
        </w:sectPr>
      </w:pPr>
    </w:p>
    <w:bookmarkStart w:id="415" w:name="page416"/>
    <w:bookmarkEnd w:id="415"/>
    <w:p>
      <w:pPr>
        <w:ind w:left="4100"/>
        <w:spacing w:after="0"/>
        <w:rPr>
          <w:sz w:val="20"/>
          <w:szCs w:val="20"/>
          <w:color w:val="auto"/>
        </w:rPr>
      </w:pPr>
      <w:r>
        <w:rPr>
          <w:rFonts w:ascii="Arial" w:cs="Arial" w:eastAsia="Arial" w:hAnsi="Arial"/>
          <w:sz w:val="20"/>
          <w:szCs w:val="20"/>
          <w:color w:val="auto"/>
        </w:rPr>
        <w:t>WEATHERFORD SERVICES, LTD.</w:t>
      </w:r>
    </w:p>
    <w:p>
      <w:pPr>
        <w:spacing w:after="0" w:line="378" w:lineRule="exact"/>
        <w:rPr>
          <w:sz w:val="20"/>
          <w:szCs w:val="20"/>
          <w:color w:val="auto"/>
        </w:rPr>
      </w:pPr>
    </w:p>
    <w:tbl>
      <w:tblPr>
        <w:tblLayout w:type="fixed"/>
        <w:tblInd w:w="410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00"/>
          </w:cols>
          <w:pgMar w:left="1440" w:top="1433" w:right="1359" w:bottom="1440" w:gutter="0" w:footer="0" w:header="0"/>
        </w:sectPr>
      </w:pPr>
    </w:p>
    <w:bookmarkStart w:id="416" w:name="page417"/>
    <w:bookmarkEnd w:id="416"/>
    <w:p>
      <w:pPr>
        <w:ind w:left="3820"/>
        <w:spacing w:after="0"/>
        <w:rPr>
          <w:sz w:val="20"/>
          <w:szCs w:val="20"/>
          <w:color w:val="auto"/>
        </w:rPr>
      </w:pPr>
      <w:r>
        <w:rPr>
          <w:rFonts w:ascii="Arial" w:cs="Arial" w:eastAsia="Arial" w:hAnsi="Arial"/>
          <w:sz w:val="20"/>
          <w:szCs w:val="20"/>
          <w:color w:val="auto"/>
        </w:rPr>
        <w:t>BERMUDA INITIAL GUARANTOR</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262626"/>
        </w:rPr>
        <w:t xml:space="preserve">WEATHERFORD DRILLING </w:t>
      </w:r>
      <w:r>
        <w:rPr>
          <w:rFonts w:ascii="Arial" w:cs="Arial" w:eastAsia="Arial" w:hAnsi="Arial"/>
          <w:sz w:val="20"/>
          <w:szCs w:val="20"/>
          <w:color w:val="161516"/>
        </w:rPr>
        <w:t>INTERNATIONA</w:t>
      </w:r>
      <w:r>
        <w:rPr>
          <w:rFonts w:ascii="Arial" w:cs="Arial" w:eastAsia="Arial" w:hAnsi="Arial"/>
          <w:sz w:val="20"/>
          <w:szCs w:val="20"/>
          <w:color w:val="353536"/>
        </w:rPr>
        <w:t>L</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262626"/>
        </w:rPr>
        <w:t>HOLDINGS (BVI) LTD.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DRILLING INTERNATIONAL</w:t>
      </w:r>
    </w:p>
    <w:p>
      <w:pPr>
        <w:spacing w:after="0" w:line="56" w:lineRule="exact"/>
        <w:rPr>
          <w:sz w:val="20"/>
          <w:szCs w:val="20"/>
          <w:color w:val="auto"/>
        </w:rPr>
      </w:pPr>
    </w:p>
    <w:p>
      <w:pPr>
        <w:ind w:left="4120"/>
        <w:spacing w:after="0"/>
        <w:rPr>
          <w:sz w:val="20"/>
          <w:szCs w:val="20"/>
          <w:color w:val="auto"/>
        </w:rPr>
      </w:pPr>
      <w:r>
        <w:rPr>
          <w:rFonts w:ascii="Arial" w:cs="Arial" w:eastAsia="Arial" w:hAnsi="Arial"/>
          <w:sz w:val="18"/>
          <w:szCs w:val="18"/>
          <w:color w:val="262626"/>
        </w:rPr>
        <w:t xml:space="preserve">(BVI) </w:t>
      </w:r>
      <w:r>
        <w:rPr>
          <w:rFonts w:ascii="Arial" w:cs="Arial" w:eastAsia="Arial" w:hAnsi="Arial"/>
          <w:sz w:val="18"/>
          <w:szCs w:val="18"/>
          <w:color w:val="161516"/>
        </w:rPr>
        <w:t>LTD</w:t>
      </w:r>
      <w:r>
        <w:rPr>
          <w:rFonts w:ascii="Arial" w:cs="Arial" w:eastAsia="Arial" w:hAnsi="Arial"/>
          <w:sz w:val="18"/>
          <w:szCs w:val="18"/>
          <w:color w:val="353536"/>
        </w:rPr>
        <w:t>.</w:t>
      </w:r>
    </w:p>
    <w:p>
      <w:pPr>
        <w:spacing w:after="0" w:line="385"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LAND DRILLING ASSET HOLDINGS INC.</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WEATHERFORD HOLDINGS (BVI) LTD .</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262626"/>
        </w:rPr>
        <w:t xml:space="preserve">WEATHERFORD </w:t>
      </w:r>
      <w:r>
        <w:rPr>
          <w:rFonts w:ascii="Arial" w:cs="Arial" w:eastAsia="Arial" w:hAnsi="Arial"/>
          <w:sz w:val="20"/>
          <w:szCs w:val="20"/>
          <w:color w:val="353536"/>
        </w:rPr>
        <w:t>OIL</w:t>
      </w:r>
      <w:r>
        <w:rPr>
          <w:rFonts w:ascii="Arial" w:cs="Arial" w:eastAsia="Arial" w:hAnsi="Arial"/>
          <w:sz w:val="20"/>
          <w:szCs w:val="20"/>
          <w:color w:val="262626"/>
        </w:rPr>
        <w:t xml:space="preserve"> TOOL MIDDLE </w:t>
      </w:r>
      <w:r>
        <w:rPr>
          <w:rFonts w:ascii="Arial" w:cs="Arial" w:eastAsia="Arial" w:hAnsi="Arial"/>
          <w:sz w:val="20"/>
          <w:szCs w:val="20"/>
          <w:color w:val="4C4C4C"/>
        </w:rPr>
        <w:t>E</w:t>
      </w:r>
      <w:r>
        <w:rPr>
          <w:rFonts w:ascii="Arial" w:cs="Arial" w:eastAsia="Arial" w:hAnsi="Arial"/>
          <w:sz w:val="20"/>
          <w:szCs w:val="20"/>
          <w:color w:val="262626"/>
        </w:rPr>
        <w:t>AST</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262626"/>
        </w:rPr>
        <w:t>LIMITED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784" w:right="1339" w:bottom="1440" w:gutter="0" w:footer="0" w:header="0"/>
        </w:sectPr>
      </w:pPr>
    </w:p>
    <w:bookmarkStart w:id="417" w:name="page418"/>
    <w:bookmarkEnd w:id="417"/>
    <w:p>
      <w:pPr>
        <w:ind w:left="4120"/>
        <w:spacing w:after="0"/>
        <w:rPr>
          <w:sz w:val="20"/>
          <w:szCs w:val="20"/>
          <w:color w:val="auto"/>
        </w:rPr>
      </w:pPr>
      <w:r>
        <w:rPr>
          <w:rFonts w:ascii="Arial" w:cs="Arial" w:eastAsia="Arial" w:hAnsi="Arial"/>
          <w:sz w:val="20"/>
          <w:szCs w:val="20"/>
          <w:color w:val="222224"/>
        </w:rPr>
        <w:t xml:space="preserve">WEATHERFORD </w:t>
      </w:r>
      <w:r>
        <w:rPr>
          <w:rFonts w:ascii="Arial" w:cs="Arial" w:eastAsia="Arial" w:hAnsi="Arial"/>
          <w:sz w:val="20"/>
          <w:szCs w:val="20"/>
          <w:color w:val="373639"/>
        </w:rPr>
        <w:t>COLOMBIA</w:t>
      </w:r>
      <w:r>
        <w:rPr>
          <w:rFonts w:ascii="Arial" w:cs="Arial" w:eastAsia="Arial" w:hAnsi="Arial"/>
          <w:sz w:val="20"/>
          <w:szCs w:val="20"/>
          <w:color w:val="222224"/>
        </w:rPr>
        <w:t xml:space="preserve"> LIMI</w:t>
      </w:r>
      <w:r>
        <w:rPr>
          <w:rFonts w:ascii="Arial" w:cs="Arial" w:eastAsia="Arial" w:hAnsi="Arial"/>
          <w:sz w:val="20"/>
          <w:szCs w:val="20"/>
          <w:color w:val="47474A"/>
        </w:rPr>
        <w:t>T</w:t>
      </w:r>
      <w:r>
        <w:rPr>
          <w:rFonts w:ascii="Arial" w:cs="Arial" w:eastAsia="Arial" w:hAnsi="Arial"/>
          <w:sz w:val="20"/>
          <w:szCs w:val="20"/>
          <w:color w:val="222224"/>
        </w:rPr>
        <w:t>ED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Yazid Jamil Khalil Abu Khalid Altamimi</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Yazid Jamil Khalil Abu Khalid Altamimi</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1040" w:right="1339" w:bottom="1440" w:gutter="0" w:footer="0" w:header="0"/>
        </w:sectPr>
      </w:pPr>
    </w:p>
    <w:bookmarkStart w:id="418" w:name="page419"/>
    <w:bookmarkEnd w:id="418"/>
    <w:p>
      <w:pPr>
        <w:ind w:left="3880"/>
        <w:spacing w:after="0"/>
        <w:rPr>
          <w:sz w:val="20"/>
          <w:szCs w:val="20"/>
          <w:color w:val="auto"/>
        </w:rPr>
      </w:pPr>
      <w:r>
        <w:rPr>
          <w:rFonts w:ascii="Arial" w:cs="Arial" w:eastAsia="Arial" w:hAnsi="Arial"/>
          <w:sz w:val="20"/>
          <w:szCs w:val="20"/>
          <w:color w:val="202020"/>
        </w:rPr>
        <w:t>CANADA INITIAL GUARANTORS</w:t>
      </w:r>
    </w:p>
    <w:p>
      <w:pPr>
        <w:spacing w:after="0" w:line="378"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WEATHERFORD CANADA LTD.</w:t>
      </w:r>
    </w:p>
    <w:p>
      <w:pPr>
        <w:spacing w:after="0" w:line="378" w:lineRule="exact"/>
        <w:rPr>
          <w:sz w:val="20"/>
          <w:szCs w:val="20"/>
          <w:color w:val="auto"/>
        </w:rPr>
      </w:pPr>
    </w:p>
    <w:tbl>
      <w:tblPr>
        <w:tblLayout w:type="fixed"/>
        <w:tblInd w:w="406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6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WEATHERFORD (NOV A SCOTIA) ULC</w:t>
      </w:r>
    </w:p>
    <w:p>
      <w:pPr>
        <w:spacing w:after="0" w:line="378" w:lineRule="exact"/>
        <w:rPr>
          <w:sz w:val="20"/>
          <w:szCs w:val="20"/>
          <w:color w:val="auto"/>
        </w:rPr>
      </w:pPr>
    </w:p>
    <w:tbl>
      <w:tblPr>
        <w:tblLayout w:type="fixed"/>
        <w:tblInd w:w="406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6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WEATHERFORD CANADA PARTNERSHIP</w:t>
      </w:r>
    </w:p>
    <w:p>
      <w:pPr>
        <w:spacing w:after="0" w:line="54"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By its Partners</w:t>
      </w: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WEATHERFORD CANADA LTD.</w:t>
      </w:r>
    </w:p>
    <w:p>
      <w:pPr>
        <w:spacing w:after="0" w:line="378" w:lineRule="exact"/>
        <w:rPr>
          <w:sz w:val="20"/>
          <w:szCs w:val="20"/>
          <w:color w:val="auto"/>
        </w:rPr>
      </w:pPr>
    </w:p>
    <w:tbl>
      <w:tblPr>
        <w:tblLayout w:type="fixed"/>
        <w:tblInd w:w="474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tcPr>
          <w:p>
            <w:pPr>
              <w:ind w:left="60"/>
              <w:spacing w:after="0"/>
              <w:rPr>
                <w:sz w:val="20"/>
                <w:szCs w:val="20"/>
                <w:color w:val="auto"/>
              </w:rPr>
            </w:pPr>
            <w:r>
              <w:rPr>
                <w:rFonts w:ascii="Arial" w:cs="Arial" w:eastAsia="Arial" w:hAnsi="Arial"/>
                <w:sz w:val="20"/>
                <w:szCs w:val="20"/>
                <w:color w:val="auto"/>
              </w:rPr>
              <w:t>/s/ John David Reed</w:t>
            </w:r>
          </w:p>
        </w:tc>
      </w:tr>
      <w:tr>
        <w:trPr>
          <w:trHeight w:val="23"/>
        </w:trPr>
        <w:tc>
          <w:tcPr>
            <w:tcW w:w="7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364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jc w:val="right"/>
        <w:ind w:right="1040"/>
        <w:spacing w:after="0"/>
        <w:rPr>
          <w:sz w:val="20"/>
          <w:szCs w:val="20"/>
          <w:color w:val="auto"/>
        </w:rPr>
      </w:pPr>
      <w:r>
        <w:rPr>
          <w:rFonts w:ascii="Arial" w:cs="Arial" w:eastAsia="Arial" w:hAnsi="Arial"/>
          <w:sz w:val="20"/>
          <w:szCs w:val="20"/>
          <w:color w:val="auto"/>
        </w:rPr>
        <w:t>PRECISION ENERGY SERVICES ULC</w:t>
      </w:r>
    </w:p>
    <w:p>
      <w:pPr>
        <w:spacing w:after="0" w:line="378" w:lineRule="exact"/>
        <w:rPr>
          <w:sz w:val="20"/>
          <w:szCs w:val="20"/>
          <w:color w:val="auto"/>
        </w:rPr>
      </w:pPr>
    </w:p>
    <w:tbl>
      <w:tblPr>
        <w:tblLayout w:type="fixed"/>
        <w:tblInd w:w="474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640" w:type="dxa"/>
            <w:vAlign w:val="bottom"/>
          </w:tcPr>
          <w:p>
            <w:pPr>
              <w:ind w:left="60"/>
              <w:spacing w:after="0"/>
              <w:rPr>
                <w:sz w:val="20"/>
                <w:szCs w:val="20"/>
                <w:color w:val="auto"/>
              </w:rPr>
            </w:pPr>
            <w:r>
              <w:rPr>
                <w:rFonts w:ascii="Arial" w:cs="Arial" w:eastAsia="Arial" w:hAnsi="Arial"/>
                <w:sz w:val="20"/>
                <w:szCs w:val="20"/>
                <w:color w:val="auto"/>
              </w:rPr>
              <w:t>/s/ John David Reed</w:t>
            </w:r>
          </w:p>
        </w:tc>
      </w:tr>
      <w:tr>
        <w:trPr>
          <w:trHeight w:val="23"/>
        </w:trPr>
        <w:tc>
          <w:tcPr>
            <w:tcW w:w="7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0"/>
                <w:szCs w:val="20"/>
                <w:color w:val="auto"/>
              </w:rPr>
            </w:pPr>
            <w:r>
              <w:rPr>
                <w:rFonts w:ascii="Arial" w:cs="Arial" w:eastAsia="Arial" w:hAnsi="Arial"/>
                <w:sz w:val="20"/>
                <w:szCs w:val="20"/>
                <w:color w:val="auto"/>
              </w:rPr>
              <w:t>Name:</w:t>
            </w:r>
          </w:p>
        </w:tc>
        <w:tc>
          <w:tcPr>
            <w:tcW w:w="364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Title:</w:t>
            </w:r>
          </w:p>
        </w:tc>
        <w:tc>
          <w:tcPr>
            <w:tcW w:w="3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57"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WEATHERFORD DEUTSCHE HOLDING</w:t>
      </w:r>
    </w:p>
    <w:p>
      <w:pPr>
        <w:spacing w:after="0" w:line="54" w:lineRule="exact"/>
        <w:rPr>
          <w:sz w:val="20"/>
          <w:szCs w:val="20"/>
          <w:color w:val="auto"/>
        </w:rPr>
      </w:pPr>
    </w:p>
    <w:p>
      <w:pPr>
        <w:ind w:left="4060"/>
        <w:spacing w:after="0"/>
        <w:rPr>
          <w:sz w:val="20"/>
          <w:szCs w:val="20"/>
          <w:color w:val="auto"/>
        </w:rPr>
      </w:pPr>
      <w:r>
        <w:rPr>
          <w:rFonts w:ascii="Arial" w:cs="Arial" w:eastAsia="Arial" w:hAnsi="Arial"/>
          <w:sz w:val="20"/>
          <w:szCs w:val="20"/>
          <w:color w:val="202020"/>
        </w:rPr>
        <w:t>(CANADA) ULC</w:t>
      </w:r>
    </w:p>
    <w:p>
      <w:pPr>
        <w:spacing w:after="0" w:line="378" w:lineRule="exact"/>
        <w:rPr>
          <w:sz w:val="20"/>
          <w:szCs w:val="20"/>
          <w:color w:val="auto"/>
        </w:rPr>
      </w:pPr>
    </w:p>
    <w:tbl>
      <w:tblPr>
        <w:tblLayout w:type="fixed"/>
        <w:tblInd w:w="406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Pr>
          <w:p>
            <w:pPr>
              <w:ind w:left="80"/>
              <w:spacing w:after="0"/>
              <w:rPr>
                <w:sz w:val="20"/>
                <w:szCs w:val="20"/>
                <w:color w:val="auto"/>
              </w:rPr>
            </w:pPr>
            <w:r>
              <w:rPr>
                <w:rFonts w:ascii="Arial" w:cs="Arial" w:eastAsia="Arial" w:hAnsi="Arial"/>
                <w:sz w:val="20"/>
                <w:szCs w:val="20"/>
                <w:color w:val="auto"/>
              </w:rPr>
              <w:t>/s/ John David Reed</w:t>
            </w:r>
          </w:p>
        </w:tc>
      </w:tr>
      <w:tr>
        <w:trPr>
          <w:trHeight w:val="23"/>
        </w:trPr>
        <w:tc>
          <w:tcPr>
            <w:tcW w:w="66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54"/>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360" w:type="dxa"/>
            <w:vAlign w:val="bottom"/>
          </w:tcPr>
          <w:p>
            <w:pPr>
              <w:ind w:left="20"/>
              <w:spacing w:after="0"/>
              <w:rPr>
                <w:sz w:val="20"/>
                <w:szCs w:val="20"/>
                <w:color w:val="auto"/>
              </w:rPr>
            </w:pPr>
            <w:r>
              <w:rPr>
                <w:rFonts w:ascii="Arial" w:cs="Arial" w:eastAsia="Arial" w:hAnsi="Arial"/>
                <w:sz w:val="20"/>
                <w:szCs w:val="20"/>
                <w:color w:val="auto"/>
              </w:rPr>
              <w:t>John David Reed</w:t>
            </w:r>
          </w:p>
        </w:tc>
      </w:tr>
      <w:tr>
        <w:trPr>
          <w:trHeight w:val="28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36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080"/>
          </w:cols>
          <w:pgMar w:left="1440" w:top="528" w:right="1379" w:bottom="1440" w:gutter="0" w:footer="0" w:header="0"/>
        </w:sectPr>
      </w:pPr>
    </w:p>
    <w:bookmarkStart w:id="419" w:name="page420"/>
    <w:bookmarkEnd w:id="419"/>
    <w:p>
      <w:pPr>
        <w:ind w:left="3820"/>
        <w:spacing w:after="0"/>
        <w:rPr>
          <w:sz w:val="20"/>
          <w:szCs w:val="20"/>
          <w:color w:val="auto"/>
        </w:rPr>
      </w:pPr>
      <w:r>
        <w:rPr>
          <w:rFonts w:ascii="Arial" w:cs="Arial" w:eastAsia="Arial" w:hAnsi="Arial"/>
          <w:sz w:val="20"/>
          <w:szCs w:val="20"/>
          <w:color w:val="auto"/>
        </w:rPr>
        <w:t>ENGLAND INITIAL GUARANTORS</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3C3C3C"/>
        </w:rPr>
        <w:t>WEATHERFORD EURASIA LIMITED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Euan Prentice</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Euan Prentice</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U.K. LIMITED</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60"/>
              <w:spacing w:after="0"/>
              <w:rPr>
                <w:sz w:val="20"/>
                <w:szCs w:val="20"/>
                <w:color w:val="auto"/>
              </w:rPr>
            </w:pPr>
            <w:r>
              <w:rPr>
                <w:rFonts w:ascii="Arial" w:cs="Arial" w:eastAsia="Arial" w:hAnsi="Arial"/>
                <w:sz w:val="20"/>
                <w:szCs w:val="20"/>
                <w:color w:val="auto"/>
              </w:rPr>
              <w:t>/s/ Euan Prentice</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Euan Prentice</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20" w:name="page421"/>
    <w:bookmarkEnd w:id="420"/>
    <w:p>
      <w:pPr>
        <w:ind w:left="3820"/>
        <w:spacing w:after="0"/>
        <w:rPr>
          <w:sz w:val="20"/>
          <w:szCs w:val="20"/>
          <w:color w:val="auto"/>
        </w:rPr>
      </w:pPr>
      <w:r>
        <w:rPr>
          <w:rFonts w:ascii="Arial" w:cs="Arial" w:eastAsia="Arial" w:hAnsi="Arial"/>
          <w:sz w:val="20"/>
          <w:szCs w:val="20"/>
          <w:color w:val="282828"/>
        </w:rPr>
        <w:t>HUNGARY INITIAL GUARANTORS</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CAPITAL MANAGEMENT</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SERVICES LIMITED LIABILITY COMPANY</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Assistant Treasurer</w:t>
            </w:r>
          </w:p>
        </w:tc>
      </w:tr>
    </w:tbl>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21" w:name="page422"/>
    <w:bookmarkEnd w:id="421"/>
    <w:p>
      <w:pPr>
        <w:ind w:left="3820"/>
        <w:spacing w:after="0"/>
        <w:rPr>
          <w:sz w:val="20"/>
          <w:szCs w:val="20"/>
          <w:color w:val="auto"/>
        </w:rPr>
      </w:pPr>
      <w:r>
        <w:rPr>
          <w:rFonts w:ascii="Arial" w:cs="Arial" w:eastAsia="Arial" w:hAnsi="Arial"/>
          <w:sz w:val="20"/>
          <w:szCs w:val="20"/>
          <w:color w:val="auto"/>
        </w:rPr>
        <w:t>IRELAND INITIAL GUARANTOR</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INTERNATIONAL PLC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Assistant Treasurer</w:t>
            </w:r>
          </w:p>
        </w:tc>
      </w:tr>
    </w:tbl>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22" w:name="page423"/>
    <w:bookmarkEnd w:id="422"/>
    <w:p>
      <w:pPr>
        <w:ind w:left="3820"/>
        <w:spacing w:after="0"/>
        <w:rPr>
          <w:sz w:val="20"/>
          <w:szCs w:val="20"/>
          <w:color w:val="auto"/>
        </w:rPr>
      </w:pPr>
      <w:r>
        <w:rPr>
          <w:rFonts w:ascii="Arial" w:cs="Arial" w:eastAsia="Arial" w:hAnsi="Arial"/>
          <w:sz w:val="20"/>
          <w:szCs w:val="20"/>
          <w:color w:val="auto"/>
        </w:rPr>
        <w:t>LUXEMBOURG INITIAL GUARANTORS</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INVESTMENT</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(LUXEMBOURG) S.A.R.L.</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INTERNATIONAL</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(LUXEMBOURG) HOLDINGS S.A.R.L.</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EUROPEAN HOLDINGS</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(LUXEMBOURG) S.A.R.L.</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A</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Tamas Mark</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Tamas Mark</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Manager B</w:t>
            </w:r>
          </w:p>
        </w:tc>
      </w:tr>
    </w:tbl>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959" w:right="1339" w:bottom="1440" w:gutter="0" w:footer="0" w:header="0"/>
        </w:sectPr>
      </w:pPr>
    </w:p>
    <w:bookmarkStart w:id="423" w:name="page424"/>
    <w:bookmarkEnd w:id="423"/>
    <w:p>
      <w:pPr>
        <w:ind w:left="3820"/>
        <w:spacing w:after="0"/>
        <w:rPr>
          <w:sz w:val="20"/>
          <w:szCs w:val="20"/>
          <w:color w:val="auto"/>
        </w:rPr>
      </w:pPr>
      <w:r>
        <w:rPr>
          <w:rFonts w:ascii="Arial" w:cs="Arial" w:eastAsia="Arial" w:hAnsi="Arial"/>
          <w:sz w:val="20"/>
          <w:szCs w:val="20"/>
          <w:color w:val="auto"/>
        </w:rPr>
        <w:t>NETHERLANDS INITIAL GUARANTOR</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PRECISION DRILLING SERVICES</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(NETHERLAN B.V.</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Arnould Hermen Hensing</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Arnould Hermen Hensing</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INVESTING HOLDING</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B.V.</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24" w:name="page425"/>
    <w:bookmarkEnd w:id="424"/>
    <w:p>
      <w:pPr>
        <w:ind w:left="3820"/>
        <w:spacing w:after="0"/>
        <w:rPr>
          <w:sz w:val="20"/>
          <w:szCs w:val="20"/>
          <w:color w:val="auto"/>
        </w:rPr>
      </w:pPr>
      <w:r>
        <w:rPr>
          <w:rFonts w:ascii="Arial" w:cs="Arial" w:eastAsia="Arial" w:hAnsi="Arial"/>
          <w:sz w:val="20"/>
          <w:szCs w:val="20"/>
          <w:color w:val="252525"/>
        </w:rPr>
        <w:t>NORWAY INITIAL GUARANTOR</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20"/>
          <w:szCs w:val="20"/>
          <w:color w:val="252525"/>
        </w:rPr>
        <w:t>WEATHERFORD NORGE AS</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Eugene L Nathan</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Eugene L Nathan</w:t>
            </w:r>
          </w:p>
        </w:tc>
      </w:tr>
      <w:tr>
        <w:trPr>
          <w:trHeight w:val="303"/>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744" w:right="1339" w:bottom="1440" w:gutter="0" w:footer="0" w:header="0"/>
        </w:sectPr>
      </w:pPr>
    </w:p>
    <w:bookmarkStart w:id="425" w:name="page426"/>
    <w:bookmarkEnd w:id="425"/>
    <w:p>
      <w:pPr>
        <w:ind w:left="3780"/>
        <w:spacing w:after="0"/>
        <w:rPr>
          <w:sz w:val="20"/>
          <w:szCs w:val="20"/>
          <w:color w:val="auto"/>
        </w:rPr>
      </w:pPr>
      <w:r>
        <w:rPr>
          <w:rFonts w:ascii="Arial" w:cs="Arial" w:eastAsia="Arial" w:hAnsi="Arial"/>
          <w:sz w:val="20"/>
          <w:szCs w:val="20"/>
          <w:color w:val="auto"/>
        </w:rPr>
        <w:t>SWITZERLAND INITIAL GUARANTORS</w:t>
      </w:r>
    </w:p>
    <w:p>
      <w:pPr>
        <w:spacing w:after="0" w:line="37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WOFS INTERNATIONAL FINANCE GMBH</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Julie Thomson</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Julie Thomson</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357" w:lineRule="exact"/>
        <w:rPr>
          <w:sz w:val="20"/>
          <w:szCs w:val="20"/>
          <w:color w:val="auto"/>
        </w:rPr>
      </w:pPr>
    </w:p>
    <w:p>
      <w:pPr>
        <w:jc w:val="right"/>
        <w:ind w:right="540"/>
        <w:spacing w:after="0"/>
        <w:rPr>
          <w:sz w:val="20"/>
          <w:szCs w:val="20"/>
          <w:color w:val="auto"/>
        </w:rPr>
      </w:pPr>
      <w:r>
        <w:rPr>
          <w:rFonts w:ascii="Arial" w:cs="Arial" w:eastAsia="Arial" w:hAnsi="Arial"/>
          <w:sz w:val="20"/>
          <w:szCs w:val="20"/>
          <w:color w:val="auto"/>
        </w:rPr>
        <w:t>WEATHERFORD WORLDWIDE HOLDINGS GMBH</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35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WEATHERFORD SWITZERLAND TRADING</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AND DEVELOPMENT GMBH</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35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WEATHERFORD HOLDINGS (SWISS) 1 GMBH</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35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WEATHERFORD MANAGEMENT COMPANY</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SWITZERL ND SARL</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Stuart Fraser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Stuart Fraser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080"/>
          </w:cols>
          <w:pgMar w:left="1440" w:top="528" w:right="1379" w:bottom="1440" w:gutter="0" w:footer="0" w:header="0"/>
        </w:sectPr>
      </w:pPr>
    </w:p>
    <w:bookmarkStart w:id="426" w:name="page427"/>
    <w:bookmarkEnd w:id="426"/>
    <w:p>
      <w:pPr>
        <w:ind w:left="4080"/>
        <w:spacing w:after="0"/>
        <w:rPr>
          <w:sz w:val="20"/>
          <w:szCs w:val="20"/>
          <w:color w:val="auto"/>
        </w:rPr>
      </w:pPr>
      <w:r>
        <w:rPr>
          <w:rFonts w:ascii="Arial" w:cs="Arial" w:eastAsia="Arial" w:hAnsi="Arial"/>
          <w:sz w:val="20"/>
          <w:szCs w:val="20"/>
          <w:color w:val="auto"/>
        </w:rPr>
        <w:t>WEATHERFORD PRODUCTS GMBH</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Bastiaan E. van Houts</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Bastiaan E. van Houts</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Managing Officer</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WOFS SWISS FINANCE AG</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Philipp Andermatt</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Philipp Andermatt</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Board Member</w:t>
            </w:r>
          </w:p>
        </w:tc>
      </w:tr>
    </w:tbl>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080"/>
          </w:cols>
          <w:pgMar w:left="1440" w:top="528" w:right="1379" w:bottom="1440" w:gutter="0" w:footer="0" w:header="0"/>
        </w:sectPr>
      </w:pPr>
    </w:p>
    <w:bookmarkStart w:id="427" w:name="page428"/>
    <w:bookmarkEnd w:id="427"/>
    <w:p>
      <w:pPr>
        <w:ind w:left="3780"/>
        <w:spacing w:after="0"/>
        <w:rPr>
          <w:sz w:val="20"/>
          <w:szCs w:val="20"/>
          <w:color w:val="auto"/>
        </w:rPr>
      </w:pPr>
      <w:r>
        <w:rPr>
          <w:rFonts w:ascii="Arial" w:cs="Arial" w:eastAsia="Arial" w:hAnsi="Arial"/>
          <w:sz w:val="20"/>
          <w:szCs w:val="20"/>
          <w:color w:val="252525"/>
        </w:rPr>
        <w:t>UNITED STATES INITIAL GUARANTORS</w:t>
      </w:r>
    </w:p>
    <w:p>
      <w:pPr>
        <w:spacing w:after="0" w:line="378" w:lineRule="exact"/>
        <w:rPr>
          <w:sz w:val="20"/>
          <w:szCs w:val="20"/>
          <w:color w:val="auto"/>
        </w:rPr>
      </w:pPr>
    </w:p>
    <w:p>
      <w:pPr>
        <w:ind w:left="4080"/>
        <w:spacing w:after="0"/>
        <w:rPr>
          <w:sz w:val="20"/>
          <w:szCs w:val="20"/>
          <w:color w:val="auto"/>
        </w:rPr>
      </w:pPr>
      <w:r>
        <w:rPr>
          <w:rFonts w:ascii="Arial" w:cs="Arial" w:eastAsia="Arial" w:hAnsi="Arial"/>
          <w:sz w:val="20"/>
          <w:szCs w:val="20"/>
          <w:color w:val="252525"/>
        </w:rPr>
        <w:t>WEATHERFORD HOLDINGS U</w:t>
      </w:r>
      <w:r>
        <w:rPr>
          <w:rFonts w:ascii="Arial" w:cs="Arial" w:eastAsia="Arial" w:hAnsi="Arial"/>
          <w:sz w:val="20"/>
          <w:szCs w:val="20"/>
          <w:color w:val="444444"/>
        </w:rPr>
        <w:t>.</w:t>
      </w:r>
      <w:r>
        <w:rPr>
          <w:rFonts w:ascii="Arial" w:cs="Arial" w:eastAsia="Arial" w:hAnsi="Arial"/>
          <w:sz w:val="20"/>
          <w:szCs w:val="20"/>
          <w:color w:val="252525"/>
        </w:rPr>
        <w:t>S. LLC</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080"/>
        <w:spacing w:after="0"/>
        <w:rPr>
          <w:sz w:val="20"/>
          <w:szCs w:val="20"/>
          <w:color w:val="auto"/>
        </w:rPr>
      </w:pPr>
      <w:r>
        <w:rPr>
          <w:rFonts w:ascii="Arial" w:cs="Arial" w:eastAsia="Arial" w:hAnsi="Arial"/>
          <w:sz w:val="20"/>
          <w:szCs w:val="20"/>
          <w:color w:val="252525"/>
        </w:rPr>
        <w:t>WEATHERFORD U</w:t>
      </w:r>
      <w:r>
        <w:rPr>
          <w:rFonts w:ascii="Arial" w:cs="Arial" w:eastAsia="Arial" w:hAnsi="Arial"/>
          <w:sz w:val="20"/>
          <w:szCs w:val="20"/>
          <w:color w:val="000007"/>
        </w:rPr>
        <w:t>.</w:t>
      </w:r>
      <w:r>
        <w:rPr>
          <w:rFonts w:ascii="Arial" w:cs="Arial" w:eastAsia="Arial" w:hAnsi="Arial"/>
          <w:sz w:val="20"/>
          <w:szCs w:val="20"/>
          <w:color w:val="252525"/>
        </w:rPr>
        <w:t>S. HOLDINGS</w:t>
      </w:r>
      <w:r>
        <w:rPr>
          <w:rFonts w:ascii="Arial" w:cs="Arial" w:eastAsia="Arial" w:hAnsi="Arial"/>
          <w:sz w:val="20"/>
          <w:szCs w:val="20"/>
          <w:color w:val="444444"/>
        </w:rPr>
        <w:t>,</w:t>
      </w:r>
      <w:r>
        <w:rPr>
          <w:rFonts w:ascii="Arial" w:cs="Arial" w:eastAsia="Arial" w:hAnsi="Arial"/>
          <w:sz w:val="20"/>
          <w:szCs w:val="20"/>
          <w:color w:val="252525"/>
        </w:rPr>
        <w:t xml:space="preserve"> L.L.C.</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WEATHERFORD INTERNATIONAL, LLC</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WUSH HOLDING, LLC</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jc w:val="right"/>
        <w:ind w:right="520"/>
        <w:spacing w:after="0"/>
        <w:rPr>
          <w:sz w:val="20"/>
          <w:szCs w:val="20"/>
          <w:color w:val="auto"/>
        </w:rPr>
      </w:pPr>
      <w:r>
        <w:rPr>
          <w:rFonts w:ascii="Arial" w:cs="Arial" w:eastAsia="Arial" w:hAnsi="Arial"/>
          <w:sz w:val="20"/>
          <w:szCs w:val="20"/>
          <w:color w:val="auto"/>
        </w:rPr>
        <w:t>WEATHERFORD ARTIFICIAL LIFT SYSTEMS, LLC</w:t>
      </w:r>
    </w:p>
    <w:p>
      <w:pPr>
        <w:spacing w:after="0" w:line="378"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080"/>
          </w:cols>
          <w:pgMar w:left="1440" w:top="527" w:right="1379" w:bottom="1440" w:gutter="0" w:footer="0" w:header="0"/>
        </w:sectPr>
      </w:pPr>
    </w:p>
    <w:bookmarkStart w:id="428" w:name="page429"/>
    <w:bookmarkEnd w:id="428"/>
    <w:p>
      <w:pPr>
        <w:jc w:val="right"/>
        <w:ind w:right="1120"/>
        <w:spacing w:after="0"/>
        <w:rPr>
          <w:sz w:val="20"/>
          <w:szCs w:val="20"/>
          <w:color w:val="auto"/>
        </w:rPr>
      </w:pPr>
      <w:r>
        <w:rPr>
          <w:rFonts w:ascii="Arial" w:cs="Arial" w:eastAsia="Arial" w:hAnsi="Arial"/>
          <w:sz w:val="20"/>
          <w:szCs w:val="20"/>
          <w:color w:val="auto"/>
        </w:rPr>
        <w:t>WEATHERFORD LIMITED PARTNER, L.L.C.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Jennifer Presnall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Jennifer Presnall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608"/>
        </w:trPr>
        <w:tc>
          <w:tcPr>
            <w:tcW w:w="5000" w:type="dxa"/>
            <w:vAlign w:val="bottom"/>
            <w:gridSpan w:val="2"/>
          </w:tcPr>
          <w:p>
            <w:pPr>
              <w:spacing w:after="0"/>
              <w:rPr>
                <w:sz w:val="20"/>
                <w:szCs w:val="20"/>
                <w:color w:val="auto"/>
              </w:rPr>
            </w:pPr>
            <w:r>
              <w:rPr>
                <w:rFonts w:ascii="Arial" w:cs="Arial" w:eastAsia="Arial" w:hAnsi="Arial"/>
                <w:sz w:val="20"/>
                <w:szCs w:val="20"/>
                <w:color w:val="auto"/>
              </w:rPr>
              <w:t>PD HOLDINGS (USA), L.P.</w:t>
            </w:r>
          </w:p>
        </w:tc>
      </w:tr>
      <w:tr>
        <w:trPr>
          <w:trHeight w:val="608"/>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PRECISION DRILLING HOLDINGS, INC.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Kamini D. Patel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Kamini D. Patel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President</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PRECISION DRILLING LP, INC.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Kamini D. Patel</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Kamini D. Patel</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President</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PRECISION USA HOLDINGS, INC.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PRECISION ENERGY SERVICES, INC.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29" w:name="page430"/>
    <w:bookmarkEnd w:id="429"/>
    <w:p>
      <w:pPr>
        <w:ind w:left="4120"/>
        <w:spacing w:after="0"/>
        <w:rPr>
          <w:sz w:val="20"/>
          <w:szCs w:val="20"/>
          <w:color w:val="auto"/>
        </w:rPr>
      </w:pPr>
      <w:r>
        <w:rPr>
          <w:rFonts w:ascii="Arial" w:cs="Arial" w:eastAsia="Arial" w:hAnsi="Arial"/>
          <w:sz w:val="20"/>
          <w:szCs w:val="20"/>
          <w:color w:val="auto"/>
        </w:rPr>
        <w:t>WEATHERFORD U.S., L.P.</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 U.S. INVESTMENT, LLC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35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WEATHERFORD/LAMB, INC.</w:t>
      </w:r>
    </w:p>
    <w:p>
      <w:pPr>
        <w:spacing w:after="0" w:line="378" w:lineRule="exact"/>
        <w:rPr>
          <w:sz w:val="20"/>
          <w:szCs w:val="20"/>
          <w:color w:val="auto"/>
        </w:rPr>
      </w:pPr>
    </w:p>
    <w:tbl>
      <w:tblPr>
        <w:tblLayout w:type="fixed"/>
        <w:tblInd w:w="41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Mark M. Rothleitner</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Mark M. Rothleitner</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Treasurer</w:t>
            </w:r>
          </w:p>
        </w:tc>
      </w:tr>
    </w:tbl>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Signature Page to Affiliate Guaranty - Term Loan</w:t>
      </w:r>
    </w:p>
    <w:p>
      <w:pPr>
        <w:sectPr>
          <w:pgSz w:w="11900" w:h="16838" w:orient="portrait"/>
          <w:cols w:equalWidth="0" w:num="1">
            <w:col w:w="9120"/>
          </w:cols>
          <w:pgMar w:left="1440" w:top="528" w:right="1339" w:bottom="1440" w:gutter="0" w:footer="0" w:header="0"/>
        </w:sectPr>
      </w:pPr>
    </w:p>
    <w:bookmarkStart w:id="430" w:name="page431"/>
    <w:bookmarkEnd w:id="430"/>
    <w:p>
      <w:pPr>
        <w:spacing w:after="0"/>
        <w:rPr>
          <w:sz w:val="20"/>
          <w:szCs w:val="20"/>
          <w:color w:val="auto"/>
        </w:rPr>
      </w:pPr>
      <w:r>
        <w:rPr>
          <w:rFonts w:ascii="Arial" w:cs="Arial" w:eastAsia="Arial" w:hAnsi="Arial"/>
          <w:sz w:val="20"/>
          <w:szCs w:val="20"/>
          <w:color w:val="auto"/>
        </w:rPr>
        <w:t>Acknowledged and Agreed to:</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JPMORGAN CHASE BANK, N.A., as Administrative Agent</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 Dave Katz</w:t>
            </w:r>
          </w:p>
        </w:tc>
      </w:tr>
      <w:tr>
        <w:trPr>
          <w:trHeight w:val="23"/>
        </w:trPr>
        <w:tc>
          <w:tcPr>
            <w:tcW w:w="6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4"/>
        </w:trPr>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Dave Katz</w:t>
            </w:r>
          </w:p>
        </w:tc>
      </w:tr>
      <w:tr>
        <w:trPr>
          <w:trHeight w:val="284"/>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539"/>
        <w:spacing w:after="0"/>
        <w:rPr>
          <w:sz w:val="20"/>
          <w:szCs w:val="20"/>
          <w:color w:val="auto"/>
        </w:rPr>
      </w:pPr>
      <w:r>
        <w:rPr>
          <w:rFonts w:ascii="Arial" w:cs="Arial" w:eastAsia="Arial" w:hAnsi="Arial"/>
          <w:sz w:val="20"/>
          <w:szCs w:val="20"/>
          <w:i w:val="1"/>
          <w:iCs w:val="1"/>
          <w:color w:val="auto"/>
        </w:rPr>
        <w:t>Signature Page to Affiliate Guaranty - Term Loan</w:t>
      </w:r>
    </w:p>
    <w:p>
      <w:pPr>
        <w:sectPr>
          <w:pgSz w:w="11900" w:h="16838" w:orient="portrait"/>
          <w:cols w:equalWidth="0" w:num="1">
            <w:col w:w="10219"/>
          </w:cols>
          <w:pgMar w:left="240" w:top="582" w:right="1440" w:bottom="1440" w:gutter="0" w:footer="0" w:header="0"/>
        </w:sectPr>
      </w:pPr>
    </w:p>
    <w:bookmarkStart w:id="431" w:name="page432"/>
    <w:bookmarkEnd w:id="431"/>
    <w:p>
      <w:pPr>
        <w:jc w:val="center"/>
        <w:spacing w:after="0"/>
        <w:rPr>
          <w:sz w:val="20"/>
          <w:szCs w:val="20"/>
          <w:color w:val="auto"/>
        </w:rPr>
      </w:pPr>
      <w:r>
        <w:rPr>
          <w:rFonts w:ascii="Arial" w:cs="Arial" w:eastAsia="Arial" w:hAnsi="Arial"/>
          <w:sz w:val="20"/>
          <w:szCs w:val="20"/>
          <w:u w:val="single" w:color="auto"/>
          <w:color w:val="auto"/>
        </w:rPr>
        <w:t>ANNEX I TO GUARANTY</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Reference is hereby made to the Affiliate Guaranty (as the same may be amended, restated, supplemented or otherwise modified from time to time, the “</w:t>
      </w:r>
      <w:r>
        <w:rPr>
          <w:rFonts w:ascii="Arial" w:cs="Arial" w:eastAsia="Arial" w:hAnsi="Arial"/>
          <w:sz w:val="20"/>
          <w:szCs w:val="20"/>
          <w:u w:val="single" w:color="auto"/>
          <w:color w:val="auto"/>
        </w:rPr>
        <w:t>Guaranty</w:t>
      </w:r>
      <w:r>
        <w:rPr>
          <w:rFonts w:ascii="Arial" w:cs="Arial" w:eastAsia="Arial" w:hAnsi="Arial"/>
          <w:sz w:val="20"/>
          <w:szCs w:val="20"/>
          <w:color w:val="auto"/>
        </w:rPr>
        <w:t>”), dated as of May 6, 2016, made by Weatherford International plc, an Irish public limited company (the “</w:t>
      </w:r>
      <w:r>
        <w:rPr>
          <w:rFonts w:ascii="Arial" w:cs="Arial" w:eastAsia="Arial" w:hAnsi="Arial"/>
          <w:sz w:val="20"/>
          <w:szCs w:val="20"/>
          <w:u w:val="single" w:color="auto"/>
          <w:color w:val="auto"/>
        </w:rPr>
        <w:t>Parent</w:t>
      </w:r>
      <w:r>
        <w:rPr>
          <w:rFonts w:ascii="Arial" w:cs="Arial" w:eastAsia="Arial" w:hAnsi="Arial"/>
          <w:sz w:val="20"/>
          <w:szCs w:val="20"/>
          <w:color w:val="auto"/>
        </w:rPr>
        <w:t>”) and each Subsidiary of the Parent listed on the signature pages thereto (the Parent and each such Subsidiary, an “</w:t>
      </w:r>
      <w:r>
        <w:rPr>
          <w:rFonts w:ascii="Arial" w:cs="Arial" w:eastAsia="Arial" w:hAnsi="Arial"/>
          <w:sz w:val="20"/>
          <w:szCs w:val="20"/>
          <w:u w:val="single" w:color="auto"/>
          <w:color w:val="auto"/>
        </w:rPr>
        <w:t>Initial Guarantor</w:t>
      </w:r>
      <w:r>
        <w:rPr>
          <w:rFonts w:ascii="Arial" w:cs="Arial" w:eastAsia="Arial" w:hAnsi="Arial"/>
          <w:sz w:val="20"/>
          <w:szCs w:val="20"/>
          <w:color w:val="auto"/>
        </w:rPr>
        <w:t>”, and together with any additional Subsidiaries of the Parent that become parties to the Guaranty by executing Guaranty Supplements thereto substantially similar in form and substance hereto, the “</w:t>
      </w:r>
      <w:r>
        <w:rPr>
          <w:rFonts w:ascii="Arial" w:cs="Arial" w:eastAsia="Arial" w:hAnsi="Arial"/>
          <w:sz w:val="20"/>
          <w:szCs w:val="20"/>
          <w:u w:val="single" w:color="auto"/>
          <w:color w:val="auto"/>
        </w:rPr>
        <w:t>Guarantors</w:t>
      </w:r>
      <w:r>
        <w:rPr>
          <w:rFonts w:ascii="Arial" w:cs="Arial" w:eastAsia="Arial" w:hAnsi="Arial"/>
          <w:sz w:val="20"/>
          <w:szCs w:val="20"/>
          <w:color w:val="auto"/>
        </w:rPr>
        <w:t>”), in favor of the Administrative Agent, for the ratable benefit of the Guaranteed Parties, under the Credit Agreement. Each capitalized term used herein and not defined herein shall have the meaning given to it in the Guaranty.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By its execution below, the undersigned, </w:t>
      </w:r>
      <w:r>
        <w:rPr>
          <w:rFonts w:ascii="Arial" w:cs="Arial" w:eastAsia="Arial" w:hAnsi="Arial"/>
          <w:sz w:val="24"/>
          <w:szCs w:val="24"/>
          <w:b w:val="1"/>
          <w:bCs w:val="1"/>
          <w:color w:val="auto"/>
        </w:rPr>
        <w:t>[</w:t>
      </w:r>
      <w:r>
        <w:rPr>
          <w:rFonts w:ascii="Arial" w:cs="Arial" w:eastAsia="Arial" w:hAnsi="Arial"/>
          <w:sz w:val="19"/>
          <w:szCs w:val="19"/>
          <w:color w:val="auto"/>
        </w:rPr>
        <w:t>NAME OF NEW GUARANTOR</w:t>
      </w:r>
      <w:r>
        <w:rPr>
          <w:rFonts w:ascii="Arial" w:cs="Arial" w:eastAsia="Arial" w:hAnsi="Arial"/>
          <w:sz w:val="24"/>
          <w:szCs w:val="24"/>
          <w:b w:val="1"/>
          <w:bCs w:val="1"/>
          <w:color w:val="auto"/>
        </w:rPr>
        <w:t>]</w:t>
      </w:r>
      <w:r>
        <w:rPr>
          <w:rFonts w:ascii="Arial" w:cs="Arial" w:eastAsia="Arial" w:hAnsi="Arial"/>
          <w:sz w:val="19"/>
          <w:szCs w:val="19"/>
          <w:color w:val="auto"/>
        </w:rPr>
        <w:t xml:space="preserve">, a </w:t>
      </w:r>
      <w:r>
        <w:rPr>
          <w:rFonts w:ascii="Arial" w:cs="Arial" w:eastAsia="Arial" w:hAnsi="Arial"/>
          <w:sz w:val="24"/>
          <w:szCs w:val="24"/>
          <w:b w:val="1"/>
          <w:bCs w:val="1"/>
          <w:color w:val="auto"/>
        </w:rPr>
        <w:t>[</w:t>
      </w:r>
      <w:r>
        <w:rPr>
          <w:rFonts w:ascii="Arial" w:cs="Arial" w:eastAsia="Arial" w:hAnsi="Arial"/>
          <w:sz w:val="19"/>
          <w:szCs w:val="19"/>
          <w:color w:val="auto"/>
        </w:rPr>
        <w:t>________________</w:t>
      </w:r>
      <w:r>
        <w:rPr>
          <w:rFonts w:ascii="Arial" w:cs="Arial" w:eastAsia="Arial" w:hAnsi="Arial"/>
          <w:sz w:val="24"/>
          <w:szCs w:val="24"/>
          <w:b w:val="1"/>
          <w:bCs w:val="1"/>
          <w:color w:val="auto"/>
        </w:rPr>
        <w:t>] [</w:t>
      </w:r>
      <w:r>
        <w:rPr>
          <w:rFonts w:ascii="Arial" w:cs="Arial" w:eastAsia="Arial" w:hAnsi="Arial"/>
          <w:sz w:val="19"/>
          <w:szCs w:val="19"/>
          <w:color w:val="auto"/>
        </w:rPr>
        <w:t>corporation</w:t>
      </w:r>
      <w:r>
        <w:rPr>
          <w:rFonts w:ascii="Arial" w:cs="Arial" w:eastAsia="Arial" w:hAnsi="Arial"/>
          <w:sz w:val="24"/>
          <w:szCs w:val="24"/>
          <w:b w:val="1"/>
          <w:bCs w:val="1"/>
          <w:color w:val="auto"/>
        </w:rPr>
        <w:t>] [</w:t>
      </w:r>
      <w:r>
        <w:rPr>
          <w:rFonts w:ascii="Arial" w:cs="Arial" w:eastAsia="Arial" w:hAnsi="Arial"/>
          <w:sz w:val="19"/>
          <w:szCs w:val="19"/>
          <w:color w:val="auto"/>
        </w:rPr>
        <w:t>partnership</w:t>
      </w:r>
      <w:r>
        <w:rPr>
          <w:rFonts w:ascii="Arial" w:cs="Arial" w:eastAsia="Arial" w:hAnsi="Arial"/>
          <w:sz w:val="24"/>
          <w:szCs w:val="24"/>
          <w:b w:val="1"/>
          <w:bCs w:val="1"/>
          <w:color w:val="auto"/>
        </w:rPr>
        <w:t>]</w:t>
      </w:r>
    </w:p>
    <w:p>
      <w:pPr>
        <w:spacing w:after="0" w:line="53" w:lineRule="exact"/>
        <w:rPr>
          <w:sz w:val="20"/>
          <w:szCs w:val="20"/>
          <w:color w:val="auto"/>
        </w:rPr>
      </w:pPr>
    </w:p>
    <w:p>
      <w:pPr>
        <w:jc w:val="both"/>
        <w:spacing w:after="0" w:line="321" w:lineRule="auto"/>
        <w:rPr>
          <w:sz w:val="20"/>
          <w:szCs w:val="20"/>
          <w:color w:val="auto"/>
        </w:rPr>
      </w:pPr>
      <w:r>
        <w:rPr>
          <w:rFonts w:ascii="Arial" w:cs="Arial" w:eastAsia="Arial" w:hAnsi="Arial"/>
          <w:sz w:val="24"/>
          <w:szCs w:val="24"/>
          <w:b w:val="1"/>
          <w:bCs w:val="1"/>
          <w:color w:val="auto"/>
        </w:rPr>
        <w:t>[</w:t>
      </w:r>
      <w:r>
        <w:rPr>
          <w:rFonts w:ascii="Arial" w:cs="Arial" w:eastAsia="Arial" w:hAnsi="Arial"/>
          <w:sz w:val="18"/>
          <w:szCs w:val="18"/>
          <w:color w:val="auto"/>
        </w:rPr>
        <w:t>limited liability company</w:t>
      </w:r>
      <w:r>
        <w:rPr>
          <w:rFonts w:ascii="Arial" w:cs="Arial" w:eastAsia="Arial" w:hAnsi="Arial"/>
          <w:sz w:val="24"/>
          <w:szCs w:val="24"/>
          <w:b w:val="1"/>
          <w:bCs w:val="1"/>
          <w:color w:val="auto"/>
        </w:rPr>
        <w:t>] [</w:t>
      </w:r>
      <w:r>
        <w:rPr>
          <w:rFonts w:ascii="Arial" w:cs="Arial" w:eastAsia="Arial" w:hAnsi="Arial"/>
          <w:sz w:val="18"/>
          <w:szCs w:val="18"/>
          <w:color w:val="auto"/>
        </w:rPr>
        <w:t>other form of legal entity</w:t>
      </w:r>
      <w:r>
        <w:rPr>
          <w:rFonts w:ascii="Arial" w:cs="Arial" w:eastAsia="Arial" w:hAnsi="Arial"/>
          <w:sz w:val="24"/>
          <w:szCs w:val="24"/>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New Guarantor</w:t>
      </w:r>
      <w:r>
        <w:rPr>
          <w:rFonts w:ascii="Arial" w:cs="Arial" w:eastAsia="Arial" w:hAnsi="Arial"/>
          <w:sz w:val="18"/>
          <w:szCs w:val="18"/>
          <w:color w:val="auto"/>
        </w:rPr>
        <w:t>”), agrees to become, and does hereby become, a Guarantor under</w:t>
      </w:r>
      <w:r>
        <w:rPr>
          <w:rFonts w:ascii="Arial" w:cs="Arial" w:eastAsia="Arial" w:hAnsi="Arial"/>
          <w:sz w:val="24"/>
          <w:szCs w:val="24"/>
          <w:b w:val="1"/>
          <w:bCs w:val="1"/>
          <w:color w:val="auto"/>
        </w:rPr>
        <w:t xml:space="preserve"> </w:t>
      </w:r>
      <w:r>
        <w:rPr>
          <w:rFonts w:ascii="Arial" w:cs="Arial" w:eastAsia="Arial" w:hAnsi="Arial"/>
          <w:sz w:val="18"/>
          <w:szCs w:val="18"/>
          <w:color w:val="auto"/>
        </w:rPr>
        <w:t>the Guaranty and agrees to be bound by such Guaranty as if originally a party thereto. Without limiting the foregoing, the undersigned hereby absolutely and unconditionally, and jointly and severally with the other Guarantors, guarantees the punctual payment and performance when due (whether at stated maturity, by acceleration or otherwise), of all Guaranteed Obligations. By its execution below, the undersigned represents and warrants as to itself that all of the representations and warranties contained in Section 1 of the Guaranty are true and correct in all respects as of the date hereof. Provisions applicable to any Guarantor organized in a new Specified Jurisdiction to be inserted.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IN WITNESS WHEREOF, the New Guarantor has executed and delivered this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counterpart to the Guaranty as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 day of _________, 20___.</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0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color w:val="auto"/>
        </w:rPr>
        <w:t>NAME OF NEW GUARANTOR</w:t>
      </w:r>
      <w:r>
        <w:rPr>
          <w:rFonts w:ascii="Arial" w:cs="Arial" w:eastAsia="Arial" w:hAnsi="Arial"/>
          <w:sz w:val="25"/>
          <w:szCs w:val="25"/>
          <w:b w:val="1"/>
          <w:bCs w:val="1"/>
          <w:color w:val="auto"/>
        </w:rPr>
        <w:t>]</w:t>
      </w:r>
    </w:p>
    <w:p>
      <w:pPr>
        <w:spacing w:after="0" w:line="39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31750</wp:posOffset>
            </wp:positionV>
            <wp:extent cx="3095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hanging="112"/>
        <w:spacing w:after="0"/>
        <w:tabs>
          <w:tab w:leader="none" w:pos="120" w:val="left"/>
        </w:tabs>
        <w:numPr>
          <w:ilvl w:val="0"/>
          <w:numId w:val="426"/>
        </w:numPr>
        <w:rPr>
          <w:rFonts w:ascii="Arial" w:cs="Arial" w:eastAsia="Arial" w:hAnsi="Arial"/>
          <w:sz w:val="29"/>
          <w:szCs w:val="29"/>
          <w:color w:val="auto"/>
          <w:vertAlign w:val="superscript"/>
        </w:rPr>
      </w:pPr>
      <w:r>
        <w:rPr>
          <w:rFonts w:ascii="Arial" w:cs="Arial" w:eastAsia="Arial" w:hAnsi="Arial"/>
          <w:sz w:val="22"/>
          <w:szCs w:val="22"/>
          <w:color w:val="auto"/>
        </w:rPr>
        <w:t>Provisions applicable to any Guarantor organized in a new Specified Jurisdiction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-177165</wp:posOffset>
            </wp:positionV>
            <wp:extent cx="2830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ACTIVE 214691688v.5</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106A57"/>
    <w:multiLevelType w:val="hybridMultilevel"/>
    <w:lvl w:ilvl="0">
      <w:lvlJc w:val="left"/>
      <w:lvlText w:val="☐"/>
      <w:numFmt w:val="bullet"/>
      <w:start w:val="1"/>
    </w:lvl>
  </w:abstractNum>
  <w:abstractNum w:abstractNumId="1">
    <w:nsid w:val="684EED59"/>
    <w:multiLevelType w:val="hybridMultilevel"/>
    <w:lvl w:ilvl="0">
      <w:lvlJc w:val="left"/>
      <w:lvlText w:val="•"/>
      <w:numFmt w:val="bullet"/>
      <w:start w:val="1"/>
    </w:lvl>
    <w:lvl w:ilvl="1">
      <w:lvlJc w:val="left"/>
      <w:lvlText w:val="%2."/>
      <w:numFmt w:val="decimal"/>
      <w:start w:val="1"/>
    </w:lvl>
  </w:abstractNum>
  <w:abstractNum w:abstractNumId="2">
    <w:nsid w:val="545EE5D3"/>
    <w:multiLevelType w:val="hybridMultilevel"/>
    <w:lvl w:ilvl="0">
      <w:lvlJc w:val="left"/>
      <w:lvlText w:val="(%1)"/>
      <w:numFmt w:val="lowerLetter"/>
      <w:start w:val="4"/>
    </w:lvl>
  </w:abstractNum>
  <w:abstractNum w:abstractNumId="3">
    <w:nsid w:val="4A66051"/>
    <w:multiLevelType w:val="hybridMultilevel"/>
    <w:lvl w:ilvl="0">
      <w:lvlJc w:val="left"/>
      <w:lvlText w:val="(%1)"/>
      <w:numFmt w:val="lowerRoman"/>
      <w:start w:val="2"/>
    </w:lvl>
  </w:abstractNum>
  <w:abstractNum w:abstractNumId="4">
    <w:nsid w:val="20F4BDAD"/>
    <w:multiLevelType w:val="hybridMultilevel"/>
    <w:lvl w:ilvl="0">
      <w:lvlJc w:val="left"/>
      <w:lvlText w:val="%1."/>
      <w:numFmt w:val="decimal"/>
      <w:start w:val="1"/>
    </w:lvl>
  </w:abstractNum>
  <w:abstractNum w:abstractNumId="5">
    <w:nsid w:val="639DEFAC"/>
    <w:multiLevelType w:val="hybridMultilevel"/>
    <w:lvl w:ilvl="0">
      <w:lvlJc w:val="left"/>
      <w:lvlText w:val="(%1)"/>
      <w:numFmt w:val="lowerLetter"/>
      <w:start w:val="1"/>
    </w:lvl>
  </w:abstractNum>
  <w:abstractNum w:abstractNumId="6">
    <w:nsid w:val="501F9786"/>
    <w:multiLevelType w:val="hybridMultilevel"/>
    <w:lvl w:ilvl="0">
      <w:lvlJc w:val="left"/>
      <w:lvlText w:val="%1."/>
      <w:numFmt w:val="decimal"/>
      <w:start w:val="2"/>
    </w:lvl>
  </w:abstractNum>
  <w:abstractNum w:abstractNumId="7">
    <w:nsid w:val="6B057295"/>
    <w:multiLevelType w:val="hybridMultilevel"/>
    <w:lvl w:ilvl="0">
      <w:lvlJc w:val="left"/>
      <w:lvlText w:val="%1"/>
      <w:numFmt w:val="lowerRoman"/>
      <w:start w:val="1"/>
    </w:lvl>
    <w:lvl w:ilvl="1">
      <w:lvlJc w:val="left"/>
      <w:lvlText w:val="(%2)"/>
      <w:numFmt w:val="lowerLetter"/>
      <w:start w:val="1"/>
    </w:lvl>
  </w:abstractNum>
  <w:abstractNum w:abstractNumId="8">
    <w:nsid w:val="2771AC80"/>
    <w:multiLevelType w:val="hybridMultilevel"/>
    <w:lvl w:ilvl="0">
      <w:lvlJc w:val="left"/>
      <w:lvlText w:val="(%1)"/>
      <w:numFmt w:val="lowerRoman"/>
      <w:start w:val="1"/>
    </w:lvl>
    <w:lvl w:ilvl="1">
      <w:lvlJc w:val="left"/>
      <w:lvlText w:val="(%2)"/>
      <w:numFmt w:val="lowerLetter"/>
      <w:start w:val="2"/>
    </w:lvl>
  </w:abstractNum>
  <w:abstractNum w:abstractNumId="9">
    <w:nsid w:val="1C4A08EC"/>
    <w:multiLevelType w:val="hybridMultilevel"/>
    <w:lvl w:ilvl="0">
      <w:lvlJc w:val="left"/>
      <w:lvlText w:val="%1."/>
      <w:numFmt w:val="decimal"/>
      <w:start w:val="3"/>
    </w:lvl>
  </w:abstractNum>
  <w:abstractNum w:abstractNumId="10">
    <w:nsid w:val="1958BD17"/>
    <w:multiLevelType w:val="hybridMultilevel"/>
    <w:lvl w:ilvl="0">
      <w:lvlJc w:val="left"/>
      <w:lvlText w:val="(%1)"/>
      <w:numFmt w:val="lowerLetter"/>
      <w:start w:val="1"/>
    </w:lvl>
  </w:abstractNum>
  <w:abstractNum w:abstractNumId="11">
    <w:nsid w:val="4E647FE4"/>
    <w:multiLevelType w:val="hybridMultilevel"/>
    <w:lvl w:ilvl="0">
      <w:lvlJc w:val="left"/>
      <w:lvlText w:val="(%1)"/>
      <w:numFmt w:val="lowerLetter"/>
      <w:start w:val="2"/>
    </w:lvl>
  </w:abstractNum>
  <w:abstractNum w:abstractNumId="12">
    <w:nsid w:val="E0BB885"/>
    <w:multiLevelType w:val="hybridMultilevel"/>
    <w:lvl w:ilvl="0">
      <w:lvlJc w:val="left"/>
      <w:lvlText w:val="%1."/>
      <w:numFmt w:val="decimal"/>
      <w:start w:val="5"/>
    </w:lvl>
  </w:abstractNum>
  <w:abstractNum w:abstractNumId="13">
    <w:nsid w:val="565976F1"/>
    <w:multiLevelType w:val="hybridMultilevel"/>
    <w:lvl w:ilvl="0">
      <w:lvlJc w:val="left"/>
      <w:lvlText w:val="(%1)"/>
      <w:numFmt w:val="lowerLetter"/>
      <w:start w:val="1"/>
    </w:lvl>
  </w:abstractNum>
  <w:abstractNum w:abstractNumId="14">
    <w:nsid w:val="64212B8C"/>
    <w:multiLevelType w:val="hybridMultilevel"/>
    <w:lvl w:ilvl="0">
      <w:lvlJc w:val="left"/>
      <w:lvlText w:val="(%1)"/>
      <w:numFmt w:val="lowerLetter"/>
      <w:start w:val="5"/>
    </w:lvl>
  </w:abstractNum>
  <w:abstractNum w:abstractNumId="15">
    <w:nsid w:val="5C17530C"/>
    <w:multiLevelType w:val="hybridMultilevel"/>
    <w:lvl w:ilvl="0">
      <w:lvlJc w:val="left"/>
      <w:lvlText w:val="(%1)"/>
      <w:numFmt w:val="lowerRoman"/>
      <w:start w:val="1"/>
    </w:lvl>
  </w:abstractNum>
  <w:abstractNum w:abstractNumId="16">
    <w:nsid w:val="19A52566"/>
    <w:multiLevelType w:val="hybridMultilevel"/>
    <w:lvl w:ilvl="0">
      <w:lvlJc w:val="left"/>
      <w:lvlText w:val="%1."/>
      <w:numFmt w:val="decimal"/>
      <w:start w:val="6"/>
    </w:lvl>
  </w:abstractNum>
  <w:abstractNum w:abstractNumId="17">
    <w:nsid w:val="335A1DF1"/>
    <w:multiLevelType w:val="hybridMultilevel"/>
    <w:lvl w:ilvl="0">
      <w:lvlJc w:val="left"/>
      <w:lvlText w:val="(%1)"/>
      <w:numFmt w:val="lowerLetter"/>
      <w:start w:val="1"/>
    </w:lvl>
  </w:abstractNum>
  <w:abstractNum w:abstractNumId="18">
    <w:nsid w:val="28677B7C"/>
    <w:multiLevelType w:val="hybridMultilevel"/>
    <w:lvl w:ilvl="0">
      <w:lvlJc w:val="left"/>
      <w:lvlText w:val="(%1)"/>
      <w:numFmt w:val="lowerLetter"/>
      <w:start w:val="2"/>
    </w:lvl>
  </w:abstractNum>
  <w:abstractNum w:abstractNumId="19">
    <w:nsid w:val="378D97C0"/>
    <w:multiLevelType w:val="hybridMultilevel"/>
    <w:lvl w:ilvl="0">
      <w:lvlJc w:val="left"/>
      <w:lvlText w:val="%1."/>
      <w:numFmt w:val="decimal"/>
      <w:start w:val="9"/>
    </w:lvl>
  </w:abstractNum>
  <w:abstractNum w:abstractNumId="20">
    <w:nsid w:val="1D91467C"/>
    <w:multiLevelType w:val="hybridMultilevel"/>
    <w:lvl w:ilvl="0">
      <w:lvlJc w:val="left"/>
      <w:lvlText w:val="(%1)"/>
      <w:numFmt w:val="lowerLetter"/>
      <w:start w:val="1"/>
    </w:lvl>
  </w:abstractNum>
  <w:abstractNum w:abstractNumId="21">
    <w:nsid w:val="316032BB"/>
    <w:multiLevelType w:val="hybridMultilevel"/>
    <w:lvl w:ilvl="0">
      <w:lvlJc w:val="left"/>
      <w:lvlText w:val="%1."/>
      <w:numFmt w:val="decimal"/>
      <w:start w:val="10"/>
    </w:lvl>
  </w:abstractNum>
  <w:abstractNum w:abstractNumId="22">
    <w:nsid w:val="44344C22"/>
    <w:multiLevelType w:val="hybridMultilevel"/>
    <w:lvl w:ilvl="0">
      <w:lvlJc w:val="left"/>
      <w:lvlText w:val="(%1)"/>
      <w:numFmt w:val="lowerLetter"/>
      <w:start w:val="1"/>
    </w:lvl>
  </w:abstractNum>
  <w:abstractNum w:abstractNumId="23">
    <w:nsid w:val="13CDFCFC"/>
    <w:multiLevelType w:val="hybridMultilevel"/>
    <w:lvl w:ilvl="0">
      <w:lvlJc w:val="left"/>
      <w:lvlText w:val="%1."/>
      <w:numFmt w:val="decimal"/>
      <w:start w:val="11"/>
    </w:lvl>
  </w:abstractNum>
  <w:abstractNum w:abstractNumId="24">
    <w:nsid w:val="471745E4"/>
    <w:multiLevelType w:val="hybridMultilevel"/>
    <w:lvl w:ilvl="0">
      <w:lvlJc w:val="left"/>
      <w:lvlText w:val="%1."/>
      <w:numFmt w:val="decimal"/>
      <w:start w:val="13"/>
    </w:lvl>
  </w:abstractNum>
  <w:abstractNum w:abstractNumId="25">
    <w:nsid w:val="1DDBC66"/>
    <w:multiLevelType w:val="hybridMultilevel"/>
    <w:lvl w:ilvl="0">
      <w:lvlJc w:val="left"/>
      <w:lvlText w:val="(%1)"/>
      <w:numFmt w:val="lowerLetter"/>
      <w:start w:val="1"/>
    </w:lvl>
  </w:abstractNum>
  <w:abstractNum w:abstractNumId="26">
    <w:nsid w:val="30AADFDA"/>
    <w:multiLevelType w:val="hybridMultilevel"/>
    <w:lvl w:ilvl="0">
      <w:lvlJc w:val="left"/>
      <w:lvlText w:val="(%1)"/>
      <w:numFmt w:val="lowerLetter"/>
      <w:start w:val="2"/>
    </w:lvl>
  </w:abstractNum>
  <w:abstractNum w:abstractNumId="27">
    <w:nsid w:val="30EADA61"/>
    <w:multiLevelType w:val="hybridMultilevel"/>
    <w:lvl w:ilvl="0">
      <w:lvlJc w:val="left"/>
      <w:lvlText w:val="(%1)"/>
      <w:numFmt w:val="lowerLetter"/>
      <w:start w:val="1"/>
    </w:lvl>
  </w:abstractNum>
  <w:abstractNum w:abstractNumId="28">
    <w:nsid w:val="27179C0B"/>
    <w:multiLevelType w:val="hybridMultilevel"/>
    <w:lvl w:ilvl="0">
      <w:lvlJc w:val="left"/>
      <w:lvlText w:val="(%1)"/>
      <w:numFmt w:val="lowerLetter"/>
      <w:start w:val="6"/>
    </w:lvl>
  </w:abstractNum>
  <w:abstractNum w:abstractNumId="29">
    <w:nsid w:val="5E636063"/>
    <w:multiLevelType w:val="hybridMultilevel"/>
    <w:lvl w:ilvl="0">
      <w:lvlJc w:val="left"/>
      <w:lvlText w:val="(%1)"/>
      <w:numFmt w:val="lowerRoman"/>
      <w:start w:val="1"/>
    </w:lvl>
  </w:abstractNum>
  <w:abstractNum w:abstractNumId="30">
    <w:nsid w:val="215641AF"/>
    <w:multiLevelType w:val="hybridMultilevel"/>
    <w:lvl w:ilvl="0">
      <w:lvlJc w:val="left"/>
      <w:lvlText w:val="(%1)"/>
      <w:numFmt w:val="lowerRoman"/>
      <w:start w:val="3"/>
    </w:lvl>
  </w:abstractNum>
  <w:abstractNum w:abstractNumId="31">
    <w:nsid w:val="53280662"/>
    <w:multiLevelType w:val="hybridMultilevel"/>
    <w:lvl w:ilvl="0">
      <w:lvlJc w:val="left"/>
      <w:lvlText w:val="(%1)"/>
      <w:numFmt w:val="lowerLetter"/>
      <w:start w:val="2"/>
    </w:lvl>
  </w:abstractNum>
  <w:abstractNum w:abstractNumId="32">
    <w:nsid w:val="46B24DBC"/>
    <w:multiLevelType w:val="hybridMultilevel"/>
    <w:lvl w:ilvl="0">
      <w:lvlJc w:val="left"/>
      <w:lvlText w:val="(%1)"/>
      <w:numFmt w:val="lowerLetter"/>
      <w:start w:val="3"/>
    </w:lvl>
  </w:abstractNum>
  <w:abstractNum w:abstractNumId="33">
    <w:nsid w:val="75B52783"/>
    <w:multiLevelType w:val="hybridMultilevel"/>
    <w:lvl w:ilvl="0">
      <w:lvlJc w:val="left"/>
      <w:lvlText w:val="(%1)"/>
      <w:numFmt w:val="lowerRoman"/>
      <w:start w:val="1"/>
    </w:lvl>
  </w:abstractNum>
  <w:abstractNum w:abstractNumId="34">
    <w:nsid w:val="57CE66B4"/>
    <w:multiLevelType w:val="hybridMultilevel"/>
    <w:lvl w:ilvl="0">
      <w:lvlJc w:val="left"/>
      <w:lvlText w:val="(%1)"/>
      <w:numFmt w:val="lowerLetter"/>
      <w:start w:val="3"/>
    </w:lvl>
  </w:abstractNum>
  <w:abstractNum w:abstractNumId="35">
    <w:nsid w:val="67A70B69"/>
    <w:multiLevelType w:val="hybridMultilevel"/>
    <w:lvl w:ilvl="0">
      <w:lvlJc w:val="left"/>
      <w:lvlText w:val="(%1)"/>
      <w:numFmt w:val="lowerRoman"/>
      <w:start w:val="1"/>
    </w:lvl>
  </w:abstractNum>
  <w:abstractNum w:abstractNumId="36">
    <w:nsid w:val="5953172F"/>
    <w:multiLevelType w:val="hybridMultilevel"/>
    <w:lvl w:ilvl="0">
      <w:lvlJc w:val="left"/>
      <w:lvlText w:val="(%1)"/>
      <w:numFmt w:val="lowerRoman"/>
      <w:start w:val="1"/>
    </w:lvl>
  </w:abstractNum>
  <w:abstractNum w:abstractNumId="37">
    <w:nsid w:val="27EDFE3A"/>
    <w:multiLevelType w:val="hybridMultilevel"/>
    <w:lvl w:ilvl="0">
      <w:lvlJc w:val="left"/>
      <w:lvlText w:val="(%1)"/>
      <w:numFmt w:val="lowerLetter"/>
      <w:start w:val="2"/>
    </w:lvl>
  </w:abstractNum>
  <w:abstractNum w:abstractNumId="38">
    <w:nsid w:val="52AC7DFF"/>
    <w:multiLevelType w:val="hybridMultilevel"/>
    <w:lvl w:ilvl="0">
      <w:lvlJc w:val="left"/>
      <w:lvlText w:val="(%1)"/>
      <w:numFmt w:val="lowerLetter"/>
      <w:start w:val="1"/>
    </w:lvl>
  </w:abstractNum>
  <w:abstractNum w:abstractNumId="39">
    <w:nsid w:val="C4C3AF"/>
    <w:multiLevelType w:val="hybridMultilevel"/>
    <w:lvl w:ilvl="0">
      <w:lvlJc w:val="left"/>
      <w:lvlText w:val="(%1)"/>
      <w:numFmt w:val="lowerLetter"/>
      <w:start w:val="2"/>
    </w:lvl>
  </w:abstractNum>
  <w:abstractNum w:abstractNumId="40">
    <w:nsid w:val="44380727"/>
    <w:multiLevelType w:val="hybridMultilevel"/>
    <w:lvl w:ilvl="0">
      <w:lvlJc w:val="left"/>
      <w:lvlText w:val="(%1)"/>
      <w:numFmt w:val="lowerLetter"/>
      <w:start w:val="8"/>
    </w:lvl>
  </w:abstractNum>
  <w:abstractNum w:abstractNumId="41">
    <w:nsid w:val="6C053B16"/>
    <w:multiLevelType w:val="hybridMultilevel"/>
    <w:lvl w:ilvl="0">
      <w:lvlJc w:val="left"/>
      <w:lvlText w:val="(%1)"/>
      <w:numFmt w:val="lowerLetter"/>
      <w:start w:val="3"/>
    </w:lvl>
  </w:abstractNum>
  <w:abstractNum w:abstractNumId="42">
    <w:nsid w:val="4F294393"/>
    <w:multiLevelType w:val="hybridMultilevel"/>
    <w:lvl w:ilvl="0">
      <w:lvlJc w:val="left"/>
      <w:lvlText w:val="(%1)"/>
      <w:numFmt w:val="lowerLetter"/>
      <w:start w:val="5"/>
    </w:lvl>
  </w:abstractNum>
  <w:abstractNum w:abstractNumId="43">
    <w:nsid w:val="5243BFAC"/>
    <w:multiLevelType w:val="hybridMultilevel"/>
    <w:lvl w:ilvl="0">
      <w:lvlJc w:val="left"/>
      <w:lvlText w:val="(%1)"/>
      <w:numFmt w:val="lowerLetter"/>
      <w:start w:val="1"/>
    </w:lvl>
  </w:abstractNum>
  <w:abstractNum w:abstractNumId="44">
    <w:nsid w:val="425EB207"/>
    <w:multiLevelType w:val="hybridMultilevel"/>
    <w:lvl w:ilvl="0">
      <w:lvlJc w:val="left"/>
      <w:lvlText w:val="(%1)"/>
      <w:numFmt w:val="lowerLetter"/>
      <w:start w:val="24"/>
    </w:lvl>
  </w:abstractNum>
  <w:abstractNum w:abstractNumId="45">
    <w:nsid w:val="334A6F1F"/>
    <w:multiLevelType w:val="hybridMultilevel"/>
    <w:lvl w:ilvl="0">
      <w:lvlJc w:val="left"/>
      <w:lvlText w:val="(%1)"/>
      <w:numFmt w:val="lowerRoman"/>
      <w:start w:val="1"/>
    </w:lvl>
  </w:abstractNum>
  <w:abstractNum w:abstractNumId="46">
    <w:nsid w:val="2E5B12B8"/>
    <w:multiLevelType w:val="hybridMultilevel"/>
    <w:lvl w:ilvl="0">
      <w:lvlJc w:val="left"/>
      <w:lvlText w:val="(%1)"/>
      <w:numFmt w:val="lowerRoman"/>
      <w:start w:val="2"/>
    </w:lvl>
  </w:abstractNum>
  <w:abstractNum w:abstractNumId="47">
    <w:nsid w:val="5C03D76D"/>
    <w:multiLevelType w:val="hybridMultilevel"/>
    <w:lvl w:ilvl="0">
      <w:lvlJc w:val="left"/>
      <w:lvlText w:val="(%1)"/>
      <w:numFmt w:val="lowerLetter"/>
      <w:start w:val="2"/>
    </w:lvl>
  </w:abstractNum>
  <w:abstractNum w:abstractNumId="48">
    <w:nsid w:val="66A48D11"/>
    <w:multiLevelType w:val="hybridMultilevel"/>
    <w:lvl w:ilvl="0">
      <w:lvlJc w:val="left"/>
      <w:lvlText w:val="(%1)"/>
      <w:numFmt w:val="lowerRoman"/>
      <w:start w:val="3"/>
    </w:lvl>
  </w:abstractNum>
  <w:abstractNum w:abstractNumId="49">
    <w:nsid w:val="56C28E34"/>
    <w:multiLevelType w:val="hybridMultilevel"/>
    <w:lvl w:ilvl="0">
      <w:lvlJc w:val="left"/>
      <w:lvlText w:val="(%1)"/>
      <w:numFmt w:val="lowerRoman"/>
      <w:start w:val="1"/>
    </w:lvl>
  </w:abstractNum>
  <w:abstractNum w:abstractNumId="50">
    <w:nsid w:val="13916F2D"/>
    <w:multiLevelType w:val="hybridMultilevel"/>
    <w:lvl w:ilvl="0">
      <w:lvlJc w:val="left"/>
      <w:lvlText w:val="(%1)"/>
      <w:numFmt w:val="lowerRoman"/>
      <w:start w:val="1"/>
    </w:lvl>
  </w:abstractNum>
  <w:abstractNum w:abstractNumId="51">
    <w:nsid w:val="435D38D"/>
    <w:multiLevelType w:val="hybridMultilevel"/>
    <w:lvl w:ilvl="0">
      <w:lvlJc w:val="left"/>
      <w:lvlText w:val="(%1)"/>
      <w:numFmt w:val="lowerRoman"/>
      <w:start w:val="5"/>
    </w:lvl>
  </w:abstractNum>
  <w:abstractNum w:abstractNumId="52">
    <w:nsid w:val="822C0EF"/>
    <w:multiLevelType w:val="hybridMultilevel"/>
    <w:lvl w:ilvl="0">
      <w:lvlJc w:val="left"/>
      <w:lvlText w:val="(%1)"/>
      <w:numFmt w:val="lowerLetter"/>
      <w:start w:val="1"/>
    </w:lvl>
  </w:abstractNum>
  <w:abstractNum w:abstractNumId="53">
    <w:nsid w:val="57C5BB4F"/>
    <w:multiLevelType w:val="hybridMultilevel"/>
    <w:lvl w:ilvl="0">
      <w:lvlJc w:val="left"/>
      <w:lvlText w:val="(%1)"/>
      <w:numFmt w:val="lowerLetter"/>
      <w:start w:val="3"/>
    </w:lvl>
  </w:abstractNum>
  <w:abstractNum w:abstractNumId="54">
    <w:nsid w:val="1803D089"/>
    <w:multiLevelType w:val="hybridMultilevel"/>
    <w:lvl w:ilvl="0">
      <w:lvlJc w:val="left"/>
      <w:lvlText w:val="(%1)"/>
      <w:numFmt w:val="lowerLetter"/>
      <w:start w:val="1"/>
    </w:lvl>
    <w:lvl w:ilvl="1">
      <w:lvlJc w:val="left"/>
      <w:lvlText w:val="(%2)"/>
      <w:numFmt w:val="lowerRoman"/>
      <w:start w:val="1"/>
    </w:lvl>
  </w:abstractNum>
  <w:abstractNum w:abstractNumId="55">
    <w:nsid w:val="4F3A06D4"/>
    <w:multiLevelType w:val="hybridMultilevel"/>
    <w:lvl w:ilvl="0">
      <w:lvlJc w:val="left"/>
      <w:lvlText w:val="%1"/>
      <w:numFmt w:val="lowerLetter"/>
      <w:start w:val="1"/>
    </w:lvl>
    <w:lvl w:ilvl="1">
      <w:lvlJc w:val="left"/>
      <w:lvlText w:val="(%2)"/>
      <w:numFmt w:val="lowerRoman"/>
      <w:start w:val="4"/>
    </w:lvl>
  </w:abstractNum>
  <w:abstractNum w:abstractNumId="56">
    <w:nsid w:val="59A377B6"/>
    <w:multiLevelType w:val="hybridMultilevel"/>
    <w:lvl w:ilvl="0">
      <w:lvlJc w:val="left"/>
      <w:lvlText w:val="(%1)"/>
      <w:numFmt w:val="lowerLetter"/>
      <w:start w:val="2"/>
    </w:lvl>
    <w:lvl w:ilvl="1">
      <w:lvlJc w:val="left"/>
      <w:lvlText w:val="%2"/>
      <w:numFmt w:val="lowerRoman"/>
      <w:start w:val="1"/>
    </w:lvl>
  </w:abstractNum>
  <w:abstractNum w:abstractNumId="57">
    <w:nsid w:val="48AEB063"/>
    <w:multiLevelType w:val="hybridMultilevel"/>
    <w:lvl w:ilvl="0">
      <w:lvlJc w:val="left"/>
      <w:lvlText w:val="(%1)"/>
      <w:numFmt w:val="lowerLetter"/>
      <w:start w:val="1"/>
    </w:lvl>
  </w:abstractNum>
  <w:abstractNum w:abstractNumId="58">
    <w:nsid w:val="24E135"/>
    <w:multiLevelType w:val="hybridMultilevel"/>
    <w:lvl w:ilvl="0">
      <w:lvlJc w:val="left"/>
      <w:lvlText w:val="(%1)"/>
      <w:numFmt w:val="lowerLetter"/>
      <w:start w:val="5"/>
    </w:lvl>
  </w:abstractNum>
  <w:abstractNum w:abstractNumId="59">
    <w:nsid w:val="BB13C1"/>
    <w:multiLevelType w:val="hybridMultilevel"/>
    <w:lvl w:ilvl="0">
      <w:lvlJc w:val="left"/>
      <w:lvlText w:val="(%1)"/>
      <w:numFmt w:val="lowerRoman"/>
      <w:start w:val="1"/>
    </w:lvl>
  </w:abstractNum>
  <w:abstractNum w:abstractNumId="60">
    <w:nsid w:val="271210C7"/>
    <w:multiLevelType w:val="hybridMultilevel"/>
    <w:lvl w:ilvl="0">
      <w:lvlJc w:val="left"/>
      <w:lvlText w:val="(%1)"/>
      <w:numFmt w:val="lowerLetter"/>
      <w:start w:val="1"/>
    </w:lvl>
    <w:lvl w:ilvl="1">
      <w:lvlJc w:val="left"/>
      <w:lvlText w:val="(%2)"/>
      <w:numFmt w:val="lowerLetter"/>
      <w:start w:val="3"/>
    </w:lvl>
  </w:abstractNum>
  <w:abstractNum w:abstractNumId="61">
    <w:nsid w:val="217B22E4"/>
    <w:multiLevelType w:val="hybridMultilevel"/>
    <w:lvl w:ilvl="0">
      <w:lvlJc w:val="left"/>
      <w:lvlText w:val="(%1)"/>
      <w:numFmt w:val="lowerRoman"/>
      <w:start w:val="2"/>
    </w:lvl>
  </w:abstractNum>
  <w:abstractNum w:abstractNumId="62">
    <w:nsid w:val="53E31A24"/>
    <w:multiLevelType w:val="hybridMultilevel"/>
    <w:lvl w:ilvl="0">
      <w:lvlJc w:val="left"/>
      <w:lvlText w:val="(%1)"/>
      <w:numFmt w:val="lowerRoman"/>
      <w:start w:val="4"/>
    </w:lvl>
  </w:abstractNum>
  <w:abstractNum w:abstractNumId="63">
    <w:nsid w:val="6DC45E83"/>
    <w:multiLevelType w:val="hybridMultilevel"/>
    <w:lvl w:ilvl="0">
      <w:lvlJc w:val="left"/>
      <w:lvlText w:val="(%1)"/>
      <w:numFmt w:val="lowerLetter"/>
      <w:start w:val="4"/>
    </w:lvl>
  </w:abstractNum>
  <w:abstractNum w:abstractNumId="64">
    <w:nsid w:val="17304A67"/>
    <w:multiLevelType w:val="hybridMultilevel"/>
    <w:lvl w:ilvl="0">
      <w:lvlJc w:val="left"/>
      <w:lvlText w:val="%1"/>
      <w:numFmt w:val="lowerLetter"/>
      <w:start w:val="1"/>
    </w:lvl>
    <w:lvl w:ilvl="1">
      <w:lvlJc w:val="left"/>
      <w:lvlText w:val="(%2)"/>
      <w:numFmt w:val="lowerLetter"/>
      <w:start w:val="35"/>
    </w:lvl>
  </w:abstractNum>
  <w:abstractNum w:abstractNumId="65">
    <w:nsid w:val="2BB180D8"/>
    <w:multiLevelType w:val="hybridMultilevel"/>
    <w:lvl w:ilvl="0">
      <w:lvlJc w:val="left"/>
      <w:lvlText w:val="(%1)"/>
      <w:numFmt w:val="lowerLetter"/>
      <w:start w:val="5"/>
    </w:lvl>
    <w:lvl w:ilvl="1">
      <w:lvlJc w:val="left"/>
      <w:lvlText w:val="%2"/>
      <w:numFmt w:val="lowerLetter"/>
      <w:start w:val="1"/>
    </w:lvl>
  </w:abstractNum>
  <w:abstractNum w:abstractNumId="66">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7">
    <w:nsid w:val="7083619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abstractNum>
  <w:abstractNum w:abstractNumId="68">
    <w:nsid w:val="539F7F12"/>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3"/>
    </w:lvl>
  </w:abstractNum>
  <w:abstractNum w:abstractNumId="69">
    <w:nsid w:val="2817E7EC"/>
    <w:multiLevelType w:val="hybridMultilevel"/>
    <w:lvl w:ilvl="0">
      <w:lvlJc w:val="left"/>
      <w:lvlText w:val="(%1)"/>
      <w:numFmt w:val="lowerLetter"/>
      <w:start w:val="1"/>
    </w:lvl>
  </w:abstractNum>
  <w:abstractNum w:abstractNumId="70">
    <w:nsid w:val="71482545"/>
    <w:multiLevelType w:val="hybridMultilevel"/>
    <w:lvl w:ilvl="0">
      <w:lvlJc w:val="left"/>
      <w:lvlText w:val="(%1)"/>
      <w:numFmt w:val="lowerRoman"/>
      <w:start w:val="1"/>
    </w:lvl>
  </w:abstractNum>
  <w:abstractNum w:abstractNumId="71">
    <w:nsid w:val="17D78639"/>
    <w:multiLevelType w:val="hybridMultilevel"/>
    <w:lvl w:ilvl="0">
      <w:lvlJc w:val="left"/>
      <w:lvlText w:val="(%1)"/>
      <w:numFmt w:val="lowerRoman"/>
      <w:start w:val="2"/>
    </w:lvl>
  </w:abstractNum>
  <w:abstractNum w:abstractNumId="72">
    <w:nsid w:val="141D2302"/>
    <w:multiLevelType w:val="hybridMultilevel"/>
    <w:lvl w:ilvl="0">
      <w:lvlJc w:val="left"/>
      <w:lvlText w:val="(%1)"/>
      <w:numFmt w:val="lowerRoman"/>
      <w:start w:val="3"/>
    </w:lvl>
  </w:abstractNum>
  <w:abstractNum w:abstractNumId="73">
    <w:nsid w:val="407168D8"/>
    <w:multiLevelType w:val="hybridMultilevel"/>
    <w:lvl w:ilvl="0">
      <w:lvlJc w:val="left"/>
      <w:lvlText w:val="(%1)"/>
      <w:numFmt w:val="lowerLetter"/>
      <w:start w:val="4"/>
    </w:lvl>
  </w:abstractNum>
  <w:abstractNum w:abstractNumId="74">
    <w:nsid w:val="6A1B45E5"/>
    <w:multiLevelType w:val="hybridMultilevel"/>
    <w:lvl w:ilvl="0">
      <w:lvlJc w:val="left"/>
      <w:lvlText w:val="(%1)"/>
      <w:numFmt w:val="lowerLetter"/>
      <w:start w:val="1"/>
    </w:lvl>
    <w:lvl w:ilvl="1">
      <w:lvlJc w:val="left"/>
      <w:lvlText w:val="(%2)"/>
      <w:numFmt w:val="lowerRoman"/>
      <w:start w:val="1"/>
    </w:lvl>
  </w:abstractNum>
  <w:abstractNum w:abstractNumId="75">
    <w:nsid w:val="567BD50A"/>
    <w:multiLevelType w:val="hybridMultilevel"/>
    <w:lvl w:ilvl="0">
      <w:lvlJc w:val="left"/>
      <w:lvlText w:val="%1"/>
      <w:numFmt w:val="lowerLetter"/>
      <w:start w:val="1"/>
    </w:lvl>
    <w:lvl w:ilvl="1">
      <w:lvlJc w:val="left"/>
      <w:lvlText w:val="(%2)"/>
      <w:numFmt w:val="lowerLetter"/>
      <w:start w:val="61"/>
    </w:lvl>
  </w:abstractNum>
  <w:abstractNum w:abstractNumId="76">
    <w:nsid w:val="73BBD7F8"/>
    <w:multiLevelType w:val="hybridMultilevel"/>
    <w:lvl w:ilvl="0">
      <w:lvlJc w:val="left"/>
      <w:lvlText w:val="(%1)"/>
      <w:numFmt w:val="lowerLetter"/>
      <w:start w:val="2"/>
    </w:lvl>
    <w:lvl w:ilvl="1">
      <w:lvlJc w:val="left"/>
      <w:lvlText w:val="%2"/>
      <w:numFmt w:val="lowerLetter"/>
      <w:start w:val="1"/>
    </w:lvl>
  </w:abstractNum>
  <w:abstractNum w:abstractNumId="77">
    <w:nsid w:val="1876589D"/>
    <w:multiLevelType w:val="hybridMultilevel"/>
    <w:lvl w:ilvl="0">
      <w:lvlJc w:val="left"/>
      <w:lvlText w:val="(%1)"/>
      <w:numFmt w:val="lowerLetter"/>
      <w:start w:val="4"/>
    </w:lvl>
    <w:lvl w:ilvl="1">
      <w:lvlJc w:val="left"/>
      <w:lvlText w:val="(%2)"/>
      <w:numFmt w:val="lowerRoman"/>
      <w:start w:val="1"/>
    </w:lvl>
  </w:abstractNum>
  <w:abstractNum w:abstractNumId="78">
    <w:nsid w:val="327FAC77"/>
    <w:multiLevelType w:val="hybridMultilevel"/>
    <w:lvl w:ilvl="0">
      <w:lvlJc w:val="left"/>
      <w:lvlText w:val="(%1)"/>
      <w:numFmt w:val="lowerLetter"/>
      <w:start w:val="1"/>
    </w:lvl>
  </w:abstractNum>
  <w:abstractNum w:abstractNumId="79">
    <w:nsid w:val="5A606509"/>
    <w:multiLevelType w:val="hybridMultilevel"/>
    <w:lvl w:ilvl="0">
      <w:lvlJc w:val="left"/>
      <w:lvlText w:val="(%1)"/>
      <w:numFmt w:val="lowerLetter"/>
      <w:start w:val="3"/>
    </w:lvl>
  </w:abstractNum>
  <w:abstractNum w:abstractNumId="80">
    <w:nsid w:val="6F38E6D1"/>
    <w:multiLevelType w:val="hybridMultilevel"/>
    <w:lvl w:ilvl="0">
      <w:lvlJc w:val="left"/>
      <w:lvlText w:val="(%1)"/>
      <w:numFmt w:val="lowerLetter"/>
      <w:start w:val="1"/>
    </w:lvl>
  </w:abstractNum>
  <w:abstractNum w:abstractNumId="81">
    <w:nsid w:val="46111BA5"/>
    <w:multiLevelType w:val="hybridMultilevel"/>
    <w:lvl w:ilvl="0">
      <w:lvlJc w:val="left"/>
      <w:lvlText w:val="(%1)"/>
      <w:numFmt w:val="lowerLetter"/>
      <w:start w:val="3"/>
    </w:lvl>
  </w:abstractNum>
  <w:abstractNum w:abstractNumId="82">
    <w:nsid w:val="5E963896"/>
    <w:multiLevelType w:val="hybridMultilevel"/>
    <w:lvl w:ilvl="0">
      <w:lvlJc w:val="left"/>
      <w:lvlText w:val="(%1)"/>
      <w:numFmt w:val="lowerLetter"/>
      <w:start w:val="1"/>
    </w:lvl>
  </w:abstractNum>
  <w:abstractNum w:abstractNumId="83">
    <w:nsid w:val="775BA7C1"/>
    <w:multiLevelType w:val="hybridMultilevel"/>
    <w:lvl w:ilvl="0">
      <w:lvlJc w:val="left"/>
      <w:lvlText w:val="(%1)"/>
      <w:numFmt w:val="lowerLetter"/>
      <w:start w:val="2"/>
    </w:lvl>
    <w:lvl w:ilvl="1">
      <w:lvlJc w:val="left"/>
      <w:lvlText w:val="(%2)"/>
      <w:numFmt w:val="lowerRoman"/>
      <w:start w:val="1"/>
    </w:lvl>
  </w:abstractNum>
  <w:abstractNum w:abstractNumId="84">
    <w:nsid w:val="1DD6D6F4"/>
    <w:multiLevelType w:val="hybridMultilevel"/>
    <w:lvl w:ilvl="0">
      <w:lvlJc w:val="left"/>
      <w:lvlText w:val="%1"/>
      <w:numFmt w:val="lowerLetter"/>
      <w:start w:val="1"/>
    </w:lvl>
    <w:lvl w:ilvl="1">
      <w:lvlJc w:val="left"/>
      <w:lvlText w:val="(%2)"/>
      <w:numFmt w:val="lowerLetter"/>
      <w:start w:val="3"/>
    </w:lvl>
  </w:abstractNum>
  <w:abstractNum w:abstractNumId="85">
    <w:nsid w:val="769A091F"/>
    <w:multiLevelType w:val="hybridMultilevel"/>
    <w:lvl w:ilvl="0">
      <w:lvlJc w:val="left"/>
      <w:lvlText w:val="(%1)"/>
      <w:numFmt w:val="lowerLetter"/>
      <w:start w:val="4"/>
    </w:lvl>
    <w:lvl w:ilvl="1">
      <w:lvlJc w:val="left"/>
      <w:lvlText w:val="%2"/>
      <w:numFmt w:val="lowerLetter"/>
      <w:start w:val="1"/>
    </w:lvl>
  </w:abstractNum>
  <w:abstractNum w:abstractNumId="86">
    <w:nsid w:val="4695AE95"/>
    <w:multiLevelType w:val="hybridMultilevel"/>
    <w:lvl w:ilvl="0">
      <w:lvlJc w:val="left"/>
      <w:lvlText w:val="%1"/>
      <w:numFmt w:val="lowerLetter"/>
      <w:start w:val="1"/>
    </w:lvl>
    <w:lvl w:ilvl="1">
      <w:lvlJc w:val="left"/>
      <w:lvlText w:val="(%2)"/>
      <w:numFmt w:val="lowerLetter"/>
      <w:start w:val="1"/>
    </w:lvl>
  </w:abstractNum>
  <w:abstractNum w:abstractNumId="87">
    <w:nsid w:val="777A4EAA"/>
    <w:multiLevelType w:val="hybridMultilevel"/>
    <w:lvl w:ilvl="0">
      <w:lvlJc w:val="left"/>
      <w:lvlText w:val="(%1)"/>
      <w:numFmt w:val="lowerLetter"/>
      <w:start w:val="35"/>
    </w:lvl>
    <w:lvl w:ilvl="1">
      <w:lvlJc w:val="left"/>
      <w:lvlText w:val="(%2)"/>
      <w:numFmt w:val="lowerLetter"/>
      <w:start w:val="6"/>
    </w:lvl>
  </w:abstractNum>
  <w:abstractNum w:abstractNumId="88">
    <w:nsid w:val="3F48B982"/>
    <w:multiLevelType w:val="hybridMultilevel"/>
    <w:lvl w:ilvl="0">
      <w:lvlJc w:val="left"/>
      <w:lvlText w:val="(%1)"/>
      <w:numFmt w:val="lowerLetter"/>
      <w:start w:val="7"/>
    </w:lvl>
  </w:abstractNum>
  <w:abstractNum w:abstractNumId="89">
    <w:nsid w:val="46BA8FCA"/>
    <w:multiLevelType w:val="hybridMultilevel"/>
    <w:lvl w:ilvl="0">
      <w:lvlJc w:val="left"/>
      <w:lvlText w:val="(%1)"/>
      <w:numFmt w:val="lowerLetter"/>
      <w:start w:val="1"/>
    </w:lvl>
  </w:abstractNum>
  <w:abstractNum w:abstractNumId="90">
    <w:nsid w:val="7835626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1">
    <w:nsid w:val="665ACA4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92">
    <w:nsid w:val="6835B2AE"/>
    <w:multiLevelType w:val="hybridMultilevel"/>
    <w:lvl w:ilvl="0">
      <w:lvlJc w:val="left"/>
      <w:lvlText w:val="(%1)"/>
      <w:numFmt w:val="lowerLetter"/>
      <w:start w:val="2"/>
    </w:lvl>
  </w:abstractNum>
  <w:abstractNum w:abstractNumId="93">
    <w:nsid w:val="4C187C90"/>
    <w:multiLevelType w:val="hybridMultilevel"/>
    <w:lvl w:ilvl="0">
      <w:lvlJc w:val="left"/>
      <w:lvlText w:val="(%1)"/>
      <w:numFmt w:val="lowerLetter"/>
      <w:start w:val="3"/>
    </w:lvl>
  </w:abstractNum>
  <w:abstractNum w:abstractNumId="94">
    <w:nsid w:val="541F28CD"/>
    <w:multiLevelType w:val="hybridMultilevel"/>
    <w:lvl w:ilvl="0">
      <w:lvlJc w:val="left"/>
      <w:lvlText w:val="(%1)"/>
      <w:numFmt w:val="lowerLetter"/>
      <w:start w:val="1"/>
    </w:lvl>
  </w:abstractNum>
  <w:abstractNum w:abstractNumId="95">
    <w:nsid w:val="7F65FD16"/>
    <w:multiLevelType w:val="hybridMultilevel"/>
    <w:lvl w:ilvl="0">
      <w:lvlJc w:val="left"/>
      <w:lvlText w:val="(%1)"/>
      <w:numFmt w:val="lowerLetter"/>
      <w:start w:val="2"/>
    </w:lvl>
  </w:abstractNum>
  <w:abstractNum w:abstractNumId="96">
    <w:nsid w:val="77C9FD68"/>
    <w:multiLevelType w:val="hybridMultilevel"/>
    <w:lvl w:ilvl="0">
      <w:lvlJc w:val="left"/>
      <w:lvlText w:val="(%1)"/>
      <w:numFmt w:val="lowerLetter"/>
      <w:start w:val="1"/>
    </w:lvl>
    <w:lvl w:ilvl="1">
      <w:lvlJc w:val="left"/>
      <w:lvlText w:val="(%2)"/>
      <w:numFmt w:val="lowerRoman"/>
      <w:start w:val="1"/>
    </w:lvl>
  </w:abstractNum>
  <w:abstractNum w:abstractNumId="97">
    <w:nsid w:val="298A92BA"/>
    <w:multiLevelType w:val="hybridMultilevel"/>
    <w:lvl w:ilvl="0">
      <w:lvlJc w:val="left"/>
      <w:lvlText w:val="%1"/>
      <w:numFmt w:val="lowerLetter"/>
      <w:start w:val="1"/>
    </w:lvl>
    <w:lvl w:ilvl="1">
      <w:lvlJc w:val="left"/>
      <w:lvlText w:val="(%2)"/>
      <w:numFmt w:val="upperLetter"/>
      <w:start w:val="1"/>
    </w:lvl>
  </w:abstractNum>
  <w:abstractNum w:abstractNumId="98">
    <w:nsid w:val="6FE95EAC"/>
    <w:multiLevelType w:val="hybridMultilevel"/>
    <w:lvl w:ilvl="0">
      <w:lvlJc w:val="left"/>
      <w:lvlText w:val="(%1)"/>
      <w:numFmt w:val="lowerLetter"/>
      <w:start w:val="26"/>
    </w:lvl>
    <w:lvl w:ilvl="1">
      <w:lvlJc w:val="left"/>
      <w:lvlText w:val="(%2)"/>
      <w:numFmt w:val="upperLetter"/>
      <w:start w:val="2"/>
    </w:lvl>
  </w:abstractNum>
  <w:abstractNum w:abstractNumId="99">
    <w:nsid w:val="4B697C7A"/>
    <w:multiLevelType w:val="hybridMultilevel"/>
    <w:lvl w:ilvl="0">
      <w:lvlJc w:val="left"/>
      <w:lvlText w:val="(%1)"/>
      <w:numFmt w:val="upperLetter"/>
      <w:start w:val="3"/>
    </w:lvl>
  </w:abstractNum>
  <w:abstractNum w:abstractNumId="100">
    <w:nsid w:val="51A27AA6"/>
    <w:multiLevelType w:val="hybridMultilevel"/>
    <w:lvl w:ilvl="0">
      <w:lvlJc w:val="left"/>
      <w:lvlText w:val="%1"/>
      <w:numFmt w:val="lowerLetter"/>
      <w:start w:val="1"/>
    </w:lvl>
    <w:lvl w:ilvl="1">
      <w:lvlJc w:val="left"/>
      <w:lvlText w:val="(%2)"/>
      <w:numFmt w:val="lowerRoman"/>
      <w:start w:val="4"/>
    </w:lvl>
  </w:abstractNum>
  <w:abstractNum w:abstractNumId="101">
    <w:nsid w:val="613183F2"/>
    <w:multiLevelType w:val="hybridMultilevel"/>
    <w:lvl w:ilvl="0">
      <w:lvlJc w:val="left"/>
      <w:lvlText w:val="(%1)"/>
      <w:numFmt w:val="lowerLetter"/>
      <w:start w:val="2"/>
    </w:lvl>
    <w:lvl w:ilvl="1">
      <w:lvlJc w:val="left"/>
      <w:lvlText w:val="%2"/>
      <w:numFmt w:val="lowerRoman"/>
      <w:start w:val="1"/>
    </w:lvl>
  </w:abstractNum>
  <w:abstractNum w:abstractNumId="102">
    <w:nsid w:val="634102B4"/>
    <w:multiLevelType w:val="hybridMultilevel"/>
    <w:lvl w:ilvl="0">
      <w:lvlJc w:val="left"/>
      <w:lvlText w:val="(%1)"/>
      <w:numFmt w:val="lowerLetter"/>
      <w:start w:val="3"/>
    </w:lvl>
  </w:abstractNum>
  <w:abstractNum w:abstractNumId="103">
    <w:nsid w:val="65BF9DA8"/>
    <w:multiLevelType w:val="hybridMultilevel"/>
    <w:lvl w:ilvl="0">
      <w:lvlJc w:val="left"/>
      <w:lvlText w:val="(%1)"/>
      <w:numFmt w:val="lowerLetter"/>
      <w:start w:val="1"/>
    </w:lvl>
  </w:abstractNum>
  <w:abstractNum w:abstractNumId="104">
    <w:nsid w:val="21A2ECCA"/>
    <w:multiLevelType w:val="hybridMultilevel"/>
    <w:lvl w:ilvl="0">
      <w:lvlJc w:val="left"/>
      <w:lvlText w:val="(%1)"/>
      <w:numFmt w:val="lowerLetter"/>
      <w:start w:val="3"/>
    </w:lvl>
  </w:abstractNum>
  <w:abstractNum w:abstractNumId="105">
    <w:nsid w:val="4D5C4899"/>
    <w:multiLevelType w:val="hybridMultilevel"/>
    <w:lvl w:ilvl="0">
      <w:lvlJc w:val="left"/>
      <w:lvlText w:val="%1"/>
      <w:numFmt w:val="lowerLetter"/>
      <w:start w:val="1"/>
    </w:lvl>
    <w:lvl w:ilvl="1">
      <w:lvlJc w:val="left"/>
      <w:lvlText w:val="(%2)"/>
      <w:numFmt w:val="lowerLetter"/>
      <w:start w:val="5"/>
    </w:lvl>
  </w:abstractNum>
  <w:abstractNum w:abstractNumId="106">
    <w:nsid w:val="3C3B72B2"/>
    <w:multiLevelType w:val="hybridMultilevel"/>
    <w:lvl w:ilvl="0">
      <w:lvlJc w:val="left"/>
      <w:lvlText w:val="(%1)"/>
      <w:numFmt w:val="lowerLetter"/>
      <w:start w:val="61"/>
    </w:lvl>
    <w:lvl w:ilvl="1">
      <w:lvlJc w:val="left"/>
      <w:lvlText w:val="%2"/>
      <w:numFmt w:val="lowerLetter"/>
      <w:start w:val="1"/>
    </w:lvl>
  </w:abstractNum>
  <w:abstractNum w:abstractNumId="107">
    <w:nsid w:val="155EC4C2"/>
    <w:multiLevelType w:val="hybridMultilevel"/>
    <w:lvl w:ilvl="0">
      <w:lvlJc w:val="left"/>
      <w:lvlText w:val="(%1)"/>
      <w:numFmt w:val="lowerLetter"/>
      <w:start w:val="7"/>
    </w:lvl>
  </w:abstractNum>
  <w:abstractNum w:abstractNumId="108">
    <w:nsid w:val="65D2A13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9">
    <w:nsid w:val="6EBB1F2A"/>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abstractNum>
  <w:abstractNum w:abstractNumId="110">
    <w:nsid w:val="6FBF29CB"/>
    <w:multiLevelType w:val="hybridMultilevel"/>
    <w:lvl w:ilvl="0">
      <w:lvlJc w:val="left"/>
      <w:lvlText w:val="%1"/>
      <w:numFmt w:val="lowerLetter"/>
      <w:start w:val="1"/>
    </w:lvl>
    <w:lvl w:ilvl="1">
      <w:lvlJc w:val="left"/>
      <w:lvlText w:val="(%2)"/>
      <w:numFmt w:val="lowerLetter"/>
      <w:start w:val="35"/>
    </w:lvl>
  </w:abstractNum>
  <w:abstractNum w:abstractNumId="111">
    <w:nsid w:val="550B8808"/>
    <w:multiLevelType w:val="hybridMultilevel"/>
    <w:lvl w:ilvl="0">
      <w:lvlJc w:val="left"/>
      <w:lvlText w:val="(%1)"/>
      <w:numFmt w:val="lowerLetter"/>
      <w:start w:val="11"/>
    </w:lvl>
    <w:lvl w:ilvl="1">
      <w:lvlJc w:val="left"/>
      <w:lvlText w:val="%2"/>
      <w:numFmt w:val="lowerLetter"/>
      <w:start w:val="1"/>
    </w:lvl>
  </w:abstractNum>
  <w:abstractNum w:abstractNumId="112">
    <w:nsid w:val="34CC3ACF"/>
    <w:multiLevelType w:val="hybridMultilevel"/>
    <w:lvl w:ilvl="0">
      <w:lvlJc w:val="left"/>
      <w:lvlText w:val="(%1)"/>
      <w:numFmt w:val="lowerLetter"/>
      <w:start w:val="12"/>
    </w:lvl>
  </w:abstractNum>
  <w:abstractNum w:abstractNumId="113">
    <w:nsid w:val="4E556261"/>
    <w:multiLevelType w:val="hybridMultilevel"/>
    <w:lvl w:ilvl="0">
      <w:lvlJc w:val="left"/>
      <w:lvlText w:val="(%1)"/>
      <w:numFmt w:val="lowerLetter"/>
      <w:start w:val="1"/>
    </w:lvl>
  </w:abstractNum>
  <w:abstractNum w:abstractNumId="114">
    <w:nsid w:val="4C672FC9"/>
    <w:multiLevelType w:val="hybridMultilevel"/>
    <w:lvl w:ilvl="0">
      <w:lvlJc w:val="left"/>
      <w:lvlText w:val="(%1)"/>
      <w:numFmt w:val="lowerLetter"/>
      <w:start w:val="2"/>
    </w:lvl>
  </w:abstractNum>
  <w:abstractNum w:abstractNumId="115">
    <w:nsid w:val="52A311C3"/>
    <w:multiLevelType w:val="hybridMultilevel"/>
    <w:lvl w:ilvl="0">
      <w:lvlJc w:val="left"/>
      <w:lvlText w:val="(%1)"/>
      <w:numFmt w:val="lowerLetter"/>
      <w:start w:val="5"/>
    </w:lvl>
  </w:abstractNum>
  <w:abstractNum w:abstractNumId="116">
    <w:nsid w:val="44EF6B80"/>
    <w:multiLevelType w:val="hybridMultilevel"/>
    <w:lvl w:ilvl="0">
      <w:lvlJc w:val="left"/>
      <w:lvlText w:val="(%1)"/>
      <w:numFmt w:val="lowerLetter"/>
      <w:start w:val="1"/>
    </w:lvl>
  </w:abstractNum>
  <w:abstractNum w:abstractNumId="117">
    <w:nsid w:val="12FCDE5E"/>
    <w:multiLevelType w:val="hybridMultilevel"/>
    <w:lvl w:ilvl="0">
      <w:lvlJc w:val="left"/>
      <w:lvlText w:val="(%1)"/>
      <w:numFmt w:val="lowerLetter"/>
      <w:start w:val="3"/>
    </w:lvl>
  </w:abstractNum>
  <w:abstractNum w:abstractNumId="118">
    <w:nsid w:val="4A1D606E"/>
    <w:multiLevelType w:val="hybridMultilevel"/>
    <w:lvl w:ilvl="0">
      <w:lvlJc w:val="left"/>
      <w:lvlText w:val="(%1)"/>
      <w:numFmt w:val="lowerLetter"/>
      <w:start w:val="6"/>
    </w:lvl>
  </w:abstractNum>
  <w:abstractNum w:abstractNumId="119">
    <w:nsid w:val="4382503"/>
    <w:multiLevelType w:val="hybridMultilevel"/>
    <w:lvl w:ilvl="0">
      <w:lvlJc w:val="left"/>
      <w:lvlText w:val="(%1)"/>
      <w:numFmt w:val="lowerRoman"/>
      <w:start w:val="1"/>
    </w:lvl>
  </w:abstractNum>
  <w:abstractNum w:abstractNumId="120">
    <w:nsid w:val="59B76E28"/>
    <w:multiLevelType w:val="hybridMultilevel"/>
    <w:lvl w:ilvl="0">
      <w:lvlJc w:val="left"/>
      <w:lvlText w:val="%1"/>
      <w:numFmt w:val="lowerLetter"/>
      <w:start w:val="1"/>
    </w:lvl>
    <w:lvl w:ilvl="1">
      <w:lvlJc w:val="left"/>
      <w:lvlText w:val="(%2)"/>
      <w:numFmt w:val="lowerLetter"/>
      <w:start w:val="1"/>
    </w:lvl>
  </w:abstractNum>
  <w:abstractNum w:abstractNumId="121">
    <w:nsid w:val="4252C2DA"/>
    <w:multiLevelType w:val="hybridMultilevel"/>
    <w:lvl w:ilvl="0">
      <w:lvlJc w:val="left"/>
      <w:lvlText w:val="(%1)"/>
      <w:numFmt w:val="lowerLetter"/>
      <w:start w:val="35"/>
    </w:lvl>
    <w:lvl w:ilvl="1">
      <w:lvlJc w:val="left"/>
      <w:lvlText w:val="%2"/>
      <w:numFmt w:val="lowerLetter"/>
      <w:start w:val="1"/>
    </w:lvl>
  </w:abstractNum>
  <w:abstractNum w:abstractNumId="122">
    <w:nsid w:val="6A92EF4C"/>
    <w:multiLevelType w:val="hybridMultilevel"/>
    <w:lvl w:ilvl="0">
      <w:lvlJc w:val="left"/>
      <w:lvlText w:val="(%1)"/>
      <w:numFmt w:val="lowerLetter"/>
      <w:start w:val="1"/>
    </w:lvl>
  </w:abstractNum>
  <w:abstractNum w:abstractNumId="123">
    <w:nsid w:val="41ED20D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4">
    <w:nsid w:val="E6B3F6A"/>
    <w:multiLevelType w:val="hybridMultilevel"/>
    <w:lvl w:ilvl="0">
      <w:lvlJc w:val="left"/>
      <w:lvlText w:val="(%1)"/>
      <w:numFmt w:val="lowerLetter"/>
      <w:start w:val="1"/>
    </w:lvl>
    <w:lvl w:ilvl="1">
      <w:lvlJc w:val="left"/>
      <w:lvlText w:val="(%2)"/>
      <w:numFmt w:val="lowerRoman"/>
      <w:start w:val="1"/>
    </w:lvl>
  </w:abstractNum>
  <w:abstractNum w:abstractNumId="125">
    <w:nsid w:val="3EB21819"/>
    <w:multiLevelType w:val="hybridMultilevel"/>
    <w:lvl w:ilvl="0">
      <w:lvlJc w:val="left"/>
      <w:lvlText w:val="(%1)"/>
      <w:numFmt w:val="decimal"/>
      <w:start w:val="1"/>
    </w:lvl>
  </w:abstractNum>
  <w:abstractNum w:abstractNumId="126">
    <w:nsid w:val="41531DED"/>
    <w:multiLevelType w:val="hybridMultilevel"/>
    <w:lvl w:ilvl="0">
      <w:lvlJc w:val="left"/>
      <w:lvlText w:val="%1"/>
      <w:numFmt w:val="upperLetter"/>
      <w:start w:val="1"/>
    </w:lvl>
    <w:lvl w:ilvl="1">
      <w:lvlJc w:val="left"/>
      <w:lvlText w:val="(%2)"/>
      <w:numFmt w:val="lowerRoman"/>
      <w:start w:val="7"/>
    </w:lvl>
  </w:abstractNum>
  <w:abstractNum w:abstractNumId="127">
    <w:nsid w:val="6353CD2"/>
    <w:multiLevelType w:val="hybridMultilevel"/>
    <w:lvl w:ilvl="0">
      <w:lvlJc w:val="left"/>
      <w:lvlText w:val="(%1)"/>
      <w:numFmt w:val="upperLetter"/>
      <w:start w:val="1"/>
    </w:lvl>
    <w:lvl w:ilvl="1">
      <w:lvlJc w:val="left"/>
      <w:lvlText w:val="(%2)"/>
      <w:numFmt w:val="lowerRoman"/>
      <w:start w:val="11"/>
    </w:lvl>
  </w:abstractNum>
  <w:abstractNum w:abstractNumId="128">
    <w:nsid w:val="683CAAD3"/>
    <w:multiLevelType w:val="hybridMultilevel"/>
    <w:lvl w:ilvl="0">
      <w:lvlJc w:val="left"/>
      <w:lvlText w:val="%1"/>
      <w:numFmt w:val="lowerLetter"/>
      <w:start w:val="1"/>
    </w:lvl>
    <w:lvl w:ilvl="1">
      <w:lvlJc w:val="left"/>
      <w:lvlText w:val="(%2)"/>
      <w:numFmt w:val="lowerLetter"/>
      <w:start w:val="2"/>
    </w:lvl>
  </w:abstractNum>
  <w:abstractNum w:abstractNumId="129">
    <w:nsid w:val="313C7C99"/>
    <w:multiLevelType w:val="hybridMultilevel"/>
    <w:lvl w:ilvl="0">
      <w:lvlJc w:val="left"/>
      <w:lvlText w:val="(%1)"/>
      <w:numFmt w:val="lowerLetter"/>
      <w:start w:val="35"/>
    </w:lvl>
    <w:lvl w:ilvl="1">
      <w:lvlJc w:val="left"/>
      <w:lvlText w:val="(%2)"/>
      <w:numFmt w:val="lowerLetter"/>
      <w:start w:val="4"/>
    </w:lvl>
  </w:abstractNum>
  <w:abstractNum w:abstractNumId="130">
    <w:nsid w:val="519EB94C"/>
    <w:multiLevelType w:val="hybridMultilevel"/>
    <w:lvl w:ilvl="0">
      <w:lvlJc w:val="left"/>
      <w:lvlText w:val="(%1)"/>
      <w:numFmt w:val="lowerLetter"/>
      <w:start w:val="7"/>
    </w:lvl>
  </w:abstractNum>
  <w:abstractNum w:abstractNumId="131">
    <w:nsid w:val="39DF2579"/>
    <w:multiLevelType w:val="hybridMultilevel"/>
    <w:lvl w:ilvl="0">
      <w:lvlJc w:val="left"/>
      <w:lvlText w:val="(%1)"/>
      <w:numFmt w:val="lowerLetter"/>
      <w:start w:val="1"/>
    </w:lvl>
  </w:abstractNum>
  <w:abstractNum w:abstractNumId="132">
    <w:nsid w:val="126E008B"/>
    <w:multiLevelType w:val="hybridMultilevel"/>
    <w:lvl w:ilvl="0">
      <w:lvlJc w:val="left"/>
      <w:lvlText w:val="(%1)"/>
      <w:numFmt w:val="lowerLetter"/>
      <w:start w:val="1"/>
    </w:lvl>
  </w:abstractNum>
  <w:abstractNum w:abstractNumId="133">
    <w:nsid w:val="34DFBC00"/>
    <w:multiLevelType w:val="hybridMultilevel"/>
    <w:lvl w:ilvl="0">
      <w:lvlJc w:val="left"/>
      <w:lvlText w:val="%1"/>
      <w:numFmt w:val="upperLetter"/>
      <w:start w:val="1"/>
    </w:lvl>
    <w:lvl w:ilvl="1">
      <w:lvlJc w:val="left"/>
      <w:lvlText w:val="(%2)"/>
      <w:numFmt w:val="lowerLetter"/>
      <w:start w:val="1"/>
    </w:lvl>
  </w:abstractNum>
  <w:abstractNum w:abstractNumId="134">
    <w:nsid w:val="1F9EC322"/>
    <w:multiLevelType w:val="hybridMultilevel"/>
    <w:lvl w:ilvl="0">
      <w:lvlJc w:val="left"/>
      <w:lvlText w:val="(%1)"/>
      <w:numFmt w:val="lowerLetter"/>
      <w:start w:val="1"/>
    </w:lvl>
  </w:abstractNum>
  <w:abstractNum w:abstractNumId="135">
    <w:nsid w:val="3410ED56"/>
    <w:multiLevelType w:val="hybridMultilevel"/>
    <w:lvl w:ilvl="0">
      <w:lvlJc w:val="left"/>
      <w:lvlText w:val="(%1)"/>
      <w:numFmt w:val="lowerLetter"/>
      <w:start w:val="1"/>
    </w:lvl>
  </w:abstractNum>
  <w:abstractNum w:abstractNumId="136">
    <w:nsid w:val="23C049A"/>
    <w:multiLevelType w:val="hybridMultilevel"/>
    <w:lvl w:ilvl="0">
      <w:lvlJc w:val="left"/>
      <w:lvlText w:val="(%1)"/>
      <w:numFmt w:val="lowerLetter"/>
      <w:start w:val="2"/>
    </w:lvl>
  </w:abstractNum>
  <w:abstractNum w:abstractNumId="137">
    <w:nsid w:val="5BDA35D4"/>
    <w:multiLevelType w:val="hybridMultilevel"/>
    <w:lvl w:ilvl="0">
      <w:lvlJc w:val="left"/>
      <w:lvlText w:val="(%1)"/>
      <w:numFmt w:val="lowerLetter"/>
      <w:start w:val="1"/>
    </w:lvl>
  </w:abstractNum>
  <w:abstractNum w:abstractNumId="138">
    <w:nsid w:val="496FB218"/>
    <w:multiLevelType w:val="hybridMultilevel"/>
    <w:lvl w:ilvl="0">
      <w:lvlJc w:val="left"/>
      <w:lvlText w:val="(%1)"/>
      <w:numFmt w:val="lowerLetter"/>
      <w:start w:val="1"/>
    </w:lvl>
  </w:abstractNum>
  <w:abstractNum w:abstractNumId="139">
    <w:nsid w:val="680EA5D1"/>
    <w:multiLevelType w:val="hybridMultilevel"/>
    <w:lvl w:ilvl="0">
      <w:lvlJc w:val="left"/>
      <w:lvlText w:val="(%1)"/>
      <w:numFmt w:val="lowerLetter"/>
      <w:start w:val="1"/>
    </w:lvl>
    <w:lvl w:ilvl="1">
      <w:lvlJc w:val="left"/>
      <w:lvlText w:val="(%2)"/>
      <w:numFmt w:val="lowerRoman"/>
      <w:start w:val="1"/>
    </w:lvl>
  </w:abstractNum>
  <w:abstractNum w:abstractNumId="140">
    <w:nsid w:val="4A9554FE"/>
    <w:multiLevelType w:val="hybridMultilevel"/>
    <w:lvl w:ilvl="0">
      <w:lvlJc w:val="left"/>
      <w:lvlText w:val="(%1)"/>
      <w:numFmt w:val="lowerLetter"/>
      <w:start w:val="2"/>
    </w:lvl>
  </w:abstractNum>
  <w:abstractNum w:abstractNumId="141">
    <w:nsid w:val="392EDBE4"/>
    <w:multiLevelType w:val="hybridMultilevel"/>
    <w:lvl w:ilvl="0">
      <w:lvlJc w:val="left"/>
      <w:lvlText w:val="(%1)"/>
      <w:numFmt w:val="lowerLetter"/>
      <w:start w:val="1"/>
    </w:lvl>
  </w:abstractNum>
  <w:abstractNum w:abstractNumId="142">
    <w:nsid w:val="3D1A2DD9"/>
    <w:multiLevelType w:val="hybridMultilevel"/>
    <w:lvl w:ilvl="0">
      <w:lvlJc w:val="left"/>
      <w:lvlText w:val="(%1)"/>
      <w:numFmt w:val="lowerLetter"/>
      <w:start w:val="3"/>
    </w:lvl>
    <w:lvl w:ilvl="1">
      <w:lvlJc w:val="left"/>
      <w:lvlText w:val="(%2)"/>
      <w:numFmt w:val="lowerRoman"/>
      <w:start w:val="1"/>
    </w:lvl>
  </w:abstractNum>
  <w:abstractNum w:abstractNumId="143">
    <w:nsid w:val="7F618FCD"/>
    <w:multiLevelType w:val="hybridMultilevel"/>
    <w:lvl w:ilvl="0">
      <w:lvlJc w:val="left"/>
      <w:lvlText w:val="(%1)"/>
      <w:numFmt w:val="lowerLetter"/>
      <w:start w:val="5"/>
    </w:lvl>
    <w:lvl w:ilvl="1">
      <w:lvlJc w:val="left"/>
      <w:lvlText w:val="(%2)"/>
      <w:numFmt w:val="lowerLetter"/>
      <w:start w:val="9"/>
    </w:lvl>
  </w:abstractNum>
  <w:abstractNum w:abstractNumId="144">
    <w:nsid w:val="7843E45"/>
    <w:multiLevelType w:val="hybridMultilevel"/>
    <w:lvl w:ilvl="0">
      <w:lvlJc w:val="left"/>
      <w:lvlText w:val="%1"/>
      <w:numFmt w:val="lowerLetter"/>
      <w:start w:val="1"/>
    </w:lvl>
    <w:lvl w:ilvl="1">
      <w:lvlJc w:val="left"/>
      <w:lvlText w:val="(%2)"/>
      <w:numFmt w:val="lowerLetter"/>
      <w:start w:val="35"/>
    </w:lvl>
  </w:abstractNum>
  <w:abstractNum w:abstractNumId="145">
    <w:nsid w:val="9815DA3"/>
    <w:multiLevelType w:val="hybridMultilevel"/>
    <w:lvl w:ilvl="0">
      <w:lvlJc w:val="left"/>
      <w:lvlText w:val="(%1)"/>
      <w:numFmt w:val="lowerLetter"/>
      <w:start w:val="7"/>
    </w:lvl>
    <w:lvl w:ilvl="1">
      <w:lvlJc w:val="left"/>
      <w:lvlText w:val="%2"/>
      <w:numFmt w:val="lowerLetter"/>
      <w:start w:val="1"/>
    </w:lvl>
  </w:abstractNum>
  <w:abstractNum w:abstractNumId="146">
    <w:nsid w:val="5204A191"/>
    <w:multiLevelType w:val="hybridMultilevel"/>
    <w:lvl w:ilvl="0">
      <w:lvlJc w:val="left"/>
      <w:lvlText w:val="%1"/>
      <w:numFmt w:val="upperLetter"/>
      <w:start w:val="1"/>
    </w:lvl>
    <w:lvl w:ilvl="1">
      <w:lvlJc w:val="left"/>
      <w:lvlText w:val="(%2)"/>
      <w:numFmt w:val="lowerLetter"/>
      <w:start w:val="1"/>
    </w:lvl>
  </w:abstractNum>
  <w:abstractNum w:abstractNumId="147">
    <w:nsid w:val="4C73A9C6"/>
    <w:multiLevelType w:val="hybridMultilevel"/>
    <w:lvl w:ilvl="0">
      <w:lvlJc w:val="left"/>
      <w:lvlText w:val="(%1)"/>
      <w:numFmt w:val="upperLetter"/>
      <w:start w:val="2"/>
    </w:lvl>
    <w:lvl w:ilvl="1">
      <w:lvlJc w:val="left"/>
      <w:lvlText w:val="(%2)"/>
      <w:numFmt w:val="lowerLetter"/>
      <w:start w:val="2"/>
    </w:lvl>
  </w:abstractNum>
  <w:abstractNum w:abstractNumId="148">
    <w:nsid w:val="1C7E3C01"/>
    <w:multiLevelType w:val="hybridMultilevel"/>
    <w:lvl w:ilvl="0">
      <w:lvlJc w:val="left"/>
      <w:lvlText w:val="(%1)"/>
      <w:numFmt w:val="lowerLetter"/>
      <w:start w:val="1"/>
    </w:lvl>
  </w:abstractNum>
  <w:abstractNum w:abstractNumId="149">
    <w:nsid w:val="1C2201FF"/>
    <w:multiLevelType w:val="hybridMultilevel"/>
    <w:lvl w:ilvl="0">
      <w:lvlJc w:val="left"/>
      <w:lvlText w:val="%1"/>
      <w:numFmt w:val="lowerLetter"/>
      <w:start w:val="1"/>
    </w:lvl>
    <w:lvl w:ilvl="1">
      <w:lvlJc w:val="left"/>
      <w:lvlText w:val="(%2)"/>
      <w:numFmt w:val="lowerLetter"/>
      <w:start w:val="2"/>
    </w:lvl>
  </w:abstractNum>
  <w:abstractNum w:abstractNumId="150">
    <w:nsid w:val="50ABCEC9"/>
    <w:multiLevelType w:val="hybridMultilevel"/>
    <w:lvl w:ilvl="0">
      <w:lvlJc w:val="left"/>
      <w:lvlText w:val="(%1)"/>
      <w:numFmt w:val="lowerLetter"/>
      <w:start w:val="61"/>
    </w:lvl>
    <w:lvl w:ilvl="1">
      <w:lvlJc w:val="left"/>
      <w:lvlText w:val="(%2)"/>
      <w:numFmt w:val="lowerLetter"/>
      <w:start w:val="4"/>
    </w:lvl>
  </w:abstractNum>
  <w:abstractNum w:abstractNumId="151">
    <w:nsid w:val="7635AA2A"/>
    <w:multiLevelType w:val="hybridMultilevel"/>
    <w:lvl w:ilvl="0">
      <w:lvlJc w:val="left"/>
      <w:lvlText w:val="(%1)"/>
      <w:numFmt w:val="lowerLetter"/>
      <w:start w:val="1"/>
    </w:lvl>
  </w:abstractNum>
  <w:abstractNum w:abstractNumId="152">
    <w:nsid w:val="5E74C4D9"/>
    <w:multiLevelType w:val="hybridMultilevel"/>
    <w:lvl w:ilvl="0">
      <w:lvlJc w:val="left"/>
      <w:lvlText w:val="(%1)"/>
      <w:numFmt w:val="lowerLetter"/>
      <w:start w:val="2"/>
    </w:lvl>
  </w:abstractNum>
  <w:abstractNum w:abstractNumId="153">
    <w:nsid w:val="3B3EBE15"/>
    <w:multiLevelType w:val="hybridMultilevel"/>
    <w:lvl w:ilvl="0">
      <w:lvlJc w:val="left"/>
      <w:lvlText w:val="(%1)"/>
      <w:numFmt w:val="lowerLetter"/>
      <w:start w:val="1"/>
    </w:lvl>
    <w:lvl w:ilvl="1">
      <w:lvlJc w:val="left"/>
      <w:lvlText w:val="(%2)"/>
      <w:numFmt w:val="lowerRoman"/>
      <w:start w:val="1"/>
    </w:lvl>
  </w:abstractNum>
  <w:abstractNum w:abstractNumId="154">
    <w:nsid w:val="3822CB01"/>
    <w:multiLevelType w:val="hybridMultilevel"/>
    <w:lvl w:ilvl="0">
      <w:lvlJc w:val="left"/>
      <w:lvlText w:val="(%1)"/>
      <w:numFmt w:val="lowerRoman"/>
      <w:start w:val="3"/>
    </w:lvl>
  </w:abstractNum>
  <w:abstractNum w:abstractNumId="155">
    <w:nsid w:val="6CE00443"/>
    <w:multiLevelType w:val="hybridMultilevel"/>
    <w:lvl w:ilvl="0">
      <w:lvlJc w:val="left"/>
      <w:lvlText w:val="(%1)"/>
      <w:numFmt w:val="lowerLetter"/>
      <w:start w:val="2"/>
    </w:lvl>
  </w:abstractNum>
  <w:abstractNum w:abstractNumId="156">
    <w:nsid w:val="79F0D62F"/>
    <w:multiLevelType w:val="hybridMultilevel"/>
    <w:lvl w:ilvl="0">
      <w:lvlJc w:val="left"/>
      <w:lvlText w:val="%1"/>
      <w:numFmt w:val="lowerLetter"/>
      <w:start w:val="1"/>
    </w:lvl>
    <w:lvl w:ilvl="1">
      <w:lvlJc w:val="left"/>
      <w:lvlText w:val="(%2)"/>
      <w:numFmt w:val="lowerLetter"/>
      <w:start w:val="1"/>
    </w:lvl>
  </w:abstractNum>
  <w:abstractNum w:abstractNumId="157">
    <w:nsid w:val="7975E8EE"/>
    <w:multiLevelType w:val="hybridMultilevel"/>
    <w:lvl w:ilvl="0">
      <w:lvlJc w:val="left"/>
      <w:lvlText w:val="(%1)"/>
      <w:numFmt w:val="lowerLetter"/>
      <w:start w:val="35"/>
    </w:lvl>
    <w:lvl w:ilvl="1">
      <w:lvlJc w:val="left"/>
      <w:lvlText w:val="(%2)"/>
      <w:numFmt w:val="lowerLetter"/>
      <w:start w:val="5"/>
    </w:lvl>
  </w:abstractNum>
  <w:abstractNum w:abstractNumId="158">
    <w:nsid w:val="73154115"/>
    <w:multiLevelType w:val="hybridMultilevel"/>
    <w:lvl w:ilvl="0">
      <w:lvlJc w:val="left"/>
      <w:lvlText w:val="(%1)"/>
      <w:numFmt w:val="lowerLetter"/>
      <w:start w:val="6"/>
    </w:lvl>
  </w:abstractNum>
  <w:abstractNum w:abstractNumId="159">
    <w:nsid w:val="622D8102"/>
    <w:multiLevelType w:val="hybridMultilevel"/>
    <w:lvl w:ilvl="0">
      <w:lvlJc w:val="left"/>
      <w:lvlText w:val="(%1)"/>
      <w:numFmt w:val="lowerLetter"/>
      <w:start w:val="12"/>
    </w:lvl>
  </w:abstractNum>
  <w:abstractNum w:abstractNumId="160">
    <w:nsid w:val="2AB26587"/>
    <w:multiLevelType w:val="hybridMultilevel"/>
    <w:lvl w:ilvl="0">
      <w:lvlJc w:val="left"/>
      <w:lvlText w:val="(%1)"/>
      <w:numFmt w:val="lowerLetter"/>
      <w:start w:val="1"/>
    </w:lvl>
  </w:abstractNum>
  <w:abstractNum w:abstractNumId="161">
    <w:nsid w:val="44B3FA61"/>
    <w:multiLevelType w:val="hybridMultilevel"/>
    <w:lvl w:ilvl="0">
      <w:lvlJc w:val="left"/>
      <w:lvlText w:val="(%1)"/>
      <w:numFmt w:val="lowerLetter"/>
      <w:start w:val="3"/>
    </w:lvl>
  </w:abstractNum>
  <w:abstractNum w:abstractNumId="162">
    <w:nsid w:val="1C0CA67C"/>
    <w:multiLevelType w:val="hybridMultilevel"/>
    <w:lvl w:ilvl="0">
      <w:lvlJc w:val="left"/>
      <w:lvlText w:val="(%1)"/>
      <w:numFmt w:val="lowerLetter"/>
      <w:start w:val="1"/>
    </w:lvl>
  </w:abstractNum>
  <w:abstractNum w:abstractNumId="163">
    <w:nsid w:val="3D206613"/>
    <w:multiLevelType w:val="hybridMultilevel"/>
    <w:lvl w:ilvl="0">
      <w:lvlJc w:val="left"/>
      <w:lvlText w:val="(%1)"/>
      <w:numFmt w:val="lowerLetter"/>
      <w:start w:val="1"/>
    </w:lvl>
  </w:abstractNum>
  <w:abstractNum w:abstractNumId="164">
    <w:nsid w:val="7993B662"/>
    <w:multiLevelType w:val="hybridMultilevel"/>
    <w:lvl w:ilvl="0">
      <w:lvlJc w:val="left"/>
      <w:lvlText w:val="(%1)"/>
      <w:numFmt w:val="lowerLetter"/>
      <w:start w:val="5"/>
    </w:lvl>
  </w:abstractNum>
  <w:abstractNum w:abstractNumId="165">
    <w:nsid w:val="3BAB699E"/>
    <w:multiLevelType w:val="hybridMultilevel"/>
    <w:lvl w:ilvl="0">
      <w:lvlJc w:val="left"/>
      <w:lvlText w:val="%1"/>
      <w:numFmt w:val="lowerLetter"/>
      <w:start w:val="1"/>
    </w:lvl>
    <w:lvl w:ilvl="1">
      <w:lvlJc w:val="left"/>
      <w:lvlText w:val="(%2)"/>
      <w:numFmt w:val="lowerLetter"/>
      <w:start w:val="1"/>
    </w:lvl>
  </w:abstractNum>
  <w:abstractNum w:abstractNumId="166">
    <w:nsid w:val="71315369"/>
    <w:multiLevelType w:val="hybridMultilevel"/>
    <w:lvl w:ilvl="0">
      <w:lvlJc w:val="left"/>
      <w:lvlText w:val="(%1)"/>
      <w:numFmt w:val="lowerLetter"/>
      <w:start w:val="25"/>
    </w:lvl>
    <w:lvl w:ilvl="1">
      <w:lvlJc w:val="left"/>
      <w:lvlText w:val="%2"/>
      <w:numFmt w:val="lowerLetter"/>
      <w:start w:val="1"/>
    </w:lvl>
  </w:abstractNum>
  <w:abstractNum w:abstractNumId="167">
    <w:nsid w:val="7BCFBAFC"/>
    <w:multiLevelType w:val="hybridMultilevel"/>
    <w:lvl w:ilvl="0">
      <w:lvlJc w:val="left"/>
      <w:lvlText w:val="(%1)"/>
      <w:numFmt w:val="lowerRoman"/>
      <w:start w:val="1"/>
    </w:lvl>
  </w:abstractNum>
  <w:abstractNum w:abstractNumId="168">
    <w:nsid w:val="17859F72"/>
    <w:multiLevelType w:val="hybridMultilevel"/>
    <w:lvl w:ilvl="0">
      <w:lvlJc w:val="left"/>
      <w:lvlText w:val="(%1)"/>
      <w:numFmt w:val="lowerLetter"/>
      <w:start w:val="10"/>
    </w:lvl>
  </w:abstractNum>
  <w:abstractNum w:abstractNumId="169">
    <w:nsid w:val="3AA10581"/>
    <w:multiLevelType w:val="hybridMultilevel"/>
    <w:lvl w:ilvl="0">
      <w:lvlJc w:val="left"/>
      <w:lvlText w:val="(%1)"/>
      <w:numFmt w:val="lowerLetter"/>
      <w:start w:val="1"/>
    </w:lvl>
  </w:abstractNum>
  <w:abstractNum w:abstractNumId="170">
    <w:nsid w:val="63DE60CD"/>
    <w:multiLevelType w:val="hybridMultilevel"/>
    <w:lvl w:ilvl="0">
      <w:lvlJc w:val="left"/>
      <w:lvlText w:val="(%1)"/>
      <w:numFmt w:val="lowerLetter"/>
      <w:start w:val="2"/>
    </w:lvl>
  </w:abstractNum>
  <w:abstractNum w:abstractNumId="171">
    <w:nsid w:val="621AF471"/>
    <w:multiLevelType w:val="hybridMultilevel"/>
    <w:lvl w:ilvl="0">
      <w:lvlJc w:val="left"/>
      <w:lvlText w:val="(%1)"/>
      <w:numFmt w:val="lowerLetter"/>
      <w:start w:val="8"/>
    </w:lvl>
  </w:abstractNum>
  <w:abstractNum w:abstractNumId="172">
    <w:nsid w:val="73CFE165"/>
    <w:multiLevelType w:val="hybridMultilevel"/>
    <w:lvl w:ilvl="0">
      <w:lvlJc w:val="left"/>
      <w:lvlText w:val="(%1)"/>
      <w:numFmt w:val="lowerLetter"/>
      <w:start w:val="9"/>
    </w:lvl>
  </w:abstractNum>
  <w:abstractNum w:abstractNumId="173">
    <w:nsid w:val="20F88EA6"/>
    <w:multiLevelType w:val="hybridMultilevel"/>
    <w:lvl w:ilvl="0">
      <w:lvlJc w:val="left"/>
      <w:lvlText w:val="(%1)"/>
      <w:numFmt w:val="lowerLetter"/>
      <w:start w:val="1"/>
    </w:lvl>
  </w:abstractNum>
  <w:abstractNum w:abstractNumId="174">
    <w:nsid w:val="617C843E"/>
    <w:multiLevelType w:val="hybridMultilevel"/>
    <w:lvl w:ilvl="0">
      <w:lvlJc w:val="left"/>
      <w:lvlText w:val="(%1)"/>
      <w:numFmt w:val="lowerLetter"/>
      <w:start w:val="1"/>
    </w:lvl>
  </w:abstractNum>
  <w:abstractNum w:abstractNumId="175">
    <w:nsid w:val="7B541FAB"/>
    <w:multiLevelType w:val="hybridMultilevel"/>
    <w:lvl w:ilvl="0">
      <w:lvlJc w:val="left"/>
      <w:lvlText w:val="(%1)"/>
      <w:numFmt w:val="lowerLetter"/>
      <w:start w:val="7"/>
    </w:lvl>
  </w:abstractNum>
  <w:abstractNum w:abstractNumId="176">
    <w:nsid w:val="2A79EC49"/>
    <w:multiLevelType w:val="hybridMultilevel"/>
    <w:lvl w:ilvl="0">
      <w:lvlJc w:val="left"/>
      <w:lvlText w:val="%1"/>
      <w:numFmt w:val="lowerLetter"/>
      <w:start w:val="1"/>
    </w:lvl>
    <w:lvl w:ilvl="1">
      <w:lvlJc w:val="left"/>
      <w:lvlText w:val="(%2)"/>
      <w:numFmt w:val="lowerLetter"/>
      <w:start w:val="1"/>
    </w:lvl>
  </w:abstractNum>
  <w:abstractNum w:abstractNumId="177">
    <w:nsid w:val="338125CF"/>
    <w:multiLevelType w:val="hybridMultilevel"/>
    <w:lvl w:ilvl="0">
      <w:lvlJc w:val="left"/>
      <w:lvlText w:val="(%1)"/>
      <w:numFmt w:val="lowerLetter"/>
      <w:start w:val="9"/>
    </w:lvl>
    <w:lvl w:ilvl="1">
      <w:lvlJc w:val="left"/>
      <w:lvlText w:val="(%2)"/>
      <w:numFmt w:val="lowerLetter"/>
      <w:start w:val="2"/>
    </w:lvl>
  </w:abstractNum>
  <w:abstractNum w:abstractNumId="178">
    <w:nsid w:val="47C7C971"/>
    <w:multiLevelType w:val="hybridMultilevel"/>
    <w:lvl w:ilvl="0">
      <w:lvlJc w:val="left"/>
      <w:lvlText w:val="(%1)"/>
      <w:numFmt w:val="lowerLetter"/>
      <w:start w:val="1"/>
    </w:lvl>
  </w:abstractNum>
  <w:abstractNum w:abstractNumId="179">
    <w:nsid w:val="46F8284B"/>
    <w:multiLevelType w:val="hybridMultilevel"/>
    <w:lvl w:ilvl="0">
      <w:lvlJc w:val="left"/>
      <w:lvlText w:val="(%1)"/>
      <w:numFmt w:val="lowerLetter"/>
      <w:start w:val="4"/>
    </w:lvl>
  </w:abstractNum>
  <w:abstractNum w:abstractNumId="180">
    <w:nsid w:val="4FA327CE"/>
    <w:multiLevelType w:val="hybridMultilevel"/>
    <w:lvl w:ilvl="0">
      <w:lvlJc w:val="left"/>
      <w:lvlText w:val="(%1)"/>
      <w:numFmt w:val="lowerLetter"/>
      <w:start w:val="11"/>
    </w:lvl>
  </w:abstractNum>
  <w:abstractNum w:abstractNumId="181">
    <w:nsid w:val="1873983A"/>
    <w:multiLevelType w:val="hybridMultilevel"/>
    <w:lvl w:ilvl="0">
      <w:lvlJc w:val="left"/>
      <w:lvlText w:val="(%1)"/>
      <w:numFmt w:val="lowerRoman"/>
      <w:start w:val="1"/>
    </w:lvl>
  </w:abstractNum>
  <w:abstractNum w:abstractNumId="182">
    <w:nsid w:val="3D2DD275"/>
    <w:multiLevelType w:val="hybridMultilevel"/>
    <w:lvl w:ilvl="0">
      <w:lvlJc w:val="left"/>
      <w:lvlText w:val="(%1)"/>
      <w:numFmt w:val="lowerLetter"/>
      <w:start w:val="1"/>
    </w:lvl>
  </w:abstractNum>
  <w:abstractNum w:abstractNumId="183">
    <w:nsid w:val="2E17ECA7"/>
    <w:multiLevelType w:val="hybridMultilevel"/>
    <w:lvl w:ilvl="0">
      <w:lvlJc w:val="left"/>
      <w:lvlText w:val="(%1)"/>
      <w:numFmt w:val="lowerLetter"/>
      <w:start w:val="2"/>
    </w:lvl>
  </w:abstractNum>
  <w:abstractNum w:abstractNumId="184">
    <w:nsid w:val="53B2564F"/>
    <w:multiLevelType w:val="hybridMultilevel"/>
    <w:lvl w:ilvl="0">
      <w:lvlJc w:val="left"/>
      <w:lvlText w:val="(%1)"/>
      <w:numFmt w:val="lowerRoman"/>
      <w:start w:val="5"/>
    </w:lvl>
  </w:abstractNum>
  <w:abstractNum w:abstractNumId="185">
    <w:nsid w:val="75509D76"/>
    <w:multiLevelType w:val="hybridMultilevel"/>
    <w:lvl w:ilvl="0">
      <w:lvlJc w:val="left"/>
      <w:lvlText w:val="(%1)"/>
      <w:numFmt w:val="lowerLetter"/>
      <w:start w:val="1"/>
    </w:lvl>
  </w:abstractNum>
  <w:abstractNum w:abstractNumId="186">
    <w:nsid w:val="1AF7F0EA"/>
    <w:multiLevelType w:val="hybridMultilevel"/>
    <w:lvl w:ilvl="0">
      <w:lvlJc w:val="left"/>
      <w:lvlText w:val="(%1)"/>
      <w:numFmt w:val="lowerLetter"/>
      <w:start w:val="3"/>
    </w:lvl>
  </w:abstractNum>
  <w:abstractNum w:abstractNumId="187">
    <w:nsid w:val="4DA32C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88">
    <w:nsid w:val="6EC68664"/>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189">
    <w:nsid w:val="E0D31FF"/>
    <w:multiLevelType w:val="hybridMultilevel"/>
    <w:lvl w:ilvl="0">
      <w:lvlJc w:val="left"/>
      <w:lvlText w:val="(%1)"/>
      <w:numFmt w:val="lowerLetter"/>
      <w:start w:val="1"/>
    </w:lvl>
  </w:abstractNum>
  <w:abstractNum w:abstractNumId="190">
    <w:nsid w:val="2FD0AD81"/>
    <w:multiLevelType w:val="hybridMultilevel"/>
    <w:lvl w:ilvl="0">
      <w:lvlJc w:val="left"/>
      <w:lvlText w:val="(%1)"/>
      <w:numFmt w:val="lowerRoman"/>
      <w:start w:val="2"/>
    </w:lvl>
  </w:abstractNum>
  <w:abstractNum w:abstractNumId="191">
    <w:nsid w:val="1978EBEB"/>
    <w:multiLevelType w:val="hybridMultilevel"/>
    <w:lvl w:ilvl="0">
      <w:lvlJc w:val="left"/>
      <w:lvlText w:val="(%1)"/>
      <w:numFmt w:val="lowerRoman"/>
      <w:start w:val="3"/>
    </w:lvl>
  </w:abstractNum>
  <w:abstractNum w:abstractNumId="192">
    <w:nsid w:val="52C12C61"/>
    <w:multiLevelType w:val="hybridMultilevel"/>
    <w:lvl w:ilvl="0">
      <w:lvlJc w:val="left"/>
      <w:lvlText w:val="(%1)"/>
      <w:numFmt w:val="lowerRoman"/>
      <w:start w:val="5"/>
    </w:lvl>
  </w:abstractNum>
  <w:abstractNum w:abstractNumId="193">
    <w:nsid w:val="4BDD53FD"/>
    <w:multiLevelType w:val="hybridMultilevel"/>
    <w:lvl w:ilvl="0">
      <w:lvlJc w:val="left"/>
      <w:lvlText w:val="(%1)"/>
      <w:numFmt w:val="lowerRoman"/>
      <w:start w:val="7"/>
    </w:lvl>
  </w:abstractNum>
  <w:abstractNum w:abstractNumId="194">
    <w:nsid w:val="569951FE"/>
    <w:multiLevelType w:val="hybridMultilevel"/>
    <w:lvl w:ilvl="0">
      <w:lvlJc w:val="left"/>
      <w:lvlText w:val="(%1)"/>
      <w:numFmt w:val="lowerLetter"/>
      <w:start w:val="2"/>
    </w:lvl>
  </w:abstractNum>
  <w:abstractNum w:abstractNumId="195">
    <w:nsid w:val="4C54E2C3"/>
    <w:multiLevelType w:val="hybridMultilevel"/>
    <w:lvl w:ilvl="0">
      <w:lvlJc w:val="left"/>
      <w:lvlText w:val="(%1)"/>
      <w:numFmt w:val="lowerLetter"/>
      <w:start w:val="3"/>
    </w:lvl>
    <w:lvl w:ilvl="1">
      <w:lvlJc w:val="left"/>
      <w:lvlText w:val="(%2)"/>
      <w:numFmt w:val="lowerRoman"/>
      <w:start w:val="1"/>
    </w:lvl>
  </w:abstractNum>
  <w:abstractNum w:abstractNumId="196">
    <w:nsid w:val="788BD9B"/>
    <w:multiLevelType w:val="hybridMultilevel"/>
    <w:lvl w:ilvl="0">
      <w:lvlJc w:val="left"/>
      <w:lvlText w:val="%1"/>
      <w:numFmt w:val="lowerLetter"/>
      <w:start w:val="1"/>
    </w:lvl>
    <w:lvl w:ilvl="1">
      <w:lvlJc w:val="left"/>
      <w:lvlText w:val="(%2)"/>
      <w:numFmt w:val="lowerLetter"/>
      <w:start w:val="1"/>
    </w:lvl>
  </w:abstractNum>
  <w:abstractNum w:abstractNumId="197">
    <w:nsid w:val="47CAA567"/>
    <w:multiLevelType w:val="hybridMultilevel"/>
    <w:lvl w:ilvl="0">
      <w:lvlJc w:val="left"/>
      <w:lvlText w:val="(%1)"/>
      <w:numFmt w:val="lowerLetter"/>
      <w:start w:val="61"/>
    </w:lvl>
    <w:lvl w:ilvl="1">
      <w:lvlJc w:val="left"/>
      <w:lvlText w:val="%2"/>
      <w:numFmt w:val="lowerLetter"/>
      <w:start w:val="1"/>
    </w:lvl>
  </w:abstractNum>
  <w:abstractNum w:abstractNumId="198">
    <w:nsid w:val="48249DBF"/>
    <w:multiLevelType w:val="hybridMultilevel"/>
    <w:lvl w:ilvl="0">
      <w:lvlJc w:val="left"/>
      <w:lvlText w:val="(%1)"/>
      <w:numFmt w:val="lowerLetter"/>
      <w:start w:val="2"/>
    </w:lvl>
  </w:abstractNum>
  <w:abstractNum w:abstractNumId="199">
    <w:nsid w:val="1F0E5D0D"/>
    <w:multiLevelType w:val="hybridMultilevel"/>
    <w:lvl w:ilvl="0">
      <w:lvlJc w:val="left"/>
      <w:lvlText w:val="(%1)"/>
      <w:numFmt w:val="lowerLetter"/>
      <w:start w:val="4"/>
    </w:lvl>
  </w:abstractNum>
  <w:abstractNum w:abstractNumId="200">
    <w:nsid w:val="26BAA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01">
    <w:nsid w:val="2C02FE8C"/>
    <w:multiLevelType w:val="hybridMultilevel"/>
    <w:lvl w:ilvl="0">
      <w:lvlJc w:val="left"/>
      <w:lvlText w:val="(%1)"/>
      <w:numFmt w:val="lowerLetter"/>
      <w:start w:val="35"/>
    </w:lvl>
    <w:lvl w:ilvl="1">
      <w:lvlJc w:val="left"/>
      <w:lvlText w:val="(%2)"/>
      <w:numFmt w:val="lowerLetter"/>
      <w:start w:val="2"/>
    </w:lvl>
    <w:lvl w:ilvl="2">
      <w:lvlJc w:val="left"/>
      <w:lvlText w:val="(%3)"/>
      <w:numFmt w:val="upperLetter"/>
      <w:start w:val="1"/>
    </w:lvl>
  </w:abstractNum>
  <w:abstractNum w:abstractNumId="202">
    <w:nsid w:val="129517E"/>
    <w:multiLevelType w:val="hybridMultilevel"/>
    <w:lvl w:ilvl="0">
      <w:lvlJc w:val="left"/>
      <w:lvlText w:val="(%1)"/>
      <w:numFmt w:val="upperLetter"/>
      <w:start w:val="1"/>
    </w:lvl>
  </w:abstractNum>
  <w:abstractNum w:abstractNumId="203">
    <w:nsid w:val="763B8C4E"/>
    <w:multiLevelType w:val="hybridMultilevel"/>
    <w:lvl w:ilvl="0">
      <w:lvlJc w:val="left"/>
      <w:lvlText w:val="(%1)"/>
      <w:numFmt w:val="upperLetter"/>
      <w:start w:val="6"/>
    </w:lvl>
  </w:abstractNum>
  <w:abstractNum w:abstractNumId="204">
    <w:nsid w:val="4CFB8D32"/>
    <w:multiLevelType w:val="hybridMultilevel"/>
    <w:lvl w:ilvl="0">
      <w:lvlJc w:val="left"/>
      <w:lvlText w:val="(%1)"/>
      <w:numFmt w:val="lowerRoman"/>
      <w:start w:val="3"/>
    </w:lvl>
  </w:abstractNum>
  <w:abstractNum w:abstractNumId="205">
    <w:nsid w:val="62A5D5BD"/>
    <w:multiLevelType w:val="hybridMultilevel"/>
    <w:lvl w:ilvl="0">
      <w:lvlJc w:val="left"/>
      <w:lvlText w:val="%1"/>
      <w:numFmt w:val="lowerLetter"/>
      <w:start w:val="1"/>
    </w:lvl>
    <w:lvl w:ilvl="1">
      <w:lvlJc w:val="left"/>
      <w:lvlText w:val="(%2)"/>
      <w:numFmt w:val="lowerRoman"/>
      <w:start w:val="4"/>
    </w:lvl>
  </w:abstractNum>
  <w:abstractNum w:abstractNumId="206">
    <w:nsid w:val="718FABF9"/>
    <w:multiLevelType w:val="hybridMultilevel"/>
    <w:lvl w:ilvl="0">
      <w:lvlJc w:val="left"/>
      <w:lvlText w:val="(%1)"/>
      <w:numFmt w:val="lowerLetter"/>
      <w:start w:val="3"/>
    </w:lvl>
    <w:lvl w:ilvl="1">
      <w:lvlJc w:val="left"/>
      <w:lvlText w:val="%2"/>
      <w:numFmt w:val="lowerRoman"/>
      <w:start w:val="1"/>
    </w:lvl>
  </w:abstractNum>
  <w:abstractNum w:abstractNumId="207">
    <w:nsid w:val="7775797C"/>
    <w:multiLevelType w:val="hybridMultilevel"/>
    <w:lvl w:ilvl="0">
      <w:lvlJc w:val="left"/>
      <w:lvlText w:val="%1"/>
      <w:numFmt w:val="lowerLetter"/>
      <w:start w:val="1"/>
    </w:lvl>
    <w:lvl w:ilvl="1">
      <w:lvlJc w:val="left"/>
      <w:lvlText w:val="(%2)"/>
      <w:numFmt w:val="lowerLetter"/>
      <w:start w:val="35"/>
    </w:lvl>
  </w:abstractNum>
  <w:abstractNum w:abstractNumId="208">
    <w:nsid w:val="1626FB8C"/>
    <w:multiLevelType w:val="hybridMultilevel"/>
    <w:lvl w:ilvl="0">
      <w:lvlJc w:val="left"/>
      <w:lvlText w:val="(%1)"/>
      <w:numFmt w:val="lowerLetter"/>
      <w:start w:val="4"/>
    </w:lvl>
    <w:lvl w:ilvl="1">
      <w:lvlJc w:val="left"/>
      <w:lvlText w:val="%2"/>
      <w:numFmt w:val="lowerLetter"/>
      <w:start w:val="1"/>
    </w:lvl>
  </w:abstractNum>
  <w:abstractNum w:abstractNumId="209">
    <w:nsid w:val="3957756A"/>
    <w:multiLevelType w:val="hybridMultilevel"/>
    <w:lvl w:ilvl="0">
      <w:lvlJc w:val="left"/>
      <w:lvlText w:val="(%1)"/>
      <w:numFmt w:val="lowerLetter"/>
      <w:start w:val="1"/>
    </w:lvl>
  </w:abstractNum>
  <w:abstractNum w:abstractNumId="210">
    <w:nsid w:val="3E6DA1C7"/>
    <w:multiLevelType w:val="hybridMultilevel"/>
    <w:lvl w:ilvl="0">
      <w:lvlJc w:val="left"/>
      <w:lvlText w:val="(%1)"/>
      <w:numFmt w:val="lowerLetter"/>
      <w:start w:val="6"/>
    </w:lvl>
  </w:abstractNum>
  <w:abstractNum w:abstractNumId="211">
    <w:nsid w:val="65CA235B"/>
    <w:multiLevelType w:val="hybridMultilevel"/>
    <w:lvl w:ilvl="0">
      <w:lvlJc w:val="left"/>
      <w:lvlText w:val="(%1)"/>
      <w:numFmt w:val="upperLetter"/>
      <w:start w:val="2"/>
    </w:lvl>
  </w:abstractNum>
  <w:abstractNum w:abstractNumId="212">
    <w:nsid w:val="51CB0DA4"/>
    <w:multiLevelType w:val="hybridMultilevel"/>
    <w:lvl w:ilvl="0">
      <w:lvlJc w:val="left"/>
      <w:lvlText w:val="(%1)"/>
      <w:numFmt w:val="lowerRoman"/>
      <w:start w:val="4"/>
    </w:lvl>
  </w:abstractNum>
  <w:abstractNum w:abstractNumId="213">
    <w:nsid w:val="7B9B743C"/>
    <w:multiLevelType w:val="hybridMultilevel"/>
    <w:lvl w:ilvl="0">
      <w:lvlJc w:val="left"/>
      <w:lvlText w:val="(%1)"/>
      <w:numFmt w:val="lowerLetter"/>
      <w:start w:val="1"/>
    </w:lvl>
  </w:abstractNum>
  <w:abstractNum w:abstractNumId="214">
    <w:nsid w:val="13E21002"/>
    <w:multiLevelType w:val="hybridMultilevel"/>
    <w:lvl w:ilvl="0">
      <w:lvlJc w:val="left"/>
      <w:lvlText w:val="(%1)"/>
      <w:numFmt w:val="lowerLetter"/>
      <w:start w:val="1"/>
    </w:lvl>
    <w:lvl w:ilvl="1">
      <w:lvlJc w:val="left"/>
      <w:lvlText w:val="(%2)"/>
      <w:numFmt w:val="lowerLetter"/>
      <w:start w:val="9"/>
    </w:lvl>
  </w:abstractNum>
  <w:abstractNum w:abstractNumId="215">
    <w:nsid w:val="257D63F4"/>
    <w:multiLevelType w:val="hybridMultilevel"/>
    <w:lvl w:ilvl="0">
      <w:lvlJc w:val="left"/>
      <w:lvlText w:val="(%1)"/>
      <w:numFmt w:val="lowerRoman"/>
      <w:start w:val="2"/>
    </w:lvl>
  </w:abstractNum>
  <w:abstractNum w:abstractNumId="216">
    <w:nsid w:val="70EC11B2"/>
    <w:multiLevelType w:val="hybridMultilevel"/>
    <w:lvl w:ilvl="0">
      <w:lvlJc w:val="left"/>
      <w:lvlText w:val="(%1)"/>
      <w:numFmt w:val="lowerLetter"/>
      <w:start w:val="1"/>
    </w:lvl>
    <w:lvl w:ilvl="1">
      <w:lvlJc w:val="left"/>
      <w:lvlText w:val="(%2)"/>
      <w:numFmt w:val="lowerRoman"/>
      <w:start w:val="1"/>
    </w:lvl>
  </w:abstractNum>
  <w:abstractNum w:abstractNumId="217">
    <w:nsid w:val="2EDA00ED"/>
    <w:multiLevelType w:val="hybridMultilevel"/>
    <w:lvl w:ilvl="0">
      <w:lvlJc w:val="left"/>
      <w:lvlText w:val="(%1)"/>
      <w:numFmt w:val="lowerLetter"/>
      <w:start w:val="1"/>
    </w:lvl>
  </w:abstractNum>
  <w:abstractNum w:abstractNumId="218">
    <w:nsid w:val="73209072"/>
    <w:multiLevelType w:val="hybridMultilevel"/>
    <w:lvl w:ilvl="0">
      <w:lvlJc w:val="left"/>
      <w:lvlText w:val="(%1)"/>
      <w:numFmt w:val="lowerLetter"/>
      <w:start w:val="2"/>
    </w:lvl>
  </w:abstractNum>
  <w:abstractNum w:abstractNumId="219">
    <w:nsid w:val="5FB29816"/>
    <w:multiLevelType w:val="hybridMultilevel"/>
    <w:lvl w:ilvl="0">
      <w:lvlJc w:val="left"/>
      <w:lvlText w:val="(%1)"/>
      <w:numFmt w:val="lowerLetter"/>
      <w:start w:val="1"/>
    </w:lvl>
  </w:abstractNum>
  <w:abstractNum w:abstractNumId="220">
    <w:nsid w:val="3CE732EC"/>
    <w:multiLevelType w:val="hybridMultilevel"/>
    <w:lvl w:ilvl="0">
      <w:lvlJc w:val="left"/>
      <w:lvlText w:val="(%1)"/>
      <w:numFmt w:val="lowerRoman"/>
      <w:start w:val="1"/>
    </w:lvl>
  </w:abstractNum>
  <w:abstractNum w:abstractNumId="221">
    <w:nsid w:val="22F13DF3"/>
    <w:multiLevelType w:val="hybridMultilevel"/>
    <w:lvl w:ilvl="0">
      <w:lvlJc w:val="left"/>
      <w:lvlText w:val="(%1)"/>
      <w:numFmt w:val="lowerLetter"/>
      <w:start w:val="25"/>
    </w:lvl>
  </w:abstractNum>
  <w:abstractNum w:abstractNumId="222">
    <w:nsid w:val="792B8401"/>
    <w:multiLevelType w:val="hybridMultilevel"/>
    <w:lvl w:ilvl="0">
      <w:lvlJc w:val="left"/>
      <w:lvlText w:val="(%1)"/>
      <w:numFmt w:val="lowerLetter"/>
      <w:start w:val="35"/>
    </w:lvl>
  </w:abstractNum>
  <w:abstractNum w:abstractNumId="223">
    <w:nsid w:val="FA85F4D"/>
    <w:multiLevelType w:val="hybridMultilevel"/>
    <w:lvl w:ilvl="0">
      <w:lvlJc w:val="left"/>
      <w:lvlText w:val="(%1)"/>
      <w:numFmt w:val="lowerLetter"/>
      <w:start w:val="2"/>
    </w:lvl>
  </w:abstractNum>
  <w:abstractNum w:abstractNumId="224">
    <w:nsid w:val="6ECE91F0"/>
    <w:multiLevelType w:val="hybridMultilevel"/>
    <w:lvl w:ilvl="0">
      <w:lvlJc w:val="left"/>
      <w:lvlText w:val="(%1)"/>
      <w:numFmt w:val="lowerLetter"/>
      <w:start w:val="3"/>
    </w:lvl>
  </w:abstractNum>
  <w:abstractNum w:abstractNumId="225">
    <w:nsid w:val="4FC4D600"/>
    <w:multiLevelType w:val="hybridMultilevel"/>
    <w:lvl w:ilvl="0">
      <w:lvlJc w:val="left"/>
      <w:lvlText w:val="(%1)"/>
      <w:numFmt w:val="lowerRoman"/>
      <w:start w:val="1"/>
    </w:lvl>
  </w:abstractNum>
  <w:abstractNum w:abstractNumId="226">
    <w:nsid w:val="5BFD4210"/>
    <w:multiLevelType w:val="hybridMultilevel"/>
    <w:lvl w:ilvl="0">
      <w:lvlJc w:val="left"/>
      <w:lvlText w:val="(%1)"/>
      <w:numFmt w:val="lowerLetter"/>
      <w:start w:val="11"/>
    </w:lvl>
  </w:abstractNum>
  <w:abstractNum w:abstractNumId="227">
    <w:nsid w:val="76574F8B"/>
    <w:multiLevelType w:val="hybridMultilevel"/>
    <w:lvl w:ilvl="0">
      <w:lvlJc w:val="left"/>
      <w:lvlText w:val="(%1)"/>
      <w:numFmt w:val="lowerLetter"/>
      <w:start w:val="3"/>
    </w:lvl>
  </w:abstractNum>
  <w:abstractNum w:abstractNumId="228">
    <w:nsid w:val="178F7B67"/>
    <w:multiLevelType w:val="hybridMultilevel"/>
    <w:lvl w:ilvl="0">
      <w:lvlJc w:val="left"/>
      <w:lvlText w:val="(%1)"/>
      <w:numFmt w:val="lowerLetter"/>
      <w:start w:val="35"/>
    </w:lvl>
  </w:abstractNum>
  <w:abstractNum w:abstractNumId="229">
    <w:nsid w:val="2421DFCF"/>
    <w:multiLevelType w:val="hybridMultilevel"/>
    <w:lvl w:ilvl="0">
      <w:lvlJc w:val="left"/>
      <w:lvlText w:val="(%1)"/>
      <w:numFmt w:val="lowerRoman"/>
      <w:start w:val="1"/>
    </w:lvl>
  </w:abstractNum>
  <w:abstractNum w:abstractNumId="230">
    <w:nsid w:val="1565AC99"/>
    <w:multiLevelType w:val="hybridMultilevel"/>
    <w:lvl w:ilvl="0">
      <w:lvlJc w:val="left"/>
      <w:lvlText w:val="(%1)"/>
      <w:numFmt w:val="lowerRoman"/>
      <w:start w:val="1"/>
    </w:lvl>
  </w:abstractNum>
  <w:abstractNum w:abstractNumId="231">
    <w:nsid w:val="19FB2650"/>
    <w:multiLevelType w:val="hybridMultilevel"/>
    <w:lvl w:ilvl="0">
      <w:lvlJc w:val="left"/>
      <w:lvlText w:val="(%1)"/>
      <w:numFmt w:val="lowerRoman"/>
      <w:start w:val="3"/>
    </w:lvl>
  </w:abstractNum>
  <w:abstractNum w:abstractNumId="232">
    <w:nsid w:val="5024DE5B"/>
    <w:multiLevelType w:val="hybridMultilevel"/>
    <w:lvl w:ilvl="0">
      <w:lvlJc w:val="left"/>
      <w:lvlText w:val="(%1)"/>
      <w:numFmt w:val="lowerLetter"/>
      <w:start w:val="2"/>
    </w:lvl>
  </w:abstractNum>
  <w:abstractNum w:abstractNumId="233">
    <w:nsid w:val="168EFE17"/>
    <w:multiLevelType w:val="hybridMultilevel"/>
    <w:lvl w:ilvl="0">
      <w:lvlJc w:val="left"/>
      <w:lvlText w:val="(%1)"/>
      <w:numFmt w:val="lowerLetter"/>
      <w:start w:val="1"/>
    </w:lvl>
  </w:abstractNum>
  <w:abstractNum w:abstractNumId="234">
    <w:nsid w:val="1036B29F"/>
    <w:multiLevelType w:val="hybridMultilevel"/>
    <w:lvl w:ilvl="0">
      <w:lvlJc w:val="left"/>
      <w:lvlText w:val="(%1)"/>
      <w:numFmt w:val="lowerLetter"/>
      <w:start w:val="8"/>
    </w:lvl>
  </w:abstractNum>
  <w:abstractNum w:abstractNumId="235">
    <w:nsid w:val="1D206B8E"/>
    <w:multiLevelType w:val="hybridMultilevel"/>
    <w:lvl w:ilvl="0">
      <w:lvlJc w:val="left"/>
      <w:lvlText w:val="(%1)"/>
      <w:numFmt w:val="lowerLetter"/>
      <w:start w:val="3"/>
    </w:lvl>
  </w:abstractNum>
  <w:abstractNum w:abstractNumId="236">
    <w:nsid w:val="7934D3D4"/>
    <w:multiLevelType w:val="hybridMultilevel"/>
    <w:lvl w:ilvl="0">
      <w:lvlJc w:val="left"/>
      <w:lvlText w:val="(%1)"/>
      <w:numFmt w:val="lowerLetter"/>
      <w:start w:val="5"/>
    </w:lvl>
  </w:abstractNum>
  <w:abstractNum w:abstractNumId="237">
    <w:nsid w:val="1C65E98"/>
    <w:multiLevelType w:val="hybridMultilevel"/>
    <w:lvl w:ilvl="0">
      <w:lvlJc w:val="left"/>
      <w:lvlText w:val="(%1)"/>
      <w:numFmt w:val="lowerLetter"/>
      <w:start w:val="2"/>
    </w:lvl>
  </w:abstractNum>
  <w:abstractNum w:abstractNumId="238">
    <w:nsid w:val="1495E50A"/>
    <w:multiLevelType w:val="hybridMultilevel"/>
    <w:lvl w:ilvl="0">
      <w:lvlJc w:val="left"/>
      <w:lvlText w:val="(%1)"/>
      <w:numFmt w:val="lowerLetter"/>
      <w:start w:val="1"/>
    </w:lvl>
  </w:abstractNum>
  <w:abstractNum w:abstractNumId="239">
    <w:nsid w:val="F5BCF61"/>
    <w:multiLevelType w:val="hybridMultilevel"/>
    <w:lvl w:ilvl="0">
      <w:lvlJc w:val="left"/>
      <w:lvlText w:val="(%1)"/>
      <w:numFmt w:val="lowerRoman"/>
      <w:start w:val="10"/>
    </w:lvl>
  </w:abstractNum>
  <w:abstractNum w:abstractNumId="240">
    <w:nsid w:val="3B1DD403"/>
    <w:multiLevelType w:val="hybridMultilevel"/>
    <w:lvl w:ilvl="0">
      <w:lvlJc w:val="left"/>
      <w:lvlText w:val="(%1)"/>
      <w:numFmt w:val="lowerLetter"/>
      <w:start w:val="25"/>
    </w:lvl>
  </w:abstractNum>
  <w:abstractNum w:abstractNumId="241">
    <w:nsid w:val="530386D1"/>
    <w:multiLevelType w:val="hybridMultilevel"/>
    <w:lvl w:ilvl="0">
      <w:lvlJc w:val="left"/>
      <w:lvlText w:val="(%1)"/>
      <w:numFmt w:val="lowerRoman"/>
      <w:start w:val="1"/>
    </w:lvl>
  </w:abstractNum>
  <w:abstractNum w:abstractNumId="242">
    <w:nsid w:val="7525F2BC"/>
    <w:multiLevelType w:val="hybridMultilevel"/>
    <w:lvl w:ilvl="0">
      <w:lvlJc w:val="left"/>
      <w:lvlText w:val="(%1)"/>
      <w:numFmt w:val="lowerRoman"/>
      <w:start w:val="2"/>
    </w:lvl>
  </w:abstractNum>
  <w:abstractNum w:abstractNumId="243">
    <w:nsid w:val="CE8E1A7"/>
    <w:multiLevelType w:val="hybridMultilevel"/>
    <w:lvl w:ilvl="0">
      <w:lvlJc w:val="left"/>
      <w:lvlText w:val="(%1)"/>
      <w:numFmt w:val="lowerRoman"/>
      <w:start w:val="2"/>
    </w:lvl>
  </w:abstractNum>
  <w:abstractNum w:abstractNumId="244">
    <w:nsid w:val="4E9EFB0D"/>
    <w:multiLevelType w:val="hybridMultilevel"/>
    <w:lvl w:ilvl="0">
      <w:lvlJc w:val="left"/>
      <w:lvlText w:val="(%1)"/>
      <w:numFmt w:val="lowerLetter"/>
      <w:start w:val="2"/>
    </w:lvl>
  </w:abstractNum>
  <w:abstractNum w:abstractNumId="245">
    <w:nsid w:val="90802BE"/>
    <w:multiLevelType w:val="hybridMultilevel"/>
    <w:lvl w:ilvl="0">
      <w:lvlJc w:val="left"/>
      <w:lvlText w:val="(%1)"/>
      <w:numFmt w:val="lowerLetter"/>
      <w:start w:val="2"/>
    </w:lvl>
  </w:abstractNum>
  <w:abstractNum w:abstractNumId="246">
    <w:nsid w:val="3266459B"/>
    <w:multiLevelType w:val="hybridMultilevel"/>
    <w:lvl w:ilvl="0">
      <w:lvlJc w:val="left"/>
      <w:lvlText w:val="(%1)"/>
      <w:numFmt w:val="lowerRoman"/>
      <w:start w:val="3"/>
    </w:lvl>
  </w:abstractNum>
  <w:abstractNum w:abstractNumId="247">
    <w:nsid w:val="3F8B0CBF"/>
    <w:multiLevelType w:val="hybridMultilevel"/>
    <w:lvl w:ilvl="0">
      <w:lvlJc w:val="left"/>
      <w:lvlText w:val="(%1)"/>
      <w:numFmt w:val="lowerRoman"/>
      <w:start w:val="1"/>
    </w:lvl>
  </w:abstractNum>
  <w:abstractNum w:abstractNumId="248">
    <w:nsid w:val="37E203AB"/>
    <w:multiLevelType w:val="hybridMultilevel"/>
    <w:lvl w:ilvl="0">
      <w:lvlJc w:val="left"/>
      <w:lvlText w:val="(%1)"/>
      <w:numFmt w:val="lowerLetter"/>
      <w:start w:val="1"/>
    </w:lvl>
  </w:abstractNum>
  <w:abstractNum w:abstractNumId="249">
    <w:nsid w:val="2586D60E"/>
    <w:multiLevelType w:val="hybridMultilevel"/>
    <w:lvl w:ilvl="0">
      <w:lvlJc w:val="left"/>
      <w:lvlText w:val="(%1)"/>
      <w:numFmt w:val="lowerLetter"/>
      <w:start w:val="1"/>
    </w:lvl>
    <w:lvl w:ilvl="1">
      <w:lvlJc w:val="left"/>
      <w:lvlText w:val="(%2)"/>
      <w:numFmt w:val="lowerRoman"/>
      <w:start w:val="1"/>
    </w:lvl>
  </w:abstractNum>
  <w:abstractNum w:abstractNumId="250">
    <w:nsid w:val="1F3DA4D5"/>
    <w:multiLevelType w:val="hybridMultilevel"/>
    <w:lvl w:ilvl="0">
      <w:lvlJc w:val="left"/>
      <w:lvlText w:val="%1"/>
      <w:numFmt w:val="lowerLetter"/>
      <w:start w:val="1"/>
    </w:lvl>
    <w:lvl w:ilvl="1">
      <w:lvlJc w:val="left"/>
      <w:lvlText w:val="(%2)"/>
      <w:numFmt w:val="lowerRoman"/>
      <w:start w:val="10"/>
    </w:lvl>
  </w:abstractNum>
  <w:abstractNum w:abstractNumId="251">
    <w:nsid w:val="74C93698"/>
    <w:multiLevelType w:val="hybridMultilevel"/>
    <w:lvl w:ilvl="0">
      <w:lvlJc w:val="left"/>
      <w:lvlText w:val="(%1)"/>
      <w:numFmt w:val="lowerLetter"/>
      <w:start w:val="2"/>
    </w:lvl>
    <w:lvl w:ilvl="1">
      <w:lvlJc w:val="left"/>
      <w:lvlText w:val="%2"/>
      <w:numFmt w:val="lowerRoman"/>
      <w:start w:val="1"/>
    </w:lvl>
  </w:abstractNum>
  <w:abstractNum w:abstractNumId="252">
    <w:nsid w:val="48781401"/>
    <w:multiLevelType w:val="hybridMultilevel"/>
    <w:lvl w:ilvl="0">
      <w:lvlJc w:val="left"/>
      <w:lvlText w:val="(%1)"/>
      <w:numFmt w:val="lowerLetter"/>
      <w:start w:val="1"/>
    </w:lvl>
  </w:abstractNum>
  <w:abstractNum w:abstractNumId="253">
    <w:nsid w:val="186928D6"/>
    <w:multiLevelType w:val="hybridMultilevel"/>
    <w:lvl w:ilvl="0">
      <w:lvlJc w:val="left"/>
      <w:lvlText w:val="(%1)"/>
      <w:numFmt w:val="lowerLetter"/>
      <w:start w:val="5"/>
    </w:lvl>
  </w:abstractNum>
  <w:abstractNum w:abstractNumId="254">
    <w:nsid w:val="47195E5"/>
    <w:multiLevelType w:val="hybridMultilevel"/>
    <w:lvl w:ilvl="0">
      <w:lvlJc w:val="left"/>
      <w:lvlText w:val="(%1)"/>
      <w:numFmt w:val="lowerRoman"/>
      <w:start w:val="1"/>
    </w:lvl>
  </w:abstractNum>
  <w:abstractNum w:abstractNumId="255">
    <w:nsid w:val="3746A5F2"/>
    <w:multiLevelType w:val="hybridMultilevel"/>
    <w:lvl w:ilvl="0">
      <w:lvlJc w:val="left"/>
      <w:lvlText w:val="(%1)"/>
      <w:numFmt w:val="lowerLetter"/>
      <w:start w:val="1"/>
    </w:lvl>
  </w:abstractNum>
  <w:abstractNum w:abstractNumId="256">
    <w:nsid w:val="682DFED6"/>
    <w:multiLevelType w:val="hybridMultilevel"/>
    <w:lvl w:ilvl="0">
      <w:lvlJc w:val="left"/>
      <w:lvlText w:val="(%1)"/>
      <w:numFmt w:val="lowerLetter"/>
      <w:start w:val="2"/>
    </w:lvl>
    <w:lvl w:ilvl="1">
      <w:lvlJc w:val="left"/>
      <w:lvlText w:val="(%2)"/>
      <w:numFmt w:val="lowerLetter"/>
      <w:start w:val="35"/>
    </w:lvl>
  </w:abstractNum>
  <w:abstractNum w:abstractNumId="257">
    <w:nsid w:val="606ED7F6"/>
    <w:multiLevelType w:val="hybridMultilevel"/>
    <w:lvl w:ilvl="0">
      <w:lvlJc w:val="left"/>
      <w:lvlText w:val="(%1)"/>
      <w:numFmt w:val="lowerLetter"/>
      <w:start w:val="1"/>
    </w:lvl>
    <w:lvl w:ilvl="1">
      <w:lvlJc w:val="left"/>
      <w:lvlText w:val="(%2)"/>
      <w:numFmt w:val="lowerRoman"/>
      <w:start w:val="1"/>
    </w:lvl>
  </w:abstractNum>
  <w:abstractNum w:abstractNumId="258">
    <w:nsid w:val="2D9DF57D"/>
    <w:multiLevelType w:val="hybridMultilevel"/>
    <w:lvl w:ilvl="0">
      <w:lvlJc w:val="left"/>
      <w:lvlText w:val="(%1)"/>
      <w:numFmt w:val="lowerLetter"/>
      <w:start w:val="4"/>
    </w:lvl>
  </w:abstractNum>
  <w:abstractNum w:abstractNumId="259">
    <w:nsid w:val="7FBD7A3E"/>
    <w:multiLevelType w:val="hybridMultilevel"/>
    <w:lvl w:ilvl="0">
      <w:lvlJc w:val="left"/>
      <w:lvlText w:val="(%1)"/>
      <w:numFmt w:val="lowerLetter"/>
      <w:start w:val="1"/>
    </w:lvl>
  </w:abstractNum>
  <w:abstractNum w:abstractNumId="260">
    <w:nsid w:val="490B7C5"/>
    <w:multiLevelType w:val="hybridMultilevel"/>
    <w:lvl w:ilvl="0">
      <w:lvlJc w:val="left"/>
      <w:lvlText w:val="(%1)"/>
      <w:numFmt w:val="lowerLetter"/>
      <w:start w:val="6"/>
    </w:lvl>
  </w:abstractNum>
  <w:abstractNum w:abstractNumId="261">
    <w:nsid w:val="4303A216"/>
    <w:multiLevelType w:val="hybridMultilevel"/>
    <w:lvl w:ilvl="0">
      <w:lvlJc w:val="left"/>
      <w:lvlText w:val="(%1)"/>
      <w:numFmt w:val="lowerLetter"/>
      <w:start w:val="1"/>
    </w:lvl>
  </w:abstractNum>
  <w:abstractNum w:abstractNumId="262">
    <w:nsid w:val="19B8A08E"/>
    <w:multiLevelType w:val="hybridMultilevel"/>
    <w:lvl w:ilvl="0">
      <w:lvlJc w:val="left"/>
      <w:lvlText w:val="(%1)"/>
      <w:numFmt w:val="lowerLetter"/>
      <w:start w:val="1"/>
    </w:lvl>
  </w:abstractNum>
  <w:abstractNum w:abstractNumId="263">
    <w:nsid w:val="54B59621"/>
    <w:multiLevelType w:val="hybridMultilevel"/>
    <w:lvl w:ilvl="0">
      <w:lvlJc w:val="left"/>
      <w:lvlText w:val="(%1)"/>
      <w:numFmt w:val="lowerLetter"/>
      <w:start w:val="2"/>
    </w:lvl>
  </w:abstractNum>
  <w:abstractNum w:abstractNumId="264">
    <w:nsid w:val="5992A02E"/>
    <w:multiLevelType w:val="hybridMultilevel"/>
    <w:lvl w:ilvl="0">
      <w:lvlJc w:val="left"/>
      <w:lvlText w:val="(%1)"/>
      <w:numFmt w:val="lowerLetter"/>
      <w:start w:val="1"/>
    </w:lvl>
  </w:abstractNum>
  <w:abstractNum w:abstractNumId="265">
    <w:nsid w:val="29EF532D"/>
    <w:multiLevelType w:val="hybridMultilevel"/>
    <w:lvl w:ilvl="0">
      <w:lvlJc w:val="left"/>
      <w:lvlText w:val="(%1)"/>
      <w:numFmt w:val="lowerLetter"/>
      <w:start w:val="2"/>
    </w:lvl>
  </w:abstractNum>
  <w:abstractNum w:abstractNumId="266">
    <w:nsid w:val="71D601AF"/>
    <w:multiLevelType w:val="hybridMultilevel"/>
    <w:lvl w:ilvl="0">
      <w:lvlJc w:val="left"/>
      <w:lvlText w:val="(%1)"/>
      <w:numFmt w:val="lowerLetter"/>
      <w:start w:val="1"/>
    </w:lvl>
  </w:abstractNum>
  <w:abstractNum w:abstractNumId="267">
    <w:nsid w:val="52C77402"/>
    <w:multiLevelType w:val="hybridMultilevel"/>
    <w:lvl w:ilvl="0">
      <w:lvlJc w:val="left"/>
      <w:lvlText w:val="(%1)"/>
      <w:numFmt w:val="lowerLetter"/>
      <w:start w:val="2"/>
    </w:lvl>
  </w:abstractNum>
  <w:abstractNum w:abstractNumId="268">
    <w:nsid w:val="2BB5B1C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9">
    <w:nsid w:val="66BE6B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70">
    <w:nsid w:val="62234363"/>
    <w:multiLevelType w:val="hybridMultilevel"/>
    <w:lvl w:ilvl="0">
      <w:lvlJc w:val="left"/>
      <w:lvlText w:val="(%1)"/>
      <w:numFmt w:val="lowerLetter"/>
      <w:start w:val="2"/>
    </w:lvl>
  </w:abstractNum>
  <w:abstractNum w:abstractNumId="271">
    <w:nsid w:val="66D385C9"/>
    <w:multiLevelType w:val="hybridMultilevel"/>
    <w:lvl w:ilvl="0">
      <w:lvlJc w:val="left"/>
      <w:lvlText w:val="(%1)"/>
      <w:numFmt w:val="lowerLetter"/>
      <w:start w:val="3"/>
    </w:lvl>
  </w:abstractNum>
  <w:abstractNum w:abstractNumId="272">
    <w:nsid w:val="596F6D8A"/>
    <w:multiLevelType w:val="hybridMultilevel"/>
    <w:lvl w:ilvl="0">
      <w:lvlJc w:val="left"/>
      <w:lvlText w:val="(%1)"/>
      <w:numFmt w:val="lowerLetter"/>
      <w:start w:val="1"/>
    </w:lvl>
  </w:abstractNum>
  <w:abstractNum w:abstractNumId="273">
    <w:nsid w:val="5749361F"/>
    <w:multiLevelType w:val="hybridMultilevel"/>
    <w:lvl w:ilvl="0">
      <w:lvlJc w:val="left"/>
      <w:lvlText w:val="(%1)"/>
      <w:numFmt w:val="lowerLetter"/>
      <w:start w:val="1"/>
    </w:lvl>
  </w:abstractNum>
  <w:abstractNum w:abstractNumId="274">
    <w:nsid w:val="73BC6770"/>
    <w:multiLevelType w:val="hybridMultilevel"/>
    <w:lvl w:ilvl="0">
      <w:lvlJc w:val="left"/>
      <w:lvlText w:val="(%1)"/>
      <w:numFmt w:val="lowerLetter"/>
      <w:start w:val="2"/>
    </w:lvl>
  </w:abstractNum>
  <w:abstractNum w:abstractNumId="275">
    <w:nsid w:val="280E6897"/>
    <w:multiLevelType w:val="hybridMultilevel"/>
    <w:lvl w:ilvl="0">
      <w:lvlJc w:val="left"/>
      <w:lvlText w:val="%1"/>
      <w:numFmt w:val="lowerLetter"/>
      <w:start w:val="1"/>
    </w:lvl>
    <w:lvl w:ilvl="1">
      <w:lvlJc w:val="left"/>
      <w:lvlText w:val="(%2)"/>
      <w:numFmt w:val="lowerLetter"/>
      <w:start w:val="5"/>
    </w:lvl>
  </w:abstractNum>
  <w:abstractNum w:abstractNumId="276">
    <w:nsid w:val="605138DE"/>
    <w:multiLevelType w:val="hybridMultilevel"/>
    <w:lvl w:ilvl="0">
      <w:lvlJc w:val="left"/>
      <w:lvlText w:val="(%1)"/>
      <w:numFmt w:val="lowerLetter"/>
      <w:start w:val="35"/>
    </w:lvl>
    <w:lvl w:ilvl="1">
      <w:lvlJc w:val="left"/>
      <w:lvlText w:val="%2"/>
      <w:numFmt w:val="lowerLetter"/>
      <w:start w:val="1"/>
    </w:lvl>
  </w:abstractNum>
  <w:abstractNum w:abstractNumId="277">
    <w:nsid w:val="2622AD0C"/>
    <w:multiLevelType w:val="hybridMultilevel"/>
    <w:lvl w:ilvl="0">
      <w:lvlJc w:val="left"/>
      <w:lvlText w:val="(%1)"/>
      <w:numFmt w:val="lowerLetter"/>
      <w:start w:val="1"/>
    </w:lvl>
  </w:abstractNum>
  <w:abstractNum w:abstractNumId="278">
    <w:nsid w:val="67997556"/>
    <w:multiLevelType w:val="hybridMultilevel"/>
    <w:lvl w:ilvl="0">
      <w:lvlJc w:val="left"/>
      <w:lvlText w:val="(%1)"/>
      <w:numFmt w:val="lowerLetter"/>
      <w:start w:val="4"/>
    </w:lvl>
  </w:abstractNum>
  <w:abstractNum w:abstractNumId="279">
    <w:nsid w:val="18333C89"/>
    <w:multiLevelType w:val="hybridMultilevel"/>
    <w:lvl w:ilvl="0">
      <w:lvlJc w:val="left"/>
      <w:lvlText w:val="(%1)"/>
      <w:numFmt w:val="lowerLetter"/>
      <w:start w:val="6"/>
    </w:lvl>
  </w:abstractNum>
  <w:abstractNum w:abstractNumId="280">
    <w:nsid w:val="4BA9831A"/>
    <w:multiLevelType w:val="hybridMultilevel"/>
    <w:lvl w:ilvl="0">
      <w:lvlJc w:val="left"/>
      <w:lvlText w:val="%1"/>
      <w:numFmt w:val="lowerLetter"/>
      <w:start w:val="1"/>
    </w:lvl>
    <w:lvl w:ilvl="1">
      <w:lvlJc w:val="left"/>
      <w:lvlText w:val="(%2)"/>
      <w:numFmt w:val="lowerLetter"/>
      <w:start w:val="1"/>
    </w:lvl>
  </w:abstractNum>
  <w:abstractNum w:abstractNumId="281">
    <w:nsid w:val="6D71A2B"/>
    <w:multiLevelType w:val="hybridMultilevel"/>
    <w:lvl w:ilvl="0">
      <w:lvlJc w:val="left"/>
      <w:lvlText w:val="(%1)"/>
      <w:numFmt w:val="lowerLetter"/>
      <w:start w:val="35"/>
    </w:lvl>
    <w:lvl w:ilvl="1">
      <w:lvlJc w:val="left"/>
      <w:lvlText w:val="%2"/>
      <w:numFmt w:val="lowerLetter"/>
      <w:start w:val="1"/>
    </w:lvl>
  </w:abstractNum>
  <w:abstractNum w:abstractNumId="282">
    <w:nsid w:val="CFC73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3">
    <w:nsid w:val="1421971B"/>
    <w:multiLevelType w:val="hybridMultilevel"/>
    <w:lvl w:ilvl="0">
      <w:lvlJc w:val="left"/>
      <w:lvlText w:val="(%1)"/>
      <w:numFmt w:val="lowerLetter"/>
      <w:start w:val="3"/>
    </w:lvl>
    <w:lvl w:ilvl="1">
      <w:lvlJc w:val="left"/>
      <w:lvlText w:val="(%2)"/>
      <w:numFmt w:val="lowerRoman"/>
      <w:start w:val="1"/>
    </w:lvl>
  </w:abstractNum>
  <w:abstractNum w:abstractNumId="284">
    <w:nsid w:val="1F404301"/>
    <w:multiLevelType w:val="hybridMultilevel"/>
    <w:lvl w:ilvl="0">
      <w:lvlJc w:val="left"/>
      <w:lvlText w:val="(%1)"/>
      <w:numFmt w:val="lowerLetter"/>
      <w:start w:val="1"/>
    </w:lvl>
  </w:abstractNum>
  <w:abstractNum w:abstractNumId="285">
    <w:nsid w:val="116E0907"/>
    <w:multiLevelType w:val="hybridMultilevel"/>
    <w:lvl w:ilvl="0">
      <w:lvlJc w:val="left"/>
      <w:lvlText w:val="(%1)"/>
      <w:numFmt w:val="lowerLetter"/>
      <w:start w:val="2"/>
    </w:lvl>
  </w:abstractNum>
  <w:abstractNum w:abstractNumId="286">
    <w:nsid w:val="4B683D0D"/>
    <w:multiLevelType w:val="hybridMultilevel"/>
    <w:lvl w:ilvl="0">
      <w:lvlJc w:val="left"/>
      <w:lvlText w:val="(%1)"/>
      <w:numFmt w:val="lowerLetter"/>
      <w:start w:val="1"/>
    </w:lvl>
  </w:abstractNum>
  <w:abstractNum w:abstractNumId="287">
    <w:nsid w:val="76E41D8"/>
    <w:multiLevelType w:val="hybridMultilevel"/>
    <w:lvl w:ilvl="0">
      <w:lvlJc w:val="left"/>
      <w:lvlText w:val="(%1)"/>
      <w:numFmt w:val="lowerRoman"/>
      <w:start w:val="1"/>
    </w:lvl>
  </w:abstractNum>
  <w:abstractNum w:abstractNumId="288">
    <w:nsid w:val="71DCE0FD"/>
    <w:multiLevelType w:val="hybridMultilevel"/>
    <w:lvl w:ilvl="0">
      <w:lvlJc w:val="left"/>
      <w:lvlText w:val="%1"/>
      <w:numFmt w:val="upperLetter"/>
      <w:start w:val="1"/>
    </w:lvl>
    <w:lvl w:ilvl="1">
      <w:lvlJc w:val="left"/>
      <w:lvlText w:val="(%2)"/>
      <w:numFmt w:val="lowerRoman"/>
      <w:start w:val="10"/>
    </w:lvl>
  </w:abstractNum>
  <w:abstractNum w:abstractNumId="289">
    <w:nsid w:val="7906328B"/>
    <w:multiLevelType w:val="hybridMultilevel"/>
    <w:lvl w:ilvl="0">
      <w:lvlJc w:val="left"/>
      <w:lvlText w:val="(%1)"/>
      <w:numFmt w:val="upperLetter"/>
      <w:start w:val="6"/>
    </w:lvl>
    <w:lvl w:ilvl="1">
      <w:lvlJc w:val="left"/>
      <w:lvlText w:val="(%2)"/>
      <w:numFmt w:val="lowerRoman"/>
      <w:start w:val="11"/>
    </w:lvl>
  </w:abstractNum>
  <w:abstractNum w:abstractNumId="290">
    <w:nsid w:val="72BBC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4"/>
    </w:lvl>
  </w:abstractNum>
  <w:abstractNum w:abstractNumId="291">
    <w:nsid w:val="766D98C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92">
    <w:nsid w:val="3C09D4A1"/>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93">
    <w:nsid w:val="20E45CA4"/>
    <w:multiLevelType w:val="hybridMultilevel"/>
    <w:lvl w:ilvl="0">
      <w:lvlJc w:val="left"/>
      <w:lvlText w:val="(%1)"/>
      <w:numFmt w:val="lowerLetter"/>
      <w:start w:val="5"/>
    </w:lvl>
  </w:abstractNum>
  <w:abstractNum w:abstractNumId="294">
    <w:nsid w:val="4B232EE3"/>
    <w:multiLevelType w:val="hybridMultilevel"/>
    <w:lvl w:ilvl="0">
      <w:lvlJc w:val="left"/>
      <w:lvlText w:val="(%1)"/>
      <w:numFmt w:val="lowerLetter"/>
      <w:start w:val="1"/>
    </w:lvl>
  </w:abstractNum>
  <w:abstractNum w:abstractNumId="295">
    <w:nsid w:val="159C74CF"/>
    <w:multiLevelType w:val="hybridMultilevel"/>
    <w:lvl w:ilvl="0">
      <w:lvlJc w:val="left"/>
      <w:lvlText w:val="(%1)"/>
      <w:numFmt w:val="lowerLetter"/>
      <w:start w:val="3"/>
    </w:lvl>
  </w:abstractNum>
  <w:abstractNum w:abstractNumId="296">
    <w:nsid w:val="4AD3AFD2"/>
    <w:multiLevelType w:val="hybridMultilevel"/>
    <w:lvl w:ilvl="0">
      <w:lvlJc w:val="left"/>
      <w:lvlText w:val="%1"/>
      <w:numFmt w:val="upperLetter"/>
      <w:start w:val="1"/>
    </w:lvl>
    <w:lvl w:ilvl="1">
      <w:lvlJc w:val="left"/>
      <w:lvlText w:val="(%2)"/>
      <w:numFmt w:val="lowerLetter"/>
      <w:start w:val="1"/>
    </w:lvl>
  </w:abstractNum>
  <w:abstractNum w:abstractNumId="297">
    <w:nsid w:val="3CF93092"/>
    <w:multiLevelType w:val="hybridMultilevel"/>
    <w:lvl w:ilvl="0">
      <w:lvlJc w:val="left"/>
      <w:lvlText w:val="(%1)"/>
      <w:numFmt w:val="lowerLetter"/>
      <w:start w:val="1"/>
    </w:lvl>
  </w:abstractNum>
  <w:abstractNum w:abstractNumId="298">
    <w:nsid w:val="6863E8D2"/>
    <w:multiLevelType w:val="hybridMultilevel"/>
    <w:lvl w:ilvl="0">
      <w:lvlJc w:val="left"/>
      <w:lvlText w:val="(%1)"/>
      <w:numFmt w:val="lowerLetter"/>
      <w:start w:val="1"/>
    </w:lvl>
  </w:abstractNum>
  <w:abstractNum w:abstractNumId="299">
    <w:nsid w:val="76896198"/>
    <w:multiLevelType w:val="hybridMultilevel"/>
    <w:lvl w:ilvl="0">
      <w:lvlJc w:val="left"/>
      <w:lvlText w:val="(%1)"/>
      <w:numFmt w:val="lowerLetter"/>
      <w:start w:val="2"/>
    </w:lvl>
  </w:abstractNum>
  <w:abstractNum w:abstractNumId="300">
    <w:nsid w:val="4365174B"/>
    <w:multiLevelType w:val="hybridMultilevel"/>
    <w:lvl w:ilvl="0">
      <w:lvlJc w:val="left"/>
      <w:lvlText w:val="(%1)"/>
      <w:numFmt w:val="lowerLetter"/>
      <w:start w:val="1"/>
    </w:lvl>
  </w:abstractNum>
  <w:abstractNum w:abstractNumId="301">
    <w:nsid w:val="4A872C35"/>
    <w:multiLevelType w:val="hybridMultilevel"/>
    <w:lvl w:ilvl="0">
      <w:lvlJc w:val="left"/>
      <w:lvlText w:val="(%1)"/>
      <w:numFmt w:val="lowerLetter"/>
      <w:start w:val="1"/>
    </w:lvl>
  </w:abstractNum>
  <w:abstractNum w:abstractNumId="302">
    <w:nsid w:val="5D5CE761"/>
    <w:multiLevelType w:val="hybridMultilevel"/>
    <w:lvl w:ilvl="0">
      <w:lvlJc w:val="left"/>
      <w:lvlText w:val="(%1)"/>
      <w:numFmt w:val="lowerLetter"/>
      <w:start w:val="1"/>
    </w:lvl>
  </w:abstractNum>
  <w:abstractNum w:abstractNumId="303">
    <w:nsid w:val="1CD484D5"/>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304">
    <w:nsid w:val="21D06255"/>
    <w:multiLevelType w:val="hybridMultilevel"/>
    <w:lvl w:ilvl="0">
      <w:lvlJc w:val="left"/>
      <w:lvlText w:val="(%1)"/>
      <w:numFmt w:val="lowerRoman"/>
      <w:start w:val="3"/>
    </w:lvl>
  </w:abstractNum>
  <w:abstractNum w:abstractNumId="305">
    <w:nsid w:val="51194ED1"/>
    <w:multiLevelType w:val="hybridMultilevel"/>
    <w:lvl w:ilvl="0">
      <w:lvlJc w:val="left"/>
      <w:lvlText w:val="(%1)"/>
      <w:numFmt w:val="lowerLetter"/>
      <w:start w:val="5"/>
    </w:lvl>
  </w:abstractNum>
  <w:abstractNum w:abstractNumId="306">
    <w:nsid w:val="44E2ED6C"/>
    <w:multiLevelType w:val="hybridMultilevel"/>
    <w:lvl w:ilvl="0">
      <w:lvlJc w:val="left"/>
      <w:lvlText w:val="(%1)"/>
      <w:numFmt w:val="lowerLetter"/>
      <w:start w:val="6"/>
    </w:lvl>
    <w:lvl w:ilvl="1">
      <w:lvlJc w:val="left"/>
      <w:lvlText w:val="(%2)"/>
      <w:numFmt w:val="lowerRoman"/>
      <w:start w:val="1"/>
    </w:lvl>
  </w:abstractNum>
  <w:abstractNum w:abstractNumId="307">
    <w:nsid w:val="2219B33"/>
    <w:multiLevelType w:val="hybridMultilevel"/>
    <w:lvl w:ilvl="0">
      <w:lvlJc w:val="left"/>
      <w:lvlText w:val="(%1)"/>
      <w:numFmt w:val="lowerLetter"/>
      <w:start w:val="1"/>
    </w:lvl>
  </w:abstractNum>
  <w:abstractNum w:abstractNumId="308">
    <w:nsid w:val="773BFBDD"/>
    <w:multiLevelType w:val="hybridMultilevel"/>
    <w:lvl w:ilvl="0">
      <w:lvlJc w:val="left"/>
      <w:lvlText w:val="(%1)"/>
      <w:numFmt w:val="lowerLetter"/>
      <w:start w:val="2"/>
    </w:lvl>
  </w:abstractNum>
  <w:abstractNum w:abstractNumId="309">
    <w:nsid w:val="2C7C62C2"/>
    <w:multiLevelType w:val="hybridMultilevel"/>
    <w:lvl w:ilvl="0">
      <w:lvlJc w:val="left"/>
      <w:lvlText w:val="(%1)"/>
      <w:numFmt w:val="lowerLetter"/>
      <w:start w:val="4"/>
    </w:lvl>
  </w:abstractNum>
  <w:abstractNum w:abstractNumId="310">
    <w:nsid w:val="1A54D7BC"/>
    <w:multiLevelType w:val="hybridMultilevel"/>
    <w:lvl w:ilvl="0">
      <w:lvlJc w:val="left"/>
      <w:lvlText w:val="(%1)"/>
      <w:numFmt w:val="lowerLetter"/>
      <w:start w:val="7"/>
    </w:lvl>
  </w:abstractNum>
  <w:abstractNum w:abstractNumId="311">
    <w:nsid w:val="42E57EF7"/>
    <w:multiLevelType w:val="hybridMultilevel"/>
    <w:lvl w:ilvl="0">
      <w:lvlJc w:val="left"/>
      <w:lvlText w:val="%1"/>
      <w:numFmt w:val="lowerLetter"/>
      <w:start w:val="1"/>
    </w:lvl>
    <w:lvl w:ilvl="1">
      <w:lvlJc w:val="left"/>
      <w:lvlText w:val="(%2)"/>
      <w:numFmt w:val="lowerLetter"/>
      <w:start w:val="1"/>
    </w:lvl>
  </w:abstractNum>
  <w:abstractNum w:abstractNumId="312">
    <w:nsid w:val="33537CED"/>
    <w:multiLevelType w:val="hybridMultilevel"/>
    <w:lvl w:ilvl="0">
      <w:lvlJc w:val="left"/>
      <w:lvlText w:val="(%1)"/>
      <w:numFmt w:val="lowerLetter"/>
      <w:start w:val="61"/>
    </w:lvl>
    <w:lvl w:ilvl="1">
      <w:lvlJc w:val="left"/>
      <w:lvlText w:val="(%2)"/>
      <w:numFmt w:val="lowerLetter"/>
      <w:start w:val="4"/>
    </w:lvl>
  </w:abstractNum>
  <w:abstractNum w:abstractNumId="313">
    <w:nsid w:val="27514ADE"/>
    <w:multiLevelType w:val="hybridMultilevel"/>
    <w:lvl w:ilvl="0">
      <w:lvlJc w:val="left"/>
      <w:lvlText w:val="(%1)"/>
      <w:numFmt w:val="lowerLetter"/>
      <w:start w:val="1"/>
    </w:lvl>
  </w:abstractNum>
  <w:abstractNum w:abstractNumId="314">
    <w:nsid w:val="57071613"/>
    <w:multiLevelType w:val="hybridMultilevel"/>
    <w:lvl w:ilvl="0">
      <w:lvlJc w:val="left"/>
      <w:lvlText w:val="%1"/>
      <w:numFmt w:val="lowerLetter"/>
      <w:start w:val="1"/>
    </w:lvl>
    <w:lvl w:ilvl="1">
      <w:lvlJc w:val="left"/>
      <w:lvlText w:val="(%2)"/>
      <w:numFmt w:val="lowerLetter"/>
      <w:start w:val="1"/>
    </w:lvl>
  </w:abstractNum>
  <w:abstractNum w:abstractNumId="315">
    <w:nsid w:val="5293BFEF"/>
    <w:multiLevelType w:val="hybridMultilevel"/>
    <w:lvl w:ilvl="0">
      <w:lvlJc w:val="left"/>
      <w:lvlText w:val="(%1)"/>
      <w:numFmt w:val="lowerLetter"/>
      <w:start w:val="35"/>
    </w:lvl>
    <w:lvl w:ilvl="1">
      <w:lvlJc w:val="left"/>
      <w:lvlText w:val="(%2)"/>
      <w:numFmt w:val="lowerLetter"/>
      <w:start w:val="5"/>
    </w:lvl>
  </w:abstractNum>
  <w:abstractNum w:abstractNumId="316">
    <w:nsid w:val="38BF53E5"/>
    <w:multiLevelType w:val="hybridMultilevel"/>
    <w:lvl w:ilvl="0">
      <w:lvlJc w:val="left"/>
      <w:lvlText w:val="(%1)"/>
      <w:numFmt w:val="lowerLetter"/>
      <w:start w:val="10"/>
    </w:lvl>
  </w:abstractNum>
  <w:abstractNum w:abstractNumId="317">
    <w:nsid w:val="226F5320"/>
    <w:multiLevelType w:val="hybridMultilevel"/>
    <w:lvl w:ilvl="0">
      <w:lvlJc w:val="left"/>
      <w:lvlText w:val="(%1)"/>
      <w:numFmt w:val="lowerLetter"/>
      <w:start w:val="14"/>
    </w:lvl>
  </w:abstractNum>
  <w:abstractNum w:abstractNumId="318">
    <w:nsid w:val="5A0201C7"/>
    <w:multiLevelType w:val="hybridMultilevel"/>
    <w:lvl w:ilvl="0">
      <w:lvlJc w:val="left"/>
      <w:lvlText w:val="(%1)"/>
      <w:numFmt w:val="lowerLetter"/>
      <w:start w:val="1"/>
    </w:lvl>
  </w:abstractNum>
  <w:abstractNum w:abstractNumId="319">
    <w:nsid w:val="2A9C34E2"/>
    <w:multiLevelType w:val="hybridMultilevel"/>
    <w:lvl w:ilvl="0">
      <w:lvlJc w:val="left"/>
      <w:lvlText w:val="(%1)"/>
      <w:numFmt w:val="lowerLetter"/>
      <w:start w:val="2"/>
    </w:lvl>
  </w:abstractNum>
  <w:abstractNum w:abstractNumId="320">
    <w:nsid w:val="1B7585AB"/>
    <w:multiLevelType w:val="hybridMultilevel"/>
    <w:lvl w:ilvl="0">
      <w:lvlJc w:val="left"/>
      <w:lvlText w:val="(%1)"/>
      <w:numFmt w:val="lowerLetter"/>
      <w:start w:val="1"/>
    </w:lvl>
  </w:abstractNum>
  <w:abstractNum w:abstractNumId="321">
    <w:nsid w:val="612DBDDD"/>
    <w:multiLevelType w:val="hybridMultilevel"/>
    <w:lvl w:ilvl="0">
      <w:lvlJc w:val="left"/>
      <w:lvlText w:val="(%1)"/>
      <w:numFmt w:val="lowerLetter"/>
      <w:start w:val="1"/>
    </w:lvl>
  </w:abstractNum>
  <w:abstractNum w:abstractNumId="322">
    <w:nsid w:val="2109CDA4"/>
    <w:multiLevelType w:val="hybridMultilevel"/>
    <w:lvl w:ilvl="0">
      <w:lvlJc w:val="left"/>
      <w:lvlText w:val="(%1)"/>
      <w:numFmt w:val="lowerLetter"/>
      <w:start w:val="2"/>
    </w:lvl>
  </w:abstractNum>
  <w:abstractNum w:abstractNumId="323">
    <w:nsid w:val="577F5A4D"/>
    <w:multiLevelType w:val="hybridMultilevel"/>
    <w:lvl w:ilvl="0">
      <w:lvlJc w:val="left"/>
      <w:lvlText w:val="(%1)"/>
      <w:numFmt w:val="lowerLetter"/>
      <w:start w:val="11"/>
    </w:lvl>
  </w:abstractNum>
  <w:abstractNum w:abstractNumId="324">
    <w:nsid w:val="2121A81"/>
    <w:multiLevelType w:val="hybridMultilevel"/>
    <w:lvl w:ilvl="0">
      <w:lvlJc w:val="left"/>
      <w:lvlText w:val="(%1)"/>
      <w:numFmt w:val="lowerLetter"/>
      <w:start w:val="1"/>
    </w:lvl>
  </w:abstractNum>
  <w:abstractNum w:abstractNumId="325">
    <w:nsid w:val="6C2CFC88"/>
    <w:multiLevelType w:val="hybridMultilevel"/>
    <w:lvl w:ilvl="0">
      <w:lvlJc w:val="left"/>
      <w:lvlText w:val="%1"/>
      <w:numFmt w:val="lowerLetter"/>
      <w:start w:val="1"/>
    </w:lvl>
    <w:lvl w:ilvl="1">
      <w:lvlJc w:val="left"/>
      <w:lvlText w:val="(%2)"/>
      <w:numFmt w:val="lowerLetter"/>
      <w:start w:val="7"/>
    </w:lvl>
  </w:abstractNum>
  <w:abstractNum w:abstractNumId="326">
    <w:nsid w:val="6D1BCF1C"/>
    <w:multiLevelType w:val="hybridMultilevel"/>
    <w:lvl w:ilvl="0">
      <w:lvlJc w:val="left"/>
      <w:lvlText w:val="(%1)"/>
      <w:numFmt w:val="lowerLetter"/>
      <w:start w:val="25"/>
    </w:lvl>
    <w:lvl w:ilvl="1">
      <w:lvlJc w:val="left"/>
      <w:lvlText w:val="(%2)"/>
      <w:numFmt w:val="lowerLetter"/>
      <w:start w:val="9"/>
    </w:lvl>
  </w:abstractNum>
  <w:abstractNum w:abstractNumId="327">
    <w:nsid w:val="4CE5CA53"/>
    <w:multiLevelType w:val="hybridMultilevel"/>
    <w:lvl w:ilvl="0">
      <w:lvlJc w:val="left"/>
      <w:lvlText w:val="(%1)"/>
      <w:numFmt w:val="lowerLetter"/>
      <w:start w:val="1"/>
    </w:lvl>
  </w:abstractNum>
  <w:abstractNum w:abstractNumId="328">
    <w:nsid w:val="29262D1A"/>
    <w:multiLevelType w:val="hybridMultilevel"/>
    <w:lvl w:ilvl="0">
      <w:lvlJc w:val="left"/>
      <w:lvlText w:val="(%1)"/>
      <w:numFmt w:val="lowerLetter"/>
      <w:start w:val="6"/>
    </w:lvl>
  </w:abstractNum>
  <w:abstractNum w:abstractNumId="329">
    <w:nsid w:val="557FB7EE"/>
    <w:multiLevelType w:val="hybridMultilevel"/>
    <w:lvl w:ilvl="0">
      <w:lvlJc w:val="left"/>
      <w:lvlText w:val="(%1)"/>
      <w:numFmt w:val="lowerLetter"/>
      <w:start w:val="1"/>
    </w:lvl>
  </w:abstractNum>
  <w:abstractNum w:abstractNumId="330">
    <w:nsid w:val="436F2BEB"/>
    <w:multiLevelType w:val="hybridMultilevel"/>
    <w:lvl w:ilvl="0">
      <w:lvlJc w:val="left"/>
      <w:lvlText w:val="(%1)"/>
      <w:numFmt w:val="lowerLetter"/>
      <w:start w:val="2"/>
    </w:lvl>
  </w:abstractNum>
  <w:abstractNum w:abstractNumId="331">
    <w:nsid w:val="6C8B4466"/>
    <w:multiLevelType w:val="hybridMultilevel"/>
    <w:lvl w:ilvl="0">
      <w:lvlJc w:val="left"/>
      <w:lvlText w:val="(%1)"/>
      <w:numFmt w:val="lowerLetter"/>
      <w:start w:val="1"/>
    </w:lvl>
  </w:abstractNum>
  <w:abstractNum w:abstractNumId="332">
    <w:nsid w:val="2006E424"/>
    <w:multiLevelType w:val="hybridMultilevel"/>
    <w:lvl w:ilvl="0">
      <w:lvlJc w:val="left"/>
      <w:lvlText w:val="(%1)"/>
      <w:numFmt w:val="lowerLetter"/>
      <w:start w:val="4"/>
    </w:lvl>
  </w:abstractNum>
  <w:abstractNum w:abstractNumId="333">
    <w:nsid w:val="20CC134C"/>
    <w:multiLevelType w:val="hybridMultilevel"/>
    <w:lvl w:ilvl="0">
      <w:lvlJc w:val="left"/>
      <w:lvlText w:val="(%1)"/>
      <w:numFmt w:val="lowerLetter"/>
      <w:start w:val="1"/>
    </w:lvl>
  </w:abstractNum>
  <w:abstractNum w:abstractNumId="334">
    <w:nsid w:val="95FC93B"/>
    <w:multiLevelType w:val="hybridMultilevel"/>
    <w:lvl w:ilvl="0">
      <w:lvlJc w:val="left"/>
      <w:lvlText w:val="%1"/>
      <w:numFmt w:val="upperLetter"/>
      <w:start w:val="1"/>
    </w:lvl>
    <w:lvl w:ilvl="1">
      <w:lvlJc w:val="left"/>
      <w:lvlText w:val="(%2)"/>
      <w:numFmt w:val="lowerLetter"/>
      <w:start w:val="3"/>
    </w:lvl>
  </w:abstractNum>
  <w:abstractNum w:abstractNumId="335">
    <w:nsid w:val="41D74679"/>
    <w:multiLevelType w:val="hybridMultilevel"/>
    <w:lvl w:ilvl="0">
      <w:lvlJc w:val="left"/>
      <w:lvlText w:val="(%1)"/>
      <w:numFmt w:val="upperLetter"/>
      <w:start w:val="3"/>
    </w:lvl>
    <w:lvl w:ilvl="1">
      <w:lvlJc w:val="left"/>
      <w:lvlText w:val="%2"/>
      <w:numFmt w:val="lowerLetter"/>
      <w:start w:val="1"/>
    </w:lvl>
  </w:abstractNum>
  <w:abstractNum w:abstractNumId="336">
    <w:nsid w:val="71E5621E"/>
    <w:multiLevelType w:val="hybridMultilevel"/>
    <w:lvl w:ilvl="0">
      <w:lvlJc w:val="left"/>
      <w:lvlText w:val="(%1)"/>
      <w:numFmt w:val="lowerLetter"/>
      <w:start w:val="1"/>
    </w:lvl>
  </w:abstractNum>
  <w:abstractNum w:abstractNumId="337">
    <w:nsid w:val="4E42B6A8"/>
    <w:multiLevelType w:val="hybridMultilevel"/>
    <w:lvl w:ilvl="0">
      <w:lvlJc w:val="left"/>
      <w:lvlText w:val="(%1)"/>
      <w:numFmt w:val="lowerLetter"/>
      <w:start w:val="3"/>
    </w:lvl>
  </w:abstractNum>
  <w:abstractNum w:abstractNumId="338">
    <w:nsid w:val="43F8E1AC"/>
    <w:multiLevelType w:val="hybridMultilevel"/>
    <w:lvl w:ilvl="0">
      <w:lvlJc w:val="left"/>
      <w:lvlText w:val="(%1)"/>
      <w:numFmt w:val="lowerLetter"/>
      <w:start w:val="9"/>
    </w:lvl>
  </w:abstractNum>
  <w:abstractNum w:abstractNumId="339">
    <w:nsid w:val="69215DFB"/>
    <w:multiLevelType w:val="hybridMultilevel"/>
    <w:lvl w:ilvl="0">
      <w:lvlJc w:val="left"/>
      <w:lvlText w:val="(%1)"/>
      <w:numFmt w:val="lowerLetter"/>
      <w:start w:val="13"/>
    </w:lvl>
  </w:abstractNum>
  <w:abstractNum w:abstractNumId="340">
    <w:nsid w:val="7ABF196A"/>
    <w:multiLevelType w:val="hybridMultilevel"/>
    <w:lvl w:ilvl="0">
      <w:lvlJc w:val="left"/>
      <w:lvlText w:val="(%1)"/>
      <w:numFmt w:val="lowerRoman"/>
      <w:start w:val="1"/>
    </w:lvl>
  </w:abstractNum>
  <w:abstractNum w:abstractNumId="341">
    <w:nsid w:val="5E4DB968"/>
    <w:multiLevelType w:val="hybridMultilevel"/>
    <w:lvl w:ilvl="0">
      <w:lvlJc w:val="left"/>
      <w:lvlText w:val="(%1)"/>
      <w:numFmt w:val="lowerLetter"/>
      <w:start w:val="1"/>
    </w:lvl>
  </w:abstractNum>
  <w:abstractNum w:abstractNumId="342">
    <w:nsid w:val="2C06DCF3"/>
    <w:multiLevelType w:val="hybridMultilevel"/>
    <w:lvl w:ilvl="0">
      <w:lvlJc w:val="left"/>
      <w:lvlText w:val="(%1)"/>
      <w:numFmt w:val="lowerLetter"/>
      <w:start w:val="2"/>
    </w:lvl>
  </w:abstractNum>
  <w:abstractNum w:abstractNumId="343">
    <w:nsid w:val="2E129658"/>
    <w:multiLevelType w:val="hybridMultilevel"/>
    <w:lvl w:ilvl="0">
      <w:lvlJc w:val="left"/>
      <w:lvlText w:val="(%1)"/>
      <w:numFmt w:val="lowerRoman"/>
      <w:start w:val="5"/>
    </w:lvl>
  </w:abstractNum>
  <w:abstractNum w:abstractNumId="344">
    <w:nsid w:val="59F0446"/>
    <w:multiLevelType w:val="hybridMultilevel"/>
    <w:lvl w:ilvl="0">
      <w:lvlJc w:val="left"/>
      <w:lvlText w:val="(%1)"/>
      <w:numFmt w:val="lowerLetter"/>
      <w:start w:val="1"/>
    </w:lvl>
  </w:abstractNum>
  <w:abstractNum w:abstractNumId="345">
    <w:nsid w:val="30DF306"/>
    <w:multiLevelType w:val="hybridMultilevel"/>
    <w:lvl w:ilvl="0">
      <w:lvlJc w:val="left"/>
      <w:lvlText w:val="(%1)"/>
      <w:numFmt w:val="lowerLetter"/>
      <w:start w:val="1"/>
    </w:lvl>
  </w:abstractNum>
  <w:abstractNum w:abstractNumId="346">
    <w:nsid w:val="A65647"/>
    <w:multiLevelType w:val="hybridMultilevel"/>
    <w:lvl w:ilvl="0">
      <w:lvlJc w:val="left"/>
      <w:lvlText w:val="(%1)"/>
      <w:numFmt w:val="lowerLetter"/>
      <w:start w:val="3"/>
    </w:lvl>
  </w:abstractNum>
  <w:abstractNum w:abstractNumId="347">
    <w:nsid w:val="3E5E582B"/>
    <w:multiLevelType w:val="hybridMultilevel"/>
    <w:lvl w:ilvl="0">
      <w:lvlJc w:val="left"/>
      <w:lvlText w:val="(%1)"/>
      <w:numFmt w:val="lowerLetter"/>
      <w:start w:val="1"/>
    </w:lvl>
  </w:abstractNum>
  <w:abstractNum w:abstractNumId="348">
    <w:nsid w:val="257D4626"/>
    <w:multiLevelType w:val="hybridMultilevel"/>
    <w:lvl w:ilvl="0">
      <w:lvlJc w:val="left"/>
      <w:lvlText w:val="(%1)"/>
      <w:numFmt w:val="lowerRoman"/>
      <w:start w:val="2"/>
    </w:lvl>
  </w:abstractNum>
  <w:abstractNum w:abstractNumId="349">
    <w:nsid w:val="5AA8580E"/>
    <w:multiLevelType w:val="hybridMultilevel"/>
    <w:lvl w:ilvl="0">
      <w:lvlJc w:val="left"/>
      <w:lvlText w:val="(%1)"/>
      <w:numFmt w:val="lowerLetter"/>
      <w:start w:val="2"/>
    </w:lvl>
  </w:abstractNum>
  <w:abstractNum w:abstractNumId="350">
    <w:nsid w:val="68FA8D0D"/>
    <w:multiLevelType w:val="hybridMultilevel"/>
    <w:lvl w:ilvl="0">
      <w:lvlJc w:val="left"/>
      <w:lvlText w:val="(%1)"/>
      <w:numFmt w:val="lowerLetter"/>
      <w:start w:val="3"/>
    </w:lvl>
    <w:lvl w:ilvl="1">
      <w:lvlJc w:val="left"/>
      <w:lvlText w:val="(%2)"/>
      <w:numFmt w:val="lowerRoman"/>
      <w:start w:val="1"/>
    </w:lvl>
  </w:abstractNum>
  <w:abstractNum w:abstractNumId="351">
    <w:nsid w:val="40F2CBD2"/>
    <w:multiLevelType w:val="hybridMultilevel"/>
    <w:lvl w:ilvl="0">
      <w:lvlJc w:val="left"/>
      <w:lvlText w:val="(%1)"/>
      <w:numFmt w:val="lowerLetter"/>
      <w:start w:val="1"/>
    </w:lvl>
  </w:abstractNum>
  <w:abstractNum w:abstractNumId="352">
    <w:nsid w:val="3BD615EB"/>
    <w:multiLevelType w:val="hybridMultilevel"/>
    <w:lvl w:ilvl="0">
      <w:lvlJc w:val="left"/>
      <w:lvlText w:val="(%1)"/>
      <w:numFmt w:val="lowerLetter"/>
      <w:start w:val="2"/>
    </w:lvl>
  </w:abstractNum>
  <w:abstractNum w:abstractNumId="353">
    <w:nsid w:val="A045AB2"/>
    <w:multiLevelType w:val="hybridMultilevel"/>
    <w:lvl w:ilvl="0">
      <w:lvlJc w:val="left"/>
      <w:lvlText w:val="%1"/>
      <w:numFmt w:val="lowerLetter"/>
      <w:start w:val="1"/>
    </w:lvl>
    <w:lvl w:ilvl="1">
      <w:lvlJc w:val="left"/>
      <w:lvlText w:val="(%2)"/>
      <w:numFmt w:val="lowerLetter"/>
      <w:start w:val="4"/>
    </w:lvl>
  </w:abstractNum>
  <w:abstractNum w:abstractNumId="354">
    <w:nsid w:val="1872261F"/>
    <w:multiLevelType w:val="hybridMultilevel"/>
    <w:lvl w:ilvl="0">
      <w:lvlJc w:val="left"/>
      <w:lvlText w:val="(%1)"/>
      <w:numFmt w:val="lowerLetter"/>
      <w:start w:val="5"/>
    </w:lvl>
    <w:lvl w:ilvl="1">
      <w:lvlJc w:val="left"/>
      <w:lvlText w:val="%2"/>
      <w:numFmt w:val="lowerLetter"/>
      <w:start w:val="1"/>
    </w:lvl>
  </w:abstractNum>
  <w:abstractNum w:abstractNumId="355">
    <w:nsid w:val="3DE8306C"/>
    <w:multiLevelType w:val="hybridMultilevel"/>
    <w:lvl w:ilvl="0">
      <w:lvlJc w:val="left"/>
      <w:lvlText w:val="(%1)"/>
      <w:numFmt w:val="lowerLetter"/>
      <w:start w:val="1"/>
    </w:lvl>
    <w:lvl w:ilvl="1">
      <w:lvlJc w:val="left"/>
      <w:lvlText w:val="(%2)"/>
      <w:numFmt w:val="upperLetter"/>
      <w:start w:val="1"/>
    </w:lvl>
  </w:abstractNum>
  <w:abstractNum w:abstractNumId="356">
    <w:nsid w:val="7631573A"/>
    <w:multiLevelType w:val="hybridMultilevel"/>
    <w:lvl w:ilvl="0">
      <w:lvlJc w:val="left"/>
      <w:lvlText w:val="(%1)"/>
      <w:numFmt w:val="upperLetter"/>
      <w:start w:val="1"/>
    </w:lvl>
  </w:abstractNum>
  <w:abstractNum w:abstractNumId="357">
    <w:nsid w:val="58DF53B"/>
    <w:multiLevelType w:val="hybridMultilevel"/>
    <w:lvl w:ilvl="0">
      <w:lvlJc w:val="left"/>
      <w:lvlText w:val="(%1)"/>
      <w:numFmt w:val="lowerRoman"/>
      <w:start w:val="3"/>
    </w:lvl>
  </w:abstractNum>
  <w:abstractNum w:abstractNumId="358">
    <w:nsid w:val="ACDFAC0"/>
    <w:multiLevelType w:val="hybridMultilevel"/>
    <w:lvl w:ilvl="0">
      <w:lvlJc w:val="left"/>
      <w:lvlText w:val="(%1)"/>
      <w:numFmt w:val="lowerRoman"/>
      <w:start w:val="5"/>
    </w:lvl>
  </w:abstractNum>
  <w:abstractNum w:abstractNumId="359">
    <w:nsid w:val="1F578454"/>
    <w:multiLevelType w:val="hybridMultilevel"/>
    <w:lvl w:ilvl="0">
      <w:lvlJc w:val="left"/>
      <w:lvlText w:val="(%1)"/>
      <w:numFmt w:val="lowerLetter"/>
      <w:start w:val="3"/>
    </w:lvl>
  </w:abstractNum>
  <w:abstractNum w:abstractNumId="360">
    <w:nsid w:val="5B0DAD2A"/>
    <w:multiLevelType w:val="hybridMultilevel"/>
    <w:lvl w:ilvl="0">
      <w:lvlJc w:val="left"/>
      <w:lvlText w:val="%1"/>
      <w:numFmt w:val="lowerLetter"/>
      <w:start w:val="1"/>
    </w:lvl>
    <w:lvl w:ilvl="1">
      <w:lvlJc w:val="left"/>
      <w:lvlText w:val="(%2)"/>
      <w:numFmt w:val="lowerLetter"/>
      <w:start w:val="35"/>
    </w:lvl>
  </w:abstractNum>
  <w:abstractNum w:abstractNumId="361">
    <w:nsid w:val="4E3D26AB"/>
    <w:multiLevelType w:val="hybridMultilevel"/>
    <w:lvl w:ilvl="0">
      <w:lvlJc w:val="left"/>
      <w:lvlText w:val="(%1)"/>
      <w:numFmt w:val="lowerLetter"/>
      <w:start w:val="4"/>
    </w:lvl>
    <w:lvl w:ilvl="1">
      <w:lvlJc w:val="left"/>
      <w:lvlText w:val="%2"/>
      <w:numFmt w:val="lowerLetter"/>
      <w:start w:val="1"/>
    </w:lvl>
  </w:abstractNum>
  <w:abstractNum w:abstractNumId="362">
    <w:nsid w:val="BE2C8BA"/>
    <w:multiLevelType w:val="hybridMultilevel"/>
    <w:lvl w:ilvl="0">
      <w:lvlJc w:val="left"/>
      <w:lvlText w:val="%1"/>
      <w:numFmt w:val="lowerLetter"/>
      <w:start w:val="1"/>
    </w:lvl>
    <w:lvl w:ilvl="1">
      <w:lvlJc w:val="left"/>
      <w:lvlText w:val="(%2)"/>
      <w:numFmt w:val="lowerLetter"/>
      <w:start w:val="1"/>
    </w:lvl>
  </w:abstractNum>
  <w:abstractNum w:abstractNumId="363">
    <w:nsid w:val="7B14914E"/>
    <w:multiLevelType w:val="hybridMultilevel"/>
    <w:lvl w:ilvl="0">
      <w:lvlJc w:val="left"/>
      <w:lvlText w:val="(%1)"/>
      <w:numFmt w:val="lowerLetter"/>
      <w:start w:val="35"/>
    </w:lvl>
    <w:lvl w:ilvl="1">
      <w:lvlJc w:val="left"/>
      <w:lvlText w:val="(%2)"/>
      <w:numFmt w:val="lowerLetter"/>
      <w:start w:val="3"/>
    </w:lvl>
  </w:abstractNum>
  <w:abstractNum w:abstractNumId="364">
    <w:nsid w:val="6F0939F8"/>
    <w:multiLevelType w:val="hybridMultilevel"/>
    <w:lvl w:ilvl="0">
      <w:lvlJc w:val="left"/>
      <w:lvlText w:val="(%1)"/>
      <w:numFmt w:val="lowerLetter"/>
      <w:start w:val="1"/>
    </w:lvl>
  </w:abstractNum>
  <w:abstractNum w:abstractNumId="365">
    <w:nsid w:val="154291F6"/>
    <w:multiLevelType w:val="hybridMultilevel"/>
    <w:lvl w:ilvl="0">
      <w:lvlJc w:val="left"/>
      <w:lvlText w:val="(%1)"/>
      <w:numFmt w:val="lowerLetter"/>
      <w:start w:val="2"/>
    </w:lvl>
  </w:abstractNum>
  <w:abstractNum w:abstractNumId="366">
    <w:nsid w:val="3CEBD7C7"/>
    <w:multiLevelType w:val="hybridMultilevel"/>
    <w:lvl w:ilvl="0">
      <w:lvlJc w:val="left"/>
      <w:lvlText w:val="(%1)"/>
      <w:numFmt w:val="lowerLetter"/>
      <w:start w:val="7"/>
    </w:lvl>
  </w:abstractNum>
  <w:abstractNum w:abstractNumId="367">
    <w:nsid w:val="60EE9C16"/>
    <w:multiLevelType w:val="hybridMultilevel"/>
    <w:lvl w:ilvl="0">
      <w:lvlJc w:val="left"/>
      <w:lvlText w:val="(%1)"/>
      <w:numFmt w:val="upperLetter"/>
      <w:start w:val="2"/>
    </w:lvl>
  </w:abstractNum>
  <w:abstractNum w:abstractNumId="368">
    <w:nsid w:val="6385489E"/>
    <w:multiLevelType w:val="hybridMultilevel"/>
    <w:lvl w:ilvl="0">
      <w:lvlJc w:val="left"/>
      <w:lvlText w:val="(%1)"/>
      <w:numFmt w:val="lowerRoman"/>
      <w:start w:val="5"/>
    </w:lvl>
  </w:abstractNum>
  <w:abstractNum w:abstractNumId="369">
    <w:nsid w:val="E4B973"/>
    <w:multiLevelType w:val="hybridMultilevel"/>
    <w:lvl w:ilvl="0">
      <w:lvlJc w:val="left"/>
      <w:lvlText w:val="(%1)"/>
      <w:numFmt w:val="lowerLetter"/>
      <w:start w:val="1"/>
    </w:lvl>
  </w:abstractNum>
  <w:abstractNum w:abstractNumId="370">
    <w:nsid w:val="4A0FFA11"/>
    <w:multiLevelType w:val="hybridMultilevel"/>
    <w:lvl w:ilvl="0">
      <w:lvlJc w:val="left"/>
      <w:lvlText w:val="(%1)"/>
      <w:numFmt w:val="lowerLetter"/>
      <w:start w:val="1"/>
    </w:lvl>
    <w:lvl w:ilvl="1">
      <w:lvlJc w:val="left"/>
      <w:lvlText w:val="(%2)"/>
      <w:numFmt w:val="lowerRoman"/>
      <w:start w:val="1"/>
    </w:lvl>
  </w:abstractNum>
  <w:abstractNum w:abstractNumId="371">
    <w:nsid w:val="5E446208"/>
    <w:multiLevelType w:val="hybridMultilevel"/>
    <w:lvl w:ilvl="0">
      <w:lvlJc w:val="left"/>
      <w:lvlText w:val="(%1)"/>
      <w:numFmt w:val="lowerRoman"/>
      <w:start w:val="3"/>
    </w:lvl>
  </w:abstractNum>
  <w:abstractNum w:abstractNumId="372">
    <w:nsid w:val="5F3272DB"/>
    <w:multiLevelType w:val="hybridMultilevel"/>
    <w:lvl w:ilvl="0">
      <w:lvlJc w:val="left"/>
      <w:lvlText w:val="(%1)"/>
      <w:numFmt w:val="lowerRoman"/>
      <w:start w:val="1"/>
    </w:lvl>
  </w:abstractNum>
  <w:abstractNum w:abstractNumId="373">
    <w:nsid w:val="7616D704"/>
    <w:multiLevelType w:val="hybridMultilevel"/>
    <w:lvl w:ilvl="0">
      <w:lvlJc w:val="left"/>
      <w:lvlText w:val="(%1)"/>
      <w:numFmt w:val="lowerRoman"/>
      <w:start w:val="7"/>
    </w:lvl>
  </w:abstractNum>
  <w:abstractNum w:abstractNumId="374">
    <w:nsid w:val="C56F860"/>
    <w:multiLevelType w:val="hybridMultilevel"/>
    <w:lvl w:ilvl="0">
      <w:lvlJc w:val="left"/>
      <w:lvlText w:val="(%1)"/>
      <w:numFmt w:val="lowerRoman"/>
      <w:start w:val="1"/>
    </w:lvl>
  </w:abstractNum>
  <w:abstractNum w:abstractNumId="375">
    <w:nsid w:val="64D17722"/>
    <w:multiLevelType w:val="hybridMultilevel"/>
    <w:lvl w:ilvl="0">
      <w:lvlJc w:val="left"/>
      <w:lvlText w:val="(%1)"/>
      <w:numFmt w:val="lowerRoman"/>
      <w:start w:val="1"/>
    </w:lvl>
  </w:abstractNum>
  <w:abstractNum w:abstractNumId="376">
    <w:nsid w:val="7924CA0A"/>
    <w:multiLevelType w:val="hybridMultilevel"/>
    <w:lvl w:ilvl="0">
      <w:lvlJc w:val="left"/>
      <w:lvlText w:val="(%1)"/>
      <w:numFmt w:val="lowerRoman"/>
      <w:start w:val="1"/>
    </w:lvl>
  </w:abstractNum>
  <w:abstractNum w:abstractNumId="377">
    <w:nsid w:val="CFD4EA7"/>
    <w:multiLevelType w:val="hybridMultilevel"/>
    <w:lvl w:ilvl="0">
      <w:lvlJc w:val="left"/>
      <w:lvlText w:val="(%1)"/>
      <w:numFmt w:val="lowerRoman"/>
      <w:start w:val="11"/>
    </w:lvl>
  </w:abstractNum>
  <w:abstractNum w:abstractNumId="378">
    <w:nsid w:val="232FCF4D"/>
    <w:multiLevelType w:val="hybridMultilevel"/>
    <w:lvl w:ilvl="0">
      <w:lvlJc w:val="left"/>
      <w:lvlText w:val="(%1)"/>
      <w:numFmt w:val="upperLetter"/>
      <w:start w:val="1"/>
    </w:lvl>
  </w:abstractNum>
  <w:abstractNum w:abstractNumId="379">
    <w:nsid w:val="1EA21031"/>
    <w:multiLevelType w:val="hybridMultilevel"/>
    <w:lvl w:ilvl="0">
      <w:lvlJc w:val="left"/>
      <w:lvlText w:val="(%1)"/>
      <w:numFmt w:val="lowerLetter"/>
      <w:start w:val="1"/>
    </w:lvl>
  </w:abstractNum>
  <w:abstractNum w:abstractNumId="380">
    <w:nsid w:val="67A5A6B5"/>
    <w:multiLevelType w:val="hybridMultilevel"/>
    <w:lvl w:ilvl="0">
      <w:lvlJc w:val="left"/>
      <w:lvlText w:val="(%1)"/>
      <w:numFmt w:val="lowerLetter"/>
      <w:start w:val="3"/>
    </w:lvl>
    <w:lvl w:ilvl="1">
      <w:lvlJc w:val="left"/>
      <w:lvlText w:val="(%2)"/>
      <w:numFmt w:val="lowerRoman"/>
      <w:start w:val="1"/>
    </w:lvl>
  </w:abstractNum>
  <w:abstractNum w:abstractNumId="381">
    <w:nsid w:val="C2A5C5B"/>
    <w:multiLevelType w:val="hybridMultilevel"/>
    <w:lvl w:ilvl="0">
      <w:lvlJc w:val="left"/>
      <w:lvlText w:val="%1"/>
      <w:numFmt w:val="lowerLetter"/>
      <w:start w:val="1"/>
    </w:lvl>
    <w:lvl w:ilvl="1">
      <w:lvlJc w:val="left"/>
      <w:lvlText w:val="(%2)"/>
      <w:numFmt w:val="lowerLetter"/>
      <w:start w:val="61"/>
    </w:lvl>
  </w:abstractNum>
  <w:abstractNum w:abstractNumId="382">
    <w:nsid w:val="5F94DC03"/>
    <w:multiLevelType w:val="hybridMultilevel"/>
    <w:lvl w:ilvl="0">
      <w:lvlJc w:val="left"/>
      <w:lvlText w:val="(%1)"/>
      <w:numFmt w:val="lowerLetter"/>
      <w:start w:val="7"/>
    </w:lvl>
    <w:lvl w:ilvl="1">
      <w:lvlJc w:val="left"/>
      <w:lvlText w:val="(%2)"/>
      <w:numFmt w:val="lowerLetter"/>
      <w:start w:val="9"/>
    </w:lvl>
  </w:abstractNum>
  <w:abstractNum w:abstractNumId="383">
    <w:nsid w:val="237BBCA0"/>
    <w:multiLevelType w:val="hybridMultilevel"/>
    <w:lvl w:ilvl="0">
      <w:lvlJc w:val="left"/>
      <w:lvlText w:val="(%1)"/>
      <w:numFmt w:val="lowerRoman"/>
      <w:start w:val="2"/>
    </w:lvl>
  </w:abstractNum>
  <w:abstractNum w:abstractNumId="384">
    <w:nsid w:val="162EB70D"/>
    <w:multiLevelType w:val="hybridMultilevel"/>
    <w:lvl w:ilvl="0">
      <w:lvlJc w:val="left"/>
      <w:lvlText w:val="(%1)"/>
      <w:numFmt w:val="lowerRoman"/>
      <w:start w:val="1"/>
    </w:lvl>
  </w:abstractNum>
  <w:abstractNum w:abstractNumId="385">
    <w:nsid w:val="78070222"/>
    <w:multiLevelType w:val="hybridMultilevel"/>
    <w:lvl w:ilvl="0">
      <w:lvlJc w:val="left"/>
      <w:lvlText w:val="(%1)"/>
      <w:numFmt w:val="lowerRoman"/>
      <w:start w:val="8"/>
    </w:lvl>
  </w:abstractNum>
  <w:abstractNum w:abstractNumId="386">
    <w:nsid w:val="6163ED0D"/>
    <w:multiLevelType w:val="hybridMultilevel"/>
    <w:lvl w:ilvl="0">
      <w:lvlJc w:val="left"/>
      <w:lvlText w:val="(%1)"/>
      <w:numFmt w:val="lowerLetter"/>
      <w:start w:val="1"/>
    </w:lvl>
    <w:lvl w:ilvl="1">
      <w:lvlJc w:val="left"/>
      <w:lvlText w:val="(%2)"/>
      <w:numFmt w:val="lowerRoman"/>
      <w:start w:val="1"/>
    </w:lvl>
  </w:abstractNum>
  <w:abstractNum w:abstractNumId="387">
    <w:nsid w:val="C600E47"/>
    <w:multiLevelType w:val="hybridMultilevel"/>
    <w:lvl w:ilvl="0">
      <w:lvlJc w:val="left"/>
      <w:lvlText w:val="%1"/>
      <w:numFmt w:val="lowerLetter"/>
      <w:start w:val="1"/>
    </w:lvl>
    <w:lvl w:ilvl="1">
      <w:lvlJc w:val="left"/>
      <w:lvlText w:val="(%2)"/>
      <w:numFmt w:val="lowerLetter"/>
      <w:start w:val="22"/>
    </w:lvl>
  </w:abstractNum>
  <w:abstractNum w:abstractNumId="388">
    <w:nsid w:val="7D94F75D"/>
    <w:multiLevelType w:val="hybridMultilevel"/>
    <w:lvl w:ilvl="0">
      <w:lvlJc w:val="left"/>
      <w:lvlText w:val="(%1)"/>
      <w:numFmt w:val="lowerLetter"/>
      <w:start w:val="3"/>
    </w:lvl>
    <w:lvl w:ilvl="1">
      <w:lvlJc w:val="left"/>
      <w:lvlText w:val="%2"/>
      <w:numFmt w:val="lowerLetter"/>
      <w:start w:val="1"/>
    </w:lvl>
  </w:abstractNum>
  <w:abstractNum w:abstractNumId="389">
    <w:nsid w:val="6C31E7CD"/>
    <w:multiLevelType w:val="hybridMultilevel"/>
    <w:lvl w:ilvl="0">
      <w:lvlJc w:val="left"/>
      <w:lvlText w:val="(%1)"/>
      <w:numFmt w:val="lowerLetter"/>
      <w:start w:val="1"/>
    </w:lvl>
    <w:lvl w:ilvl="1">
      <w:lvlJc w:val="left"/>
      <w:lvlText w:val="(%2)"/>
      <w:numFmt w:val="lowerRoman"/>
      <w:start w:val="1"/>
    </w:lvl>
  </w:abstractNum>
  <w:abstractNum w:abstractNumId="390">
    <w:nsid w:val="2BB7929B"/>
    <w:multiLevelType w:val="hybridMultilevel"/>
    <w:lvl w:ilvl="0">
      <w:lvlJc w:val="left"/>
      <w:lvlText w:val="(%1)"/>
      <w:numFmt w:val="lowerLetter"/>
      <w:start w:val="2"/>
    </w:lvl>
    <w:lvl w:ilvl="1">
      <w:lvlJc w:val="left"/>
      <w:lvlText w:val="(%2)"/>
      <w:numFmt w:val="lowerRoman"/>
      <w:start w:val="1"/>
    </w:lvl>
  </w:abstractNum>
  <w:abstractNum w:abstractNumId="391">
    <w:nsid w:val="58A2A487"/>
    <w:multiLevelType w:val="hybridMultilevel"/>
    <w:lvl w:ilvl="0">
      <w:lvlJc w:val="left"/>
      <w:lvlText w:val="%1"/>
      <w:numFmt w:val="lowerLetter"/>
      <w:start w:val="1"/>
    </w:lvl>
    <w:lvl w:ilvl="1">
      <w:lvlJc w:val="left"/>
      <w:lvlText w:val="(%2)"/>
      <w:numFmt w:val="lowerRoman"/>
      <w:start w:val="3"/>
    </w:lvl>
  </w:abstractNum>
  <w:abstractNum w:abstractNumId="392">
    <w:nsid w:val="3A6F0E78"/>
    <w:multiLevelType w:val="hybridMultilevel"/>
    <w:lvl w:ilvl="0">
      <w:lvlJc w:val="left"/>
      <w:lvlText w:val="(%1)"/>
      <w:numFmt w:val="lowerLetter"/>
      <w:start w:val="3"/>
    </w:lvl>
    <w:lvl w:ilvl="1">
      <w:lvlJc w:val="left"/>
      <w:lvlText w:val="%2"/>
      <w:numFmt w:val="lowerRoman"/>
      <w:start w:val="1"/>
    </w:lvl>
  </w:abstractNum>
  <w:abstractNum w:abstractNumId="393">
    <w:nsid w:val="379A5B56"/>
    <w:multiLevelType w:val="hybridMultilevel"/>
    <w:lvl w:ilvl="0">
      <w:lvlJc w:val="left"/>
      <w:lvlText w:val="(%1)"/>
      <w:numFmt w:val="lowerLetter"/>
      <w:start w:val="1"/>
    </w:lvl>
    <w:lvl w:ilvl="1">
      <w:lvlJc w:val="left"/>
      <w:lvlText w:val="(%2)"/>
      <w:numFmt w:val="lowerLetter"/>
      <w:start w:val="9"/>
    </w:lvl>
  </w:abstractNum>
  <w:abstractNum w:abstractNumId="394">
    <w:nsid w:val="53B735D5"/>
    <w:multiLevelType w:val="hybridMultilevel"/>
    <w:lvl w:ilvl="0">
      <w:lvlJc w:val="left"/>
      <w:lvlText w:val="%1"/>
      <w:numFmt w:val="lowerLetter"/>
      <w:start w:val="1"/>
    </w:lvl>
    <w:lvl w:ilvl="1">
      <w:lvlJc w:val="left"/>
      <w:lvlText w:val="(%2)"/>
      <w:numFmt w:val="lowerLetter"/>
      <w:start w:val="35"/>
    </w:lvl>
  </w:abstractNum>
  <w:abstractNum w:abstractNumId="395">
    <w:nsid w:val="29784870"/>
    <w:multiLevelType w:val="hybridMultilevel"/>
    <w:lvl w:ilvl="0">
      <w:lvlJc w:val="left"/>
      <w:lvlText w:val="(%1)"/>
      <w:numFmt w:val="lowerLetter"/>
      <w:start w:val="2"/>
    </w:lvl>
  </w:abstractNum>
  <w:abstractNum w:abstractNumId="396">
    <w:nsid w:val="4CDCED4C"/>
    <w:multiLevelType w:val="hybridMultilevel"/>
    <w:lvl w:ilvl="0">
      <w:lvlJc w:val="left"/>
      <w:lvlText w:val="(%1)"/>
      <w:numFmt w:val="lowerLetter"/>
      <w:start w:val="1"/>
    </w:lvl>
  </w:abstractNum>
  <w:abstractNum w:abstractNumId="397">
    <w:nsid w:val="10A30D9C"/>
    <w:multiLevelType w:val="hybridMultilevel"/>
    <w:lvl w:ilvl="0">
      <w:lvlJc w:val="left"/>
      <w:lvlText w:val="(%1)"/>
      <w:numFmt w:val="lowerLetter"/>
      <w:start w:val="2"/>
    </w:lvl>
    <w:lvl w:ilvl="1">
      <w:lvlJc w:val="left"/>
      <w:lvlText w:val="(%2)"/>
      <w:numFmt w:val="lowerRoman"/>
      <w:start w:val="1"/>
    </w:lvl>
  </w:abstractNum>
  <w:abstractNum w:abstractNumId="398">
    <w:nsid w:val="A66E486"/>
    <w:multiLevelType w:val="hybridMultilevel"/>
    <w:lvl w:ilvl="0">
      <w:lvlJc w:val="left"/>
      <w:lvlText w:val="(%1)"/>
      <w:numFmt w:val="lowerLetter"/>
      <w:start w:val="1"/>
    </w:lvl>
  </w:abstractNum>
  <w:abstractNum w:abstractNumId="399">
    <w:nsid w:val="306235EA"/>
    <w:multiLevelType w:val="hybridMultilevel"/>
    <w:lvl w:ilvl="0">
      <w:lvlJc w:val="left"/>
      <w:lvlText w:val="(%1)"/>
      <w:numFmt w:val="lowerLetter"/>
      <w:start w:val="3"/>
    </w:lvl>
  </w:abstractNum>
  <w:abstractNum w:abstractNumId="400">
    <w:nsid w:val="1187C70F"/>
    <w:multiLevelType w:val="hybridMultilevel"/>
    <w:lvl w:ilvl="0">
      <w:lvlJc w:val="left"/>
      <w:lvlText w:val="(%1)"/>
      <w:numFmt w:val="lowerLetter"/>
      <w:start w:val="8"/>
    </w:lvl>
  </w:abstractNum>
  <w:abstractNum w:abstractNumId="401">
    <w:nsid w:val="5476DE98"/>
    <w:multiLevelType w:val="hybridMultilevel"/>
    <w:lvl w:ilvl="0">
      <w:lvlJc w:val="left"/>
      <w:lvlText w:val="(%1)"/>
      <w:numFmt w:val="lowerLetter"/>
      <w:start w:val="1"/>
    </w:lvl>
    <w:lvl w:ilvl="1">
      <w:lvlJc w:val="left"/>
      <w:lvlText w:val="(%2)"/>
      <w:numFmt w:val="lowerRoman"/>
      <w:start w:val="1"/>
    </w:lvl>
  </w:abstractNum>
  <w:abstractNum w:abstractNumId="402">
    <w:nsid w:val="EA697F2"/>
    <w:multiLevelType w:val="hybridMultilevel"/>
    <w:lvl w:ilvl="0">
      <w:lvlJc w:val="left"/>
      <w:lvlText w:val="(%1)"/>
      <w:numFmt w:val="lowerLetter"/>
      <w:start w:val="2"/>
    </w:lvl>
  </w:abstractNum>
  <w:abstractNum w:abstractNumId="403">
    <w:nsid w:val="70BA39EB"/>
    <w:multiLevelType w:val="hybridMultilevel"/>
    <w:lvl w:ilvl="0">
      <w:lvlJc w:val="left"/>
      <w:lvlText w:val="1"/>
      <w:numFmt w:val="bullet"/>
      <w:start w:val="1"/>
    </w:lvl>
  </w:abstractNum>
  <w:abstractNum w:abstractNumId="404">
    <w:nsid w:val="4A8DB59C"/>
    <w:multiLevelType w:val="hybridMultilevel"/>
    <w:lvl w:ilvl="0">
      <w:lvlJc w:val="left"/>
      <w:lvlText w:val="(%1)"/>
      <w:numFmt w:val="lowerLetter"/>
      <w:start w:val="1"/>
    </w:lvl>
  </w:abstractNum>
  <w:abstractNum w:abstractNumId="405">
    <w:nsid w:val="1AFD9053"/>
    <w:multiLevelType w:val="hybridMultilevel"/>
    <w:lvl w:ilvl="0">
      <w:lvlJc w:val="left"/>
      <w:lvlText w:val="(%1)"/>
      <w:numFmt w:val="lowerLetter"/>
      <w:start w:val="6"/>
    </w:lvl>
    <w:lvl w:ilvl="1">
      <w:lvlJc w:val="left"/>
      <w:lvlText w:val="(%2)"/>
      <w:numFmt w:val="lowerRoman"/>
      <w:start w:val="1"/>
    </w:lvl>
  </w:abstractNum>
  <w:abstractNum w:abstractNumId="406">
    <w:nsid w:val="558BB10D"/>
    <w:multiLevelType w:val="hybridMultilevel"/>
    <w:lvl w:ilvl="0">
      <w:lvlJc w:val="left"/>
      <w:lvlText w:val="(%1)"/>
      <w:numFmt w:val="lowerRoman"/>
      <w:start w:val="1"/>
    </w:lvl>
  </w:abstractNum>
  <w:abstractNum w:abstractNumId="407">
    <w:nsid w:val="43B27FA7"/>
    <w:multiLevelType w:val="hybridMultilevel"/>
    <w:lvl w:ilvl="0">
      <w:lvlJc w:val="left"/>
      <w:lvlText w:val="(%1)"/>
      <w:numFmt w:val="lowerRoman"/>
      <w:start w:val="7"/>
    </w:lvl>
  </w:abstractNum>
  <w:abstractNum w:abstractNumId="408">
    <w:nsid w:val="27FADEFA"/>
    <w:multiLevelType w:val="hybridMultilevel"/>
    <w:lvl w:ilvl="0">
      <w:lvlJc w:val="left"/>
      <w:lvlText w:val="(%1)"/>
      <w:numFmt w:val="lowerLetter"/>
      <w:start w:val="1"/>
    </w:lvl>
    <w:lvl w:ilvl="1">
      <w:lvlJc w:val="left"/>
      <w:lvlText w:val="(%2)"/>
      <w:numFmt w:val="lowerRoman"/>
      <w:start w:val="1"/>
    </w:lvl>
  </w:abstractNum>
  <w:abstractNum w:abstractNumId="409">
    <w:nsid w:val="78BB805A"/>
    <w:multiLevelType w:val="hybridMultilevel"/>
    <w:lvl w:ilvl="0">
      <w:lvlJc w:val="left"/>
      <w:lvlText w:val="%1"/>
      <w:numFmt w:val="lowerLetter"/>
      <w:start w:val="1"/>
    </w:lvl>
    <w:lvl w:ilvl="1">
      <w:lvlJc w:val="left"/>
      <w:lvlText w:val="(%2)"/>
      <w:numFmt w:val="lowerRoman"/>
      <w:start w:val="4"/>
    </w:lvl>
  </w:abstractNum>
  <w:abstractNum w:abstractNumId="410">
    <w:nsid w:val="62548FD8"/>
    <w:multiLevelType w:val="hybridMultilevel"/>
    <w:lvl w:ilvl="0">
      <w:lvlJc w:val="left"/>
      <w:lvlText w:val="(%1)"/>
      <w:numFmt w:val="lowerLetter"/>
      <w:start w:val="3"/>
    </w:lvl>
    <w:lvl w:ilvl="1">
      <w:lvlJc w:val="left"/>
      <w:lvlText w:val="%2"/>
      <w:numFmt w:val="lowerRoman"/>
      <w:start w:val="1"/>
    </w:lvl>
  </w:abstractNum>
  <w:abstractNum w:abstractNumId="411">
    <w:nsid w:val="FA085B0"/>
    <w:multiLevelType w:val="hybridMultilevel"/>
    <w:lvl w:ilvl="0">
      <w:lvlJc w:val="left"/>
      <w:lvlText w:val="(%1)"/>
      <w:numFmt w:val="lowerLetter"/>
      <w:start w:val="1"/>
    </w:lvl>
    <w:lvl w:ilvl="1">
      <w:lvlJc w:val="left"/>
      <w:lvlText w:val="(%2)"/>
      <w:numFmt w:val="lowerRoman"/>
      <w:start w:val="1"/>
    </w:lvl>
  </w:abstractNum>
  <w:abstractNum w:abstractNumId="412">
    <w:nsid w:val="4E5DCB5"/>
    <w:multiLevelType w:val="hybridMultilevel"/>
    <w:lvl w:ilvl="0">
      <w:lvlJc w:val="left"/>
      <w:lvlText w:val="(%1)"/>
      <w:numFmt w:val="lowerLetter"/>
      <w:start w:val="2"/>
    </w:lvl>
    <w:lvl w:ilvl="1">
      <w:lvlJc w:val="left"/>
      <w:lvlText w:val="(%2)"/>
      <w:numFmt w:val="lowerRoman"/>
      <w:start w:val="1"/>
    </w:lvl>
  </w:abstractNum>
  <w:abstractNum w:abstractNumId="413">
    <w:nsid w:val="41E96BDB"/>
    <w:multiLevelType w:val="hybridMultilevel"/>
    <w:lvl w:ilvl="0">
      <w:lvlJc w:val="left"/>
      <w:lvlText w:val="(%1)"/>
      <w:numFmt w:val="lowerLetter"/>
      <w:start w:val="1"/>
    </w:lvl>
  </w:abstractNum>
  <w:abstractNum w:abstractNumId="414">
    <w:nsid w:val="331C4250"/>
    <w:multiLevelType w:val="hybridMultilevel"/>
    <w:lvl w:ilvl="0">
      <w:lvlJc w:val="left"/>
      <w:lvlText w:val="(%1)"/>
      <w:numFmt w:val="lowerRoman"/>
      <w:start w:val="1"/>
    </w:lvl>
  </w:abstractNum>
  <w:abstractNum w:abstractNumId="415">
    <w:nsid w:val="1B1493C2"/>
    <w:multiLevelType w:val="hybridMultilevel"/>
    <w:lvl w:ilvl="0">
      <w:lvlJc w:val="left"/>
      <w:lvlText w:val="%1"/>
      <w:numFmt w:val="lowerLetter"/>
      <w:start w:val="1"/>
    </w:lvl>
    <w:lvl w:ilvl="1">
      <w:lvlJc w:val="left"/>
      <w:lvlText w:val="(%2)"/>
      <w:numFmt w:val="lowerLetter"/>
      <w:start w:val="35"/>
    </w:lvl>
  </w:abstractNum>
  <w:abstractNum w:abstractNumId="416">
    <w:nsid w:val="39F06DFD"/>
    <w:multiLevelType w:val="hybridMultilevel"/>
    <w:lvl w:ilvl="0">
      <w:lvlJc w:val="left"/>
      <w:lvlText w:val="(%1)"/>
      <w:numFmt w:val="lowerLetter"/>
      <w:start w:val="2"/>
    </w:lvl>
    <w:lvl w:ilvl="1">
      <w:lvlJc w:val="left"/>
      <w:lvlText w:val="%2"/>
      <w:numFmt w:val="lowerLetter"/>
      <w:start w:val="1"/>
    </w:lvl>
  </w:abstractNum>
  <w:abstractNum w:abstractNumId="417">
    <w:nsid w:val="14802F5D"/>
    <w:multiLevelType w:val="hybridMultilevel"/>
    <w:lvl w:ilvl="0">
      <w:lvlJc w:val="left"/>
      <w:lvlText w:val="(%1)"/>
      <w:numFmt w:val="lowerLetter"/>
      <w:start w:val="1"/>
    </w:lvl>
  </w:abstractNum>
  <w:abstractNum w:abstractNumId="418">
    <w:nsid w:val="2774A209"/>
    <w:multiLevelType w:val="hybridMultilevel"/>
    <w:lvl w:ilvl="0">
      <w:lvlJc w:val="left"/>
      <w:lvlText w:val="(%1)"/>
      <w:numFmt w:val="lowerLetter"/>
      <w:start w:val="2"/>
    </w:lvl>
    <w:lvl w:ilvl="1">
      <w:lvlJc w:val="left"/>
      <w:lvlText w:val="(%2)"/>
      <w:numFmt w:val="lowerRoman"/>
      <w:start w:val="1"/>
    </w:lvl>
  </w:abstractNum>
  <w:abstractNum w:abstractNumId="419">
    <w:nsid w:val="3785655A"/>
    <w:multiLevelType w:val="hybridMultilevel"/>
    <w:lvl w:ilvl="0">
      <w:lvlJc w:val="left"/>
      <w:lvlText w:val="(%1)"/>
      <w:numFmt w:val="lowerLetter"/>
      <w:start w:val="1"/>
    </w:lvl>
  </w:abstractNum>
  <w:abstractNum w:abstractNumId="420">
    <w:nsid w:val="B2172A"/>
    <w:multiLevelType w:val="hybridMultilevel"/>
    <w:lvl w:ilvl="0">
      <w:lvlJc w:val="left"/>
      <w:lvlText w:val="(%1)"/>
      <w:numFmt w:val="lowerLetter"/>
      <w:start w:val="4"/>
    </w:lvl>
  </w:abstractNum>
  <w:abstractNum w:abstractNumId="421">
    <w:nsid w:val="532C34A5"/>
    <w:multiLevelType w:val="hybridMultilevel"/>
    <w:lvl w:ilvl="0">
      <w:lvlJc w:val="left"/>
      <w:lvlText w:val="(%1)"/>
      <w:numFmt w:val="lowerLetter"/>
      <w:start w:val="9"/>
    </w:lvl>
  </w:abstractNum>
  <w:abstractNum w:abstractNumId="422">
    <w:nsid w:val="102809E2"/>
    <w:multiLevelType w:val="hybridMultilevel"/>
    <w:lvl w:ilvl="0">
      <w:lvlJc w:val="left"/>
      <w:lvlText w:val="(%1)"/>
      <w:numFmt w:val="lowerLetter"/>
      <w:start w:val="1"/>
    </w:lvl>
    <w:lvl w:ilvl="1">
      <w:lvlJc w:val="left"/>
      <w:lvlText w:val="(%2)"/>
      <w:numFmt w:val="lowerRoman"/>
      <w:start w:val="1"/>
    </w:lvl>
  </w:abstractNum>
  <w:abstractNum w:abstractNumId="423">
    <w:nsid w:val="3B2125A3"/>
    <w:multiLevelType w:val="hybridMultilevel"/>
    <w:lvl w:ilvl="0">
      <w:lvlJc w:val="left"/>
      <w:lvlText w:val="%1"/>
      <w:numFmt w:val="lowerLetter"/>
      <w:start w:val="1"/>
    </w:lvl>
    <w:lvl w:ilvl="1">
      <w:lvlJc w:val="left"/>
      <w:lvlText w:val="(%2)"/>
      <w:numFmt w:val="lowerRoman"/>
      <w:start w:val="4"/>
    </w:lvl>
  </w:abstractNum>
  <w:abstractNum w:abstractNumId="424">
    <w:nsid w:val="AC68FFB"/>
    <w:multiLevelType w:val="hybridMultilevel"/>
    <w:lvl w:ilvl="0">
      <w:lvlJc w:val="left"/>
      <w:lvlText w:val="(%1)"/>
      <w:numFmt w:val="lowerLetter"/>
      <w:start w:val="2"/>
    </w:lvl>
    <w:lvl w:ilvl="1">
      <w:lvlJc w:val="left"/>
      <w:lvlText w:val="%2"/>
      <w:numFmt w:val="lowerRoman"/>
      <w:start w:val="1"/>
    </w:lvl>
  </w:abstractNum>
  <w:abstractNum w:abstractNumId="425">
    <w:nsid w:val="63DF3F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2019-12-09T00:11:09Z</dcterms:created>
  <dcterms:modified xsi:type="dcterms:W3CDTF">2019-12-09T00:11:09Z</dcterms:modified>
</cp:coreProperties>
</file>