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380365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3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PURSUANT TO SECTION 13 OR 15(d) OF THE</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November 14, 2019</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Weatherford International plc</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420"/>
          </w:cols>
          <w:pgMar w:left="240" w:top="841" w:right="239" w:bottom="1440" w:gutter="0" w:footer="0" w:header="0"/>
        </w:sectPr>
      </w:pPr>
    </w:p>
    <w:p>
      <w:pPr>
        <w:spacing w:after="0" w:line="205" w:lineRule="exact"/>
        <w:rPr>
          <w:sz w:val="24"/>
          <w:szCs w:val="24"/>
          <w:color w:val="auto"/>
        </w:rPr>
      </w:pPr>
    </w:p>
    <w:p>
      <w:pPr>
        <w:jc w:val="center"/>
        <w:ind w:right="280"/>
        <w:spacing w:after="0"/>
        <w:rPr>
          <w:sz w:val="20"/>
          <w:szCs w:val="20"/>
          <w:color w:val="auto"/>
        </w:rPr>
      </w:pPr>
      <w:r>
        <w:rPr>
          <w:rFonts w:ascii="Arial" w:cs="Arial" w:eastAsia="Arial" w:hAnsi="Arial"/>
          <w:sz w:val="18"/>
          <w:szCs w:val="18"/>
          <w:b w:val="1"/>
          <w:bCs w:val="1"/>
          <w:color w:val="auto"/>
        </w:rPr>
        <w:t>Ireland</w:t>
      </w:r>
    </w:p>
    <w:p>
      <w:pPr>
        <w:spacing w:after="0" w:line="27" w:lineRule="exact"/>
        <w:rPr>
          <w:sz w:val="24"/>
          <w:szCs w:val="24"/>
          <w:color w:val="auto"/>
        </w:rPr>
      </w:pPr>
    </w:p>
    <w:p>
      <w:pPr>
        <w:jc w:val="center"/>
        <w:ind w:right="28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740"/>
        <w:spacing w:after="0"/>
        <w:rPr>
          <w:sz w:val="20"/>
          <w:szCs w:val="20"/>
          <w:color w:val="auto"/>
        </w:rPr>
      </w:pPr>
      <w:r>
        <w:rPr>
          <w:rFonts w:ascii="Arial" w:cs="Arial" w:eastAsia="Arial" w:hAnsi="Arial"/>
          <w:sz w:val="18"/>
          <w:szCs w:val="18"/>
          <w:b w:val="1"/>
          <w:bCs w:val="1"/>
          <w:color w:val="auto"/>
        </w:rPr>
        <w:t>001-36504</w:t>
      </w:r>
    </w:p>
    <w:p>
      <w:pPr>
        <w:spacing w:after="0" w:line="27" w:lineRule="exact"/>
        <w:rPr>
          <w:sz w:val="24"/>
          <w:szCs w:val="24"/>
          <w:color w:val="auto"/>
        </w:rPr>
      </w:pPr>
    </w:p>
    <w:p>
      <w:pPr>
        <w:jc w:val="center"/>
        <w:ind w:right="74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460"/>
        <w:spacing w:after="0"/>
        <w:rPr>
          <w:sz w:val="20"/>
          <w:szCs w:val="20"/>
          <w:color w:val="auto"/>
        </w:rPr>
      </w:pPr>
      <w:r>
        <w:rPr>
          <w:rFonts w:ascii="Arial" w:cs="Arial" w:eastAsia="Arial" w:hAnsi="Arial"/>
          <w:sz w:val="18"/>
          <w:szCs w:val="18"/>
          <w:b w:val="1"/>
          <w:bCs w:val="1"/>
          <w:color w:val="auto"/>
        </w:rPr>
        <w:t>98-0606750</w:t>
      </w:r>
    </w:p>
    <w:p>
      <w:pPr>
        <w:spacing w:after="0" w:line="27" w:lineRule="exact"/>
        <w:rPr>
          <w:sz w:val="24"/>
          <w:szCs w:val="24"/>
          <w:color w:val="auto"/>
        </w:rPr>
      </w:pPr>
    </w:p>
    <w:p>
      <w:pPr>
        <w:jc w:val="center"/>
        <w:ind w:right="460"/>
        <w:spacing w:after="0"/>
        <w:rPr>
          <w:sz w:val="20"/>
          <w:szCs w:val="20"/>
          <w:color w:val="auto"/>
        </w:rPr>
      </w:pPr>
      <w:r>
        <w:rPr>
          <w:rFonts w:ascii="Arial" w:cs="Arial" w:eastAsia="Arial" w:hAnsi="Arial"/>
          <w:sz w:val="16"/>
          <w:szCs w:val="16"/>
          <w:color w:val="auto"/>
        </w:rPr>
        <w:t>(I.R.S. Employer Identification No.)</w:t>
      </w:r>
    </w:p>
    <w:p>
      <w:pPr>
        <w:spacing w:after="0" w:line="32" w:lineRule="exact"/>
        <w:rPr>
          <w:sz w:val="24"/>
          <w:szCs w:val="24"/>
          <w:color w:val="auto"/>
        </w:rPr>
      </w:pPr>
    </w:p>
    <w:p>
      <w:pPr>
        <w:sectPr>
          <w:pgSz w:w="11900" w:h="16838" w:orient="portrait"/>
          <w:cols w:equalWidth="0" w:num="3">
            <w:col w:w="4180" w:space="720"/>
            <w:col w:w="2740" w:space="720"/>
            <w:col w:w="3060"/>
          </w:cols>
          <w:pgMar w:left="240" w:top="841" w:right="239" w:bottom="1440" w:gutter="0" w:footer="0" w:header="0"/>
          <w:type w:val="continuous"/>
        </w:sectPr>
      </w:pPr>
    </w:p>
    <w:p>
      <w:pPr>
        <w:ind w:left="1440"/>
        <w:spacing w:after="0"/>
        <w:rPr>
          <w:sz w:val="20"/>
          <w:szCs w:val="20"/>
          <w:color w:val="auto"/>
        </w:rPr>
      </w:pPr>
      <w:r>
        <w:rPr>
          <w:rFonts w:ascii="Arial" w:cs="Arial" w:eastAsia="Arial" w:hAnsi="Arial"/>
          <w:sz w:val="16"/>
          <w:szCs w:val="16"/>
          <w:color w:val="auto"/>
        </w:rPr>
        <w:t>incorporation)</w:t>
      </w:r>
    </w:p>
    <w:p>
      <w:pPr>
        <w:sectPr>
          <w:pgSz w:w="11900" w:h="16838" w:orient="portrait"/>
          <w:cols w:equalWidth="0" w:num="1">
            <w:col w:w="11420"/>
          </w:cols>
          <w:pgMar w:left="240" w:top="841" w:right="239" w:bottom="1440" w:gutter="0" w:footer="0" w:header="0"/>
          <w:type w:val="continuous"/>
        </w:sectPr>
      </w:pPr>
    </w:p>
    <w:p>
      <w:pPr>
        <w:spacing w:after="0" w:line="200" w:lineRule="exact"/>
        <w:rPr>
          <w:sz w:val="24"/>
          <w:szCs w:val="24"/>
          <w:color w:val="auto"/>
        </w:rPr>
      </w:pPr>
    </w:p>
    <w:p>
      <w:pPr>
        <w:spacing w:after="0" w:line="273" w:lineRule="exact"/>
        <w:rPr>
          <w:sz w:val="24"/>
          <w:szCs w:val="24"/>
          <w:color w:val="auto"/>
        </w:rPr>
      </w:pPr>
    </w:p>
    <w:p>
      <w:pPr>
        <w:ind w:left="1500"/>
        <w:spacing w:after="0"/>
        <w:rPr>
          <w:sz w:val="20"/>
          <w:szCs w:val="20"/>
          <w:color w:val="auto"/>
        </w:rPr>
      </w:pPr>
      <w:r>
        <w:rPr>
          <w:rFonts w:ascii="Arial" w:cs="Arial" w:eastAsia="Arial" w:hAnsi="Arial"/>
          <w:sz w:val="15"/>
          <w:szCs w:val="15"/>
          <w:b w:val="1"/>
          <w:bCs w:val="1"/>
          <w:color w:val="auto"/>
        </w:rPr>
        <w:t>2000 St. James Place, Houston, Texas</w:t>
      </w:r>
    </w:p>
    <w:p>
      <w:pPr>
        <w:spacing w:after="0" w:line="62" w:lineRule="exact"/>
        <w:rPr>
          <w:sz w:val="24"/>
          <w:szCs w:val="24"/>
          <w:color w:val="auto"/>
        </w:rPr>
      </w:pPr>
    </w:p>
    <w:p>
      <w:pPr>
        <w:ind w:left="150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5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77056</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560" w:space="720"/>
            <w:col w:w="3140"/>
          </w:cols>
          <w:pgMar w:left="240" w:top="841" w:right="2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(713) 836-4000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04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2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80" w:type="dxa"/>
            <w:vAlign w:val="bottom"/>
          </w:tcPr>
          <w:p>
            <w:pPr>
              <w:spacing w:after="0"/>
              <w:rPr>
                <w:sz w:val="20"/>
                <w:szCs w:val="20"/>
                <w:color w:val="auto"/>
              </w:rPr>
            </w:pPr>
          </w:p>
        </w:tc>
      </w:tr>
      <w:tr>
        <w:trPr>
          <w:trHeight w:val="432"/>
        </w:trPr>
        <w:tc>
          <w:tcPr>
            <w:tcW w:w="20" w:type="dxa"/>
            <w:vAlign w:val="bottom"/>
          </w:tcPr>
          <w:p>
            <w:pPr>
              <w:spacing w:after="0"/>
              <w:rPr>
                <w:sz w:val="24"/>
                <w:szCs w:val="24"/>
                <w:color w:val="auto"/>
              </w:rPr>
            </w:pPr>
          </w:p>
        </w:tc>
        <w:tc>
          <w:tcPr>
            <w:tcW w:w="502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Title of each class</w:t>
            </w:r>
          </w:p>
        </w:tc>
        <w:tc>
          <w:tcPr>
            <w:tcW w:w="2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Trading symbol</w:t>
            </w:r>
          </w:p>
        </w:tc>
        <w:tc>
          <w:tcPr>
            <w:tcW w:w="38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24"/>
        </w:trPr>
        <w:tc>
          <w:tcPr>
            <w:tcW w:w="20" w:type="dxa"/>
            <w:vAlign w:val="bottom"/>
          </w:tcPr>
          <w:p>
            <w:pPr>
              <w:spacing w:after="0"/>
              <w:rPr>
                <w:sz w:val="19"/>
                <w:szCs w:val="19"/>
                <w:color w:val="auto"/>
              </w:rPr>
            </w:pPr>
          </w:p>
        </w:tc>
        <w:tc>
          <w:tcPr>
            <w:tcW w:w="49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89"/>
              </w:rPr>
              <w:t>Ordinary Shares, par value $0.001 per share</w:t>
            </w:r>
          </w:p>
        </w:tc>
        <w:tc>
          <w:tcPr>
            <w:tcW w:w="120" w:type="dxa"/>
            <w:vAlign w:val="bottom"/>
          </w:tcPr>
          <w:p>
            <w:pPr>
              <w:spacing w:after="0"/>
              <w:rPr>
                <w:sz w:val="19"/>
                <w:szCs w:val="19"/>
                <w:color w:val="auto"/>
              </w:rPr>
            </w:pPr>
          </w:p>
        </w:tc>
        <w:tc>
          <w:tcPr>
            <w:tcW w:w="240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6"/>
              </w:rPr>
              <w:t>WFTIQ</w:t>
            </w:r>
          </w:p>
        </w:tc>
        <w:tc>
          <w:tcPr>
            <w:tcW w:w="100" w:type="dxa"/>
            <w:vAlign w:val="bottom"/>
          </w:tcPr>
          <w:p>
            <w:pPr>
              <w:spacing w:after="0"/>
              <w:rPr>
                <w:sz w:val="19"/>
                <w:szCs w:val="19"/>
                <w:color w:val="auto"/>
              </w:rPr>
            </w:pPr>
          </w:p>
        </w:tc>
        <w:tc>
          <w:tcPr>
            <w:tcW w:w="38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187"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170" w:lineRule="exact"/>
        <w:rPr>
          <w:sz w:val="24"/>
          <w:szCs w:val="24"/>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660" w:hanging="652"/>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138" w:lineRule="exact"/>
        <w:rPr>
          <w:sz w:val="24"/>
          <w:szCs w:val="24"/>
          <w:color w:val="auto"/>
        </w:rPr>
      </w:pPr>
    </w:p>
    <w:p>
      <w:pPr>
        <w:ind w:left="340"/>
        <w:spacing w:after="0" w:line="207" w:lineRule="exact"/>
        <w:tabs>
          <w:tab w:leader="none" w:pos="278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8"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665480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41" w:right="239" w:bottom="1440" w:gutter="0" w:footer="0" w:header="0"/>
          <w:type w:val="continuous"/>
        </w:sectPr>
      </w:pPr>
    </w:p>
    <w:bookmarkStart w:id="1" w:name="page2"/>
    <w:bookmarkEnd w:id="1"/>
    <w:p>
      <w:pPr>
        <w:spacing w:after="0"/>
        <w:tabs>
          <w:tab w:leader="none" w:pos="1020" w:val="left"/>
        </w:tabs>
        <w:rPr>
          <w:sz w:val="20"/>
          <w:szCs w:val="20"/>
          <w:color w:val="auto"/>
        </w:rPr>
      </w:pPr>
      <w:r>
        <w:rPr>
          <w:rFonts w:ascii="Arial" w:cs="Arial" w:eastAsia="Arial" w:hAnsi="Arial"/>
          <w:sz w:val="18"/>
          <w:szCs w:val="18"/>
          <w:b w:val="1"/>
          <w:bCs w:val="1"/>
          <w:color w:val="auto"/>
        </w:rPr>
        <w:t>Item 1.01</w:t>
      </w:r>
      <w:r>
        <w:rPr>
          <w:sz w:val="20"/>
          <w:szCs w:val="20"/>
          <w:color w:val="auto"/>
        </w:rPr>
        <w:tab/>
      </w:r>
      <w:r>
        <w:rPr>
          <w:rFonts w:ascii="Arial" w:cs="Arial" w:eastAsia="Arial" w:hAnsi="Arial"/>
          <w:sz w:val="16"/>
          <w:szCs w:val="16"/>
          <w:b w:val="1"/>
          <w:bCs w:val="1"/>
          <w:color w:val="auto"/>
        </w:rPr>
        <w:t>Entry into a Material Definitive Agreement.</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As previously announced, on July 1, 2019, Weatherford International plc (“WIL-Ireland”), Weatherford International Ltd. (“WIL-Bermuda”), WOFS Assurance Limited (“WOFS”), and certain subsidiaries of WIL-Ireland (collectively, the “Weatherford Parties”), the lenders party thereto (the “Lenders”) and JPMorgan Chase Bank, N.A., as administrative agent for the Lenders (in such capacity, the “Administrative Agent”) entered into a forbearance agreement (the “Forbearance Agreement”) with respect to certain defaults under that certain Credit Agreement, dated May 9, 2016, by and among WIL-Bermuda, WOFS, WIL-Ireland, the Administrative Agent and the lenders from party thereto from time to time.</w:t>
      </w:r>
    </w:p>
    <w:p>
      <w:pPr>
        <w:spacing w:after="0" w:line="17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November 14, 2019, the Weatherford Parties and the Lenders entered into an amendment to the Forbearance Agreement (the “Forbearance Agreement Amendment”) which (i) extends the date by which WIL-Bermuda and WOFS are required to deliver an executed and binding commitment letter in respect of an exit revolving credit facility from November 15, 2019 to November 30, 2019 and (ii) modifies the commitments required under the exit revolving credit facility to principal amount of not less than $600,000,000 (with a letter of credit sublimit of up to $550,000,000) from a principal amount of not less than $750,000,000 (with a letter of credit sublimit of up to $500,000,000).</w:t>
      </w:r>
    </w:p>
    <w:p>
      <w:pPr>
        <w:spacing w:after="0" w:line="188"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foregoing description of the Forbearance Agreement Amendment does not purport to be complete and is qualified in its entirety by the full text of the Forbearance Agreement Amendment, a copy of which is filed as Exhibit 10.1 to this Current Report on Form 8-K and is incorporated by reference in this Item 1.01.</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Certain statements in this Current Report on Form 8-K, including the exhibit hereto, are forward-looking statements. In addition, our management may from time to time make oral forward-looking statements. All statements, other than statements of historical facts, are forward-looking statements. Forward-looking statements may be identified by the words “believe,” “expect,” “anticipate,” “project,” “plan,” “estimate,” “may,” “will,” “could,” “should,” “seek” or “intend” and similar expressions. Forward-looking statements reflect our current expectations and assumptions regarding our business, the economy and other future events and conditions and are based on currently available financial, economic and competitive data and our current business plans. Actual results could vary materially depending on risks and uncertainties that may affect our operations, markets, services, prices and other factors as discussed in the Risk Factors section of our filings with the Securities and Exchange Commission (the “SEC”). While we believe our assumptions are reasonable, we caution you against relying on any forward-looking statements as it is very difficult to predict the impact of known factors, and it is impossible for us to anticipate all factors that could affect our actual results. Important factors that could cause actual results to differ materially from those in the forward-looking statements include, but are not limited to, the ability to consummate a plan of reorganization in accordance with the terms of the Restructuring Support Agreement entered into among WIL-Ireland, WIL-Bermuda, Weatherford International, LLC and the other parties thereto; risks attendant to the bankruptcy process, the outcomes of bankruptcy cases and examinership proceedings in general and the length of time that we may be required to operate in bankruptcy; the effectiveness of the overall restructuring activities and any additional strategies that we may employ to address our liquidity and capital resources; restrictions on us due to the terms of any debtor-in-possession credit facility that we have entered into in connection with the cases and restrictions imposed by the U.S Bankruptcy Court for the Southern District of Texas; our ability to achieve our forecasted revenue and pro forma leverage ratio and generate free cash flow to further reduce our indebtedness; a weakening of global economic and financial conditions, changes in governmental regulations and related compliance and litigation costs and the other factors listed in our SEC filings. For a more detailed discussion of these and other risk factors, see the Risk Factors section in our most recent Annual Report on Form 10-K and Quarterly Report on Form 10-Q and our other filings made with the SEC. All forward-looking statements are expressly qualified in their entirety by this cautionary notice. The forward-looking statements made by us speak only as of the date on which they are made. Factors or events that could cause our actual results to differ may emerge from time to time. We undertake no obligation to publicly update or revise any forward-looking statement as a result of new information, future events or otherwise, except as otherwise required by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 w:name="page3"/>
    <w:bookmarkEnd w:id="2"/>
    <w:p>
      <w:pPr>
        <w:spacing w:after="0"/>
        <w:tabs>
          <w:tab w:leader="none" w:pos="13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i w:val="1"/>
          <w:iCs w:val="1"/>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 w:type="dxa"/>
            <w:vAlign w:val="bottom"/>
          </w:tcPr>
          <w:p>
            <w:pPr>
              <w:spacing w:after="0"/>
              <w:rPr>
                <w:sz w:val="18"/>
                <w:szCs w:val="18"/>
                <w:color w:val="auto"/>
              </w:rPr>
            </w:pPr>
          </w:p>
        </w:tc>
        <w:tc>
          <w:tcPr>
            <w:tcW w:w="534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160" w:type="dxa"/>
            <w:vAlign w:val="bottom"/>
            <w:tcBorders>
              <w:bottom w:val="single" w:sz="8" w:color="auto"/>
            </w:tcBorders>
            <w:gridSpan w:val="2"/>
          </w:tcPr>
          <w:p>
            <w:pPr>
              <w:spacing w:after="0"/>
              <w:rPr>
                <w:sz w:val="20"/>
                <w:szCs w:val="20"/>
                <w:color w:val="auto"/>
              </w:rPr>
            </w:pPr>
            <w:r>
              <w:rPr>
                <w:rFonts w:ascii="Arial" w:cs="Arial" w:eastAsia="Arial" w:hAnsi="Arial"/>
                <w:sz w:val="18"/>
                <w:szCs w:val="18"/>
                <w:b w:val="1"/>
                <w:bCs w:val="1"/>
                <w:color w:val="auto"/>
              </w:rPr>
              <w:t>Number</w:t>
            </w:r>
          </w:p>
        </w:tc>
        <w:tc>
          <w:tcPr>
            <w:tcW w:w="100" w:type="dxa"/>
            <w:vAlign w:val="bottom"/>
          </w:tcPr>
          <w:p>
            <w:pPr>
              <w:spacing w:after="0"/>
              <w:rPr>
                <w:sz w:val="20"/>
                <w:szCs w:val="20"/>
                <w:color w:val="auto"/>
              </w:rPr>
            </w:pPr>
          </w:p>
        </w:tc>
        <w:tc>
          <w:tcPr>
            <w:tcW w:w="10160" w:type="dxa"/>
            <w:vAlign w:val="bottom"/>
            <w:tcBorders>
              <w:bottom w:val="single" w:sz="8" w:color="auto"/>
            </w:tcBorders>
            <w:gridSpan w:val="3"/>
          </w:tcPr>
          <w:p>
            <w:pPr>
              <w:ind w:left="4640"/>
              <w:spacing w:after="0"/>
              <w:rPr>
                <w:sz w:val="20"/>
                <w:szCs w:val="20"/>
                <w:color w:val="auto"/>
              </w:rPr>
            </w:pPr>
            <w:r>
              <w:rPr>
                <w:rFonts w:ascii="Arial" w:cs="Arial" w:eastAsia="Arial" w:hAnsi="Arial"/>
                <w:sz w:val="18"/>
                <w:szCs w:val="18"/>
                <w:b w:val="1"/>
                <w:bCs w:val="1"/>
                <w:color w:val="auto"/>
              </w:rPr>
              <w:t>Description</w:t>
            </w:r>
          </w:p>
        </w:tc>
      </w:tr>
      <w:tr>
        <w:trPr>
          <w:trHeight w:val="385"/>
        </w:trPr>
        <w:tc>
          <w:tcPr>
            <w:tcW w:w="1160" w:type="dxa"/>
            <w:vAlign w:val="bottom"/>
            <w:gridSpan w:val="2"/>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10.</w:t>
              </w:r>
              <w:r>
                <w:rPr>
                  <w:rFonts w:ascii="Arial" w:cs="Arial" w:eastAsia="Arial" w:hAnsi="Arial"/>
                  <w:sz w:val="18"/>
                  <w:szCs w:val="18"/>
                  <w:u w:val="single" w:color="auto"/>
                  <w:color w:val="0000EE"/>
                </w:rPr>
                <w:t>1</w:t>
              </w:r>
            </w:hyperlink>
          </w:p>
        </w:tc>
        <w:tc>
          <w:tcPr>
            <w:tcW w:w="100" w:type="dxa"/>
            <w:vAlign w:val="bottom"/>
          </w:tcPr>
          <w:p>
            <w:pPr>
              <w:spacing w:after="0"/>
              <w:rPr>
                <w:sz w:val="24"/>
                <w:szCs w:val="24"/>
                <w:color w:val="auto"/>
              </w:rPr>
            </w:pPr>
          </w:p>
        </w:tc>
        <w:tc>
          <w:tcPr>
            <w:tcW w:w="10160" w:type="dxa"/>
            <w:vAlign w:val="bottom"/>
            <w:gridSpan w:val="3"/>
          </w:tcPr>
          <w:p>
            <w:pP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Amendment to Forbearance Agreement, dated November 14, 2019, by and among Weatherford International plc (“WIL-Ireland”),</w:t>
              </w:r>
            </w:hyperlink>
          </w:p>
        </w:tc>
      </w:tr>
      <w:tr>
        <w:trPr>
          <w:trHeight w:val="196"/>
        </w:trPr>
        <w:tc>
          <w:tcPr>
            <w:tcW w:w="320" w:type="dxa"/>
            <w:vAlign w:val="bottom"/>
            <w:tcBorders>
              <w:top w:val="single" w:sz="8" w:color="0000EE"/>
            </w:tcBorders>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160" w:type="dxa"/>
            <w:vAlign w:val="bottom"/>
            <w:tcBorders>
              <w:top w:val="single" w:sz="8" w:color="0000EE"/>
            </w:tcBorders>
            <w:gridSpan w:val="3"/>
          </w:tcPr>
          <w:p>
            <w:pPr>
              <w:spacing w:after="0" w:line="196" w:lineRule="exact"/>
              <w:rPr>
                <w:rFonts w:ascii="Arial" w:cs="Arial" w:eastAsia="Arial" w:hAnsi="Arial"/>
                <w:sz w:val="18"/>
                <w:szCs w:val="18"/>
                <w:color w:val="0000EE"/>
                <w:w w:val="92"/>
              </w:rPr>
            </w:pPr>
            <w:hyperlink w:anchor="page5">
              <w:r>
                <w:rPr>
                  <w:rFonts w:ascii="Arial" w:cs="Arial" w:eastAsia="Arial" w:hAnsi="Arial"/>
                  <w:sz w:val="18"/>
                  <w:szCs w:val="18"/>
                  <w:color w:val="0000EE"/>
                  <w:w w:val="92"/>
                </w:rPr>
                <w:t>Weatherford International Ltd., WOFS Assurance Limited, and certain subsidiaries of WIL-Ireland, the lenders party thereto (the “Lenders”)</w:t>
              </w:r>
            </w:hyperlink>
          </w:p>
        </w:tc>
      </w:tr>
      <w:tr>
        <w:trPr>
          <w:trHeight w:val="196"/>
        </w:trPr>
        <w:tc>
          <w:tcPr>
            <w:tcW w:w="3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3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9"/>
              </w:rPr>
            </w:pPr>
            <w:hyperlink w:anchor="page5">
              <w:r>
                <w:rPr>
                  <w:rFonts w:ascii="Arial" w:cs="Arial" w:eastAsia="Arial" w:hAnsi="Arial"/>
                  <w:sz w:val="18"/>
                  <w:szCs w:val="18"/>
                  <w:color w:val="0000EE"/>
                  <w:w w:val="89"/>
                </w:rPr>
                <w:t>and JPMorgan Chase Bank, N.A., as administrative agent for the Lenders.</w:t>
              </w:r>
            </w:hyperlink>
          </w:p>
        </w:tc>
        <w:tc>
          <w:tcPr>
            <w:tcW w:w="48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237"/>
        </w:trPr>
        <w:tc>
          <w:tcPr>
            <w:tcW w:w="320" w:type="dxa"/>
            <w:vAlign w:val="bottom"/>
          </w:tcPr>
          <w:p>
            <w:pPr>
              <w:spacing w:after="0"/>
              <w:rPr>
                <w:sz w:val="20"/>
                <w:szCs w:val="20"/>
                <w:color w:val="auto"/>
              </w:rPr>
            </w:pPr>
            <w:r>
              <w:rPr>
                <w:rFonts w:ascii="Arial" w:cs="Arial" w:eastAsia="Arial" w:hAnsi="Arial"/>
                <w:sz w:val="18"/>
                <w:szCs w:val="18"/>
                <w:color w:val="auto"/>
                <w:w w:val="99"/>
              </w:rPr>
              <w:t>104</w:t>
            </w: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160" w:type="dxa"/>
            <w:vAlign w:val="bottom"/>
            <w:gridSpan w:val="3"/>
          </w:tcPr>
          <w:p>
            <w:pPr>
              <w:spacing w:after="0"/>
              <w:rPr>
                <w:sz w:val="20"/>
                <w:szCs w:val="20"/>
                <w:color w:val="auto"/>
              </w:rPr>
            </w:pPr>
            <w:r>
              <w:rPr>
                <w:rFonts w:ascii="Arial" w:cs="Arial" w:eastAsia="Arial" w:hAnsi="Arial"/>
                <w:sz w:val="18"/>
                <w:szCs w:val="18"/>
                <w:color w:val="auto"/>
              </w:rPr>
              <w:t>Cover Page Interactive Data File – the cover page XBRL tags are embedded within the Inline XBRL document.</w:t>
            </w:r>
          </w:p>
        </w:tc>
      </w:tr>
      <w:tr>
        <w:trPr>
          <w:trHeight w:val="675"/>
        </w:trPr>
        <w:tc>
          <w:tcPr>
            <w:tcW w:w="3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tcPr>
          <w:p>
            <w:pPr>
              <w:spacing w:after="0"/>
              <w:rPr>
                <w:sz w:val="24"/>
                <w:szCs w:val="24"/>
                <w:color w:val="auto"/>
              </w:rPr>
            </w:pPr>
          </w:p>
        </w:tc>
        <w:tc>
          <w:tcPr>
            <w:tcW w:w="4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80" w:type="dxa"/>
            <w:vAlign w:val="bottom"/>
            <w:vMerge w:val="restart"/>
          </w:tcPr>
          <w:p>
            <w:pPr>
              <w:spacing w:after="0"/>
              <w:rPr>
                <w:sz w:val="20"/>
                <w:szCs w:val="20"/>
                <w:color w:val="auto"/>
              </w:rPr>
            </w:pPr>
            <w:r>
              <w:rPr>
                <w:rFonts w:ascii="Arial" w:cs="Arial" w:eastAsia="Arial" w:hAnsi="Arial"/>
                <w:sz w:val="18"/>
                <w:szCs w:val="18"/>
                <w:color w:val="auto"/>
              </w:rPr>
              <w:t>Date: November 15, 2019</w:t>
            </w:r>
          </w:p>
        </w:tc>
        <w:tc>
          <w:tcPr>
            <w:tcW w:w="5140" w:type="dxa"/>
            <w:vAlign w:val="bottom"/>
          </w:tcPr>
          <w:p>
            <w:pPr>
              <w:spacing w:after="0"/>
              <w:rPr>
                <w:sz w:val="20"/>
                <w:szCs w:val="20"/>
                <w:color w:val="auto"/>
              </w:rPr>
            </w:pPr>
            <w:r>
              <w:rPr>
                <w:rFonts w:ascii="Arial" w:cs="Arial" w:eastAsia="Arial" w:hAnsi="Arial"/>
                <w:sz w:val="18"/>
                <w:szCs w:val="18"/>
                <w:b w:val="1"/>
                <w:bCs w:val="1"/>
                <w:color w:val="auto"/>
              </w:rPr>
              <w:t>Weatherford International plc</w:t>
            </w:r>
          </w:p>
        </w:tc>
        <w:tc>
          <w:tcPr>
            <w:tcW w:w="0" w:type="dxa"/>
            <w:vAlign w:val="bottom"/>
          </w:tcPr>
          <w:p>
            <w:pPr>
              <w:spacing w:after="0"/>
              <w:rPr>
                <w:sz w:val="1"/>
                <w:szCs w:val="1"/>
                <w:color w:val="auto"/>
              </w:rPr>
            </w:pPr>
          </w:p>
        </w:tc>
      </w:tr>
      <w:tr>
        <w:trPr>
          <w:trHeight w:val="216"/>
        </w:trPr>
        <w:tc>
          <w:tcPr>
            <w:tcW w:w="6280" w:type="dxa"/>
            <w:vAlign w:val="bottom"/>
            <w:vMerge w:val="continue"/>
          </w:tcPr>
          <w:p>
            <w:pPr>
              <w:spacing w:after="0"/>
              <w:rPr>
                <w:sz w:val="18"/>
                <w:szCs w:val="18"/>
                <w:color w:val="auto"/>
              </w:rPr>
            </w:pPr>
          </w:p>
        </w:tc>
        <w:tc>
          <w:tcPr>
            <w:tcW w:w="5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6280" w:type="dxa"/>
            <w:vAlign w:val="bottom"/>
          </w:tcPr>
          <w:p>
            <w:pPr>
              <w:ind w:left="566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Christina M. Ibrahim</w:t>
            </w:r>
          </w:p>
        </w:tc>
        <w:tc>
          <w:tcPr>
            <w:tcW w:w="0" w:type="dxa"/>
            <w:vAlign w:val="bottom"/>
          </w:tcPr>
          <w:p>
            <w:pPr>
              <w:spacing w:after="0"/>
              <w:rPr>
                <w:sz w:val="1"/>
                <w:szCs w:val="1"/>
                <w:color w:val="auto"/>
              </w:rPr>
            </w:pPr>
          </w:p>
        </w:tc>
      </w:tr>
      <w:tr>
        <w:trPr>
          <w:trHeight w:val="195"/>
        </w:trPr>
        <w:tc>
          <w:tcPr>
            <w:tcW w:w="6280" w:type="dxa"/>
            <w:vAlign w:val="bottom"/>
          </w:tcPr>
          <w:p>
            <w:pPr>
              <w:ind w:left="5660"/>
              <w:spacing w:after="0" w:line="195" w:lineRule="exact"/>
              <w:rPr>
                <w:sz w:val="20"/>
                <w:szCs w:val="20"/>
                <w:color w:val="auto"/>
              </w:rPr>
            </w:pPr>
            <w:r>
              <w:rPr>
                <w:rFonts w:ascii="Arial" w:cs="Arial" w:eastAsia="Arial" w:hAnsi="Arial"/>
                <w:sz w:val="18"/>
                <w:szCs w:val="18"/>
                <w:color w:val="auto"/>
              </w:rPr>
              <w:t>Name:</w:t>
            </w:r>
          </w:p>
        </w:tc>
        <w:tc>
          <w:tcPr>
            <w:tcW w:w="5140" w:type="dxa"/>
            <w:vAlign w:val="bottom"/>
          </w:tcPr>
          <w:p>
            <w:pPr>
              <w:spacing w:after="0" w:line="195" w:lineRule="exact"/>
              <w:rPr>
                <w:sz w:val="20"/>
                <w:szCs w:val="20"/>
                <w:color w:val="auto"/>
              </w:rPr>
            </w:pPr>
            <w:r>
              <w:rPr>
                <w:rFonts w:ascii="Arial" w:cs="Arial" w:eastAsia="Arial" w:hAnsi="Arial"/>
                <w:sz w:val="18"/>
                <w:szCs w:val="18"/>
                <w:color w:val="auto"/>
              </w:rPr>
              <w:t>Christina M. Ibrahim</w:t>
            </w:r>
          </w:p>
        </w:tc>
        <w:tc>
          <w:tcPr>
            <w:tcW w:w="0" w:type="dxa"/>
            <w:vAlign w:val="bottom"/>
          </w:tcPr>
          <w:p>
            <w:pPr>
              <w:spacing w:after="0"/>
              <w:rPr>
                <w:sz w:val="1"/>
                <w:szCs w:val="1"/>
                <w:color w:val="auto"/>
              </w:rPr>
            </w:pPr>
          </w:p>
        </w:tc>
      </w:tr>
      <w:tr>
        <w:trPr>
          <w:trHeight w:val="216"/>
        </w:trPr>
        <w:tc>
          <w:tcPr>
            <w:tcW w:w="6280" w:type="dxa"/>
            <w:vAlign w:val="bottom"/>
          </w:tcPr>
          <w:p>
            <w:pPr>
              <w:ind w:left="5660"/>
              <w:spacing w:after="0"/>
              <w:rPr>
                <w:sz w:val="20"/>
                <w:szCs w:val="20"/>
                <w:color w:val="auto"/>
              </w:rPr>
            </w:pPr>
            <w:r>
              <w:rPr>
                <w:rFonts w:ascii="Arial" w:cs="Arial" w:eastAsia="Arial" w:hAnsi="Arial"/>
                <w:sz w:val="18"/>
                <w:szCs w:val="18"/>
                <w:color w:val="auto"/>
              </w:rPr>
              <w:t>Title:</w:t>
            </w:r>
          </w:p>
        </w:tc>
        <w:tc>
          <w:tcPr>
            <w:tcW w:w="5140" w:type="dxa"/>
            <w:vAlign w:val="bottom"/>
          </w:tcPr>
          <w:p>
            <w:pPr>
              <w:spacing w:after="0"/>
              <w:rPr>
                <w:sz w:val="20"/>
                <w:szCs w:val="20"/>
                <w:color w:val="auto"/>
              </w:rPr>
            </w:pPr>
            <w:r>
              <w:rPr>
                <w:rFonts w:ascii="Arial" w:cs="Arial" w:eastAsia="Arial" w:hAnsi="Arial"/>
                <w:sz w:val="18"/>
                <w:szCs w:val="18"/>
                <w:color w:val="auto"/>
                <w:w w:val="92"/>
              </w:rPr>
              <w:t>Executive Vice President, General Counsel, Chief Compliance Officer</w:t>
            </w:r>
          </w:p>
        </w:tc>
        <w:tc>
          <w:tcPr>
            <w:tcW w:w="0" w:type="dxa"/>
            <w:vAlign w:val="bottom"/>
          </w:tcPr>
          <w:p>
            <w:pPr>
              <w:spacing w:after="0"/>
              <w:rPr>
                <w:sz w:val="1"/>
                <w:szCs w:val="1"/>
                <w:color w:val="auto"/>
              </w:rPr>
            </w:pPr>
          </w:p>
        </w:tc>
      </w:tr>
      <w:tr>
        <w:trPr>
          <w:trHeight w:val="230"/>
        </w:trPr>
        <w:tc>
          <w:tcPr>
            <w:tcW w:w="6280" w:type="dxa"/>
            <w:vAlign w:val="bottom"/>
          </w:tcPr>
          <w:p>
            <w:pPr>
              <w:spacing w:after="0"/>
              <w:rPr>
                <w:sz w:val="20"/>
                <w:szCs w:val="20"/>
                <w:color w:val="auto"/>
              </w:rPr>
            </w:pPr>
          </w:p>
        </w:tc>
        <w:tc>
          <w:tcPr>
            <w:tcW w:w="5140" w:type="dxa"/>
            <w:vAlign w:val="bottom"/>
          </w:tcPr>
          <w:p>
            <w:pPr>
              <w:spacing w:after="0"/>
              <w:rPr>
                <w:sz w:val="20"/>
                <w:szCs w:val="20"/>
                <w:color w:val="auto"/>
              </w:rPr>
            </w:pPr>
            <w:r>
              <w:rPr>
                <w:rFonts w:ascii="Arial" w:cs="Arial" w:eastAsia="Arial" w:hAnsi="Arial"/>
                <w:sz w:val="18"/>
                <w:szCs w:val="18"/>
                <w:color w:val="auto"/>
              </w:rPr>
              <w:t>and Corporate Secretary</w:t>
            </w:r>
          </w:p>
        </w:tc>
        <w:tc>
          <w:tcPr>
            <w:tcW w:w="0" w:type="dxa"/>
            <w:vAlign w:val="bottom"/>
          </w:tcPr>
          <w:p>
            <w:pPr>
              <w:spacing w:after="0"/>
              <w:rPr>
                <w:sz w:val="1"/>
                <w:szCs w:val="1"/>
                <w:color w:val="auto"/>
              </w:rPr>
            </w:pPr>
          </w:p>
        </w:tc>
      </w:tr>
      <w:tr>
        <w:trPr>
          <w:trHeight w:val="675"/>
        </w:trPr>
        <w:tc>
          <w:tcPr>
            <w:tcW w:w="628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10.1</w:t>
      </w:r>
    </w:p>
    <w:p>
      <w:pPr>
        <w:spacing w:after="0" w:line="252" w:lineRule="exact"/>
        <w:rPr>
          <w:sz w:val="20"/>
          <w:szCs w:val="20"/>
          <w:color w:val="auto"/>
        </w:rPr>
      </w:pPr>
    </w:p>
    <w:p>
      <w:pPr>
        <w:ind w:left="9460"/>
        <w:spacing w:after="0"/>
        <w:rPr>
          <w:sz w:val="20"/>
          <w:szCs w:val="20"/>
          <w:color w:val="auto"/>
        </w:rPr>
      </w:pPr>
      <w:r>
        <w:rPr>
          <w:rFonts w:ascii="Arial" w:cs="Arial" w:eastAsia="Arial" w:hAnsi="Arial"/>
          <w:sz w:val="18"/>
          <w:szCs w:val="18"/>
          <w:b w:val="1"/>
          <w:bCs w:val="1"/>
          <w:color w:val="auto"/>
        </w:rPr>
        <w:t>EXECUTION VERSION</w:t>
      </w:r>
    </w:p>
    <w:p>
      <w:pPr>
        <w:spacing w:after="0" w:line="256"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This AMENDMENT TO FORBEARANCE AGREEMENT (this “</w:t>
      </w:r>
      <w:r>
        <w:rPr>
          <w:rFonts w:ascii="Arial" w:cs="Arial" w:eastAsia="Arial" w:hAnsi="Arial"/>
          <w:sz w:val="18"/>
          <w:szCs w:val="18"/>
          <w:u w:val="single" w:color="auto"/>
          <w:color w:val="auto"/>
        </w:rPr>
        <w:t>Amendment</w:t>
      </w:r>
      <w:r>
        <w:rPr>
          <w:rFonts w:ascii="Arial" w:cs="Arial" w:eastAsia="Arial" w:hAnsi="Arial"/>
          <w:sz w:val="18"/>
          <w:szCs w:val="18"/>
          <w:color w:val="auto"/>
        </w:rPr>
        <w:t>”), dated as of November 14, 2019, is by and among WEATHERFORD INTERNATIONAL LTD., a Bermuda exempted company (“</w:t>
      </w:r>
      <w:r>
        <w:rPr>
          <w:rFonts w:ascii="Arial" w:cs="Arial" w:eastAsia="Arial" w:hAnsi="Arial"/>
          <w:sz w:val="18"/>
          <w:szCs w:val="18"/>
          <w:u w:val="single" w:color="auto"/>
          <w:color w:val="auto"/>
        </w:rPr>
        <w:t>WIL-Bermuda</w:t>
      </w:r>
      <w:r>
        <w:rPr>
          <w:rFonts w:ascii="Arial" w:cs="Arial" w:eastAsia="Arial" w:hAnsi="Arial"/>
          <w:sz w:val="18"/>
          <w:szCs w:val="18"/>
          <w:color w:val="auto"/>
        </w:rPr>
        <w:t>”), WOFS ASSURANCE LIMITED, a Bermuda exempted company (“</w:t>
      </w:r>
      <w:r>
        <w:rPr>
          <w:rFonts w:ascii="Arial" w:cs="Arial" w:eastAsia="Arial" w:hAnsi="Arial"/>
          <w:sz w:val="18"/>
          <w:szCs w:val="18"/>
          <w:u w:val="single" w:color="auto"/>
          <w:color w:val="auto"/>
        </w:rPr>
        <w:t>WOFS</w:t>
      </w:r>
      <w:r>
        <w:rPr>
          <w:rFonts w:ascii="Arial" w:cs="Arial" w:eastAsia="Arial" w:hAnsi="Arial"/>
          <w:sz w:val="18"/>
          <w:szCs w:val="18"/>
          <w:color w:val="auto"/>
        </w:rPr>
        <w:t>”, and together with WIL-Bermuda, the “</w:t>
      </w:r>
      <w:r>
        <w:rPr>
          <w:rFonts w:ascii="Arial" w:cs="Arial" w:eastAsia="Arial" w:hAnsi="Arial"/>
          <w:sz w:val="18"/>
          <w:szCs w:val="18"/>
          <w:u w:val="single" w:color="auto"/>
          <w:color w:val="auto"/>
        </w:rPr>
        <w:t>Borrowers</w:t>
      </w:r>
      <w:r>
        <w:rPr>
          <w:rFonts w:ascii="Arial" w:cs="Arial" w:eastAsia="Arial" w:hAnsi="Arial"/>
          <w:sz w:val="18"/>
          <w:szCs w:val="18"/>
          <w:color w:val="auto"/>
        </w:rPr>
        <w:t>”), WEATHERFORD INTERNATIONAL PLC, an Irish public limited company (“</w:t>
      </w:r>
      <w:r>
        <w:rPr>
          <w:rFonts w:ascii="Arial" w:cs="Arial" w:eastAsia="Arial" w:hAnsi="Arial"/>
          <w:sz w:val="18"/>
          <w:szCs w:val="18"/>
          <w:u w:val="single" w:color="auto"/>
          <w:color w:val="auto"/>
        </w:rPr>
        <w:t>WIL-Ireland</w:t>
      </w:r>
      <w:r>
        <w:rPr>
          <w:rFonts w:ascii="Arial" w:cs="Arial" w:eastAsia="Arial" w:hAnsi="Arial"/>
          <w:sz w:val="18"/>
          <w:szCs w:val="18"/>
          <w:color w:val="auto"/>
        </w:rPr>
        <w:t>”), each of the Guarantors in their capacities as such (together with the Borrowers and WIL-Ireland, the “</w:t>
      </w:r>
      <w:r>
        <w:rPr>
          <w:rFonts w:ascii="Arial" w:cs="Arial" w:eastAsia="Arial" w:hAnsi="Arial"/>
          <w:sz w:val="18"/>
          <w:szCs w:val="18"/>
          <w:u w:val="single" w:color="auto"/>
          <w:color w:val="auto"/>
        </w:rPr>
        <w:t>Obligors</w:t>
      </w:r>
      <w:r>
        <w:rPr>
          <w:rFonts w:ascii="Arial" w:cs="Arial" w:eastAsia="Arial" w:hAnsi="Arial"/>
          <w:sz w:val="18"/>
          <w:szCs w:val="18"/>
          <w:color w:val="auto"/>
        </w:rPr>
        <w:t>”), the Lenders (as defined below) party hereto from time to time and JPMORGAN CHASE BANK, N.A., as administrative agent for the Lenders (in such capacity, the “</w:t>
      </w:r>
      <w:r>
        <w:rPr>
          <w:rFonts w:ascii="Arial" w:cs="Arial" w:eastAsia="Arial" w:hAnsi="Arial"/>
          <w:sz w:val="18"/>
          <w:szCs w:val="18"/>
          <w:u w:val="single" w:color="auto"/>
          <w:color w:val="auto"/>
        </w:rPr>
        <w:t>Administrative</w:t>
      </w:r>
      <w:r>
        <w:rPr>
          <w:rFonts w:ascii="Arial" w:cs="Arial" w:eastAsia="Arial" w:hAnsi="Arial"/>
          <w:sz w:val="18"/>
          <w:szCs w:val="18"/>
          <w:color w:val="auto"/>
        </w:rPr>
        <w:t xml:space="preserve"> </w:t>
      </w:r>
      <w:r>
        <w:rPr>
          <w:rFonts w:ascii="Arial" w:cs="Arial" w:eastAsia="Arial" w:hAnsi="Arial"/>
          <w:sz w:val="18"/>
          <w:szCs w:val="18"/>
          <w:u w:val="single" w:color="auto"/>
          <w:color w:val="auto"/>
        </w:rPr>
        <w:t>Agent</w:t>
      </w:r>
      <w:r>
        <w:rPr>
          <w:rFonts w:ascii="Arial" w:cs="Arial" w:eastAsia="Arial" w:hAnsi="Arial"/>
          <w:sz w:val="18"/>
          <w:szCs w:val="18"/>
          <w:color w:val="auto"/>
        </w:rPr>
        <w:t>”), and the Issuing Banks party hereto from time to time.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 I T N E S E T H :</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auto"/>
        </w:rPr>
        <w:t>WHEREAS, the Borrowers, WIL-Ireland, the Guarantors, the Administrative Agent and the Lenders party thereto are parties to that certain Forbearance Agreement, dated as of July 1, 2019 (as amended, supplemented or otherwise modified, the “</w:t>
      </w:r>
      <w:r>
        <w:rPr>
          <w:rFonts w:ascii="Arial" w:cs="Arial" w:eastAsia="Arial" w:hAnsi="Arial"/>
          <w:sz w:val="17"/>
          <w:szCs w:val="17"/>
          <w:u w:val="single" w:color="auto"/>
          <w:color w:val="auto"/>
        </w:rPr>
        <w:t>Forbearance Agreement</w:t>
      </w:r>
      <w:r>
        <w:rPr>
          <w:rFonts w:ascii="Arial" w:cs="Arial" w:eastAsia="Arial" w:hAnsi="Arial"/>
          <w:sz w:val="17"/>
          <w:szCs w:val="17"/>
          <w:color w:val="auto"/>
        </w:rPr>
        <w:t>”).</w:t>
      </w:r>
    </w:p>
    <w:p>
      <w:pPr>
        <w:spacing w:after="0" w:line="14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WHEREAS, the Borrowers have requested that the Lenders agree to amend certain provisions of the Forbearance Agreement, and the Lenders party hereto have agreed to amend the Forbearance Agreement as hereinafter set forth.</w:t>
      </w:r>
    </w:p>
    <w:p>
      <w:pPr>
        <w:spacing w:after="0" w:line="170"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NOW, THEREFORE, in consideration of the premises herein contained and for other good and valuable consideration, the receipt of which is hereby acknowledged, the parties hereto agree as follows:</w:t>
      </w:r>
    </w:p>
    <w:p>
      <w:pPr>
        <w:spacing w:after="0" w:line="170" w:lineRule="exact"/>
        <w:rPr>
          <w:sz w:val="20"/>
          <w:szCs w:val="20"/>
          <w:color w:val="auto"/>
        </w:rPr>
      </w:pPr>
    </w:p>
    <w:p>
      <w:pPr>
        <w:ind w:left="1300"/>
        <w:spacing w:after="0"/>
        <w:tabs>
          <w:tab w:leader="none" w:pos="28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7"/>
          <w:szCs w:val="17"/>
          <w:u w:val="single" w:color="auto"/>
          <w:color w:val="auto"/>
        </w:rPr>
        <w:t>DEFINITIONS</w:t>
      </w:r>
      <w:r>
        <w:rPr>
          <w:rFonts w:ascii="Arial" w:cs="Arial" w:eastAsia="Arial" w:hAnsi="Arial"/>
          <w:sz w:val="17"/>
          <w:szCs w:val="17"/>
          <w:color w:val="auto"/>
        </w:rPr>
        <w:t>. Unless otherwise defined herein, capitalized terms are used herein as defined in the Forbearance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 xml:space="preserve">AMENDMENT. </w:t>
      </w:r>
      <w:r>
        <w:rPr>
          <w:rFonts w:ascii="Arial" w:cs="Arial" w:eastAsia="Arial" w:hAnsi="Arial"/>
          <w:sz w:val="16"/>
          <w:szCs w:val="16"/>
          <w:color w:val="auto"/>
        </w:rPr>
        <w:t>Section 3.1(a)(iv)(A) of the Forbearance Agreement is hereby amended and restated in its entirety as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follows:</w:t>
      </w:r>
    </w:p>
    <w:p>
      <w:pPr>
        <w:spacing w:after="0" w:line="211" w:lineRule="exact"/>
        <w:rPr>
          <w:sz w:val="20"/>
          <w:szCs w:val="20"/>
          <w:color w:val="auto"/>
        </w:rPr>
      </w:pPr>
    </w:p>
    <w:p>
      <w:pPr>
        <w:jc w:val="both"/>
        <w:ind w:left="1300"/>
        <w:spacing w:after="0" w:line="257" w:lineRule="auto"/>
        <w:rPr>
          <w:sz w:val="20"/>
          <w:szCs w:val="20"/>
          <w:color w:val="auto"/>
        </w:rPr>
      </w:pPr>
      <w:r>
        <w:rPr>
          <w:rFonts w:ascii="Arial" w:cs="Arial" w:eastAsia="Arial" w:hAnsi="Arial"/>
          <w:sz w:val="18"/>
          <w:szCs w:val="18"/>
          <w:color w:val="auto"/>
        </w:rPr>
        <w:t>“(iv) (A) The Borrower shall not have delivered to the Lenders on or before November 30, 2019, an executed and binding commitment letter in respect of the exit revolving credit facility in the principal amount of not less than $600,000,000, including a letter of credit sublimit of up to $550,000,000, from one or more creditworthy financial institutions which provides financings of this type in the ordinary course of its business and which is reasonably capable of fulfilling its commitment and with such conditions to funding that are customary for financings of this type (the “</w:t>
      </w:r>
      <w:r>
        <w:rPr>
          <w:rFonts w:ascii="Arial" w:cs="Arial" w:eastAsia="Arial" w:hAnsi="Arial"/>
          <w:sz w:val="18"/>
          <w:szCs w:val="18"/>
          <w:u w:val="single" w:color="auto"/>
          <w:color w:val="auto"/>
        </w:rPr>
        <w:t>Revolver Exit Commitment</w:t>
      </w:r>
      <w:r>
        <w:rPr>
          <w:rFonts w:ascii="Arial" w:cs="Arial" w:eastAsia="Arial" w:hAnsi="Arial"/>
          <w:sz w:val="18"/>
          <w:szCs w:val="18"/>
          <w:color w:val="auto"/>
        </w:rPr>
        <w:t>”)”</w:t>
      </w:r>
    </w:p>
    <w:p>
      <w:pPr>
        <w:spacing w:after="0" w:line="171" w:lineRule="exact"/>
        <w:rPr>
          <w:sz w:val="20"/>
          <w:szCs w:val="20"/>
          <w:color w:val="auto"/>
        </w:rPr>
      </w:pPr>
    </w:p>
    <w:tbl>
      <w:tblPr>
        <w:tblLayout w:type="fixed"/>
        <w:tblInd w:w="1300"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color w:val="auto"/>
                <w:w w:val="97"/>
              </w:rPr>
              <w:t>SECTION 3.</w:t>
            </w:r>
          </w:p>
        </w:tc>
        <w:tc>
          <w:tcPr>
            <w:tcW w:w="340" w:type="dxa"/>
            <w:vAlign w:val="bottom"/>
          </w:tcPr>
          <w:p>
            <w:pPr>
              <w:spacing w:after="0"/>
              <w:rPr>
                <w:sz w:val="18"/>
                <w:szCs w:val="18"/>
                <w:color w:val="auto"/>
              </w:rPr>
            </w:pPr>
          </w:p>
        </w:tc>
        <w:tc>
          <w:tcPr>
            <w:tcW w:w="8780" w:type="dxa"/>
            <w:vAlign w:val="bottom"/>
            <w:gridSpan w:val="5"/>
          </w:tcPr>
          <w:p>
            <w:pPr>
              <w:spacing w:after="0"/>
              <w:rPr>
                <w:sz w:val="20"/>
                <w:szCs w:val="20"/>
                <w:color w:val="auto"/>
              </w:rPr>
            </w:pPr>
            <w:r>
              <w:rPr>
                <w:rFonts w:ascii="Arial" w:cs="Arial" w:eastAsia="Arial" w:hAnsi="Arial"/>
                <w:sz w:val="18"/>
                <w:szCs w:val="18"/>
                <w:color w:val="auto"/>
              </w:rPr>
              <w:t>CONDITIONS PRECEDENT.</w:t>
            </w:r>
          </w:p>
        </w:tc>
      </w:tr>
      <w:tr>
        <w:trPr>
          <w:trHeight w:val="20"/>
        </w:trPr>
        <w:tc>
          <w:tcPr>
            <w:tcW w:w="10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r>
        <w:trPr>
          <w:trHeight w:val="412"/>
        </w:trPr>
        <w:tc>
          <w:tcPr>
            <w:tcW w:w="1000" w:type="dxa"/>
            <w:vAlign w:val="bottom"/>
          </w:tcPr>
          <w:p>
            <w:pPr>
              <w:spacing w:after="0"/>
              <w:rPr>
                <w:sz w:val="20"/>
                <w:szCs w:val="20"/>
                <w:color w:val="auto"/>
              </w:rPr>
            </w:pPr>
            <w:r>
              <w:rPr>
                <w:rFonts w:ascii="Arial" w:cs="Arial" w:eastAsia="Arial" w:hAnsi="Arial"/>
                <w:sz w:val="18"/>
                <w:szCs w:val="18"/>
                <w:color w:val="auto"/>
              </w:rPr>
              <w:t>3.1</w:t>
            </w:r>
          </w:p>
        </w:tc>
        <w:tc>
          <w:tcPr>
            <w:tcW w:w="9120" w:type="dxa"/>
            <w:vAlign w:val="bottom"/>
            <w:gridSpan w:val="6"/>
          </w:tcPr>
          <w:p>
            <w:pPr>
              <w:spacing w:after="0"/>
              <w:rPr>
                <w:sz w:val="20"/>
                <w:szCs w:val="20"/>
                <w:color w:val="auto"/>
              </w:rPr>
            </w:pPr>
            <w:r>
              <w:rPr>
                <w:rFonts w:ascii="Arial" w:cs="Arial" w:eastAsia="Arial" w:hAnsi="Arial"/>
                <w:sz w:val="18"/>
                <w:szCs w:val="18"/>
                <w:color w:val="auto"/>
                <w:w w:val="93"/>
              </w:rPr>
              <w:t>Amendment Effective Date. This Amendment shall become effective (the “Amendment Effective Date”) on the first date on</w:t>
            </w:r>
          </w:p>
        </w:tc>
      </w:tr>
      <w:tr>
        <w:trPr>
          <w:trHeight w:val="20"/>
        </w:trPr>
        <w:tc>
          <w:tcPr>
            <w:tcW w:w="10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r>
    </w:tbl>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which all of the following conditions have been satisfied or waived by the Administrative Agent and the Required Lenders:</w:t>
      </w:r>
    </w:p>
    <w:p>
      <w:pPr>
        <w:spacing w:after="0" w:line="225" w:lineRule="exact"/>
        <w:rPr>
          <w:sz w:val="20"/>
          <w:szCs w:val="20"/>
          <w:color w:val="auto"/>
        </w:rPr>
      </w:pPr>
    </w:p>
    <w:p>
      <w:pPr>
        <w:ind w:left="660" w:firstLine="645"/>
        <w:spacing w:after="0" w:line="277" w:lineRule="auto"/>
        <w:tabs>
          <w:tab w:leader="none" w:pos="2291"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Execution and Delivery</w:t>
      </w:r>
      <w:r>
        <w:rPr>
          <w:rFonts w:ascii="Arial" w:cs="Arial" w:eastAsia="Arial" w:hAnsi="Arial"/>
          <w:sz w:val="18"/>
          <w:szCs w:val="18"/>
          <w:color w:val="auto"/>
        </w:rPr>
        <w:t>. The Administrative Agent shall have received counterparts of this Amendment duly executed by (a) the Borrowers and WIL-Ireland and (b) the Required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64" w:right="239" w:bottom="1440" w:gutter="0" w:footer="0" w:header="0"/>
        </w:sectPr>
      </w:pPr>
    </w:p>
    <w:bookmarkStart w:id="5" w:name="page6"/>
    <w:bookmarkEnd w:id="5"/>
    <w:p>
      <w:pPr>
        <w:ind w:left="2180" w:hanging="875"/>
        <w:spacing w:after="0"/>
        <w:tabs>
          <w:tab w:leader="none" w:pos="2180" w:val="left"/>
        </w:tabs>
        <w:numPr>
          <w:ilvl w:val="0"/>
          <w:numId w:val="4"/>
        </w:numPr>
        <w:rPr>
          <w:rFonts w:ascii="Arial" w:cs="Arial" w:eastAsia="Arial" w:hAnsi="Arial"/>
          <w:sz w:val="18"/>
          <w:szCs w:val="18"/>
          <w:color w:val="auto"/>
        </w:rPr>
      </w:pPr>
      <w:r>
        <w:rPr>
          <w:rFonts w:ascii="Arial" w:cs="Arial" w:eastAsia="Arial" w:hAnsi="Arial"/>
          <w:sz w:val="18"/>
          <w:szCs w:val="18"/>
          <w:u w:val="single" w:color="auto"/>
          <w:color w:val="auto"/>
        </w:rPr>
        <w:t>No Default</w:t>
      </w:r>
      <w:r>
        <w:rPr>
          <w:rFonts w:ascii="Arial" w:cs="Arial" w:eastAsia="Arial" w:hAnsi="Arial"/>
          <w:sz w:val="18"/>
          <w:szCs w:val="18"/>
          <w:color w:val="auto"/>
        </w:rPr>
        <w:t>. There shall be no Default or Event of Default (other than the Specified Events of Default).</w:t>
      </w:r>
    </w:p>
    <w:p>
      <w:pPr>
        <w:spacing w:after="0" w:line="225" w:lineRule="exact"/>
        <w:rPr>
          <w:rFonts w:ascii="Arial" w:cs="Arial" w:eastAsia="Arial" w:hAnsi="Arial"/>
          <w:sz w:val="18"/>
          <w:szCs w:val="18"/>
          <w:color w:val="auto"/>
        </w:rPr>
      </w:pPr>
    </w:p>
    <w:p>
      <w:pPr>
        <w:jc w:val="both"/>
        <w:ind w:left="660" w:firstLine="645"/>
        <w:spacing w:after="0" w:line="273" w:lineRule="auto"/>
        <w:tabs>
          <w:tab w:leader="none" w:pos="2385" w:val="left"/>
        </w:tabs>
        <w:numPr>
          <w:ilvl w:val="0"/>
          <w:numId w:val="4"/>
        </w:numPr>
        <w:rPr>
          <w:rFonts w:ascii="Arial" w:cs="Arial" w:eastAsia="Arial" w:hAnsi="Arial"/>
          <w:sz w:val="17"/>
          <w:szCs w:val="17"/>
          <w:color w:val="auto"/>
        </w:rPr>
      </w:pP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As of the Amendment Effective Date, the representations and warranties contained in this Agreement, the Credit Agreement and in each other Loan Document (other than with respect to Specified Events of Default) shall be true and correct in all material respects (or in any respect to the extent such representation or warranty is qualified by materiality) on and as of the Amendment Effective Date as if made on and as of the Amendment Effective Date, except to the extent such representations and warranties specifically relate to an earlier date, in which case such representations and warranties shall have been true and correct in all material respects (or in any respect to the extent such representation or warranty is qualified by materiality) on and as of such earlier date.</w:t>
      </w:r>
    </w:p>
    <w:p>
      <w:pPr>
        <w:spacing w:after="0" w:line="178" w:lineRule="exact"/>
        <w:rPr>
          <w:rFonts w:ascii="Arial" w:cs="Arial" w:eastAsia="Arial" w:hAnsi="Arial"/>
          <w:sz w:val="17"/>
          <w:szCs w:val="17"/>
          <w:color w:val="auto"/>
        </w:rPr>
      </w:pPr>
    </w:p>
    <w:p>
      <w:pPr>
        <w:jc w:val="both"/>
        <w:ind w:left="660" w:firstLine="645"/>
        <w:spacing w:after="0" w:line="312" w:lineRule="auto"/>
        <w:tabs>
          <w:tab w:leader="none" w:pos="2396" w:val="left"/>
        </w:tabs>
        <w:numPr>
          <w:ilvl w:val="0"/>
          <w:numId w:val="4"/>
        </w:numPr>
        <w:rPr>
          <w:rFonts w:ascii="Arial" w:cs="Arial" w:eastAsia="Arial" w:hAnsi="Arial"/>
          <w:sz w:val="16"/>
          <w:szCs w:val="16"/>
          <w:color w:val="auto"/>
        </w:rPr>
      </w:pPr>
      <w:r>
        <w:rPr>
          <w:rFonts w:ascii="Arial" w:cs="Arial" w:eastAsia="Arial" w:hAnsi="Arial"/>
          <w:sz w:val="16"/>
          <w:szCs w:val="16"/>
          <w:u w:val="single" w:color="auto"/>
          <w:color w:val="auto"/>
        </w:rPr>
        <w:t>Payment of Legal Fees</w:t>
      </w:r>
      <w:r>
        <w:rPr>
          <w:rFonts w:ascii="Arial" w:cs="Arial" w:eastAsia="Arial" w:hAnsi="Arial"/>
          <w:sz w:val="16"/>
          <w:szCs w:val="16"/>
          <w:color w:val="auto"/>
        </w:rPr>
        <w:t>. The Obligors shall have paid, on the Amendment Effective Date and to the extent invoiced to the Borrowers at least one (1) Business Days prior thereto, the reasonable and documented out-of-pocket accrued expenses of the Administrative Agent, including, without limitation, the reasonable and documented fees, charges and disbursements of Simpson Thacher &amp; Bartlett LLP.</w:t>
      </w:r>
    </w:p>
    <w:p>
      <w:pPr>
        <w:spacing w:after="0" w:line="147" w:lineRule="exact"/>
        <w:rPr>
          <w:sz w:val="20"/>
          <w:szCs w:val="20"/>
          <w:color w:val="auto"/>
        </w:rPr>
      </w:pPr>
    </w:p>
    <w:p>
      <w:pPr>
        <w:ind w:left="1300"/>
        <w:spacing w:after="0"/>
        <w:tabs>
          <w:tab w:leader="none" w:pos="290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7"/>
          <w:szCs w:val="17"/>
          <w:u w:val="single" w:color="auto"/>
          <w:color w:val="auto"/>
        </w:rPr>
        <w:t>REPRESENTATIONS AND WARRANTIES</w:t>
      </w:r>
      <w:r>
        <w:rPr>
          <w:rFonts w:ascii="Arial" w:cs="Arial" w:eastAsia="Arial" w:hAnsi="Arial"/>
          <w:sz w:val="17"/>
          <w:szCs w:val="17"/>
          <w:color w:val="auto"/>
        </w:rPr>
        <w:t>. In order to induce the Credit Parties party hereto to enter into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Amendment, the Obligors party hereto hereby represent and warrant to the Credit Parties that:</w:t>
      </w:r>
    </w:p>
    <w:p>
      <w:pPr>
        <w:spacing w:after="0" w:line="211" w:lineRule="exact"/>
        <w:rPr>
          <w:sz w:val="20"/>
          <w:szCs w:val="20"/>
          <w:color w:val="auto"/>
        </w:rPr>
      </w:pPr>
    </w:p>
    <w:p>
      <w:pPr>
        <w:ind w:left="660" w:firstLine="645"/>
        <w:spacing w:after="0" w:line="277" w:lineRule="auto"/>
        <w:tabs>
          <w:tab w:leader="none" w:pos="2237"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Obligor is duly organized, validly existing and in good standing under the laws of the jurisdiction of its organization, and has all requisite power and authority to execute, deliver and perform its obligations under this Amendment;</w:t>
      </w:r>
    </w:p>
    <w:p>
      <w:pPr>
        <w:spacing w:after="0" w:line="170" w:lineRule="exact"/>
        <w:rPr>
          <w:rFonts w:ascii="Arial" w:cs="Arial" w:eastAsia="Arial" w:hAnsi="Arial"/>
          <w:sz w:val="18"/>
          <w:szCs w:val="18"/>
          <w:color w:val="auto"/>
        </w:rPr>
      </w:pPr>
    </w:p>
    <w:p>
      <w:pPr>
        <w:jc w:val="both"/>
        <w:ind w:left="660" w:firstLine="645"/>
        <w:spacing w:after="0" w:line="279" w:lineRule="auto"/>
        <w:tabs>
          <w:tab w:leader="none" w:pos="2287"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representations and warranties of each Obligor contained in the Credit Agreement and the other Loan Documents are true and correct in all material respects on and as of the Amendment Effective Date (except with respect to the Specified Events of Default) as if made on and as of the Amendment Effective Date, except where such representations and warranties expressly relate to an earlier date in which case such representations and warranties were true and correct in all material respects as of such earlier date;</w:t>
      </w:r>
    </w:p>
    <w:p>
      <w:pPr>
        <w:spacing w:after="0" w:line="171" w:lineRule="exact"/>
        <w:rPr>
          <w:rFonts w:ascii="Arial" w:cs="Arial" w:eastAsia="Arial" w:hAnsi="Arial"/>
          <w:sz w:val="17"/>
          <w:szCs w:val="17"/>
          <w:color w:val="auto"/>
        </w:rPr>
      </w:pPr>
    </w:p>
    <w:p>
      <w:pPr>
        <w:jc w:val="both"/>
        <w:ind w:left="660" w:firstLine="645"/>
        <w:spacing w:after="0" w:line="276" w:lineRule="auto"/>
        <w:tabs>
          <w:tab w:leader="none" w:pos="2304" w:val="left"/>
        </w:tabs>
        <w:numPr>
          <w:ilvl w:val="0"/>
          <w:numId w:val="5"/>
        </w:numPr>
        <w:rPr>
          <w:rFonts w:ascii="Arial" w:cs="Arial" w:eastAsia="Arial" w:hAnsi="Arial"/>
          <w:sz w:val="17"/>
          <w:szCs w:val="17"/>
          <w:color w:val="auto"/>
        </w:rPr>
      </w:pPr>
      <w:r>
        <w:rPr>
          <w:rFonts w:ascii="Arial" w:cs="Arial" w:eastAsia="Arial" w:hAnsi="Arial"/>
          <w:sz w:val="17"/>
          <w:szCs w:val="17"/>
          <w:color w:val="auto"/>
        </w:rPr>
        <w:t>the execution, delivery, and performance by each Obligor of this Amendment, (i) have been duly authorized by all necessary corporate, partnership or other proceedings on its part or on its behalf, (ii) does not and will not violate any applicable law or regulation applicable to such Obligor or the charter, limited liability company agreement, by-laws or other organizational documents of such Obligor or any order of any Governmental Authority, (iii) does not require any consent or approval of, registration or filing with (other than any disclosure filing), or any other action by, any Governmental Authority, except as have been made or obtained or made and are in full force; and</w:t>
      </w:r>
    </w:p>
    <w:p>
      <w:pPr>
        <w:spacing w:after="0" w:line="172" w:lineRule="exact"/>
        <w:rPr>
          <w:rFonts w:ascii="Arial" w:cs="Arial" w:eastAsia="Arial" w:hAnsi="Arial"/>
          <w:sz w:val="17"/>
          <w:szCs w:val="17"/>
          <w:color w:val="auto"/>
        </w:rPr>
      </w:pPr>
    </w:p>
    <w:p>
      <w:pPr>
        <w:jc w:val="both"/>
        <w:ind w:left="660" w:firstLine="645"/>
        <w:spacing w:after="0" w:line="286" w:lineRule="auto"/>
        <w:tabs>
          <w:tab w:leader="none" w:pos="2490" w:val="left"/>
        </w:tabs>
        <w:numPr>
          <w:ilvl w:val="0"/>
          <w:numId w:val="5"/>
        </w:numPr>
        <w:rPr>
          <w:rFonts w:ascii="Arial" w:cs="Arial" w:eastAsia="Arial" w:hAnsi="Arial"/>
          <w:sz w:val="17"/>
          <w:szCs w:val="17"/>
          <w:color w:val="auto"/>
        </w:rPr>
      </w:pPr>
      <w:r>
        <w:rPr>
          <w:rFonts w:ascii="Arial" w:cs="Arial" w:eastAsia="Arial" w:hAnsi="Arial"/>
          <w:sz w:val="17"/>
          <w:szCs w:val="17"/>
          <w:color w:val="auto"/>
        </w:rPr>
        <w:t>this Amendment constitutes the legal, valid and binding obligation of each Obligor, enforceable against such Obligor in accordance with its terms, subject to applicable bankruptcy, insolvency, reorganization, moratorium, or similar laws affecting creditors’ rights generally and subject to general principles of equity, regardless of whether considered in a proceeding in equity or at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 w:name="page7"/>
    <w:bookmarkEnd w:id="6"/>
    <w:p>
      <w:pPr>
        <w:jc w:val="both"/>
        <w:ind w:firstLine="1297"/>
        <w:spacing w:after="0" w:line="302" w:lineRule="auto"/>
        <w:rPr>
          <w:sz w:val="20"/>
          <w:szCs w:val="20"/>
          <w:color w:val="auto"/>
        </w:rPr>
      </w:pPr>
      <w:r>
        <w:rPr>
          <w:rFonts w:ascii="Arial" w:cs="Arial" w:eastAsia="Arial" w:hAnsi="Arial"/>
          <w:sz w:val="16"/>
          <w:szCs w:val="16"/>
          <w:color w:val="auto"/>
        </w:rPr>
        <w:t xml:space="preserve">SECTION 5. </w:t>
      </w:r>
      <w:r>
        <w:rPr>
          <w:rFonts w:ascii="Arial" w:cs="Arial" w:eastAsia="Arial" w:hAnsi="Arial"/>
          <w:sz w:val="16"/>
          <w:szCs w:val="16"/>
          <w:u w:val="single" w:color="auto"/>
          <w:color w:val="auto"/>
        </w:rPr>
        <w:t>CONTINUING EFFECT</w:t>
      </w:r>
      <w:r>
        <w:rPr>
          <w:rFonts w:ascii="Arial" w:cs="Arial" w:eastAsia="Arial" w:hAnsi="Arial"/>
          <w:sz w:val="16"/>
          <w:szCs w:val="16"/>
          <w:color w:val="auto"/>
        </w:rPr>
        <w:t>. Except as expressly provided herein, the Forbearance shall continue to be and shall remain in full force and effect in accordance with its terms. Except as expressly provided herein, this Amendment (i) shall not constitute an amendment, waiver or modification of any provision of the Forbearance Agreement and (ii) shall not be construed as an amendment, waiver or modification of any action on the part of the Borrowers or the other Obligors that would require an amendment, waiver or consent of the Credit Parties. This Amendment is a Loan Document.</w:t>
      </w:r>
    </w:p>
    <w:p>
      <w:pPr>
        <w:spacing w:after="0" w:line="154"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MISCELLANEOUS</w:t>
      </w:r>
      <w:r>
        <w:rPr>
          <w:rFonts w:ascii="Arial" w:cs="Arial" w:eastAsia="Arial" w:hAnsi="Arial"/>
          <w:sz w:val="16"/>
          <w:szCs w:val="16"/>
          <w:color w:val="auto"/>
        </w:rPr>
        <w:t>. Sections 15 and 17 of the Forbearance Agreement are hereby incorporated herein</w:t>
      </w:r>
      <w:r>
        <w:rPr>
          <w:rFonts w:ascii="Arial" w:cs="Arial" w:eastAsia="Arial" w:hAnsi="Arial"/>
          <w:sz w:val="16"/>
          <w:szCs w:val="16"/>
          <w:u w:val="single" w:color="auto"/>
          <w:color w:val="auto"/>
        </w:rPr>
        <w:t xml:space="preserve"> </w:t>
      </w:r>
      <w:r>
        <w:rPr>
          <w:rFonts w:ascii="Arial" w:cs="Arial" w:eastAsia="Arial" w:hAnsi="Arial"/>
          <w:sz w:val="16"/>
          <w:szCs w:val="16"/>
          <w:i w:val="1"/>
          <w:iCs w:val="1"/>
          <w:color w:val="auto"/>
        </w:rPr>
        <w:t>mutatis mutandis</w:t>
      </w:r>
      <w:r>
        <w:rPr>
          <w:rFonts w:ascii="Arial" w:cs="Arial" w:eastAsia="Arial" w:hAnsi="Arial"/>
          <w:sz w:val="16"/>
          <w:szCs w:val="16"/>
          <w:color w:val="auto"/>
        </w:rPr>
        <w:t>.</w:t>
      </w:r>
    </w:p>
    <w:p>
      <w:pPr>
        <w:spacing w:after="0" w:line="225" w:lineRule="exact"/>
        <w:rPr>
          <w:sz w:val="20"/>
          <w:szCs w:val="20"/>
          <w:color w:val="auto"/>
        </w:rPr>
      </w:pPr>
    </w:p>
    <w:p>
      <w:pPr>
        <w:ind w:left="1300"/>
        <w:spacing w:after="0"/>
        <w:tabs>
          <w:tab w:leader="none" w:pos="2620" w:val="left"/>
        </w:tabs>
        <w:rPr>
          <w:sz w:val="20"/>
          <w:szCs w:val="20"/>
          <w:color w:val="auto"/>
        </w:rPr>
      </w:pPr>
      <w:r>
        <w:rPr>
          <w:rFonts w:ascii="Arial" w:cs="Arial" w:eastAsia="Arial" w:hAnsi="Arial"/>
          <w:sz w:val="18"/>
          <w:szCs w:val="18"/>
          <w:color w:val="auto"/>
        </w:rPr>
        <w:t>SECTION 7.</w:t>
      </w:r>
      <w:r>
        <w:rPr>
          <w:sz w:val="20"/>
          <w:szCs w:val="20"/>
          <w:color w:val="auto"/>
        </w:rPr>
        <w:tab/>
      </w:r>
      <w:r>
        <w:rPr>
          <w:rFonts w:ascii="Arial" w:cs="Arial" w:eastAsia="Arial" w:hAnsi="Arial"/>
          <w:sz w:val="16"/>
          <w:szCs w:val="16"/>
          <w:u w:val="single" w:color="auto"/>
          <w:color w:val="auto"/>
        </w:rPr>
        <w:t>CONSENT OF GUARANTORS</w:t>
      </w:r>
      <w:r>
        <w:rPr>
          <w:rFonts w:ascii="Arial" w:cs="Arial" w:eastAsia="Arial" w:hAnsi="Arial"/>
          <w:sz w:val="16"/>
          <w:szCs w:val="16"/>
          <w:color w:val="auto"/>
        </w:rPr>
        <w:t>. Each of the Guarantors hereby consents to this Agreement.</w:t>
      </w:r>
    </w:p>
    <w:p>
      <w:pPr>
        <w:spacing w:after="0" w:line="225" w:lineRule="exact"/>
        <w:rPr>
          <w:sz w:val="20"/>
          <w:szCs w:val="20"/>
          <w:color w:val="auto"/>
        </w:rPr>
      </w:pPr>
    </w:p>
    <w:p>
      <w:pPr>
        <w:jc w:val="both"/>
        <w:ind w:firstLine="1297"/>
        <w:spacing w:after="0" w:line="284" w:lineRule="auto"/>
        <w:rPr>
          <w:sz w:val="20"/>
          <w:szCs w:val="20"/>
          <w:color w:val="auto"/>
        </w:rPr>
      </w:pPr>
      <w:r>
        <w:rPr>
          <w:rFonts w:ascii="Arial" w:cs="Arial" w:eastAsia="Arial" w:hAnsi="Arial"/>
          <w:sz w:val="16"/>
          <w:szCs w:val="16"/>
          <w:color w:val="auto"/>
        </w:rPr>
        <w:t xml:space="preserve">SECTION 8. </w:t>
      </w:r>
      <w:r>
        <w:rPr>
          <w:rFonts w:ascii="Arial" w:cs="Arial" w:eastAsia="Arial" w:hAnsi="Arial"/>
          <w:sz w:val="16"/>
          <w:szCs w:val="16"/>
          <w:u w:val="single" w:color="auto"/>
          <w:color w:val="auto"/>
        </w:rPr>
        <w:t>RELEASE</w:t>
      </w:r>
      <w:r>
        <w:rPr>
          <w:rFonts w:ascii="Arial" w:cs="Arial" w:eastAsia="Arial" w:hAnsi="Arial"/>
          <w:sz w:val="16"/>
          <w:szCs w:val="16"/>
          <w:color w:val="auto"/>
        </w:rPr>
        <w:t>. On and as of the Amendment Effective Date, each of the Obligors (on behalf of itself and its Affiliates) and its successors-in-title, legal representatives and assignees and, to the extent the same is claimed by right of, through or under any of the Obligors, for its past, present and future employees, agents, representatives, officers, directors, shareholders, and trustees (each, a “</w:t>
      </w:r>
      <w:r>
        <w:rPr>
          <w:rFonts w:ascii="Arial" w:cs="Arial" w:eastAsia="Arial" w:hAnsi="Arial"/>
          <w:sz w:val="16"/>
          <w:szCs w:val="16"/>
          <w:u w:val="single" w:color="auto"/>
          <w:color w:val="auto"/>
        </w:rPr>
        <w:t>Releasing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Releasing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Parties</w:t>
      </w:r>
      <w:r>
        <w:rPr>
          <w:rFonts w:ascii="Arial" w:cs="Arial" w:eastAsia="Arial" w:hAnsi="Arial"/>
          <w:sz w:val="16"/>
          <w:szCs w:val="16"/>
          <w:color w:val="auto"/>
        </w:rPr>
        <w:t>”), does hereby release and discharge, and shall be deemed to have forever released and discharged, the Credit Parties, and the Credit Parties’ respective successors-in-title, legal representatives and assignees, past, present and future officers, directors, affiliates, shareholders, trustees, agents, employees, consultants, experts, advisors, attorneys and other professionals and all other persons and entities to whom any of the foregoing would be liable if such persons or entities were found to be liable to any Releasing Party, or any of them (collectively hereinafter the “</w:t>
      </w:r>
      <w:r>
        <w:rPr>
          <w:rFonts w:ascii="Arial" w:cs="Arial" w:eastAsia="Arial" w:hAnsi="Arial"/>
          <w:sz w:val="16"/>
          <w:szCs w:val="16"/>
          <w:u w:val="single" w:color="auto"/>
          <w:color w:val="auto"/>
        </w:rPr>
        <w:t>Lender Parties</w:t>
      </w:r>
      <w:r>
        <w:rPr>
          <w:rFonts w:ascii="Arial" w:cs="Arial" w:eastAsia="Arial" w:hAnsi="Arial"/>
          <w:sz w:val="16"/>
          <w:szCs w:val="16"/>
          <w:color w:val="auto"/>
        </w:rPr>
        <w:t>”), from any and all manner of action and actions, cause and causes of action, claims, charges, demands, counterclaims, suits, debts, dues, sums of money, accounts, reckonings, bonds, bills, specialties, covenants, contracts, controversies, damages, judgments, expenses, executions, liens, claims of liens, claims of costs, penalties, attorneys’ fees, or any other compensation, recovery or relief on account of any liability, obligation, demand or cause of action of whatever nature, whether in law, equity or otherwise (including, without limitation, any so called “lender liability” claims, interest or other carrying costs, penalties, legal, accounting and other professional fees and expenses and incidental, consequential and punitive damages payable to third parties, or any claims arising under 11 U.S.C. §§ 541-550 or any claims for avoidance or recovery under any other federal, state or foreign law equivalent), whether known or unknown, fixed or contingent, joint and/or several, secured or unsecured, due or not due, primary or secondary, liquidated or unliquidated, contractual or tortious, direct, indirect, or derivative, asserted or unasserted, foreseen or unforeseen, suspected or unsuspected, now existing, heretofore existing or which may heretofore accrue against any of the Lender Parties in their capacities as such under any of the Loan Documents, whether held in a personal or representative capacity, solely to the extent based on any act, fact, event or omission or other matter, cause or thing occurring at or from any time prior to and including (but not after) the date hereof in any way, directly or indirectly arising out of, connected with or relating to any of this Agreement, the Loan Documents and the transactions contemplated hereby or thereby, or any other agreements, certificates, instruments and other documents and statements (whether written or oral) related to any of the foregoing (each, a “Claim” and collectively, the “</w:t>
      </w:r>
      <w:r>
        <w:rPr>
          <w:rFonts w:ascii="Arial" w:cs="Arial" w:eastAsia="Arial" w:hAnsi="Arial"/>
          <w:sz w:val="16"/>
          <w:szCs w:val="16"/>
          <w:u w:val="single" w:color="auto"/>
          <w:color w:val="auto"/>
        </w:rPr>
        <w:t>Claims</w:t>
      </w:r>
      <w:r>
        <w:rPr>
          <w:rFonts w:ascii="Arial" w:cs="Arial" w:eastAsia="Arial" w:hAnsi="Arial"/>
          <w:sz w:val="16"/>
          <w:szCs w:val="16"/>
          <w:color w:val="auto"/>
        </w:rPr>
        <w:t>”). Each Releasing Party further stipulates and agrees with respect to all Claims, that it hereby waives, to the fullest extent permitted by applicable law, any and all provisions, rights, and benefits conferred by any applicable U.S. federal or state law, or any principle of common law, that would otherwise limit a release or discharge of any unknown Claims pursuant to this Section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415290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both"/>
        <w:ind w:firstLine="1297"/>
        <w:spacing w:after="0" w:line="264" w:lineRule="auto"/>
        <w:rPr>
          <w:sz w:val="20"/>
          <w:szCs w:val="20"/>
          <w:color w:val="auto"/>
        </w:rPr>
      </w:pPr>
      <w:r>
        <w:rPr>
          <w:rFonts w:ascii="Arial" w:cs="Arial" w:eastAsia="Arial" w:hAnsi="Arial"/>
          <w:sz w:val="18"/>
          <w:szCs w:val="18"/>
          <w:color w:val="auto"/>
        </w:rPr>
        <w:t xml:space="preserve">SECTION 9.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THE RIGHTS AND OBLIGATIONS OF THE PARTIES HERETO, SHALL BE GOVERNED BY, AND SHALL BE CONSTRUED AND INTERPRETED IN ACCORDANCE WITH, THE LAWS OF THE STATE OF NEW YORK.</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10. </w:t>
      </w:r>
      <w:r>
        <w:rPr>
          <w:rFonts w:ascii="Arial" w:cs="Arial" w:eastAsia="Arial" w:hAnsi="Arial"/>
          <w:sz w:val="18"/>
          <w:szCs w:val="18"/>
          <w:u w:val="single" w:color="auto"/>
          <w:color w:val="auto"/>
        </w:rPr>
        <w:t>WAIVER OF JURY TRIAL</w:t>
      </w:r>
      <w:r>
        <w:rPr>
          <w:rFonts w:ascii="Arial" w:cs="Arial" w:eastAsia="Arial" w:hAnsi="Arial"/>
          <w:sz w:val="18"/>
          <w:szCs w:val="18"/>
          <w:color w:val="auto"/>
        </w:rPr>
        <w:t>. EACH PARTY HERETO HEREBY IRREVOCABLY AND UNCONDITIONALLY WAIVES TRIAL BY JURY IN ANY LEGAL ACTION OR PROCEEDING RELATING TO THIS AGREEMENT OR ANY OTHER LOAN DOCUMENT AND FOR ANY COUNTERCLAIM THEREIN.</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SUCCESSORS AND ASSIGNS</w:t>
      </w:r>
      <w:r>
        <w:rPr>
          <w:rFonts w:ascii="Arial" w:cs="Arial" w:eastAsia="Arial" w:hAnsi="Arial"/>
          <w:sz w:val="18"/>
          <w:szCs w:val="18"/>
          <w:color w:val="auto"/>
        </w:rPr>
        <w:t>. This Agreement shall be binding upon and inure to the benefit of the Borrowers, the Guarantors, and the Credit Parties, and each of their respective successors and assigns, and shall not inure to the benefit of any third parties. The execution and delivery of this Agreement by any Lender prior to the Amendment Effective Date shall be binding upon its successors and assigns and shall be effective as to any Loans or Commitments assigned to it after such execution and delivery.</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12. </w:t>
      </w: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is made and entered into for the sole protection and benefit of the parties hereto and no other person or entity shall have any right of action hereon, right to claim any right or benefit from the terms contained herein, or be deemed a third party beneficiary hereunder.</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13. </w:t>
      </w:r>
      <w:r>
        <w:rPr>
          <w:rFonts w:ascii="Arial" w:cs="Arial" w:eastAsia="Arial" w:hAnsi="Arial"/>
          <w:sz w:val="18"/>
          <w:szCs w:val="18"/>
          <w:u w:val="single" w:color="auto"/>
          <w:color w:val="auto"/>
        </w:rPr>
        <w:t>REVIEW AND CONSTRUCTION OF DOCUMENTS</w:t>
      </w:r>
      <w:r>
        <w:rPr>
          <w:rFonts w:ascii="Arial" w:cs="Arial" w:eastAsia="Arial" w:hAnsi="Arial"/>
          <w:sz w:val="18"/>
          <w:szCs w:val="18"/>
          <w:color w:val="auto"/>
        </w:rPr>
        <w:t>. Each party hereto hereby acknowledges, and represents and warrants to the other parties hereto, that:</w:t>
      </w:r>
    </w:p>
    <w:p>
      <w:pPr>
        <w:spacing w:after="0" w:line="170" w:lineRule="exact"/>
        <w:rPr>
          <w:sz w:val="20"/>
          <w:szCs w:val="20"/>
          <w:color w:val="auto"/>
        </w:rPr>
      </w:pPr>
    </w:p>
    <w:p>
      <w:pPr>
        <w:ind w:left="660" w:firstLine="645"/>
        <w:spacing w:after="0" w:line="277" w:lineRule="auto"/>
        <w:tabs>
          <w:tab w:leader="none" w:pos="2277"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has had the opportunity to consult with legal counsel of its own choice and has been afforded an opportunity to review this Agreement with legal counsel;</w:t>
      </w:r>
    </w:p>
    <w:p>
      <w:pPr>
        <w:spacing w:after="0" w:line="170" w:lineRule="exact"/>
        <w:rPr>
          <w:rFonts w:ascii="Arial" w:cs="Arial" w:eastAsia="Arial" w:hAnsi="Arial"/>
          <w:sz w:val="18"/>
          <w:szCs w:val="18"/>
          <w:color w:val="auto"/>
        </w:rPr>
      </w:pPr>
    </w:p>
    <w:p>
      <w:pPr>
        <w:ind w:left="2180" w:hanging="875"/>
        <w:spacing w:after="0"/>
        <w:tabs>
          <w:tab w:leader="none" w:pos="2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has carefully reviewed this Agreement and fully understands all terms and provisions of this Agreement;</w:t>
      </w:r>
    </w:p>
    <w:p>
      <w:pPr>
        <w:spacing w:after="0" w:line="225" w:lineRule="exact"/>
        <w:rPr>
          <w:rFonts w:ascii="Arial" w:cs="Arial" w:eastAsia="Arial" w:hAnsi="Arial"/>
          <w:sz w:val="18"/>
          <w:szCs w:val="18"/>
          <w:color w:val="auto"/>
        </w:rPr>
      </w:pPr>
    </w:p>
    <w:p>
      <w:pPr>
        <w:ind w:left="2180" w:hanging="875"/>
        <w:spacing w:after="0"/>
        <w:tabs>
          <w:tab w:leader="none" w:pos="2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it has freely, voluntarily, knowingly, and intelligently entered into this Agreement of its own free will and volition;</w:t>
      </w:r>
    </w:p>
    <w:p>
      <w:pPr>
        <w:spacing w:after="0" w:line="225" w:lineRule="exact"/>
        <w:rPr>
          <w:rFonts w:ascii="Arial" w:cs="Arial" w:eastAsia="Arial" w:hAnsi="Arial"/>
          <w:sz w:val="18"/>
          <w:szCs w:val="18"/>
          <w:color w:val="auto"/>
        </w:rPr>
      </w:pPr>
    </w:p>
    <w:p>
      <w:pPr>
        <w:jc w:val="both"/>
        <w:ind w:left="660" w:firstLine="645"/>
        <w:spacing w:after="0" w:line="264" w:lineRule="auto"/>
        <w:tabs>
          <w:tab w:leader="none" w:pos="2409" w:val="left"/>
        </w:tabs>
        <w:numPr>
          <w:ilvl w:val="0"/>
          <w:numId w:val="6"/>
        </w:numPr>
        <w:rPr>
          <w:rFonts w:ascii="Arial" w:cs="Arial" w:eastAsia="Arial" w:hAnsi="Arial"/>
          <w:sz w:val="18"/>
          <w:szCs w:val="18"/>
          <w:color w:val="auto"/>
        </w:rPr>
      </w:pPr>
      <w:r>
        <w:rPr>
          <w:rFonts w:ascii="Arial" w:cs="Arial" w:eastAsia="Arial" w:hAnsi="Arial"/>
          <w:sz w:val="18"/>
          <w:szCs w:val="18"/>
          <w:color w:val="auto"/>
        </w:rPr>
        <w:t>none of the Credit Parties have a fiduciary relationship with any of the Obligors and the Obligors do not have a fiduciary relationship with the Credit Parties, and the relationship between the Credit Parties, on the one hand, and the Obligors, on the other hand, is solely that of creditor and debtor; and</w:t>
      </w:r>
    </w:p>
    <w:p>
      <w:pPr>
        <w:spacing w:after="0" w:line="181" w:lineRule="exact"/>
        <w:rPr>
          <w:rFonts w:ascii="Arial" w:cs="Arial" w:eastAsia="Arial" w:hAnsi="Arial"/>
          <w:sz w:val="18"/>
          <w:szCs w:val="18"/>
          <w:color w:val="auto"/>
        </w:rPr>
      </w:pPr>
    </w:p>
    <w:p>
      <w:pPr>
        <w:ind w:left="2180" w:hanging="875"/>
        <w:spacing w:after="0"/>
        <w:tabs>
          <w:tab w:leader="none" w:pos="218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joint venture exists among the Obligors and the Credit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 w:name="page9"/>
    <w:bookmarkEnd w:id="8"/>
    <w:p>
      <w:pPr>
        <w:jc w:val="both"/>
        <w:ind w:firstLine="1297"/>
        <w:spacing w:after="0" w:line="253"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ENTIRE AGREEMENT; AMENDMENT</w:t>
      </w:r>
      <w:r>
        <w:rPr>
          <w:rFonts w:ascii="Arial" w:cs="Arial" w:eastAsia="Arial" w:hAnsi="Arial"/>
          <w:sz w:val="18"/>
          <w:szCs w:val="18"/>
          <w:color w:val="auto"/>
        </w:rPr>
        <w:t>. THE FORBEARANCE AGREEMENT AND THIS AMENDMENT EMBODY THE FINAL, ENTIRE AGREEMENT AMONG THE PARTIES HERETO REGARDING THE CREDIT PARTIES’ FORBEARANCE WITH RESPECT TO THEIR RIGHTS AND REMEDIES WHICH MAY ARISE AS A RESULT OF THE SPECIFIED EVENTS OF DEFAULT AND SUPERSEDE ANY AND ALL PRIOR COMMITMENTS, AGREEMENTS, REPRESENTATIONS, AND UNDERSTANDINGS, WHETHER WRITTEN OR ORAL, RELATING TO THE SUBJECT MATTER THEREOF AND HEREOF AND MAY NOT BE CONTRADICTED OR VARIED BY EVIDENCE OF PRIOR, CONTEMPORANEOUS OR SUBSEQUENT ORAL AGREEMENTS OR DISCUSSION OF THE PARTIES HERETO. THERE ARE NO ORAL AGREEMENTS AMONG THE PARTIES HERETO. The provisions of this Amendment may be amended or waived only by an instrument in writing signed by the Borrowers, the Lenders constituting the Required Lenders and, to the extent required under Section 11.01 of the Credit Agreement, the Issuing Bank and the Administrative Agent.</w:t>
      </w:r>
    </w:p>
    <w:p>
      <w:pPr>
        <w:spacing w:after="0" w:line="19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by the parties hereto in any number of separate counterparts and all of said counterparts taken together shall be deemed to constitute one and the same instrument. An executed signature page of this Agreement may be delivered by facsimile transmission or electronic PDF of the relevant signature page hereof.</w:t>
      </w:r>
    </w:p>
    <w:p>
      <w:pPr>
        <w:spacing w:after="0" w:line="181"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 xml:space="preserve">SECTION 16. </w:t>
      </w:r>
      <w:r>
        <w:rPr>
          <w:rFonts w:ascii="Arial" w:cs="Arial" w:eastAsia="Arial" w:hAnsi="Arial"/>
          <w:sz w:val="18"/>
          <w:szCs w:val="18"/>
          <w:u w:val="single" w:color="auto"/>
          <w:color w:val="auto"/>
        </w:rPr>
        <w:t>HEADINGS</w:t>
      </w:r>
      <w:r>
        <w:rPr>
          <w:rFonts w:ascii="Arial" w:cs="Arial" w:eastAsia="Arial" w:hAnsi="Arial"/>
          <w:sz w:val="18"/>
          <w:szCs w:val="18"/>
          <w:color w:val="auto"/>
        </w:rPr>
        <w:t>. Section headings used in this Agreement are for convenience of reference only, are not part of this Agreement and are not to affect the construction of, or to be taken into consideration in interpreting, this Agreement.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ind w:firstLine="1297"/>
        <w:spacing w:after="0" w:line="277" w:lineRule="auto"/>
        <w:rPr>
          <w:sz w:val="20"/>
          <w:szCs w:val="20"/>
          <w:color w:val="auto"/>
        </w:rPr>
      </w:pPr>
      <w:r>
        <w:rPr>
          <w:rFonts w:ascii="Arial" w:cs="Arial" w:eastAsia="Arial" w:hAnsi="Arial"/>
          <w:sz w:val="18"/>
          <w:szCs w:val="18"/>
          <w:color w:val="auto"/>
        </w:rPr>
        <w:t>IN WITNESS WHEREOF, the parties hereto have caused this Amendment to be executed and delivered by their duly authorized officers as of the date first written above.</w:t>
      </w:r>
    </w:p>
    <w:p>
      <w:pPr>
        <w:spacing w:after="0" w:line="224"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WEATHERFORD INTERNATIONAL LTD.</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Mohammed Dadhiwala</w:t>
      </w:r>
    </w:p>
    <w:p>
      <w:pPr>
        <w:spacing w:after="0" w:line="36"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tab/>
        <w:t>Vice President</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WEATHERFORD INTERNATIONAL PLC</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 Stuart Fraser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Stuart Fraser</w:t>
      </w:r>
    </w:p>
    <w:p>
      <w:pPr>
        <w:spacing w:after="0" w:line="36"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tab/>
        <w:t>Vice President and Chief Accounting Officer</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WOFS ASSURANCE LIMITED</w:t>
      </w:r>
    </w:p>
    <w:p>
      <w:pPr>
        <w:spacing w:after="0" w:line="27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 /s/Mohammed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14605</wp:posOffset>
            </wp:positionV>
            <wp:extent cx="34048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 Mohammed Dadhiwala</w:t>
      </w:r>
    </w:p>
    <w:p>
      <w:pPr>
        <w:spacing w:after="0" w:line="36" w:lineRule="exact"/>
        <w:rPr>
          <w:sz w:val="20"/>
          <w:szCs w:val="20"/>
          <w:color w:val="auto"/>
        </w:rPr>
      </w:pPr>
    </w:p>
    <w:p>
      <w:pPr>
        <w:ind w:left="6060"/>
        <w:spacing w:after="0"/>
        <w:tabs>
          <w:tab w:leader="none" w:pos="6620" w:val="left"/>
        </w:tabs>
        <w:rPr>
          <w:sz w:val="20"/>
          <w:szCs w:val="20"/>
          <w:color w:val="auto"/>
        </w:rPr>
      </w:pPr>
      <w:r>
        <w:rPr>
          <w:rFonts w:ascii="Arial" w:cs="Arial" w:eastAsia="Arial" w:hAnsi="Arial"/>
          <w:sz w:val="18"/>
          <w:szCs w:val="18"/>
          <w:color w:val="auto"/>
        </w:rPr>
        <w:t>Title:</w:t>
        <w:tab/>
        <w:t>Vice President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125" w:right="259" w:bottom="1440" w:gutter="0" w:footer="0" w:header="0"/>
        </w:sectPr>
      </w:pPr>
    </w:p>
    <w:bookmarkStart w:id="10" w:name="page11"/>
    <w:bookmarkEnd w:id="10"/>
    <w:p>
      <w:pPr>
        <w:ind w:left="4500"/>
        <w:spacing w:after="0"/>
        <w:rPr>
          <w:sz w:val="20"/>
          <w:szCs w:val="20"/>
          <w:color w:val="auto"/>
        </w:rPr>
      </w:pPr>
      <w:r>
        <w:rPr>
          <w:rFonts w:ascii="Arial" w:cs="Arial" w:eastAsia="Arial" w:hAnsi="Arial"/>
          <w:sz w:val="18"/>
          <w:szCs w:val="18"/>
          <w:color w:val="auto"/>
        </w:rPr>
        <w:t>AUSTRALIA GUARANTOR:</w:t>
      </w:r>
    </w:p>
    <w:p>
      <w:pPr>
        <w:spacing w:after="0" w:line="279" w:lineRule="exact"/>
        <w:rPr>
          <w:sz w:val="20"/>
          <w:szCs w:val="20"/>
          <w:color w:val="auto"/>
        </w:rPr>
      </w:pPr>
    </w:p>
    <w:p>
      <w:pPr>
        <w:jc w:val="right"/>
        <w:ind w:right="939"/>
        <w:spacing w:after="0"/>
        <w:rPr>
          <w:sz w:val="20"/>
          <w:szCs w:val="20"/>
          <w:color w:val="auto"/>
        </w:rPr>
      </w:pPr>
      <w:r>
        <w:rPr>
          <w:rFonts w:ascii="Arial" w:cs="Arial" w:eastAsia="Arial" w:hAnsi="Arial"/>
          <w:sz w:val="18"/>
          <w:szCs w:val="18"/>
          <w:color w:val="auto"/>
        </w:rPr>
        <w:t>WEATHERFORD AUSTRALIA PTY LIMITED</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Antonino Gullotti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Antonino Gullotti</w:t>
      </w:r>
    </w:p>
    <w:p>
      <w:pPr>
        <w:spacing w:after="0" w:line="36" w:lineRule="exact"/>
        <w:rPr>
          <w:sz w:val="20"/>
          <w:szCs w:val="20"/>
          <w:color w:val="auto"/>
        </w:rPr>
      </w:pPr>
    </w:p>
    <w:p>
      <w:pPr>
        <w:ind w:left="4840"/>
        <w:spacing w:after="0"/>
        <w:tabs>
          <w:tab w:leader="none" w:pos="5400" w:val="left"/>
        </w:tabs>
        <w:rPr>
          <w:sz w:val="20"/>
          <w:szCs w:val="20"/>
          <w:color w:val="auto"/>
        </w:rPr>
      </w:pPr>
      <w:r>
        <w:rPr>
          <w:rFonts w:ascii="Arial" w:cs="Arial" w:eastAsia="Arial" w:hAnsi="Arial"/>
          <w:sz w:val="18"/>
          <w:szCs w:val="18"/>
          <w:color w:val="auto"/>
        </w:rPr>
        <w:t>Title:</w:t>
        <w:tab/>
        <w:t>Director</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Robert Antonio De Gasperis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Robert Antonio De Gasperis</w:t>
      </w:r>
    </w:p>
    <w:p>
      <w:pPr>
        <w:spacing w:after="0" w:line="36" w:lineRule="exact"/>
        <w:rPr>
          <w:sz w:val="20"/>
          <w:szCs w:val="20"/>
          <w:color w:val="auto"/>
        </w:rPr>
      </w:pPr>
    </w:p>
    <w:p>
      <w:pPr>
        <w:ind w:left="4840"/>
        <w:spacing w:after="0"/>
        <w:tabs>
          <w:tab w:leader="none" w:pos="5400" w:val="left"/>
        </w:tabs>
        <w:rPr>
          <w:sz w:val="20"/>
          <w:szCs w:val="20"/>
          <w:color w:val="auto"/>
        </w:rPr>
      </w:pPr>
      <w:r>
        <w:rPr>
          <w:rFonts w:ascii="Arial" w:cs="Arial" w:eastAsia="Arial" w:hAnsi="Arial"/>
          <w:sz w:val="18"/>
          <w:szCs w:val="18"/>
          <w:color w:val="auto"/>
        </w:rPr>
        <w:t>Title:</w:t>
        <w:tab/>
        <w:t>Director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1" w:name="page12"/>
    <w:bookmarkEnd w:id="11"/>
    <w:p>
      <w:pPr>
        <w:ind w:left="4500"/>
        <w:spacing w:after="0"/>
        <w:rPr>
          <w:sz w:val="20"/>
          <w:szCs w:val="20"/>
          <w:color w:val="auto"/>
        </w:rPr>
      </w:pPr>
      <w:r>
        <w:rPr>
          <w:rFonts w:ascii="Arial" w:cs="Arial" w:eastAsia="Arial" w:hAnsi="Arial"/>
          <w:sz w:val="18"/>
          <w:szCs w:val="18"/>
          <w:color w:val="auto"/>
        </w:rPr>
        <w:t>BERMUDA GUARANTORS:</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KEY INTERNATIONAL DRILLING COMPANY LIMITED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SABRE DRILLING LTD.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BERMUDA HOLDINGS LTD.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WEATHERFORD INTERNATIONAL HOLDING (BERMUDA) LTD.</w:t>
      </w:r>
    </w:p>
    <w:p>
      <w:pPr>
        <w:spacing w:after="0" w:line="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PANGAEA HOLDINGS LTD.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SERVICES, LTD.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HOLDINGS (BERMUDA) LTD.</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Mohammed Dadiwala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Mohammed Dadiwala</w:t>
      </w:r>
    </w:p>
    <w:p>
      <w:pPr>
        <w:spacing w:after="0" w:line="36" w:lineRule="exact"/>
        <w:rPr>
          <w:sz w:val="20"/>
          <w:szCs w:val="20"/>
          <w:color w:val="auto"/>
        </w:rPr>
      </w:pPr>
    </w:p>
    <w:p>
      <w:pPr>
        <w:ind w:left="4840"/>
        <w:spacing w:after="0"/>
        <w:tabs>
          <w:tab w:leader="none" w:pos="5400" w:val="left"/>
        </w:tabs>
        <w:rPr>
          <w:sz w:val="20"/>
          <w:szCs w:val="20"/>
          <w:color w:val="auto"/>
        </w:rPr>
      </w:pPr>
      <w:r>
        <w:rPr>
          <w:rFonts w:ascii="Arial" w:cs="Arial" w:eastAsia="Arial" w:hAnsi="Arial"/>
          <w:sz w:val="18"/>
          <w:szCs w:val="18"/>
          <w:color w:val="auto"/>
        </w:rPr>
        <w:t>Title:</w:t>
        <w:tab/>
        <w:t>Vice President</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KEY INTERNATIONAL DRILLING COMPANY LIMITED</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Andrew David Gold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Andrew David Gold</w:t>
      </w:r>
    </w:p>
    <w:p>
      <w:pPr>
        <w:spacing w:after="0" w:line="36" w:lineRule="exact"/>
        <w:rPr>
          <w:sz w:val="20"/>
          <w:szCs w:val="20"/>
          <w:color w:val="auto"/>
        </w:rPr>
      </w:pPr>
    </w:p>
    <w:p>
      <w:pPr>
        <w:ind w:left="4840"/>
        <w:spacing w:after="0"/>
        <w:tabs>
          <w:tab w:leader="none" w:pos="5400" w:val="left"/>
        </w:tabs>
        <w:rPr>
          <w:sz w:val="20"/>
          <w:szCs w:val="20"/>
          <w:color w:val="auto"/>
        </w:rPr>
      </w:pPr>
      <w:r>
        <w:rPr>
          <w:rFonts w:ascii="Arial" w:cs="Arial" w:eastAsia="Arial" w:hAnsi="Arial"/>
          <w:sz w:val="18"/>
          <w:szCs w:val="18"/>
          <w:color w:val="auto"/>
        </w:rPr>
        <w:t>Title:</w:t>
        <w:tab/>
        <w:t>President</w:t>
      </w:r>
    </w:p>
    <w:p>
      <w:pPr>
        <w:spacing w:after="0" w:line="225" w:lineRule="exact"/>
        <w:rPr>
          <w:sz w:val="20"/>
          <w:szCs w:val="20"/>
          <w:color w:val="auto"/>
        </w:rPr>
      </w:pPr>
    </w:p>
    <w:p>
      <w:pPr>
        <w:jc w:val="center"/>
        <w:ind w:right="66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660"/>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680"/>
          </w:cols>
          <w:pgMar w:left="1440" w:top="935" w:right="779" w:bottom="1440" w:gutter="0" w:footer="0" w:header="0"/>
        </w:sectPr>
      </w:pPr>
    </w:p>
    <w:bookmarkStart w:id="12" w:name="page13"/>
    <w:bookmarkEnd w:id="12"/>
    <w:p>
      <w:pPr>
        <w:ind w:left="4500"/>
        <w:spacing w:after="0"/>
        <w:rPr>
          <w:sz w:val="20"/>
          <w:szCs w:val="20"/>
          <w:color w:val="auto"/>
        </w:rPr>
      </w:pPr>
      <w:r>
        <w:rPr>
          <w:rFonts w:ascii="Arial" w:cs="Arial" w:eastAsia="Arial" w:hAnsi="Arial"/>
          <w:sz w:val="18"/>
          <w:szCs w:val="18"/>
          <w:color w:val="auto"/>
        </w:rPr>
        <w:t>BVI GUARANTORS:</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COLOMBIA LIMITED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DRILLING INTERNATIONAL (BVI) LTD.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WEATHERFORD DRILLING INTERNATIONAL HOLDINGS (BVI) LTD.</w:t>
      </w:r>
    </w:p>
    <w:p>
      <w:pPr>
        <w:spacing w:after="0" w:line="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HOLDINGS (BVI) LTD.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OIL TOOL MIDDLE EAST LIMITED</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Mohammed Dadhiwala</w:t>
      </w:r>
    </w:p>
    <w:p>
      <w:pPr>
        <w:spacing w:after="0" w:line="36" w:lineRule="exact"/>
        <w:rPr>
          <w:sz w:val="20"/>
          <w:szCs w:val="20"/>
          <w:color w:val="auto"/>
        </w:rPr>
      </w:pPr>
    </w:p>
    <w:p>
      <w:pPr>
        <w:ind w:left="4840"/>
        <w:spacing w:after="0"/>
        <w:tabs>
          <w:tab w:leader="none" w:pos="5400" w:val="left"/>
        </w:tabs>
        <w:rPr>
          <w:sz w:val="20"/>
          <w:szCs w:val="20"/>
          <w:color w:val="auto"/>
        </w:rPr>
      </w:pPr>
      <w:r>
        <w:rPr>
          <w:rFonts w:ascii="Arial" w:cs="Arial" w:eastAsia="Arial" w:hAnsi="Arial"/>
          <w:sz w:val="18"/>
          <w:szCs w:val="18"/>
          <w:color w:val="auto"/>
        </w:rPr>
        <w:t>Title:</w:t>
        <w:tab/>
        <w:t>Vice President</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HOLDINGS (BVI) LTD.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OIL TOOL MIDDLE EAST LIMITED</w:t>
      </w:r>
    </w:p>
    <w:p>
      <w:pPr>
        <w:spacing w:after="0" w:line="200" w:lineRule="exact"/>
        <w:rPr>
          <w:sz w:val="20"/>
          <w:szCs w:val="20"/>
          <w:color w:val="auto"/>
        </w:rPr>
      </w:pPr>
    </w:p>
    <w:p>
      <w:pPr>
        <w:spacing w:after="0" w:line="32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Mohammed Dadhiwala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Mohammed Dadhiwala</w:t>
      </w:r>
    </w:p>
    <w:p>
      <w:pPr>
        <w:spacing w:after="0" w:line="36" w:lineRule="exact"/>
        <w:rPr>
          <w:sz w:val="20"/>
          <w:szCs w:val="20"/>
          <w:color w:val="auto"/>
        </w:rPr>
      </w:pPr>
    </w:p>
    <w:p>
      <w:pPr>
        <w:ind w:left="4840"/>
        <w:spacing w:after="0"/>
        <w:tabs>
          <w:tab w:leader="none" w:pos="5400" w:val="left"/>
        </w:tabs>
        <w:rPr>
          <w:sz w:val="20"/>
          <w:szCs w:val="20"/>
          <w:color w:val="auto"/>
        </w:rPr>
      </w:pPr>
      <w:r>
        <w:rPr>
          <w:rFonts w:ascii="Arial" w:cs="Arial" w:eastAsia="Arial" w:hAnsi="Arial"/>
          <w:sz w:val="18"/>
          <w:szCs w:val="18"/>
          <w:color w:val="auto"/>
        </w:rPr>
        <w:t>Title:</w:t>
        <w:tab/>
        <w:t>Senior Vice President</w:t>
      </w:r>
    </w:p>
    <w:p>
      <w:pPr>
        <w:spacing w:after="0" w:line="225" w:lineRule="exact"/>
        <w:rPr>
          <w:sz w:val="20"/>
          <w:szCs w:val="20"/>
          <w:color w:val="auto"/>
        </w:rPr>
      </w:pPr>
    </w:p>
    <w:p>
      <w:pPr>
        <w:jc w:val="center"/>
        <w:ind w:right="108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080"/>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100"/>
          </w:cols>
          <w:pgMar w:left="1440" w:top="962" w:right="359" w:bottom="1440" w:gutter="0" w:footer="0" w:header="0"/>
        </w:sectPr>
      </w:pPr>
    </w:p>
    <w:bookmarkStart w:id="13" w:name="page14"/>
    <w:bookmarkEnd w:id="13"/>
    <w:p>
      <w:pPr>
        <w:ind w:left="4500"/>
        <w:spacing w:after="0"/>
        <w:rPr>
          <w:sz w:val="20"/>
          <w:szCs w:val="20"/>
          <w:color w:val="auto"/>
        </w:rPr>
      </w:pPr>
      <w:r>
        <w:rPr>
          <w:rFonts w:ascii="Arial" w:cs="Arial" w:eastAsia="Arial" w:hAnsi="Arial"/>
          <w:sz w:val="18"/>
          <w:szCs w:val="18"/>
          <w:color w:val="auto"/>
        </w:rPr>
        <w:t>CANADA GUARANTORS:</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CANADA LTD.</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WEATHERFORD (NOVA SCOTIA) ULC</w:t>
      </w:r>
    </w:p>
    <w:p>
      <w:pPr>
        <w:spacing w:after="0" w:line="200" w:lineRule="exact"/>
        <w:rPr>
          <w:sz w:val="20"/>
          <w:szCs w:val="20"/>
          <w:color w:val="auto"/>
        </w:rPr>
      </w:pPr>
    </w:p>
    <w:p>
      <w:pPr>
        <w:spacing w:after="0" w:line="3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Pamela M. Webb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Pamela M. Webb</w:t>
      </w:r>
    </w:p>
    <w:p>
      <w:pPr>
        <w:spacing w:after="0" w:line="36" w:lineRule="exact"/>
        <w:rPr>
          <w:sz w:val="20"/>
          <w:szCs w:val="20"/>
          <w:color w:val="auto"/>
        </w:rPr>
      </w:pPr>
    </w:p>
    <w:p>
      <w:pPr>
        <w:ind w:left="4840"/>
        <w:spacing w:after="0"/>
        <w:tabs>
          <w:tab w:leader="none" w:pos="5400" w:val="left"/>
        </w:tabs>
        <w:rPr>
          <w:sz w:val="20"/>
          <w:szCs w:val="20"/>
          <w:color w:val="auto"/>
        </w:rPr>
      </w:pPr>
      <w:r>
        <w:rPr>
          <w:rFonts w:ascii="Arial" w:cs="Arial" w:eastAsia="Arial" w:hAnsi="Arial"/>
          <w:sz w:val="18"/>
          <w:szCs w:val="18"/>
          <w:color w:val="auto"/>
        </w:rPr>
        <w:t>Title:</w:t>
        <w:tab/>
        <w:t>Director &amp;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294640</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14" w:name="page15"/>
    <w:bookmarkEnd w:id="14"/>
    <w:p>
      <w:pPr>
        <w:ind w:left="4520"/>
        <w:spacing w:after="0"/>
        <w:rPr>
          <w:sz w:val="20"/>
          <w:szCs w:val="20"/>
          <w:color w:val="auto"/>
        </w:rPr>
      </w:pPr>
      <w:r>
        <w:rPr>
          <w:rFonts w:ascii="Arial" w:cs="Arial" w:eastAsia="Arial" w:hAnsi="Arial"/>
          <w:sz w:val="18"/>
          <w:szCs w:val="18"/>
          <w:color w:val="auto"/>
        </w:rPr>
        <w:t>ENGLAND GUARANTORS: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EURASIA LIMITED</w:t>
      </w:r>
    </w:p>
    <w:p>
      <w:pPr>
        <w:spacing w:after="0" w:line="3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U.K. LIMITED</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Richard Strachan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Richard Strachan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15" w:name="page16"/>
    <w:bookmarkEnd w:id="15"/>
    <w:p>
      <w:pPr>
        <w:ind w:left="4520"/>
        <w:spacing w:after="0"/>
        <w:rPr>
          <w:sz w:val="20"/>
          <w:szCs w:val="20"/>
          <w:color w:val="auto"/>
        </w:rPr>
      </w:pPr>
      <w:r>
        <w:rPr>
          <w:rFonts w:ascii="Arial" w:cs="Arial" w:eastAsia="Arial" w:hAnsi="Arial"/>
          <w:sz w:val="18"/>
          <w:szCs w:val="18"/>
          <w:color w:val="auto"/>
        </w:rPr>
        <w:t>LUXEMBOURG GUARANTORS:</w:t>
      </w:r>
    </w:p>
    <w:p>
      <w:pPr>
        <w:spacing w:after="0" w:line="225" w:lineRule="exact"/>
        <w:rPr>
          <w:sz w:val="20"/>
          <w:szCs w:val="20"/>
          <w:color w:val="auto"/>
        </w:rPr>
      </w:pPr>
    </w:p>
    <w:p>
      <w:pPr>
        <w:ind w:left="4520"/>
        <w:spacing w:after="0" w:line="264" w:lineRule="auto"/>
        <w:rPr>
          <w:sz w:val="20"/>
          <w:szCs w:val="20"/>
          <w:color w:val="auto"/>
        </w:rPr>
      </w:pPr>
      <w:r>
        <w:rPr>
          <w:rFonts w:ascii="Arial" w:cs="Arial" w:eastAsia="Arial" w:hAnsi="Arial"/>
          <w:sz w:val="18"/>
          <w:szCs w:val="18"/>
          <w:color w:val="auto"/>
        </w:rPr>
        <w:t>WEATHERFORD EUROPEAN HOLDINGS (LUXEMBOURG) S.À R.L. WEATHERFORD INTERNATIONAL (LUXEMBOURG) HOLDINGS S.À R.L.</w:t>
      </w:r>
    </w:p>
    <w:p>
      <w:pPr>
        <w:spacing w:after="0" w:line="18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Mathias Neuenschwander</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Manager A</w:t>
      </w:r>
    </w:p>
    <w:p>
      <w:pPr>
        <w:spacing w:after="0" w:line="211" w:lineRule="exact"/>
        <w:rPr>
          <w:sz w:val="20"/>
          <w:szCs w:val="20"/>
          <w:color w:val="auto"/>
        </w:rPr>
      </w:pPr>
    </w:p>
    <w:p>
      <w:pPr>
        <w:jc w:val="center"/>
        <w:ind w:right="104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040"/>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60"/>
          </w:cols>
          <w:pgMar w:left="1440" w:top="908" w:right="399" w:bottom="1440" w:gutter="0" w:footer="0" w:header="0"/>
        </w:sectPr>
      </w:pPr>
    </w:p>
    <w:bookmarkStart w:id="16" w:name="page17"/>
    <w:bookmarkEnd w:id="16"/>
    <w:p>
      <w:pPr>
        <w:ind w:left="4520"/>
        <w:spacing w:after="0"/>
        <w:rPr>
          <w:sz w:val="20"/>
          <w:szCs w:val="20"/>
          <w:color w:val="auto"/>
        </w:rPr>
      </w:pPr>
      <w:r>
        <w:rPr>
          <w:rFonts w:ascii="Arial" w:cs="Arial" w:eastAsia="Arial" w:hAnsi="Arial"/>
          <w:sz w:val="18"/>
          <w:szCs w:val="18"/>
          <w:color w:val="auto"/>
        </w:rPr>
        <w:t>NETHERLANDS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WEATHERFORD NETHERLANDS B.V.</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N. L. V. Dgh</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N. L. V. Dgh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7" w:name="page18"/>
    <w:bookmarkEnd w:id="17"/>
    <w:p>
      <w:pPr>
        <w:ind w:left="4520"/>
        <w:spacing w:after="0"/>
        <w:rPr>
          <w:sz w:val="20"/>
          <w:szCs w:val="20"/>
          <w:color w:val="auto"/>
        </w:rPr>
      </w:pPr>
      <w:r>
        <w:rPr>
          <w:rFonts w:ascii="Arial" w:cs="Arial" w:eastAsia="Arial" w:hAnsi="Arial"/>
          <w:sz w:val="18"/>
          <w:szCs w:val="18"/>
          <w:color w:val="auto"/>
        </w:rPr>
        <w:t>NORWAY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WEATHERFORD NORGE AS</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Geiregil Maller Olsen</w:t>
      </w:r>
    </w:p>
    <w:p>
      <w:pPr>
        <w:spacing w:after="0" w:line="23" w:lineRule="exact"/>
        <w:rPr>
          <w:sz w:val="20"/>
          <w:szCs w:val="20"/>
          <w:color w:val="auto"/>
        </w:rPr>
      </w:pPr>
    </w:p>
    <w:p>
      <w:pPr>
        <w:jc w:val="right"/>
        <w:ind w:right="2059"/>
        <w:spacing w:after="0"/>
        <w:rPr>
          <w:sz w:val="20"/>
          <w:szCs w:val="20"/>
          <w:color w:val="auto"/>
        </w:rPr>
      </w:pPr>
      <w:r>
        <w:rPr>
          <w:rFonts w:ascii="Arial" w:cs="Arial" w:eastAsia="Arial" w:hAnsi="Arial"/>
          <w:sz w:val="18"/>
          <w:szCs w:val="18"/>
          <w:color w:val="auto"/>
        </w:rPr>
        <w:t>Name: Geiregil Maller Olsen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Norway Director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8" w:name="page19"/>
    <w:bookmarkEnd w:id="18"/>
    <w:p>
      <w:pPr>
        <w:ind w:left="4520"/>
        <w:spacing w:after="0"/>
        <w:rPr>
          <w:sz w:val="20"/>
          <w:szCs w:val="20"/>
          <w:color w:val="auto"/>
        </w:rPr>
      </w:pPr>
      <w:r>
        <w:rPr>
          <w:rFonts w:ascii="Arial" w:cs="Arial" w:eastAsia="Arial" w:hAnsi="Arial"/>
          <w:sz w:val="18"/>
          <w:szCs w:val="18"/>
          <w:color w:val="auto"/>
        </w:rPr>
        <w:t>PANAMA GUARANTOR:</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WEATHERFORD SERVICES S. DE R.L.</w:t>
      </w:r>
    </w:p>
    <w:p>
      <w:pPr>
        <w:spacing w:after="0" w:line="248"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Christine M. Morrison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Administrator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19" w:name="page20"/>
    <w:bookmarkEnd w:id="19"/>
    <w:p>
      <w:pPr>
        <w:ind w:left="4500"/>
        <w:spacing w:after="0"/>
        <w:rPr>
          <w:sz w:val="20"/>
          <w:szCs w:val="20"/>
          <w:color w:val="auto"/>
        </w:rPr>
      </w:pPr>
      <w:r>
        <w:rPr>
          <w:rFonts w:ascii="Arial" w:cs="Arial" w:eastAsia="Arial" w:hAnsi="Arial"/>
          <w:sz w:val="18"/>
          <w:szCs w:val="18"/>
          <w:color w:val="auto"/>
        </w:rPr>
        <w:t>SWITZERLAND GUARANTORS:</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WOFS SWISS FINANCE GMBH</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Aryana Gabariu-Truong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Aryana Gabariu-Truong</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Officer</w:t>
      </w:r>
    </w:p>
    <w:p>
      <w:pPr>
        <w:spacing w:after="0" w:line="279" w:lineRule="exact"/>
        <w:rPr>
          <w:sz w:val="20"/>
          <w:szCs w:val="20"/>
          <w:color w:val="auto"/>
        </w:rPr>
      </w:pPr>
    </w:p>
    <w:p>
      <w:pPr>
        <w:ind w:left="4500"/>
        <w:spacing w:after="0" w:line="295" w:lineRule="auto"/>
        <w:rPr>
          <w:sz w:val="20"/>
          <w:szCs w:val="20"/>
          <w:color w:val="auto"/>
        </w:rPr>
      </w:pPr>
      <w:r>
        <w:rPr>
          <w:rFonts w:ascii="Arial" w:cs="Arial" w:eastAsia="Arial" w:hAnsi="Arial"/>
          <w:sz w:val="18"/>
          <w:szCs w:val="18"/>
          <w:color w:val="auto"/>
        </w:rPr>
        <w:t>WEATHERFORD MANAGEMENT COMPANY SWITZERLAND SARL WEATHERFORD WORLDWIDE HOLDINGS GMBH WEATHERFORD HOLDINGS (SWITZERLAND) GMBH</w:t>
      </w:r>
    </w:p>
    <w:p>
      <w:pPr>
        <w:spacing w:after="0" w:line="20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Valleri Mueller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Valleri Mueller</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Officer</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PRODUCTS GMBH</w:t>
      </w:r>
    </w:p>
    <w:p>
      <w:pPr>
        <w:spacing w:after="0" w:line="23" w:lineRule="exact"/>
        <w:rPr>
          <w:sz w:val="20"/>
          <w:szCs w:val="20"/>
          <w:color w:val="auto"/>
        </w:rPr>
      </w:pPr>
    </w:p>
    <w:p>
      <w:pPr>
        <w:ind w:left="4500" w:right="120"/>
        <w:spacing w:after="0" w:line="257" w:lineRule="auto"/>
        <w:rPr>
          <w:sz w:val="20"/>
          <w:szCs w:val="20"/>
          <w:color w:val="auto"/>
        </w:rPr>
      </w:pPr>
      <w:r>
        <w:rPr>
          <w:rFonts w:ascii="Arial" w:cs="Arial" w:eastAsia="Arial" w:hAnsi="Arial"/>
          <w:sz w:val="18"/>
          <w:szCs w:val="18"/>
          <w:color w:val="auto"/>
        </w:rPr>
        <w:t>WEATHERFORD SWITZERLAND TRADING AND DEVELOPMENT GMBH</w:t>
      </w:r>
    </w:p>
    <w:p>
      <w:pPr>
        <w:spacing w:after="0" w:line="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WOFS INTERNATIONAL FINANCE GMBH</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Mathias Neuenschwander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Mathias Neuenschwander</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Managing Officer</w:t>
      </w:r>
    </w:p>
    <w:p>
      <w:pPr>
        <w:spacing w:after="0" w:line="225" w:lineRule="exact"/>
        <w:rPr>
          <w:sz w:val="20"/>
          <w:szCs w:val="20"/>
          <w:color w:val="auto"/>
        </w:rPr>
      </w:pPr>
    </w:p>
    <w:p>
      <w:pPr>
        <w:jc w:val="center"/>
        <w:ind w:right="94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940"/>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960"/>
          </w:cols>
          <w:pgMar w:left="1440" w:top="1152" w:right="499" w:bottom="1440" w:gutter="0" w:footer="0" w:header="0"/>
        </w:sectPr>
      </w:pPr>
    </w:p>
    <w:bookmarkStart w:id="20" w:name="page21"/>
    <w:bookmarkEnd w:id="20"/>
    <w:p>
      <w:pPr>
        <w:ind w:left="4500"/>
        <w:spacing w:after="0"/>
        <w:rPr>
          <w:sz w:val="20"/>
          <w:szCs w:val="20"/>
          <w:color w:val="auto"/>
        </w:rPr>
      </w:pPr>
      <w:r>
        <w:rPr>
          <w:rFonts w:ascii="Arial" w:cs="Arial" w:eastAsia="Arial" w:hAnsi="Arial"/>
          <w:sz w:val="18"/>
          <w:szCs w:val="18"/>
          <w:color w:val="auto"/>
        </w:rPr>
        <w:t>LOUISIANA GUARANTOR:</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U.S., L.P.</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Name: Christine M. Morrison</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1" w:name="page22"/>
    <w:bookmarkEnd w:id="21"/>
    <w:p>
      <w:pPr>
        <w:ind w:left="4500"/>
        <w:spacing w:after="0"/>
        <w:rPr>
          <w:sz w:val="20"/>
          <w:szCs w:val="20"/>
          <w:color w:val="auto"/>
        </w:rPr>
      </w:pPr>
      <w:r>
        <w:rPr>
          <w:rFonts w:ascii="Arial" w:cs="Arial" w:eastAsia="Arial" w:hAnsi="Arial"/>
          <w:sz w:val="18"/>
          <w:szCs w:val="18"/>
          <w:color w:val="auto"/>
        </w:rPr>
        <w:t>DELAWARE GUARANTORS:</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PD HOLDINGS (USA), L.P.</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PRECISION ENERGY SERVICES, INC.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7"/>
          <w:szCs w:val="17"/>
          <w:color w:val="auto"/>
        </w:rPr>
        <w:t>WEATHERFORD ARTIFICIAL LIFT SYSTEMS, LLC</w:t>
      </w:r>
    </w:p>
    <w:p>
      <w:pPr>
        <w:spacing w:after="0" w:line="4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INVESTMENT INC.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 INTERNATIONAL, LLC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WEATHERFORD/LAMB, INC.</w:t>
      </w:r>
    </w:p>
    <w:p>
      <w:pPr>
        <w:spacing w:after="0" w:line="3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WEUS HOLDING, LLC</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Christine M. Morrison</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2" w:name="page23"/>
    <w:bookmarkEnd w:id="22"/>
    <w:p>
      <w:pPr>
        <w:ind w:left="4500"/>
        <w:spacing w:after="0"/>
        <w:rPr>
          <w:sz w:val="20"/>
          <w:szCs w:val="20"/>
          <w:color w:val="auto"/>
        </w:rPr>
      </w:pPr>
      <w:r>
        <w:rPr>
          <w:rFonts w:ascii="Arial" w:cs="Arial" w:eastAsia="Arial" w:hAnsi="Arial"/>
          <w:sz w:val="18"/>
          <w:szCs w:val="18"/>
          <w:color w:val="auto"/>
        </w:rPr>
        <w:t>CALIFORNIA GUARANTOR:</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VISUAL SYSTEMS, INC.</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jc w:val="right"/>
        <w:ind w:right="2019"/>
        <w:spacing w:after="0"/>
        <w:rPr>
          <w:sz w:val="20"/>
          <w:szCs w:val="20"/>
          <w:color w:val="auto"/>
        </w:rPr>
      </w:pPr>
      <w:r>
        <w:rPr>
          <w:rFonts w:ascii="Arial" w:cs="Arial" w:eastAsia="Arial" w:hAnsi="Arial"/>
          <w:sz w:val="18"/>
          <w:szCs w:val="18"/>
          <w:color w:val="auto"/>
        </w:rPr>
        <w:t>Name: Christine M. Morrison</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3" w:name="page24"/>
    <w:bookmarkEnd w:id="23"/>
    <w:p>
      <w:pPr>
        <w:ind w:left="4500"/>
        <w:spacing w:after="0"/>
        <w:rPr>
          <w:sz w:val="20"/>
          <w:szCs w:val="20"/>
          <w:color w:val="auto"/>
        </w:rPr>
      </w:pPr>
      <w:r>
        <w:rPr>
          <w:rFonts w:ascii="Arial" w:cs="Arial" w:eastAsia="Arial" w:hAnsi="Arial"/>
          <w:sz w:val="18"/>
          <w:szCs w:val="18"/>
          <w:color w:val="auto"/>
        </w:rPr>
        <w:t>TEXAS GUARANTOR:</w:t>
      </w:r>
    </w:p>
    <w:p>
      <w:pPr>
        <w:spacing w:after="0" w:line="279" w:lineRule="exact"/>
        <w:rPr>
          <w:sz w:val="20"/>
          <w:szCs w:val="20"/>
          <w:color w:val="auto"/>
        </w:rPr>
      </w:pPr>
    </w:p>
    <w:p>
      <w:pPr>
        <w:jc w:val="right"/>
        <w:ind w:right="1419"/>
        <w:spacing w:after="0"/>
        <w:rPr>
          <w:sz w:val="20"/>
          <w:szCs w:val="20"/>
          <w:color w:val="auto"/>
        </w:rPr>
      </w:pPr>
      <w:r>
        <w:rPr>
          <w:rFonts w:ascii="Arial" w:cs="Arial" w:eastAsia="Arial" w:hAnsi="Arial"/>
          <w:sz w:val="18"/>
          <w:szCs w:val="18"/>
          <w:color w:val="auto"/>
        </w:rPr>
        <w:t>PRECISION OILFIELD SERVICES, LLP,</w:t>
      </w:r>
    </w:p>
    <w:p>
      <w:pPr>
        <w:spacing w:after="0" w:line="279"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Christine M. Morrison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3076575</wp:posOffset>
            </wp:positionH>
            <wp:positionV relativeFrom="paragraph">
              <wp:posOffset>14605</wp:posOffset>
            </wp:positionV>
            <wp:extent cx="34131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1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 Christine M. Morrison</w:t>
      </w:r>
    </w:p>
    <w:p>
      <w:pPr>
        <w:spacing w:after="0" w:line="36"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Title: Vice President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35" w:right="1440" w:bottom="1440" w:gutter="0" w:footer="0" w:header="0"/>
        </w:sectPr>
      </w:pPr>
    </w:p>
    <w:bookmarkStart w:id="24" w:name="page25"/>
    <w:bookmarkEnd w:id="24"/>
    <w:p>
      <w:pPr>
        <w:ind w:left="4520"/>
        <w:spacing w:after="0"/>
        <w:rPr>
          <w:sz w:val="20"/>
          <w:szCs w:val="20"/>
          <w:color w:val="auto"/>
        </w:rPr>
      </w:pPr>
      <w:r>
        <w:rPr>
          <w:rFonts w:ascii="Arial" w:cs="Arial" w:eastAsia="Arial" w:hAnsi="Arial"/>
          <w:sz w:val="18"/>
          <w:szCs w:val="18"/>
          <w:color w:val="auto"/>
        </w:rPr>
        <w:t>JPMORGAN CHASE BANK, N.A., as</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6"/>
          <w:szCs w:val="16"/>
          <w:color w:val="auto"/>
        </w:rPr>
        <w:t>Administrative Agent, Issuing Bank and Lender</w:t>
      </w:r>
    </w:p>
    <w:p>
      <w:pPr>
        <w:spacing w:after="0" w:line="234"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Sandeep S. Parihar</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Sandeep S. Parihar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Executive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25" w:name="page26"/>
    <w:bookmarkEnd w:id="25"/>
    <w:p>
      <w:pPr>
        <w:ind w:left="4520"/>
        <w:spacing w:after="0"/>
        <w:rPr>
          <w:sz w:val="20"/>
          <w:szCs w:val="20"/>
          <w:color w:val="auto"/>
        </w:rPr>
      </w:pPr>
      <w:r>
        <w:rPr>
          <w:rFonts w:ascii="Arial" w:cs="Arial" w:eastAsia="Arial" w:hAnsi="Arial"/>
          <w:sz w:val="18"/>
          <w:szCs w:val="18"/>
          <w:color w:val="auto"/>
        </w:rPr>
        <w:t>Wells Fargo Bank, N.A.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 and Issuing Bank</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Reginald Dawson</w:t>
      </w:r>
    </w:p>
    <w:p>
      <w:pPr>
        <w:spacing w:after="0" w:line="23" w:lineRule="exact"/>
        <w:rPr>
          <w:sz w:val="20"/>
          <w:szCs w:val="20"/>
          <w:color w:val="auto"/>
        </w:rPr>
      </w:pPr>
    </w:p>
    <w:p>
      <w:pPr>
        <w:jc w:val="right"/>
        <w:ind w:right="2359"/>
        <w:spacing w:after="0"/>
        <w:rPr>
          <w:sz w:val="20"/>
          <w:szCs w:val="20"/>
          <w:color w:val="auto"/>
        </w:rPr>
      </w:pPr>
      <w:r>
        <w:rPr>
          <w:rFonts w:ascii="Arial" w:cs="Arial" w:eastAsia="Arial" w:hAnsi="Arial"/>
          <w:sz w:val="18"/>
          <w:szCs w:val="18"/>
          <w:color w:val="auto"/>
        </w:rPr>
        <w:t>Name: Reginald Dawson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Title: Managing Director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6" w:name="page27"/>
    <w:bookmarkEnd w:id="26"/>
    <w:p>
      <w:pPr>
        <w:ind w:left="4520"/>
        <w:spacing w:after="0"/>
        <w:rPr>
          <w:sz w:val="20"/>
          <w:szCs w:val="20"/>
          <w:color w:val="auto"/>
        </w:rPr>
      </w:pPr>
      <w:r>
        <w:rPr>
          <w:rFonts w:ascii="Arial" w:cs="Arial" w:eastAsia="Arial" w:hAnsi="Arial"/>
          <w:sz w:val="18"/>
          <w:szCs w:val="18"/>
          <w:color w:val="auto"/>
        </w:rPr>
        <w:t>Morgan Stanley Bank, N.A.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Kevin Newman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Kevin Newman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Title: Authorized Signatory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7" w:name="page28"/>
    <w:bookmarkEnd w:id="27"/>
    <w:p>
      <w:pPr>
        <w:jc w:val="both"/>
        <w:ind w:left="4520"/>
        <w:spacing w:after="0" w:line="264" w:lineRule="auto"/>
        <w:rPr>
          <w:sz w:val="20"/>
          <w:szCs w:val="20"/>
          <w:color w:val="auto"/>
        </w:rPr>
      </w:pPr>
      <w:r>
        <w:rPr>
          <w:rFonts w:ascii="Arial" w:cs="Arial" w:eastAsia="Arial" w:hAnsi="Arial"/>
          <w:sz w:val="18"/>
          <w:szCs w:val="18"/>
          <w:color w:val="auto"/>
        </w:rPr>
        <w:t>Barclays Bank PLC (“Barclays”), solely in respect of its Portfolio Management Group (“PMG”) and not any other desk, unit, group, division, or affiliate of Barclays, as a Lender</w:t>
      </w:r>
    </w:p>
    <w:p>
      <w:pPr>
        <w:spacing w:after="0" w:line="18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Sydney G. Dennis</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Sydney G. Dennis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8" w:name="page29"/>
    <w:bookmarkEnd w:id="28"/>
    <w:p>
      <w:pPr>
        <w:ind w:left="4520"/>
        <w:spacing w:after="0"/>
        <w:rPr>
          <w:sz w:val="20"/>
          <w:szCs w:val="20"/>
          <w:color w:val="auto"/>
        </w:rPr>
      </w:pPr>
      <w:r>
        <w:rPr>
          <w:rFonts w:ascii="Arial" w:cs="Arial" w:eastAsia="Arial" w:hAnsi="Arial"/>
          <w:sz w:val="16"/>
          <w:szCs w:val="16"/>
          <w:color w:val="auto"/>
        </w:rPr>
        <w:t>The Toronto-Dominion Bank, New York Branch</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 and Issuing Bank</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Maria Macchiaroli</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Maria Machiaroli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Authorized Signatory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29" w:name="page30"/>
    <w:bookmarkEnd w:id="29"/>
    <w:p>
      <w:pPr>
        <w:ind w:left="4520"/>
        <w:spacing w:after="0"/>
        <w:rPr>
          <w:sz w:val="20"/>
          <w:szCs w:val="20"/>
          <w:color w:val="auto"/>
        </w:rPr>
      </w:pPr>
      <w:r>
        <w:rPr>
          <w:rFonts w:ascii="Arial" w:cs="Arial" w:eastAsia="Arial" w:hAnsi="Arial"/>
          <w:sz w:val="18"/>
          <w:szCs w:val="18"/>
          <w:color w:val="auto"/>
        </w:rPr>
        <w:t>Citibank, N.A.</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Peter Baumann</w:t>
      </w:r>
    </w:p>
    <w:p>
      <w:pPr>
        <w:spacing w:after="0" w:line="23" w:lineRule="exact"/>
        <w:rPr>
          <w:sz w:val="20"/>
          <w:szCs w:val="20"/>
          <w:color w:val="auto"/>
        </w:rPr>
      </w:pPr>
    </w:p>
    <w:p>
      <w:pPr>
        <w:jc w:val="right"/>
        <w:ind w:right="2539"/>
        <w:spacing w:after="0"/>
        <w:rPr>
          <w:sz w:val="20"/>
          <w:szCs w:val="20"/>
          <w:color w:val="auto"/>
        </w:rPr>
      </w:pPr>
      <w:r>
        <w:rPr>
          <w:rFonts w:ascii="Arial" w:cs="Arial" w:eastAsia="Arial" w:hAnsi="Arial"/>
          <w:sz w:val="18"/>
          <w:szCs w:val="18"/>
          <w:color w:val="auto"/>
        </w:rPr>
        <w:t>Name: Peter Baumann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 w:name="page31"/>
    <w:bookmarkEnd w:id="30"/>
    <w:p>
      <w:pPr>
        <w:ind w:left="4500"/>
        <w:spacing w:after="0"/>
        <w:rPr>
          <w:sz w:val="20"/>
          <w:szCs w:val="20"/>
          <w:color w:val="auto"/>
        </w:rPr>
      </w:pPr>
      <w:r>
        <w:rPr>
          <w:rFonts w:ascii="Arial" w:cs="Arial" w:eastAsia="Arial" w:hAnsi="Arial"/>
          <w:sz w:val="16"/>
          <w:szCs w:val="16"/>
          <w:color w:val="auto"/>
        </w:rPr>
        <w:t>UniCredit Bank, AG, New York Branch</w:t>
      </w:r>
    </w:p>
    <w:p>
      <w:pPr>
        <w:spacing w:after="0" w:line="46"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Michael D. Novellino</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Michael D. Novellino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Scott Obeck</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Scott Obeck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Director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1125" w:right="1440" w:bottom="1440" w:gutter="0" w:footer="0" w:header="0"/>
        </w:sectPr>
      </w:pPr>
    </w:p>
    <w:bookmarkStart w:id="31" w:name="page32"/>
    <w:bookmarkEnd w:id="31"/>
    <w:p>
      <w:pPr>
        <w:ind w:left="4520"/>
        <w:spacing w:after="0"/>
        <w:rPr>
          <w:sz w:val="20"/>
          <w:szCs w:val="20"/>
          <w:color w:val="auto"/>
        </w:rPr>
      </w:pPr>
      <w:r>
        <w:rPr>
          <w:rFonts w:ascii="Arial" w:cs="Arial" w:eastAsia="Arial" w:hAnsi="Arial"/>
          <w:sz w:val="16"/>
          <w:szCs w:val="16"/>
          <w:color w:val="auto"/>
        </w:rPr>
        <w:t>Skandinaviska Enskilda Banken AB (publ)</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Penny Neville-Park</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Penny Neville-Park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Duncan Nash</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Duncan Nash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2" w:name="page33"/>
    <w:bookmarkEnd w:id="32"/>
    <w:p>
      <w:pPr>
        <w:ind w:left="4500"/>
        <w:spacing w:after="0"/>
        <w:rPr>
          <w:sz w:val="20"/>
          <w:szCs w:val="20"/>
          <w:color w:val="auto"/>
        </w:rPr>
      </w:pPr>
      <w:r>
        <w:rPr>
          <w:rFonts w:ascii="Arial" w:cs="Arial" w:eastAsia="Arial" w:hAnsi="Arial"/>
          <w:sz w:val="18"/>
          <w:szCs w:val="18"/>
          <w:color w:val="auto"/>
        </w:rPr>
        <w:t>Royal Bank of Canada</w:t>
      </w:r>
    </w:p>
    <w:p>
      <w:pPr>
        <w:spacing w:after="0" w:line="23"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By: /s/ Leslie P. Vowell</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Leslie P. Vowell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6"/>
          <w:szCs w:val="16"/>
          <w:color w:val="auto"/>
        </w:rPr>
        <w:t>Title: Authorized Signatory</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3" w:name="page34"/>
    <w:bookmarkEnd w:id="33"/>
    <w:p>
      <w:pPr>
        <w:ind w:left="4520"/>
        <w:spacing w:after="0"/>
        <w:rPr>
          <w:sz w:val="20"/>
          <w:szCs w:val="20"/>
          <w:color w:val="auto"/>
        </w:rPr>
      </w:pPr>
      <w:r>
        <w:rPr>
          <w:rFonts w:ascii="Arial" w:cs="Arial" w:eastAsia="Arial" w:hAnsi="Arial"/>
          <w:sz w:val="16"/>
          <w:szCs w:val="16"/>
          <w:color w:val="auto"/>
        </w:rPr>
        <w:t>Banco Bilbao Vizcaya Argentaria, S.A. New York Branch</w:t>
      </w:r>
    </w:p>
    <w:p>
      <w:pPr>
        <w:spacing w:after="0" w:line="46"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Lender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Mauricio Benitez</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Mauricio Benetiz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Managing Director</w:t>
      </w:r>
    </w:p>
    <w:p>
      <w:pPr>
        <w:spacing w:after="0" w:line="211"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Miriam Trautman</w:t>
      </w:r>
    </w:p>
    <w:p>
      <w:pPr>
        <w:spacing w:after="0" w:line="2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Name: Miriam Trautman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3084830</wp:posOffset>
            </wp:positionH>
            <wp:positionV relativeFrom="paragraph">
              <wp:posOffset>-130810</wp:posOffset>
            </wp:positionV>
            <wp:extent cx="340487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4860"/>
        <w:spacing w:after="0"/>
        <w:rPr>
          <w:sz w:val="20"/>
          <w:szCs w:val="20"/>
          <w:color w:val="auto"/>
        </w:rPr>
      </w:pPr>
      <w:r>
        <w:rPr>
          <w:rFonts w:ascii="Arial" w:cs="Arial" w:eastAsia="Arial" w:hAnsi="Arial"/>
          <w:sz w:val="18"/>
          <w:szCs w:val="18"/>
          <w:color w:val="auto"/>
        </w:rPr>
        <w:t>Title: Senior Vice President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Amendment to Forbearance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448945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9019"/>
      </w:cols>
      <w:pgMar w:left="1440" w:top="93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1)"/>
      <w:numFmt w:val="lowerLetter"/>
      <w:start w:val="4"/>
    </w:lvl>
  </w:abstractNum>
  <w:abstractNum w:abstractNumId="2">
    <w:nsid w:val="238E1F29"/>
    <w:multiLevelType w:val="hybridMultilevel"/>
    <w:lvl w:ilvl="0">
      <w:lvlJc w:val="left"/>
      <w:lvlText w:val="(%1)"/>
      <w:numFmt w:val="lowerLetter"/>
      <w:start w:val="1"/>
    </w:lvl>
  </w:abstractNum>
  <w:abstractNum w:abstractNumId="3">
    <w:nsid w:val="46E87CCD"/>
    <w:multiLevelType w:val="hybridMultilevel"/>
    <w:lvl w:ilvl="0">
      <w:lvlJc w:val="left"/>
      <w:lvlText w:val="(%1)"/>
      <w:numFmt w:val="lowerLetter"/>
      <w:start w:val="2"/>
    </w:lvl>
  </w:abstractNum>
  <w:abstractNum w:abstractNumId="4">
    <w:nsid w:val="3D1B58BA"/>
    <w:multiLevelType w:val="hybridMultilevel"/>
    <w:lvl w:ilvl="0">
      <w:lvlJc w:val="left"/>
      <w:lvlText w:val="(%1)"/>
      <w:numFmt w:val="lowerLetter"/>
      <w:start w:val="1"/>
    </w:lvl>
  </w:abstractNum>
  <w:abstractNum w:abstractNumId="5">
    <w:nsid w:val="507ED7A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2019-12-28T01:29:09Z</dcterms:created>
  <dcterms:modified xsi:type="dcterms:W3CDTF">2019-12-28T01:29:09Z</dcterms:modified>
</cp:coreProperties>
</file>