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34"/>
          <w:szCs w:val="34"/>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-236855</wp:posOffset>
            </wp:positionV>
            <wp:extent cx="7543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165" cy="8890"/>
                    </a:xfrm>
                    <a:prstGeom prst="rect">
                      <a:avLst/>
                    </a:prstGeom>
                    <a:noFill/>
                  </pic:spPr>
                </pic:pic>
              </a:graphicData>
            </a:graphic>
          </wp:anchor>
        </w:drawing>
      </w:r>
    </w:p>
    <w:p>
      <w:pPr>
        <w:spacing w:after="0" w:line="28" w:lineRule="exact"/>
        <w:rPr>
          <w:sz w:val="24"/>
          <w:szCs w:val="24"/>
          <w:color w:val="auto"/>
        </w:rPr>
      </w:pPr>
    </w:p>
    <w:p>
      <w:pPr>
        <w:jc w:val="center"/>
        <w:ind w:right="-5"/>
        <w:spacing w:after="0"/>
        <w:rPr>
          <w:sz w:val="20"/>
          <w:szCs w:val="20"/>
          <w:color w:val="auto"/>
        </w:rPr>
      </w:pPr>
      <w:r>
        <w:rPr>
          <w:rFonts w:ascii="Arial" w:cs="Arial" w:eastAsia="Arial" w:hAnsi="Arial"/>
          <w:sz w:val="34"/>
          <w:szCs w:val="34"/>
          <w:b w:val="1"/>
          <w:bCs w:val="1"/>
          <w:color w:val="auto"/>
        </w:rPr>
        <w:t>SECURITIES AND EXCHANGE COMMISSION</w:t>
      </w:r>
    </w:p>
    <w:p>
      <w:pPr>
        <w:spacing w:after="0" w:line="10"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WASHINGTON, D.C. 20549</w:t>
      </w:r>
    </w:p>
    <w:p>
      <w:pPr>
        <w:spacing w:after="0" w:line="236" w:lineRule="exact"/>
        <w:rPr>
          <w:sz w:val="24"/>
          <w:szCs w:val="24"/>
          <w:color w:val="auto"/>
        </w:rPr>
      </w:pPr>
    </w:p>
    <w:p>
      <w:pPr>
        <w:jc w:val="center"/>
        <w:ind w:right="-5"/>
        <w:spacing w:after="0"/>
        <w:rPr>
          <w:sz w:val="20"/>
          <w:szCs w:val="20"/>
          <w:color w:val="auto"/>
        </w:rPr>
      </w:pPr>
      <w:r>
        <w:rPr>
          <w:rFonts w:ascii="Arial" w:cs="Arial" w:eastAsia="Arial" w:hAnsi="Arial"/>
          <w:sz w:val="34"/>
          <w:szCs w:val="34"/>
          <w:b w:val="1"/>
          <w:bCs w:val="1"/>
          <w:color w:val="auto"/>
        </w:rPr>
        <w:t>FORM 8-K</w:t>
      </w:r>
    </w:p>
    <w:p>
      <w:pPr>
        <w:spacing w:after="0" w:line="329"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color w:val="auto"/>
        </w:rPr>
        <w:t>CURRENT REPORT</w:t>
      </w:r>
    </w:p>
    <w:p>
      <w:pPr>
        <w:spacing w:after="0" w:line="37"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Pursuant to Section 13 or 15(d)</w:t>
      </w:r>
    </w:p>
    <w:p>
      <w:pPr>
        <w:spacing w:after="0" w:line="8"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of the Securities Exchange Act of 1934</w:t>
      </w:r>
    </w:p>
    <w:p>
      <w:pPr>
        <w:spacing w:after="0" w:line="209"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Date of Report (Date of earliest event reported): February 12, 2019</w:t>
      </w:r>
    </w:p>
    <w:p>
      <w:pPr>
        <w:spacing w:after="0" w:line="257" w:lineRule="exact"/>
        <w:rPr>
          <w:sz w:val="24"/>
          <w:szCs w:val="24"/>
          <w:color w:val="auto"/>
        </w:rPr>
      </w:pPr>
    </w:p>
    <w:p>
      <w:pPr>
        <w:jc w:val="center"/>
        <w:ind w:right="-5"/>
        <w:spacing w:after="0"/>
        <w:rPr>
          <w:sz w:val="20"/>
          <w:szCs w:val="20"/>
          <w:color w:val="auto"/>
        </w:rPr>
      </w:pPr>
      <w:r>
        <w:rPr>
          <w:rFonts w:ascii="Arial" w:cs="Arial" w:eastAsia="Arial" w:hAnsi="Arial"/>
          <w:sz w:val="42"/>
          <w:szCs w:val="42"/>
          <w:b w:val="1"/>
          <w:bCs w:val="1"/>
          <w:u w:val="single" w:color="auto"/>
          <w:color w:val="auto"/>
        </w:rPr>
        <w:t>Weatherford International public limited company</w:t>
      </w:r>
    </w:p>
    <w:p>
      <w:pPr>
        <w:spacing w:after="0" w:line="54"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387" w:lineRule="exact"/>
        <w:rPr>
          <w:sz w:val="24"/>
          <w:szCs w:val="24"/>
          <w:color w:val="auto"/>
        </w:rPr>
      </w:pPr>
    </w:p>
    <w:tbl>
      <w:tblPr>
        <w:tblLayout w:type="fixed"/>
        <w:tblInd w:w="66" w:type="dxa"/>
        <w:tblCellMar>
          <w:top w:w="0" w:type="dxa"/>
          <w:left w:w="0" w:type="dxa"/>
          <w:bottom w:w="0" w:type="dxa"/>
          <w:right w:w="0" w:type="dxa"/>
        </w:tblCellMar>
      </w:tblPr>
      <w:tr>
        <w:trPr>
          <w:trHeight w:val="247"/>
        </w:trPr>
        <w:tc>
          <w:tcPr>
            <w:tcW w:w="4060" w:type="dxa"/>
            <w:vAlign w:val="bottom"/>
            <w:gridSpan w:val="2"/>
          </w:tcPr>
          <w:p>
            <w:pPr>
              <w:jc w:val="center"/>
              <w:ind w:right="200"/>
              <w:spacing w:after="0"/>
              <w:rPr>
                <w:sz w:val="20"/>
                <w:szCs w:val="20"/>
                <w:color w:val="auto"/>
              </w:rPr>
            </w:pPr>
            <w:r>
              <w:rPr>
                <w:rFonts w:ascii="Arial" w:cs="Arial" w:eastAsia="Arial" w:hAnsi="Arial"/>
                <w:sz w:val="19"/>
                <w:szCs w:val="19"/>
                <w:b w:val="1"/>
                <w:bCs w:val="1"/>
                <w:color w:val="auto"/>
                <w:w w:val="93"/>
              </w:rPr>
              <w:t>Ireland</w:t>
            </w:r>
          </w:p>
        </w:tc>
        <w:tc>
          <w:tcPr>
            <w:tcW w:w="3780" w:type="dxa"/>
            <w:vAlign w:val="bottom"/>
          </w:tcPr>
          <w:p>
            <w:pPr>
              <w:jc w:val="right"/>
              <w:ind w:right="1345"/>
              <w:spacing w:after="0"/>
              <w:rPr>
                <w:sz w:val="20"/>
                <w:szCs w:val="20"/>
                <w:color w:val="auto"/>
              </w:rPr>
            </w:pPr>
            <w:r>
              <w:rPr>
                <w:rFonts w:ascii="Arial" w:cs="Arial" w:eastAsia="Arial" w:hAnsi="Arial"/>
                <w:sz w:val="19"/>
                <w:szCs w:val="19"/>
                <w:b w:val="1"/>
                <w:bCs w:val="1"/>
                <w:color w:val="auto"/>
              </w:rPr>
              <w:t>001-36504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9"/>
                <w:szCs w:val="19"/>
                <w:b w:val="1"/>
                <w:bCs w:val="1"/>
                <w:color w:val="auto"/>
                <w:w w:val="88"/>
              </w:rPr>
              <w:t>98-0606750</w:t>
            </w:r>
          </w:p>
        </w:tc>
      </w:tr>
      <w:tr>
        <w:trPr>
          <w:trHeight w:val="58"/>
        </w:trPr>
        <w:tc>
          <w:tcPr>
            <w:tcW w:w="3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r>
      <w:tr>
        <w:trPr>
          <w:trHeight w:val="250"/>
        </w:trPr>
        <w:tc>
          <w:tcPr>
            <w:tcW w:w="4060" w:type="dxa"/>
            <w:vAlign w:val="bottom"/>
            <w:gridSpan w:val="2"/>
          </w:tcPr>
          <w:p>
            <w:pPr>
              <w:jc w:val="center"/>
              <w:ind w:right="200"/>
              <w:spacing w:after="0"/>
              <w:rPr>
                <w:sz w:val="20"/>
                <w:szCs w:val="20"/>
                <w:color w:val="auto"/>
              </w:rPr>
            </w:pPr>
            <w:r>
              <w:rPr>
                <w:rFonts w:ascii="Arial" w:cs="Arial" w:eastAsia="Arial" w:hAnsi="Arial"/>
                <w:sz w:val="19"/>
                <w:szCs w:val="19"/>
                <w:color w:val="auto"/>
                <w:w w:val="93"/>
              </w:rPr>
              <w:t>(State or other jurisdiction of incorporation)</w:t>
            </w:r>
          </w:p>
        </w:tc>
        <w:tc>
          <w:tcPr>
            <w:tcW w:w="4040" w:type="dxa"/>
            <w:vAlign w:val="bottom"/>
            <w:gridSpan w:val="3"/>
          </w:tcPr>
          <w:p>
            <w:pPr>
              <w:jc w:val="center"/>
              <w:ind w:right="180"/>
              <w:spacing w:after="0"/>
              <w:rPr>
                <w:sz w:val="20"/>
                <w:szCs w:val="20"/>
                <w:color w:val="auto"/>
              </w:rPr>
            </w:pPr>
            <w:r>
              <w:rPr>
                <w:rFonts w:ascii="Arial" w:cs="Arial" w:eastAsia="Arial" w:hAnsi="Arial"/>
                <w:sz w:val="19"/>
                <w:szCs w:val="19"/>
                <w:color w:val="auto"/>
                <w:w w:val="92"/>
              </w:rPr>
              <w:t>(Commission File Number)</w:t>
            </w:r>
          </w:p>
        </w:tc>
        <w:tc>
          <w:tcPr>
            <w:tcW w:w="3780" w:type="dxa"/>
            <w:vAlign w:val="bottom"/>
          </w:tcPr>
          <w:p>
            <w:pPr>
              <w:jc w:val="center"/>
              <w:spacing w:after="0"/>
              <w:rPr>
                <w:sz w:val="20"/>
                <w:szCs w:val="20"/>
                <w:color w:val="auto"/>
              </w:rPr>
            </w:pPr>
            <w:r>
              <w:rPr>
                <w:rFonts w:ascii="Arial" w:cs="Arial" w:eastAsia="Arial" w:hAnsi="Arial"/>
                <w:sz w:val="19"/>
                <w:szCs w:val="19"/>
                <w:color w:val="auto"/>
                <w:w w:val="93"/>
              </w:rPr>
              <w:t>(I.R.S. Employer Identification Number)</w:t>
            </w:r>
          </w:p>
        </w:tc>
      </w:tr>
      <w:tr>
        <w:trPr>
          <w:trHeight w:val="428"/>
        </w:trPr>
        <w:tc>
          <w:tcPr>
            <w:tcW w:w="8100" w:type="dxa"/>
            <w:vAlign w:val="bottom"/>
            <w:gridSpan w:val="5"/>
          </w:tcPr>
          <w:p>
            <w:pPr>
              <w:jc w:val="center"/>
              <w:ind w:right="200"/>
              <w:spacing w:after="0"/>
              <w:rPr>
                <w:sz w:val="20"/>
                <w:szCs w:val="20"/>
                <w:color w:val="auto"/>
              </w:rPr>
            </w:pPr>
            <w:r>
              <w:rPr>
                <w:rFonts w:ascii="Arial" w:cs="Arial" w:eastAsia="Arial" w:hAnsi="Arial"/>
                <w:sz w:val="19"/>
                <w:szCs w:val="19"/>
                <w:b w:val="1"/>
                <w:bCs w:val="1"/>
                <w:color w:val="auto"/>
                <w:w w:val="88"/>
              </w:rPr>
              <w:t>Weststrasse 1, 6340 Baar, Switzerland</w:t>
            </w:r>
          </w:p>
        </w:tc>
        <w:tc>
          <w:tcPr>
            <w:tcW w:w="3780" w:type="dxa"/>
            <w:vAlign w:val="bottom"/>
          </w:tcPr>
          <w:p>
            <w:pPr>
              <w:jc w:val="center"/>
              <w:spacing w:after="0"/>
              <w:rPr>
                <w:sz w:val="20"/>
                <w:szCs w:val="20"/>
                <w:color w:val="auto"/>
              </w:rPr>
            </w:pPr>
            <w:r>
              <w:rPr>
                <w:rFonts w:ascii="Arial" w:cs="Arial" w:eastAsia="Arial" w:hAnsi="Arial"/>
                <w:sz w:val="19"/>
                <w:szCs w:val="19"/>
                <w:b w:val="1"/>
                <w:bCs w:val="1"/>
                <w:color w:val="auto"/>
                <w:w w:val="93"/>
              </w:rPr>
              <w:t>CH 6340</w:t>
            </w:r>
          </w:p>
        </w:tc>
      </w:tr>
      <w:tr>
        <w:trPr>
          <w:trHeight w:val="58"/>
        </w:trPr>
        <w:tc>
          <w:tcPr>
            <w:tcW w:w="7840" w:type="dxa"/>
            <w:vAlign w:val="bottom"/>
            <w:tcBorders>
              <w:bottom w:val="single" w:sz="8" w:color="auto"/>
            </w:tcBorders>
            <w:gridSpan w:val="3"/>
          </w:tcPr>
          <w:p>
            <w:pPr>
              <w:spacing w:after="0"/>
              <w:rPr>
                <w:sz w:val="5"/>
                <w:szCs w:val="5"/>
                <w:color w:val="auto"/>
              </w:rPr>
            </w:pPr>
          </w:p>
        </w:tc>
        <w:tc>
          <w:tcPr>
            <w:tcW w:w="260" w:type="dxa"/>
            <w:vAlign w:val="bottom"/>
            <w:gridSpan w:val="2"/>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r>
      <w:tr>
        <w:trPr>
          <w:trHeight w:val="250"/>
        </w:trPr>
        <w:tc>
          <w:tcPr>
            <w:tcW w:w="8100" w:type="dxa"/>
            <w:vAlign w:val="bottom"/>
            <w:gridSpan w:val="5"/>
          </w:tcPr>
          <w:p>
            <w:pPr>
              <w:jc w:val="center"/>
              <w:ind w:right="200"/>
              <w:spacing w:after="0"/>
              <w:rPr>
                <w:sz w:val="20"/>
                <w:szCs w:val="20"/>
                <w:color w:val="auto"/>
              </w:rPr>
            </w:pPr>
            <w:r>
              <w:rPr>
                <w:rFonts w:ascii="Arial" w:cs="Arial" w:eastAsia="Arial" w:hAnsi="Arial"/>
                <w:sz w:val="19"/>
                <w:szCs w:val="19"/>
                <w:color w:val="auto"/>
                <w:w w:val="92"/>
              </w:rPr>
              <w:t>(Address of principal executive offices)</w:t>
            </w:r>
          </w:p>
        </w:tc>
        <w:tc>
          <w:tcPr>
            <w:tcW w:w="3780" w:type="dxa"/>
            <w:vAlign w:val="bottom"/>
          </w:tcPr>
          <w:p>
            <w:pPr>
              <w:jc w:val="center"/>
              <w:spacing w:after="0"/>
              <w:rPr>
                <w:sz w:val="20"/>
                <w:szCs w:val="20"/>
                <w:color w:val="auto"/>
              </w:rPr>
            </w:pPr>
            <w:r>
              <w:rPr>
                <w:rFonts w:ascii="Arial" w:cs="Arial" w:eastAsia="Arial" w:hAnsi="Arial"/>
                <w:sz w:val="19"/>
                <w:szCs w:val="19"/>
                <w:color w:val="auto"/>
                <w:w w:val="91"/>
              </w:rPr>
              <w:t>(Zip Code)</w:t>
            </w:r>
          </w:p>
        </w:tc>
      </w:tr>
    </w:tbl>
    <w:p>
      <w:pPr>
        <w:spacing w:after="0" w:line="295" w:lineRule="exact"/>
        <w:rPr>
          <w:sz w:val="24"/>
          <w:szCs w:val="24"/>
          <w:color w:val="auto"/>
        </w:rPr>
      </w:pPr>
    </w:p>
    <w:p>
      <w:pPr>
        <w:ind w:left="3246"/>
        <w:spacing w:after="0"/>
        <w:rPr>
          <w:sz w:val="20"/>
          <w:szCs w:val="20"/>
          <w:color w:val="auto"/>
        </w:rPr>
      </w:pPr>
      <w:r>
        <w:rPr>
          <w:rFonts w:ascii="Arial" w:cs="Arial" w:eastAsia="Arial" w:hAnsi="Arial"/>
          <w:sz w:val="19"/>
          <w:szCs w:val="19"/>
          <w:b w:val="1"/>
          <w:bCs w:val="1"/>
          <w:color w:val="auto"/>
        </w:rPr>
        <w:t>Registrant’s telephone number, including area code: +41.22.816.1500</w:t>
      </w:r>
    </w:p>
    <w:p>
      <w:pPr>
        <w:spacing w:after="0" w:line="167" w:lineRule="exact"/>
        <w:rPr>
          <w:sz w:val="24"/>
          <w:szCs w:val="24"/>
          <w:color w:val="auto"/>
        </w:rPr>
      </w:pPr>
    </w:p>
    <w:p>
      <w:pPr>
        <w:ind w:left="5486"/>
        <w:spacing w:after="0"/>
        <w:rPr>
          <w:sz w:val="20"/>
          <w:szCs w:val="20"/>
          <w:color w:val="auto"/>
        </w:rPr>
      </w:pPr>
      <w:r>
        <w:rPr>
          <w:rFonts w:ascii="Arial" w:cs="Arial" w:eastAsia="Arial" w:hAnsi="Arial"/>
          <w:sz w:val="19"/>
          <w:szCs w:val="19"/>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497840</wp:posOffset>
            </wp:positionH>
            <wp:positionV relativeFrom="paragraph">
              <wp:posOffset>55245</wp:posOffset>
            </wp:positionV>
            <wp:extent cx="6719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9570" cy="8890"/>
                    </a:xfrm>
                    <a:prstGeom prst="rect">
                      <a:avLst/>
                    </a:prstGeom>
                    <a:noFill/>
                  </pic:spPr>
                </pic:pic>
              </a:graphicData>
            </a:graphic>
          </wp:anchor>
        </w:drawing>
      </w:r>
    </w:p>
    <w:p>
      <w:pPr>
        <w:spacing w:after="0" w:line="96" w:lineRule="exact"/>
        <w:rPr>
          <w:sz w:val="24"/>
          <w:szCs w:val="24"/>
          <w:color w:val="auto"/>
        </w:rPr>
      </w:pPr>
    </w:p>
    <w:p>
      <w:pPr>
        <w:jc w:val="center"/>
        <w:ind w:left="200"/>
        <w:spacing w:after="0"/>
        <w:rPr>
          <w:sz w:val="20"/>
          <w:szCs w:val="20"/>
          <w:color w:val="auto"/>
        </w:rPr>
      </w:pPr>
      <w:r>
        <w:rPr>
          <w:rFonts w:ascii="Arial" w:cs="Arial" w:eastAsia="Arial" w:hAnsi="Arial"/>
          <w:sz w:val="19"/>
          <w:szCs w:val="19"/>
          <w:color w:val="auto"/>
        </w:rPr>
        <w:t>(Former name or former address, if changed since last report)</w:t>
      </w:r>
    </w:p>
    <w:p>
      <w:pPr>
        <w:spacing w:after="0" w:line="266" w:lineRule="exact"/>
        <w:rPr>
          <w:sz w:val="24"/>
          <w:szCs w:val="24"/>
          <w:color w:val="auto"/>
        </w:rPr>
      </w:pPr>
    </w:p>
    <w:p>
      <w:pPr>
        <w:jc w:val="both"/>
        <w:ind w:left="6" w:right="8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5" w:lineRule="exact"/>
        <w:rPr>
          <w:rFonts w:ascii="MS PGothic" w:cs="MS PGothic" w:eastAsia="MS PGothic" w:hAnsi="MS PGothic"/>
          <w:sz w:val="19"/>
          <w:szCs w:val="19"/>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9" w:lineRule="exact"/>
        <w:rPr>
          <w:rFonts w:ascii="MS PGothic" w:cs="MS PGothic" w:eastAsia="MS PGothic" w:hAnsi="MS PGothic"/>
          <w:sz w:val="19"/>
          <w:szCs w:val="19"/>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9" w:lineRule="exact"/>
        <w:rPr>
          <w:rFonts w:ascii="MS PGothic" w:cs="MS PGothic" w:eastAsia="MS PGothic" w:hAnsi="MS PGothic"/>
          <w:sz w:val="19"/>
          <w:szCs w:val="19"/>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193" w:lineRule="exact"/>
        <w:rPr>
          <w:sz w:val="24"/>
          <w:szCs w:val="24"/>
          <w:color w:val="auto"/>
        </w:rPr>
      </w:pPr>
    </w:p>
    <w:p>
      <w:pPr>
        <w:ind w:left="6" w:right="20"/>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4"/>
          <w:szCs w:val="24"/>
          <w:color w:val="auto"/>
        </w:rPr>
      </w:pPr>
    </w:p>
    <w:p>
      <w:pPr>
        <w:ind w:left="346"/>
        <w:spacing w:after="0"/>
        <w:tabs>
          <w:tab w:leader="none" w:pos="2586" w:val="left"/>
        </w:tabs>
        <w:rPr>
          <w:sz w:val="20"/>
          <w:szCs w:val="20"/>
          <w:color w:val="auto"/>
        </w:rPr>
      </w:pPr>
      <w:r>
        <w:rPr>
          <w:rFonts w:ascii="Arial" w:cs="Arial" w:eastAsia="Arial" w:hAnsi="Arial"/>
          <w:sz w:val="19"/>
          <w:szCs w:val="19"/>
          <w:color w:val="auto"/>
        </w:rPr>
        <w:t>Emerging growth company</w:t>
      </w:r>
      <w:r>
        <w:rPr>
          <w:sz w:val="20"/>
          <w:szCs w:val="20"/>
          <w:color w:val="auto"/>
        </w:rPr>
        <w:tab/>
      </w:r>
      <w:r>
        <w:rPr>
          <w:rFonts w:ascii="Arial" w:cs="Arial" w:eastAsia="Arial" w:hAnsi="Arial"/>
          <w:sz w:val="17"/>
          <w:szCs w:val="17"/>
          <w:color w:val="auto"/>
        </w:rPr>
        <w:t>o</w:t>
      </w:r>
    </w:p>
    <w:p>
      <w:pPr>
        <w:spacing w:after="0" w:line="238" w:lineRule="exact"/>
        <w:rPr>
          <w:sz w:val="24"/>
          <w:szCs w:val="24"/>
          <w:color w:val="auto"/>
        </w:rPr>
      </w:pPr>
    </w:p>
    <w:p>
      <w:pPr>
        <w:ind w:left="6"/>
        <w:spacing w:after="0" w:line="275"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2240" w:h="15840" w:orient="portrait"/>
          <w:cols w:equalWidth="0" w:num="1">
            <w:col w:w="12006"/>
          </w:cols>
          <w:pgMar w:left="114" w:top="852" w:right="120" w:bottom="1440" w:gutter="0" w:footer="0" w:header="0"/>
        </w:sectPr>
      </w:pPr>
    </w:p>
    <w:bookmarkStart w:id="1" w:name="page2"/>
    <w:bookmarkEnd w:id="1"/>
    <w:p>
      <w:pPr>
        <w:ind w:left="80"/>
        <w:spacing w:after="0"/>
        <w:tabs>
          <w:tab w:leader="none" w:pos="1620" w:val="left"/>
        </w:tabs>
        <w:rPr>
          <w:sz w:val="20"/>
          <w:szCs w:val="20"/>
          <w:color w:val="auto"/>
        </w:rPr>
      </w:pPr>
      <w:r>
        <w:rPr>
          <w:rFonts w:ascii="Arial" w:cs="Arial" w:eastAsia="Arial" w:hAnsi="Arial"/>
          <w:sz w:val="19"/>
          <w:szCs w:val="19"/>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00" w:lineRule="exact"/>
        <w:rPr>
          <w:sz w:val="20"/>
          <w:szCs w:val="20"/>
          <w:color w:val="auto"/>
        </w:rPr>
      </w:pPr>
    </w:p>
    <w:p>
      <w:pPr>
        <w:spacing w:after="0" w:line="258" w:lineRule="exact"/>
        <w:rPr>
          <w:sz w:val="20"/>
          <w:szCs w:val="20"/>
          <w:color w:val="auto"/>
        </w:rPr>
      </w:pPr>
    </w:p>
    <w:p>
      <w:pPr>
        <w:jc w:val="both"/>
        <w:spacing w:after="0" w:line="430" w:lineRule="auto"/>
        <w:rPr>
          <w:sz w:val="20"/>
          <w:szCs w:val="20"/>
          <w:color w:val="auto"/>
        </w:rPr>
      </w:pPr>
      <w:r>
        <w:rPr>
          <w:rFonts w:ascii="Arial" w:cs="Arial" w:eastAsia="Arial" w:hAnsi="Arial"/>
          <w:sz w:val="17"/>
          <w:szCs w:val="17"/>
          <w:color w:val="auto"/>
        </w:rPr>
        <w:t xml:space="preserve">On February 12, 2019 at 8:30 a.m., Central Time, Mark A. McCollum, President, Chief Executive Officer and Director of Weatherford International plc will present to certain investors at the Credit Suisse Energy Conference held in Vail, Colorado. At the start of Weatherford's presentation, the presentation materials will be available on Weatherford's website at </w:t>
      </w:r>
      <w:r>
        <w:rPr>
          <w:rFonts w:ascii="Arial" w:cs="Arial" w:eastAsia="Arial" w:hAnsi="Arial"/>
          <w:sz w:val="17"/>
          <w:szCs w:val="17"/>
          <w:u w:val="single" w:color="auto"/>
          <w:color w:val="auto"/>
        </w:rPr>
        <w:t>https://www.weatherford.com/en/investor-relations/</w:t>
      </w:r>
      <w:r>
        <w:rPr>
          <w:rFonts w:ascii="Arial" w:cs="Arial" w:eastAsia="Arial" w:hAnsi="Arial"/>
          <w:sz w:val="17"/>
          <w:szCs w:val="17"/>
          <w:color w:val="auto"/>
        </w:rPr>
        <w:t xml:space="preserve"> in the Investor Presentations section.</w:t>
      </w:r>
    </w:p>
    <w:p>
      <w:pPr>
        <w:spacing w:after="0" w:line="261" w:lineRule="exact"/>
        <w:rPr>
          <w:sz w:val="20"/>
          <w:szCs w:val="20"/>
          <w:color w:val="auto"/>
        </w:rPr>
      </w:pPr>
    </w:p>
    <w:p>
      <w:pPr>
        <w:jc w:val="both"/>
        <w:spacing w:after="0" w:line="372" w:lineRule="auto"/>
        <w:rPr>
          <w:sz w:val="20"/>
          <w:szCs w:val="20"/>
          <w:color w:val="auto"/>
        </w:rPr>
      </w:pPr>
      <w:r>
        <w:rPr>
          <w:rFonts w:ascii="Arial" w:cs="Arial" w:eastAsia="Arial" w:hAnsi="Arial"/>
          <w:sz w:val="19"/>
          <w:szCs w:val="19"/>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ectPr>
          <w:pgSz w:w="12240" w:h="15840" w:orient="portrait"/>
          <w:cols w:equalWidth="0" w:num="1">
            <w:col w:w="12000"/>
          </w:cols>
          <w:pgMar w:left="120" w:top="821" w:right="12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9"/>
          <w:szCs w:val="19"/>
          <w:b w:val="1"/>
          <w:bCs w:val="1"/>
          <w:color w:val="auto"/>
        </w:rPr>
        <w:t>SIGNATURE</w:t>
      </w:r>
    </w:p>
    <w:p>
      <w:pPr>
        <w:spacing w:after="0" w:line="301"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349"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Weatherford International plc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 February 12, 2019</w:t>
      </w:r>
    </w:p>
    <w:p>
      <w:pPr>
        <w:spacing w:after="0" w:line="67" w:lineRule="exact"/>
        <w:rPr>
          <w:sz w:val="20"/>
          <w:szCs w:val="20"/>
          <w:color w:val="auto"/>
        </w:rPr>
      </w:pPr>
    </w:p>
    <w:p>
      <w:pPr>
        <w:ind w:left="4260"/>
        <w:spacing w:after="0"/>
        <w:rPr>
          <w:sz w:val="20"/>
          <w:szCs w:val="20"/>
          <w:color w:val="auto"/>
        </w:rPr>
      </w:pPr>
      <w:r>
        <w:rPr>
          <w:rFonts w:ascii="Arial" w:cs="Arial" w:eastAsia="Arial" w:hAnsi="Arial"/>
          <w:sz w:val="19"/>
          <w:szCs w:val="19"/>
          <w:color w:val="auto"/>
        </w:rPr>
        <w:t>By: /s/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33020</wp:posOffset>
            </wp:positionV>
            <wp:extent cx="472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26940" cy="8890"/>
                    </a:xfrm>
                    <a:prstGeom prst="rect">
                      <a:avLst/>
                    </a:prstGeom>
                    <a:noFill/>
                  </pic:spPr>
                </pic:pic>
              </a:graphicData>
            </a:graphic>
          </wp:anchor>
        </w:drawing>
      </w:r>
    </w:p>
    <w:p>
      <w:pPr>
        <w:spacing w:after="0" w:line="61" w:lineRule="exact"/>
        <w:rPr>
          <w:sz w:val="20"/>
          <w:szCs w:val="20"/>
          <w:color w:val="auto"/>
        </w:rPr>
      </w:pPr>
    </w:p>
    <w:p>
      <w:pPr>
        <w:ind w:left="4020"/>
        <w:spacing w:after="0"/>
        <w:rPr>
          <w:sz w:val="20"/>
          <w:szCs w:val="20"/>
          <w:color w:val="auto"/>
        </w:rPr>
      </w:pPr>
      <w:r>
        <w:rPr>
          <w:rFonts w:ascii="Arial" w:cs="Arial" w:eastAsia="Arial" w:hAnsi="Arial"/>
          <w:sz w:val="19"/>
          <w:szCs w:val="19"/>
          <w:color w:val="auto"/>
        </w:rPr>
        <w:t>Name: Christina M. Ibrahim</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Title: Executive Vice President, General Counsel, Chief Compliance Officer and Corporate Secretary</w:t>
      </w:r>
    </w:p>
    <w:sectPr>
      <w:pgSz w:w="12240" w:h="15840" w:orient="portrait"/>
      <w:cols w:equalWidth="0" w:num="1">
        <w:col w:w="11840"/>
      </w:cols>
      <w:pgMar w:left="120" w:top="493" w:right="2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2019-12-15T18:58:47Z</dcterms:created>
  <dcterms:modified xsi:type="dcterms:W3CDTF">2019-12-15T18:58:47Z</dcterms:modified>
</cp:coreProperties>
</file>