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G48833118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G48833118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Research Global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4,731,763</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4,731,763</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4,731,763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6.7%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Weatherford International PLC</w:t>
      </w:r>
    </w:p>
    <w:p>
      <w:pPr>
        <w:spacing w:after="0" w:line="101" w:lineRule="exact"/>
        <w:rPr>
          <w:rFonts w:ascii="Arial" w:cs="Arial" w:eastAsia="Arial" w:hAnsi="Arial"/>
          <w:sz w:val="22"/>
          <w:szCs w:val="22"/>
          <w:b w:val="1"/>
          <w:bCs w:val="1"/>
          <w:color w:val="auto"/>
        </w:rPr>
      </w:pPr>
    </w:p>
    <w:p>
      <w:pPr>
        <w:ind w:left="1620" w:right="5100" w:hanging="707"/>
        <w:spacing w:after="0" w:line="334" w:lineRule="auto"/>
        <w:tabs>
          <w:tab w:leader="none" w:pos="16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2000 St. James Place, N/A, Houston, TX 77056</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Capital Research Global Investors</w:t>
      </w:r>
    </w:p>
    <w:p>
      <w:pPr>
        <w:spacing w:after="0" w:line="101" w:lineRule="exact"/>
        <w:rPr>
          <w:rFonts w:ascii="Arial" w:cs="Arial" w:eastAsia="Arial" w:hAnsi="Arial"/>
          <w:sz w:val="22"/>
          <w:szCs w:val="22"/>
          <w:b w:val="1"/>
          <w:bCs w:val="1"/>
          <w:color w:val="auto"/>
        </w:rPr>
      </w:pPr>
    </w:p>
    <w:p>
      <w:pPr>
        <w:ind w:left="1620" w:right="4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333 South Hope Street, 55th Fl, Los Angeles, CA 90071</w:t>
      </w:r>
    </w:p>
    <w:p>
      <w:pPr>
        <w:spacing w:after="0" w:line="12" w:lineRule="exact"/>
        <w:rPr>
          <w:rFonts w:ascii="Arial" w:cs="Arial" w:eastAsia="Arial" w:hAnsi="Arial"/>
          <w:sz w:val="19"/>
          <w:szCs w:val="19"/>
          <w:b w:val="1"/>
          <w:bCs w:val="1"/>
          <w:color w:val="auto"/>
        </w:rPr>
      </w:pPr>
    </w:p>
    <w:p>
      <w:pPr>
        <w:ind w:left="1620" w:right="836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620" w:right="7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20" w:right="79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G48833118</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8" w:right="4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8" w:right="2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8" w:right="3040" w:hanging="8"/>
        <w:spacing w:after="0" w:line="456" w:lineRule="auto"/>
        <w:tabs>
          <w:tab w:leader="none" w:pos="422"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32"/>
            <w:col w:w="8608"/>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4,731,763 **</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6.7%</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2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20" w:right="78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4,731,763</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4,731,763</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23" w:right="479" w:bottom="0" w:gutter="0" w:footer="0" w:header="0"/>
          <w:type w:val="continuous"/>
        </w:sectPr>
      </w:pPr>
    </w:p>
    <w:p>
      <w:pPr>
        <w:ind w:right="40"/>
        <w:spacing w:after="0" w:line="287" w:lineRule="auto"/>
        <w:rPr>
          <w:sz w:val="20"/>
          <w:szCs w:val="20"/>
          <w:color w:val="auto"/>
        </w:rPr>
      </w:pPr>
      <w:r>
        <w:rPr>
          <w:rFonts w:ascii="Arial" w:cs="Arial" w:eastAsia="Arial" w:hAnsi="Arial"/>
          <w:sz w:val="19"/>
          <w:szCs w:val="19"/>
          <w:color w:val="auto"/>
        </w:rPr>
        <w:t>**Capital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and Capital Group Private Client Services, Inc. (together with CRMC, the "investment management entities"). CRGI's divisions of each of the investment management</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280"/>
        <w:spacing w:after="0" w:line="329" w:lineRule="auto"/>
        <w:rPr>
          <w:sz w:val="20"/>
          <w:szCs w:val="20"/>
          <w:color w:val="auto"/>
        </w:rPr>
      </w:pPr>
      <w:r>
        <w:rPr>
          <w:rFonts w:ascii="Arial" w:cs="Arial" w:eastAsia="Arial" w:hAnsi="Arial"/>
          <w:sz w:val="19"/>
          <w:szCs w:val="19"/>
          <w:color w:val="auto"/>
        </w:rPr>
        <w:t>entities collectively provide investment management services under the name "Capital Research Global Investors." CRGI is deemed to be the beneficial owner of 4,731,763 shares or 6.7% of the 70,161,685 shares believed to be outstanding.</w:t>
      </w:r>
    </w:p>
    <w:p>
      <w:pPr>
        <w:spacing w:after="0" w:line="1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The Growth Fund of America</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Research Global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Donald H. Rolfe</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Donald H. Rolfe</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2022-02-12T01:58:23Z</dcterms:created>
  <dcterms:modified xsi:type="dcterms:W3CDTF">2022-02-12T01:58:23Z</dcterms:modified>
</cp:coreProperties>
</file>