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17, 2014</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333-81676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2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POST-EFFECTIVE AMENDMENT NO. 3</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S-8</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REGISTRATION STATEMENT UNDER THE SECURITIES ACT OF 1933</w:t>
      </w:r>
    </w:p>
    <w:p>
      <w:pPr>
        <w:spacing w:after="0" w:line="43"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Weatherford International public limited company</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47" w:lineRule="exact"/>
        <w:rPr>
          <w:sz w:val="24"/>
          <w:szCs w:val="24"/>
          <w:color w:val="auto"/>
        </w:rPr>
      </w:pPr>
    </w:p>
    <w:tbl>
      <w:tblPr>
        <w:tblLayout w:type="fixed"/>
        <w:tblInd w:w="940" w:type="dxa"/>
        <w:tblCellMar>
          <w:top w:w="0" w:type="dxa"/>
          <w:left w:w="0" w:type="dxa"/>
          <w:bottom w:w="0" w:type="dxa"/>
          <w:right w:w="0" w:type="dxa"/>
        </w:tblCellMar>
      </w:tblPr>
      <w:tr>
        <w:trPr>
          <w:trHeight w:val="218"/>
        </w:trPr>
        <w:tc>
          <w:tcPr>
            <w:tcW w:w="494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Ireland</w:t>
            </w:r>
          </w:p>
        </w:tc>
        <w:tc>
          <w:tcPr>
            <w:tcW w:w="4060" w:type="dxa"/>
            <w:vAlign w:val="bottom"/>
          </w:tcPr>
          <w:p>
            <w:pPr>
              <w:jc w:val="center"/>
              <w:ind w:left="2726"/>
              <w:spacing w:after="0"/>
              <w:rPr>
                <w:sz w:val="20"/>
                <w:szCs w:val="20"/>
                <w:color w:val="auto"/>
              </w:rPr>
            </w:pPr>
            <w:r>
              <w:rPr>
                <w:rFonts w:ascii="Times New Roman" w:cs="Times New Roman" w:eastAsia="Times New Roman" w:hAnsi="Times New Roman"/>
                <w:sz w:val="18"/>
                <w:szCs w:val="18"/>
                <w:b w:val="1"/>
                <w:bCs w:val="1"/>
                <w:color w:val="auto"/>
                <w:w w:val="98"/>
              </w:rPr>
              <w:t>98-0606750</w:t>
            </w:r>
          </w:p>
        </w:tc>
      </w:tr>
      <w:tr>
        <w:trPr>
          <w:trHeight w:val="135"/>
        </w:trPr>
        <w:tc>
          <w:tcPr>
            <w:tcW w:w="4940" w:type="dxa"/>
            <w:vAlign w:val="bottom"/>
          </w:tcPr>
          <w:p>
            <w:pPr>
              <w:jc w:val="center"/>
              <w:ind w:right="2703"/>
              <w:spacing w:after="0" w:line="135" w:lineRule="exact"/>
              <w:rPr>
                <w:sz w:val="20"/>
                <w:szCs w:val="20"/>
                <w:color w:val="auto"/>
              </w:rPr>
            </w:pPr>
            <w:r>
              <w:rPr>
                <w:rFonts w:ascii="Times New Roman" w:cs="Times New Roman" w:eastAsia="Times New Roman" w:hAnsi="Times New Roman"/>
                <w:sz w:val="13"/>
                <w:szCs w:val="13"/>
                <w:b w:val="1"/>
                <w:bCs w:val="1"/>
                <w:color w:val="auto"/>
                <w:w w:val="95"/>
              </w:rPr>
              <w:t>(State or other jurisdiction of</w:t>
            </w:r>
          </w:p>
        </w:tc>
        <w:tc>
          <w:tcPr>
            <w:tcW w:w="4060" w:type="dxa"/>
            <w:vAlign w:val="bottom"/>
          </w:tcPr>
          <w:p>
            <w:pPr>
              <w:jc w:val="center"/>
              <w:ind w:left="2726"/>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4940" w:type="dxa"/>
            <w:vAlign w:val="bottom"/>
          </w:tcPr>
          <w:p>
            <w:pPr>
              <w:jc w:val="center"/>
              <w:ind w:right="2703"/>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4060" w:type="dxa"/>
            <w:vAlign w:val="bottom"/>
          </w:tcPr>
          <w:p>
            <w:pPr>
              <w:jc w:val="center"/>
              <w:ind w:left="2726"/>
              <w:spacing w:after="0"/>
              <w:rPr>
                <w:sz w:val="20"/>
                <w:szCs w:val="20"/>
                <w:color w:val="auto"/>
              </w:rPr>
            </w:pPr>
            <w:r>
              <w:rPr>
                <w:rFonts w:ascii="Times New Roman" w:cs="Times New Roman" w:eastAsia="Times New Roman" w:hAnsi="Times New Roman"/>
                <w:sz w:val="13"/>
                <w:szCs w:val="13"/>
                <w:b w:val="1"/>
                <w:bCs w:val="1"/>
                <w:color w:val="auto"/>
                <w:w w:val="97"/>
              </w:rPr>
              <w:t>Identification Number)</w:t>
            </w:r>
          </w:p>
        </w:tc>
      </w:tr>
      <w:tr>
        <w:trPr>
          <w:trHeight w:val="237"/>
        </w:trPr>
        <w:tc>
          <w:tcPr>
            <w:tcW w:w="4940" w:type="dxa"/>
            <w:vAlign w:val="bottom"/>
          </w:tcPr>
          <w:p>
            <w:pPr>
              <w:jc w:val="center"/>
              <w:ind w:right="2703"/>
              <w:spacing w:after="0"/>
              <w:rPr>
                <w:sz w:val="20"/>
                <w:szCs w:val="20"/>
                <w:color w:val="auto"/>
              </w:rPr>
            </w:pPr>
            <w:r>
              <w:rPr>
                <w:rFonts w:ascii="Times New Roman" w:cs="Times New Roman" w:eastAsia="Times New Roman" w:hAnsi="Times New Roman"/>
                <w:sz w:val="18"/>
                <w:szCs w:val="18"/>
                <w:b w:val="1"/>
                <w:bCs w:val="1"/>
                <w:color w:val="auto"/>
              </w:rPr>
              <w:t>Bahnhofstrasse 1</w:t>
            </w:r>
          </w:p>
        </w:tc>
        <w:tc>
          <w:tcPr>
            <w:tcW w:w="4060" w:type="dxa"/>
            <w:vAlign w:val="bottom"/>
          </w:tcPr>
          <w:p>
            <w:pPr>
              <w:spacing w:after="0"/>
              <w:rPr>
                <w:sz w:val="20"/>
                <w:szCs w:val="20"/>
                <w:color w:val="auto"/>
              </w:rPr>
            </w:pPr>
          </w:p>
        </w:tc>
      </w:tr>
      <w:tr>
        <w:trPr>
          <w:trHeight w:val="218"/>
        </w:trPr>
        <w:tc>
          <w:tcPr>
            <w:tcW w:w="4940" w:type="dxa"/>
            <w:vAlign w:val="bottom"/>
          </w:tcPr>
          <w:p>
            <w:pPr>
              <w:jc w:val="center"/>
              <w:ind w:right="2703"/>
              <w:spacing w:after="0"/>
              <w:rPr>
                <w:sz w:val="20"/>
                <w:szCs w:val="20"/>
                <w:color w:val="auto"/>
              </w:rPr>
            </w:pPr>
            <w:r>
              <w:rPr>
                <w:rFonts w:ascii="Times New Roman" w:cs="Times New Roman" w:eastAsia="Times New Roman" w:hAnsi="Times New Roman"/>
                <w:sz w:val="18"/>
                <w:szCs w:val="18"/>
                <w:b w:val="1"/>
                <w:bCs w:val="1"/>
                <w:color w:val="auto"/>
                <w:w w:val="98"/>
              </w:rPr>
              <w:t>6340 Baar, Switzerland</w:t>
            </w:r>
          </w:p>
        </w:tc>
        <w:tc>
          <w:tcPr>
            <w:tcW w:w="4060" w:type="dxa"/>
            <w:vAlign w:val="bottom"/>
          </w:tcPr>
          <w:p>
            <w:pPr>
              <w:jc w:val="center"/>
              <w:ind w:left="2726"/>
              <w:spacing w:after="0"/>
              <w:rPr>
                <w:sz w:val="20"/>
                <w:szCs w:val="20"/>
                <w:color w:val="auto"/>
              </w:rPr>
            </w:pPr>
            <w:r>
              <w:rPr>
                <w:rFonts w:ascii="Times New Roman" w:cs="Times New Roman" w:eastAsia="Times New Roman" w:hAnsi="Times New Roman"/>
                <w:sz w:val="18"/>
                <w:szCs w:val="18"/>
                <w:b w:val="1"/>
                <w:bCs w:val="1"/>
                <w:color w:val="auto"/>
                <w:w w:val="96"/>
              </w:rPr>
              <w:t>N/A</w:t>
            </w:r>
          </w:p>
        </w:tc>
      </w:tr>
      <w:tr>
        <w:trPr>
          <w:trHeight w:val="166"/>
        </w:trPr>
        <w:tc>
          <w:tcPr>
            <w:tcW w:w="4940" w:type="dxa"/>
            <w:vAlign w:val="bottom"/>
          </w:tcPr>
          <w:p>
            <w:pPr>
              <w:jc w:val="center"/>
              <w:ind w:right="2703"/>
              <w:spacing w:after="0"/>
              <w:rPr>
                <w:sz w:val="20"/>
                <w:szCs w:val="20"/>
                <w:color w:val="auto"/>
              </w:rPr>
            </w:pPr>
            <w:r>
              <w:rPr>
                <w:rFonts w:ascii="Times New Roman" w:cs="Times New Roman" w:eastAsia="Times New Roman" w:hAnsi="Times New Roman"/>
                <w:sz w:val="13"/>
                <w:szCs w:val="13"/>
                <w:b w:val="1"/>
                <w:bCs w:val="1"/>
                <w:color w:val="auto"/>
                <w:w w:val="97"/>
              </w:rPr>
              <w:t>(Address of Principal Executive Offices)</w:t>
            </w:r>
          </w:p>
        </w:tc>
        <w:tc>
          <w:tcPr>
            <w:tcW w:w="4060" w:type="dxa"/>
            <w:vAlign w:val="bottom"/>
          </w:tcPr>
          <w:p>
            <w:pPr>
              <w:jc w:val="center"/>
              <w:ind w:left="272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Option Agreements dated September 26, 2001 with Non-Employee Directors</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(Full title of the plan)</w:t>
      </w:r>
    </w:p>
    <w:p>
      <w:pPr>
        <w:spacing w:after="0" w:line="17"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Alejandro Cestero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Vice President, Co-General Counsel and Corporate Secretary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2000 St. James Place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Houston, Texas 77056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(713) 836-4000</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(Name, address and telephone number, including area code, of agent for service)</w:t>
      </w:r>
    </w:p>
    <w:p>
      <w:pPr>
        <w:spacing w:after="0" w:line="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with copy to:</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Jonathan B. Newton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Baker &amp; McKenzie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700 Louisiana, Suite 3000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Houston, Texas 77002</w:t>
      </w:r>
    </w:p>
    <w:p>
      <w:pPr>
        <w:spacing w:after="0" w:line="9" w:lineRule="exact"/>
        <w:rPr>
          <w:sz w:val="24"/>
          <w:szCs w:val="24"/>
          <w:color w:val="auto"/>
        </w:rPr>
      </w:pPr>
    </w:p>
    <w:p>
      <w:pPr>
        <w:ind w:left="5580" w:hanging="428"/>
        <w:spacing w:after="0"/>
        <w:tabs>
          <w:tab w:leader="none" w:pos="558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427-5000</w:t>
      </w:r>
    </w:p>
    <w:p>
      <w:pPr>
        <w:spacing w:after="0" w:line="9" w:lineRule="exact"/>
        <w:rPr>
          <w:rFonts w:ascii="Times New Roman" w:cs="Times New Roman" w:eastAsia="Times New Roman" w:hAnsi="Times New Roman"/>
          <w:sz w:val="18"/>
          <w:szCs w:val="18"/>
          <w:b w:val="1"/>
          <w:bCs w:val="1"/>
          <w:color w:val="auto"/>
        </w:rPr>
      </w:pPr>
    </w:p>
    <w:p>
      <w:pPr>
        <w:ind w:left="37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___________________________________________</w:t>
      </w:r>
    </w:p>
    <w:p>
      <w:pPr>
        <w:spacing w:after="0" w:line="207"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320" w:lineRule="exact"/>
        <w:rPr>
          <w:sz w:val="24"/>
          <w:szCs w:val="24"/>
          <w:color w:val="auto"/>
        </w:rPr>
      </w:pPr>
    </w:p>
    <w:tbl>
      <w:tblPr>
        <w:tblLayout w:type="fixed"/>
        <w:tblInd w:w="420" w:type="dxa"/>
        <w:tblCellMar>
          <w:top w:w="0" w:type="dxa"/>
          <w:left w:w="0" w:type="dxa"/>
          <w:bottom w:w="0" w:type="dxa"/>
          <w:right w:w="0" w:type="dxa"/>
        </w:tblCellMar>
      </w:tblPr>
      <w:tr>
        <w:trPr>
          <w:trHeight w:val="239"/>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4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x</w:t>
            </w:r>
          </w:p>
        </w:tc>
        <w:tc>
          <w:tcPr>
            <w:tcW w:w="32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Accelerated filer</w:t>
            </w:r>
          </w:p>
        </w:tc>
        <w:tc>
          <w:tcPr>
            <w:tcW w:w="520" w:type="dxa"/>
            <w:vAlign w:val="bottom"/>
          </w:tcPr>
          <w:p>
            <w:pPr>
              <w:ind w:left="440"/>
              <w:spacing w:after="0"/>
              <w:rPr>
                <w:sz w:val="20"/>
                <w:szCs w:val="20"/>
                <w:color w:val="auto"/>
              </w:rPr>
            </w:pPr>
            <w:r>
              <w:rPr>
                <w:rFonts w:ascii="Times New Roman" w:cs="Times New Roman" w:eastAsia="Times New Roman" w:hAnsi="Times New Roman"/>
                <w:sz w:val="14"/>
                <w:szCs w:val="14"/>
                <w:color w:val="auto"/>
                <w:w w:val="85"/>
              </w:rPr>
              <w:t>o</w:t>
            </w:r>
          </w:p>
        </w:tc>
      </w:tr>
      <w:tr>
        <w:trPr>
          <w:trHeight w:val="500"/>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46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 xml:space="preserve">o  </w:t>
            </w:r>
            <w:r>
              <w:rPr>
                <w:rFonts w:ascii="Times New Roman" w:cs="Times New Roman" w:eastAsia="Times New Roman" w:hAnsi="Times New Roman"/>
                <w:sz w:val="18"/>
                <w:szCs w:val="18"/>
                <w:color w:val="auto"/>
              </w:rPr>
              <w:t>(Do not check if a smaller reporting company)</w:t>
            </w:r>
          </w:p>
        </w:tc>
        <w:tc>
          <w:tcPr>
            <w:tcW w:w="32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20" w:type="dxa"/>
            <w:vAlign w:val="bottom"/>
          </w:tcPr>
          <w:p>
            <w:pPr>
              <w:ind w:left="440"/>
              <w:spacing w:after="0"/>
              <w:rPr>
                <w:sz w:val="20"/>
                <w:szCs w:val="20"/>
                <w:color w:val="auto"/>
              </w:rPr>
            </w:pPr>
            <w:r>
              <w:rPr>
                <w:rFonts w:ascii="Times New Roman" w:cs="Times New Roman" w:eastAsia="Times New Roman" w:hAnsi="Times New Roman"/>
                <w:sz w:val="14"/>
                <w:szCs w:val="14"/>
                <w:color w:val="auto"/>
                <w:w w:val="85"/>
              </w:rPr>
              <w:t>o</w:t>
            </w:r>
          </w:p>
        </w:tc>
      </w:tr>
    </w:tbl>
    <w:p>
      <w:pPr>
        <w:sectPr>
          <w:pgSz w:w="11900" w:h="16838" w:orient="portrait"/>
          <w:cols w:equalWidth="0" w:num="1">
            <w:col w:w="11420"/>
          </w:cols>
          <w:pgMar w:left="240" w:top="225" w:right="2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01" w:lineRule="exact"/>
        <w:rPr>
          <w:sz w:val="20"/>
          <w:szCs w:val="20"/>
          <w:color w:val="auto"/>
        </w:rPr>
      </w:pPr>
    </w:p>
    <w:p>
      <w:pPr>
        <w:jc w:val="both"/>
        <w:ind w:firstLine="648"/>
        <w:spacing w:after="0" w:line="220" w:lineRule="exact"/>
        <w:rPr>
          <w:sz w:val="20"/>
          <w:szCs w:val="20"/>
          <w:color w:val="auto"/>
        </w:rPr>
      </w:pPr>
      <w:r>
        <w:rPr>
          <w:rFonts w:ascii="Times New Roman" w:cs="Times New Roman" w:eastAsia="Times New Roman" w:hAnsi="Times New Roman"/>
          <w:sz w:val="18"/>
          <w:szCs w:val="18"/>
          <w:color w:val="auto"/>
        </w:rPr>
        <w:t>This Post-Effective Amendment No. 3 to Registration Statement on Form S-8, Registration No.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81676 (as amended, this “Registration Statement”) is being filed pursuant to Rule 414 under the Securities Act of 1933, as amended (the “Securities Act”), by Weatherford International plc, a public limited company organized under the laws of Ireland (“Weatherford Ireland”), as the successor issuer to Weatherford International Ltd., a Swiss joint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stock corporation (“Weatherford Switzerland”), to reflect a merger transaction whereby Weatherford Ireland became the new public holding company and the parent of the Weatherford group of companies (the “Merger”). The Merger was effected through a merger agreement between Weatherford Switzerland and Weatherford Ireland, dated as of April 2, 2014, pursuant to which each registered share of Weatherford Switzerland was cancelled as consideration for the allotment of one ordinary share of Weatherford Ireland (excluding shares held by, or for the benefit of, Weatherford Switzerland or any of its subsidiaries). In connection with the Merger, Weatherford Ireland assumed Weatherford Switzerland’s obligation to deliver shares under the Stock Option Agreements dated September 26, 2001 with Non-Employee Directors (the “Plans”). Consequently, ordinary shares of Weatherford Ireland will henceforth be issuable under the Plans in lieu of the registered shares of Weatherford Switzerland. Weatherford Ireland hereby expressly adopts the Registration Statement as its own registration statement for all purposes of the Securities Act and the Securities Exchange Act of 1934, as amended (the “Exchange Act”).</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document(s) containing the employee benefit plan information required by Item 1 of Form S-8 and the statement of availability of registrant information and any other information required by Item 2 of Form S-8 will be sent or given to participants as specified by Rule 428 under the Securities Act. In accordance with Rule 428 and the requirements of Part I of Form S-8, such documents are not being filed with the United States Securities and Exchange Commission (the “Commission”) either as part of this Registration Statement or as prospectuses or prospectus supplements pursuant to Rule 424 under the Securities Act. The registrant will maintain a file of such documents in accordance with the provisions of Rule 428. Upon request, the registrant will furnish to the Commission or its staff a copy of any or all of the documents included in such file.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Incorporation of Documents by Reference</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documents, which Weatherford Switzerland or Weatherford Ireland has filed with the Commission pursuant to the Exchange Act, are incorporated in this Registration Statement by reference and shall be deemed to be a part hereof:</w:t>
      </w:r>
    </w:p>
    <w:p>
      <w:pPr>
        <w:spacing w:after="0" w:line="162" w:lineRule="exact"/>
        <w:rPr>
          <w:sz w:val="20"/>
          <w:szCs w:val="20"/>
          <w:color w:val="auto"/>
        </w:rPr>
      </w:pPr>
    </w:p>
    <w:p>
      <w:pPr>
        <w:ind w:left="660" w:right="20" w:hanging="260"/>
        <w:spacing w:after="0" w:line="28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Weatherford Switzerland’s Annual Report on Form 10-K for the fiscal year ended December 31, 2013, as filed with the Commission on February 25, 2014;</w:t>
      </w:r>
    </w:p>
    <w:p>
      <w:pPr>
        <w:spacing w:after="0" w:line="1" w:lineRule="exact"/>
        <w:rPr>
          <w:rFonts w:ascii="Times New Roman" w:cs="Times New Roman" w:eastAsia="Times New Roman" w:hAnsi="Times New Roman"/>
          <w:sz w:val="18"/>
          <w:szCs w:val="18"/>
          <w:color w:val="auto"/>
        </w:rPr>
      </w:pPr>
    </w:p>
    <w:p>
      <w:pPr>
        <w:ind w:left="660" w:right="20" w:hanging="260"/>
        <w:spacing w:after="0" w:line="28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Weatherford Switzerland’s Amendment No. 1 to its Annual Report on Form 10-K for the fiscal year ended December 31, 2013, as filed with the Commission on April 16, 2014;</w:t>
      </w:r>
    </w:p>
    <w:p>
      <w:pPr>
        <w:spacing w:after="0" w:line="1" w:lineRule="exact"/>
        <w:rPr>
          <w:rFonts w:ascii="Times New Roman" w:cs="Times New Roman" w:eastAsia="Times New Roman" w:hAnsi="Times New Roman"/>
          <w:sz w:val="18"/>
          <w:szCs w:val="18"/>
          <w:color w:val="auto"/>
        </w:rPr>
      </w:pPr>
    </w:p>
    <w:p>
      <w:pPr>
        <w:ind w:left="660" w:hanging="260"/>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Weatherford Switzerland’s Quarterly Report on Form 10-Q for the quarter ended March 31, 2014, as filed with the Commission on April 29, 2014;</w:t>
      </w:r>
    </w:p>
    <w:p>
      <w:pPr>
        <w:spacing w:after="0" w:line="63" w:lineRule="exact"/>
        <w:rPr>
          <w:rFonts w:ascii="Times New Roman" w:cs="Times New Roman" w:eastAsia="Times New Roman" w:hAnsi="Times New Roman"/>
          <w:sz w:val="18"/>
          <w:szCs w:val="18"/>
          <w:color w:val="auto"/>
        </w:rPr>
      </w:pPr>
    </w:p>
    <w:p>
      <w:pPr>
        <w:jc w:val="both"/>
        <w:ind w:left="660" w:hanging="260"/>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Weatherford Switzerland’s Current Reports on Form 8-K (other than information furnished rather than filed and corresponding information furnished under Item 9.01 or included as an exhibit thereto) filed with the Commission on February 3, 2014, February 25, 2014, March 4, 2014, April 2, 2014, April 10, 2014, April 24, 2014 and June 17, 2014;</w:t>
      </w:r>
    </w:p>
    <w:p>
      <w:pPr>
        <w:spacing w:after="0" w:line="14" w:lineRule="exact"/>
        <w:rPr>
          <w:rFonts w:ascii="Times New Roman" w:cs="Times New Roman" w:eastAsia="Times New Roman" w:hAnsi="Times New Roman"/>
          <w:sz w:val="18"/>
          <w:szCs w:val="18"/>
          <w:color w:val="auto"/>
        </w:rPr>
      </w:pPr>
    </w:p>
    <w:p>
      <w:pPr>
        <w:ind w:left="660" w:right="20" w:hanging="260"/>
        <w:spacing w:after="0" w:line="28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Weatherford Ireland’s Current Report on Form 8-K, as filed with the Commission (other than information furnished rather than filed and corresponding information furnished under Item 9.01 or included as an exhibit thereto) on June 17, 2014; and</w:t>
      </w:r>
    </w:p>
    <w:p>
      <w:pPr>
        <w:spacing w:after="0" w:line="1" w:lineRule="exact"/>
        <w:rPr>
          <w:rFonts w:ascii="Times New Roman" w:cs="Times New Roman" w:eastAsia="Times New Roman" w:hAnsi="Times New Roman"/>
          <w:sz w:val="18"/>
          <w:szCs w:val="18"/>
          <w:color w:val="auto"/>
        </w:rPr>
      </w:pPr>
    </w:p>
    <w:p>
      <w:pPr>
        <w:ind w:left="660" w:hanging="260"/>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Weatherford Ireland’s Ordinary Shares contained in Item 8.01 of Weatherford Ireland’s Current Report on Form 8-K, as filed with the Commission on June 17, 2014.</w:t>
      </w:r>
    </w:p>
    <w:p>
      <w:pPr>
        <w:spacing w:after="0" w:line="27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document filed by Weatherford Ireland with the Commission pursuant to Sections 13(a), 13(c), 14 and 15(d) of the Exchange Act (other than information furnished rather than filed and corresponding information furnished under Item 9.01 of Form 8-K or included as an exhibit thereto), subsequent to the date of this Registration Statement and prior to the filing of any further post-effective amendment to this Registration Statement which indicates that all securities offered herby have been sold</w:t>
      </w:r>
    </w:p>
    <w:p>
      <w:pPr>
        <w:sectPr>
          <w:pgSz w:w="11900" w:h="16838" w:orient="portrait"/>
          <w:cols w:equalWidth="0" w:num="1">
            <w:col w:w="11420"/>
          </w:cols>
          <w:pgMar w:left="240" w:top="576" w:right="239" w:bottom="1440" w:gutter="0" w:footer="0" w:header="0"/>
        </w:sectPr>
      </w:pPr>
    </w:p>
    <w:bookmarkStart w:id="2" w:name="page3"/>
    <w:bookmarkEnd w:id="2"/>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or which deregisters all securities then remaining unsold, shall be deemed to be incorporated by reference in this Registration Statement and to be a part hereof from the date of filing of such documents.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statement contained herein, in any amendment hereto or in a document incorporated by reference herein shall be deemed to be modified or superseded for purposes of this Registration Statement to the extent that a statement contained herein or in any subsequently-filed amendment to this Registration Statement or in any document that also is incorporated by reference herein modifies or supersedes such statement. Any statement so modified or superseded shall not be deemed, except as so modified or superseded, to constitute a part of this Registration Statement.</w:t>
      </w:r>
    </w:p>
    <w:p>
      <w:pPr>
        <w:spacing w:after="0" w:line="176"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Description of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Interests of Named Experts and Counsel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Indemnification of Directors and Officers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Weatherford Ireland’s memorandum and articles of association confer an indemnity on its directors and officers, which is limited by the Irish Companies Acts 1963-2013 (the “Irish Companies Acts”). The Irish Companies Acts prescribe that such an indemnity, in effect, only permits a company to pay the costs or discharge the liability of a director or the secretary in defending proceedings, whether civil or criminal, in which judgment is given in his or her favor or in which he or she is acquitted, or where an Irish court otherwise grants relief because the director or the secretary acted honestly and reasonably and ought fairly to be excused. This restriction in the Irish Companies Acts does not apply to executives who are not directors or the secretary of Weatherford Ireland. Any provision whereby an Irish company seeks to indemnify its directors or its secretary over and above this shall be void under Irish law, whether contained in its articles of association or any contract between the director and the Irish company.</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Weatherford Ireland’s articles of association also contain indemnification and expense advancement provisions for persons who are not directors or the secretary of Weatherford Ireland.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Irish companies may take out directors and officers liability insurance as well as other types of insurance, for their directors and officers.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Weatherford Ireland and Weatherford International Ltd. (“Weatherford Bermuda”), a Bermuda exempted company and wholly owned, indirect subsidiary of Weatherford Ireland have entered (and/or, if required, any other subsidiary of Weatherford Ireland may enter) into indemnification agreements (or deed poll indemnities) with or as to each of Weatherford Ireland’s directors and certain officers as well as with individuals serving as directors, officers, employees, agents or fiduciaries of our subsidiaries or any other company, corporation, joint venture, trust, employee benefit plan or other entity or enterprise or by reason of anything done or not done by such person in any capacity providing for the indemnification of, and advancement of expenses to, these persons to the fullest extent permitted by law.</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Irish law, a company may not exempt any director or the secretary from liability for negligence, default, breach of duty or breach of trust of which he or she may be guilty in relation to the company. However, where a breach of duty has been established, directors or the secretary may be statutorily exempted by an Irish court from personal liability for negligence or breach of duty if, among other things, the court determines that they have acted honestly and reasonably, and that they may fairly be excused as a result.</w:t>
      </w:r>
    </w:p>
    <w:p>
      <w:pPr>
        <w:spacing w:after="0" w:line="17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Exemption From Registration Claimed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420"/>
          </w:cols>
          <w:pgMar w:left="240" w:top="580" w:right="239" w:bottom="1440" w:gutter="0" w:footer="0" w:header="0"/>
        </w:sectPr>
      </w:pPr>
    </w:p>
    <w:bookmarkStart w:id="3" w:name="page4"/>
    <w:bookmarkEnd w:id="3"/>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documents are filed as a part of this registration statement or incorporated by reference herein:</w:t>
      </w:r>
    </w:p>
    <w:p>
      <w:pPr>
        <w:spacing w:after="0" w:line="171"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Number</w:t>
            </w:r>
          </w:p>
        </w:tc>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Description</w:t>
            </w:r>
          </w:p>
        </w:tc>
      </w:tr>
      <w:tr>
        <w:trPr>
          <w:trHeight w:val="27"/>
        </w:trPr>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740" w:type="dxa"/>
            <w:vAlign w:val="bottom"/>
            <w:tcBorders>
              <w:bottom w:val="single" w:sz="8" w:color="auto"/>
            </w:tcBorders>
          </w:tcPr>
          <w:p>
            <w:pPr>
              <w:spacing w:after="0"/>
              <w:rPr>
                <w:sz w:val="2"/>
                <w:szCs w:val="2"/>
                <w:color w:val="auto"/>
              </w:rPr>
            </w:pPr>
          </w:p>
        </w:tc>
      </w:tr>
      <w:tr>
        <w:trPr>
          <w:trHeight w:val="407"/>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Memorandum and Articles of Association of Weatherford International public limited company</w:t>
            </w:r>
          </w:p>
        </w:tc>
      </w:tr>
      <w:tr>
        <w:trPr>
          <w:trHeight w:val="216"/>
        </w:trPr>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(incorporated by reference to Exhibit 3.1 to Weatherford International plc’s Current Report on Form 8-K</w:t>
            </w:r>
          </w:p>
        </w:tc>
      </w:tr>
      <w:tr>
        <w:trPr>
          <w:trHeight w:val="234"/>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on June 17, 2014).</w:t>
            </w:r>
          </w:p>
        </w:tc>
      </w:tr>
      <w:tr>
        <w:trPr>
          <w:trHeight w:val="252"/>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1"/>
                <w:szCs w:val="21"/>
                <w:color w:val="auto"/>
              </w:rPr>
            </w:pPr>
          </w:p>
        </w:tc>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Stock Option Agreement for Non-employee Directors, dated September 26, 2001 (incorporated</w:t>
            </w:r>
          </w:p>
        </w:tc>
      </w:tr>
      <w:tr>
        <w:trPr>
          <w:trHeight w:val="234"/>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 reference to Exhibit 4.19 to the Registration Statement on Form S-8 filed on January 30, 2002).</w:t>
            </w:r>
          </w:p>
        </w:tc>
      </w:tr>
      <w:tr>
        <w:trPr>
          <w:trHeight w:val="27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3"/>
                <w:szCs w:val="23"/>
                <w:color w:val="auto"/>
              </w:rPr>
            </w:pPr>
          </w:p>
        </w:tc>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Opinion of Matheson regarding the legality of securities being registered.</w:t>
            </w:r>
          </w:p>
        </w:tc>
      </w:tr>
      <w:tr>
        <w:trPr>
          <w:trHeight w:val="27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3"/>
                <w:szCs w:val="23"/>
                <w:color w:val="auto"/>
              </w:rPr>
            </w:pPr>
          </w:p>
        </w:tc>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Consent of KPMG LLP.</w:t>
            </w:r>
          </w:p>
        </w:tc>
      </w:tr>
      <w:tr>
        <w:trPr>
          <w:trHeight w:val="27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23"/>
                <w:szCs w:val="23"/>
                <w:color w:val="auto"/>
              </w:rPr>
            </w:pPr>
          </w:p>
        </w:tc>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Consent of Ernst &amp; Young LLP.</w:t>
            </w:r>
          </w:p>
        </w:tc>
      </w:tr>
      <w:tr>
        <w:trPr>
          <w:trHeight w:val="27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23"/>
                <w:szCs w:val="23"/>
                <w:color w:val="auto"/>
              </w:rPr>
            </w:pPr>
          </w:p>
        </w:tc>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Consent of Matheson (included in Exhibit 5.1).</w:t>
            </w:r>
          </w:p>
        </w:tc>
      </w:tr>
      <w:tr>
        <w:trPr>
          <w:trHeight w:val="27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23"/>
                <w:szCs w:val="23"/>
                <w:color w:val="auto"/>
              </w:rPr>
            </w:pPr>
          </w:p>
        </w:tc>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Power of Attorney (included on the signature page to the Registration Statement).</w:t>
            </w:r>
          </w:p>
        </w:tc>
      </w:tr>
    </w:tbl>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tab/>
        <w:t>Undertakings</w:t>
      </w:r>
    </w:p>
    <w:p>
      <w:pPr>
        <w:spacing w:after="0" w:line="22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63" w:lineRule="exact"/>
        <w:rPr>
          <w:rFonts w:ascii="Times New Roman" w:cs="Times New Roman" w:eastAsia="Times New Roman" w:hAnsi="Times New Roman"/>
          <w:sz w:val="18"/>
          <w:szCs w:val="18"/>
          <w:color w:val="auto"/>
        </w:rPr>
      </w:pPr>
    </w:p>
    <w:p>
      <w:pPr>
        <w:ind w:left="1960" w:hanging="331"/>
        <w:spacing w:after="0"/>
        <w:tabs>
          <w:tab w:leader="none" w:pos="196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63" w:lineRule="exact"/>
        <w:rPr>
          <w:rFonts w:ascii="Times New Roman" w:cs="Times New Roman" w:eastAsia="Times New Roman" w:hAnsi="Times New Roman"/>
          <w:sz w:val="18"/>
          <w:szCs w:val="18"/>
          <w:color w:val="auto"/>
        </w:rPr>
      </w:pPr>
    </w:p>
    <w:p>
      <w:pPr>
        <w:jc w:val="both"/>
        <w:ind w:left="1960" w:hanging="331"/>
        <w:spacing w:after="0" w:line="255" w:lineRule="auto"/>
        <w:tabs>
          <w:tab w:leader="none" w:pos="196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a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27" w:lineRule="exact"/>
        <w:rPr>
          <w:rFonts w:ascii="Times New Roman" w:cs="Times New Roman" w:eastAsia="Times New Roman" w:hAnsi="Times New Roman"/>
          <w:sz w:val="18"/>
          <w:szCs w:val="18"/>
          <w:color w:val="auto"/>
        </w:rPr>
      </w:pPr>
    </w:p>
    <w:p>
      <w:pPr>
        <w:jc w:val="both"/>
        <w:ind w:left="1960" w:hanging="331"/>
        <w:spacing w:after="0" w:line="256" w:lineRule="auto"/>
        <w:tabs>
          <w:tab w:leader="none" w:pos="196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 provided, however, that the undertakings set forth in paragraphs (a)(1)(i) and (a)(1)(ii) of this section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w:t>
      </w:r>
    </w:p>
    <w:p>
      <w:pPr>
        <w:spacing w:after="0" w:line="1" w:lineRule="exact"/>
        <w:rPr>
          <w:rFonts w:ascii="Times New Roman" w:cs="Times New Roman" w:eastAsia="Times New Roman" w:hAnsi="Times New Roman"/>
          <w:sz w:val="18"/>
          <w:szCs w:val="18"/>
          <w:color w:val="auto"/>
        </w:rPr>
      </w:pPr>
    </w:p>
    <w:p>
      <w:pPr>
        <w:jc w:val="both"/>
        <w:ind w:left="1300" w:hanging="320"/>
        <w:spacing w:after="0" w:line="232" w:lineRule="exact"/>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 amendment shall be deemed to be a new registration statement relating to the securities offered therein, and the offering of such securities at that time shall be deemed to be the initial bona fide offering thereof.</w:t>
      </w:r>
    </w:p>
    <w:p>
      <w:pPr>
        <w:spacing w:after="0" w:line="37" w:lineRule="exact"/>
        <w:rPr>
          <w:rFonts w:ascii="Times New Roman" w:cs="Times New Roman" w:eastAsia="Times New Roman" w:hAnsi="Times New Roman"/>
          <w:sz w:val="18"/>
          <w:szCs w:val="18"/>
          <w:color w:val="auto"/>
        </w:rPr>
      </w:pPr>
    </w:p>
    <w:p>
      <w:pPr>
        <w:ind w:left="1300" w:hanging="320"/>
        <w:spacing w:after="0" w:line="281" w:lineRule="auto"/>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w:t>
      </w:r>
    </w:p>
    <w:p>
      <w:pPr>
        <w:sectPr>
          <w:pgSz w:w="11900" w:h="16838" w:orient="portrait"/>
          <w:cols w:equalWidth="0" w:num="1">
            <w:col w:w="11420"/>
          </w:cols>
          <w:pgMar w:left="240" w:top="576" w:right="239" w:bottom="1440" w:gutter="0" w:footer="0" w:header="0"/>
        </w:sectPr>
      </w:pPr>
    </w:p>
    <w:bookmarkStart w:id="4" w:name="page5"/>
    <w:bookmarkEnd w:id="4"/>
    <w:p>
      <w:pPr>
        <w:jc w:val="both"/>
        <w:spacing w:after="0" w:line="308" w:lineRule="auto"/>
        <w:rPr>
          <w:sz w:val="20"/>
          <w:szCs w:val="20"/>
          <w:color w:val="auto"/>
        </w:rPr>
      </w:pPr>
      <w:r>
        <w:rPr>
          <w:rFonts w:ascii="Times New Roman" w:cs="Times New Roman" w:eastAsia="Times New Roman" w:hAnsi="Times New Roman"/>
          <w:sz w:val="18"/>
          <w:szCs w:val="18"/>
          <w:color w:val="auto"/>
        </w:rPr>
        <w:t>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0760"/>
          </w:cols>
          <w:pgMar w:left="900" w:top="607"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648"/>
        <w:spacing w:after="0" w:line="222" w:lineRule="exact"/>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 Amendment No. 3 to the Registration Statement to be signed on its behalf by the undersigned, thereunto duly authorized, in the City of Houston, State of Texas on June 17, 2014.</w:t>
      </w:r>
    </w:p>
    <w:p>
      <w:pPr>
        <w:spacing w:after="0" w:line="2"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15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/s/Dr. Bernard J. Duroc-Danner</w:t>
      </w:r>
    </w:p>
    <w:p>
      <w:pPr>
        <w:spacing w:after="0" w:line="63"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Dr. Bernard J. Duroc-Danner</w:t>
      </w:r>
    </w:p>
    <w:p>
      <w:pPr>
        <w:spacing w:after="0" w:line="63"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President, Chief Executive Officer, Chairman of the Board</w:t>
      </w:r>
    </w:p>
    <w:p>
      <w:pPr>
        <w:spacing w:after="0" w:line="63"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and Director (Principal Executive Officer)</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Dr. Bernard J. Duroc-Danner and Alejandro Cestero, and each of them (with full power to act alone), as his true and lawful attorneys-in-fact and agents, with full power of substitution and re-substitution, for him in his name, place and stead, in any and all capacity, in connection with this registration statement, including to sign and file in the name and on behalf of the undersigned as director or officer of the registrant any and all amendments or supplements (including any and all stickers and post-effective amendments) to this registration statement, with all exhibits thereto, and other documents in connection therewith with the Securities and Exchange Commission and any applicable securities exchange, securities self-regulatory body or other regulatory authority, granting unto said attorneys-in-fact and agents, and each of them (with full power to act alone), full power and authority to do and perform each and every act and things requisite or necessary to be done in and about the premises, as fully to all intents and purposes as he might or could do in person, hereby ratifying and confirming all that said attorneys-in-fact and agents or any of them, or their substitutes, may lawfully do or cause to be done by virtue hereof.</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Post-Effective Amendment No. 3 to the Registration Statement on Form S-8 has been signed by the following persons in the capacities indicated below on June 17, 2014.</w:t>
      </w:r>
    </w:p>
    <w:p>
      <w:pPr>
        <w:sectPr>
          <w:pgSz w:w="11900" w:h="16838" w:orient="portrait"/>
          <w:cols w:equalWidth="0" w:num="1">
            <w:col w:w="11420"/>
          </w:cols>
          <w:pgMar w:left="240" w:top="576" w:right="239" w:bottom="1440" w:gutter="0" w:footer="0" w:header="0"/>
        </w:sectPr>
      </w:pPr>
    </w:p>
    <w:p>
      <w:pPr>
        <w:spacing w:after="0" w:line="104"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36830</wp:posOffset>
            </wp:positionV>
            <wp:extent cx="23583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61" w:lineRule="exact"/>
        <w:rPr>
          <w:sz w:val="20"/>
          <w:szCs w:val="20"/>
          <w:color w:val="auto"/>
        </w:rPr>
      </w:pPr>
    </w:p>
    <w:p>
      <w:pPr>
        <w:jc w:val="center"/>
        <w:ind w:left="980"/>
        <w:spacing w:after="0"/>
        <w:rPr>
          <w:sz w:val="20"/>
          <w:szCs w:val="20"/>
          <w:color w:val="auto"/>
        </w:rPr>
      </w:pPr>
      <w:r>
        <w:rPr>
          <w:rFonts w:ascii="Times New Roman" w:cs="Times New Roman" w:eastAsia="Times New Roman" w:hAnsi="Times New Roman"/>
          <w:sz w:val="17"/>
          <w:szCs w:val="17"/>
          <w:u w:val="single" w:color="auto"/>
          <w:color w:val="auto"/>
        </w:rPr>
        <w:t>/s/Dr. Bernard J. Duroc-Danner</w:t>
      </w:r>
    </w:p>
    <w:p>
      <w:pPr>
        <w:spacing w:after="0" w:line="39" w:lineRule="exact"/>
        <w:rPr>
          <w:sz w:val="20"/>
          <w:szCs w:val="20"/>
          <w:color w:val="auto"/>
        </w:rPr>
      </w:pPr>
    </w:p>
    <w:p>
      <w:pPr>
        <w:jc w:val="center"/>
        <w:ind w:left="980"/>
        <w:spacing w:after="0"/>
        <w:rPr>
          <w:sz w:val="20"/>
          <w:szCs w:val="20"/>
          <w:color w:val="auto"/>
        </w:rPr>
      </w:pPr>
      <w:r>
        <w:rPr>
          <w:rFonts w:ascii="Times New Roman" w:cs="Times New Roman" w:eastAsia="Times New Roman" w:hAnsi="Times New Roman"/>
          <w:sz w:val="18"/>
          <w:szCs w:val="18"/>
          <w:color w:val="auto"/>
        </w:rPr>
        <w:t>Dr. Bernard J. Duroc-Danner</w:t>
      </w:r>
    </w:p>
    <w:p>
      <w:pPr>
        <w:spacing w:after="0" w:line="4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u w:val="single" w:color="auto"/>
          <w:color w:val="auto"/>
        </w:rPr>
        <w:t>/s/Krishna Shivram</w:t>
      </w:r>
    </w:p>
    <w:p>
      <w:pPr>
        <w:spacing w:after="0" w:line="2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Krishna Shivram</w:t>
      </w:r>
    </w:p>
    <w:p>
      <w:pPr>
        <w:spacing w:after="0" w:line="4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u w:val="single" w:color="auto"/>
          <w:color w:val="auto"/>
        </w:rPr>
        <w:t>/s/Douglas M. Mills</w:t>
      </w:r>
    </w:p>
    <w:p>
      <w:pPr>
        <w:spacing w:after="0" w:line="2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Douglas M. Mills</w:t>
      </w:r>
    </w:p>
    <w:p>
      <w:pPr>
        <w:spacing w:after="0" w:line="45" w:lineRule="exact"/>
        <w:rPr>
          <w:sz w:val="20"/>
          <w:szCs w:val="20"/>
          <w:color w:val="auto"/>
        </w:rPr>
      </w:pPr>
    </w:p>
    <w:p>
      <w:pPr>
        <w:jc w:val="right"/>
        <w:ind w:right="800"/>
        <w:spacing w:after="0"/>
        <w:rPr>
          <w:sz w:val="20"/>
          <w:szCs w:val="20"/>
          <w:color w:val="auto"/>
        </w:rPr>
      </w:pPr>
      <w:r>
        <w:rPr>
          <w:rFonts w:ascii="Times New Roman" w:cs="Times New Roman" w:eastAsia="Times New Roman" w:hAnsi="Times New Roman"/>
          <w:sz w:val="18"/>
          <w:szCs w:val="18"/>
          <w:u w:val="single" w:color="auto"/>
          <w:color w:val="auto"/>
        </w:rPr>
        <w:t>/s/David J. Butters</w:t>
      </w:r>
    </w:p>
    <w:p>
      <w:pPr>
        <w:spacing w:after="0" w:line="27" w:lineRule="exact"/>
        <w:rPr>
          <w:sz w:val="20"/>
          <w:szCs w:val="20"/>
          <w:color w:val="auto"/>
        </w:rPr>
      </w:pPr>
    </w:p>
    <w:p>
      <w:pPr>
        <w:jc w:val="right"/>
        <w:ind w:right="800"/>
        <w:spacing w:after="0"/>
        <w:rPr>
          <w:sz w:val="20"/>
          <w:szCs w:val="20"/>
          <w:color w:val="auto"/>
        </w:rPr>
      </w:pPr>
      <w:r>
        <w:rPr>
          <w:rFonts w:ascii="Times New Roman" w:cs="Times New Roman" w:eastAsia="Times New Roman" w:hAnsi="Times New Roman"/>
          <w:sz w:val="18"/>
          <w:szCs w:val="18"/>
          <w:color w:val="auto"/>
        </w:rPr>
        <w:t>David J. Butters</w:t>
      </w:r>
    </w:p>
    <w:p>
      <w:pPr>
        <w:spacing w:after="0" w:line="45" w:lineRule="exact"/>
        <w:rPr>
          <w:sz w:val="20"/>
          <w:szCs w:val="20"/>
          <w:color w:val="auto"/>
        </w:rPr>
      </w:pPr>
    </w:p>
    <w:p>
      <w:pPr>
        <w:jc w:val="center"/>
        <w:ind w:left="980"/>
        <w:spacing w:after="0"/>
        <w:rPr>
          <w:sz w:val="20"/>
          <w:szCs w:val="20"/>
          <w:color w:val="auto"/>
        </w:rPr>
      </w:pPr>
      <w:r>
        <w:rPr>
          <w:rFonts w:ascii="Times New Roman" w:cs="Times New Roman" w:eastAsia="Times New Roman" w:hAnsi="Times New Roman"/>
          <w:sz w:val="18"/>
          <w:szCs w:val="18"/>
          <w:u w:val="single" w:color="auto"/>
          <w:color w:val="auto"/>
        </w:rPr>
        <w:t>/s/John D. Gass</w:t>
      </w:r>
    </w:p>
    <w:p>
      <w:pPr>
        <w:spacing w:after="0" w:line="27" w:lineRule="exact"/>
        <w:rPr>
          <w:sz w:val="20"/>
          <w:szCs w:val="20"/>
          <w:color w:val="auto"/>
        </w:rPr>
      </w:pPr>
    </w:p>
    <w:p>
      <w:pPr>
        <w:jc w:val="center"/>
        <w:ind w:left="980"/>
        <w:spacing w:after="0"/>
        <w:rPr>
          <w:sz w:val="20"/>
          <w:szCs w:val="20"/>
          <w:color w:val="auto"/>
        </w:rPr>
      </w:pPr>
      <w:r>
        <w:rPr>
          <w:rFonts w:ascii="Times New Roman" w:cs="Times New Roman" w:eastAsia="Times New Roman" w:hAnsi="Times New Roman"/>
          <w:sz w:val="18"/>
          <w:szCs w:val="18"/>
          <w:color w:val="auto"/>
        </w:rPr>
        <w:t>John D. Gass</w:t>
      </w:r>
    </w:p>
    <w:p>
      <w:pPr>
        <w:spacing w:after="0" w:line="45" w:lineRule="exact"/>
        <w:rPr>
          <w:sz w:val="20"/>
          <w:szCs w:val="20"/>
          <w:color w:val="auto"/>
        </w:rPr>
      </w:pPr>
    </w:p>
    <w:p>
      <w:pPr>
        <w:jc w:val="center"/>
        <w:ind w:left="980"/>
        <w:spacing w:after="0"/>
        <w:rPr>
          <w:sz w:val="20"/>
          <w:szCs w:val="20"/>
          <w:color w:val="auto"/>
        </w:rPr>
      </w:pPr>
      <w:r>
        <w:rPr>
          <w:rFonts w:ascii="Times New Roman" w:cs="Times New Roman" w:eastAsia="Times New Roman" w:hAnsi="Times New Roman"/>
          <w:sz w:val="18"/>
          <w:szCs w:val="18"/>
          <w:u w:val="single" w:color="auto"/>
          <w:color w:val="auto"/>
        </w:rPr>
        <w:t>/s/Francis S. Kalman</w:t>
      </w:r>
    </w:p>
    <w:p>
      <w:pPr>
        <w:spacing w:after="0" w:line="27" w:lineRule="exact"/>
        <w:rPr>
          <w:sz w:val="20"/>
          <w:szCs w:val="20"/>
          <w:color w:val="auto"/>
        </w:rPr>
      </w:pPr>
    </w:p>
    <w:p>
      <w:pPr>
        <w:jc w:val="center"/>
        <w:ind w:left="980"/>
        <w:spacing w:after="0"/>
        <w:rPr>
          <w:sz w:val="20"/>
          <w:szCs w:val="20"/>
          <w:color w:val="auto"/>
        </w:rPr>
      </w:pPr>
      <w:r>
        <w:rPr>
          <w:rFonts w:ascii="Times New Roman" w:cs="Times New Roman" w:eastAsia="Times New Roman" w:hAnsi="Times New Roman"/>
          <w:sz w:val="18"/>
          <w:szCs w:val="18"/>
          <w:color w:val="auto"/>
        </w:rPr>
        <w:t>Francis S. Kalman</w:t>
      </w:r>
    </w:p>
    <w:p>
      <w:pPr>
        <w:spacing w:after="0" w:line="45" w:lineRule="exact"/>
        <w:rPr>
          <w:sz w:val="20"/>
          <w:szCs w:val="20"/>
          <w:color w:val="auto"/>
        </w:rPr>
      </w:pPr>
    </w:p>
    <w:p>
      <w:pPr>
        <w:jc w:val="center"/>
        <w:ind w:left="980"/>
        <w:spacing w:after="0"/>
        <w:rPr>
          <w:sz w:val="20"/>
          <w:szCs w:val="20"/>
          <w:color w:val="auto"/>
        </w:rPr>
      </w:pPr>
      <w:r>
        <w:rPr>
          <w:rFonts w:ascii="Times New Roman" w:cs="Times New Roman" w:eastAsia="Times New Roman" w:hAnsi="Times New Roman"/>
          <w:sz w:val="18"/>
          <w:szCs w:val="18"/>
          <w:u w:val="single" w:color="auto"/>
          <w:color w:val="auto"/>
        </w:rPr>
        <w:t>/s/William E. Macaulay</w:t>
      </w:r>
    </w:p>
    <w:p>
      <w:pPr>
        <w:spacing w:after="0" w:line="27" w:lineRule="exact"/>
        <w:rPr>
          <w:sz w:val="20"/>
          <w:szCs w:val="20"/>
          <w:color w:val="auto"/>
        </w:rPr>
      </w:pPr>
    </w:p>
    <w:p>
      <w:pPr>
        <w:jc w:val="center"/>
        <w:ind w:left="980"/>
        <w:spacing w:after="0"/>
        <w:rPr>
          <w:sz w:val="20"/>
          <w:szCs w:val="20"/>
          <w:color w:val="auto"/>
        </w:rPr>
      </w:pPr>
      <w:r>
        <w:rPr>
          <w:rFonts w:ascii="Times New Roman" w:cs="Times New Roman" w:eastAsia="Times New Roman" w:hAnsi="Times New Roman"/>
          <w:sz w:val="18"/>
          <w:szCs w:val="18"/>
          <w:color w:val="auto"/>
        </w:rPr>
        <w:t>William E. Macaulay</w:t>
      </w:r>
    </w:p>
    <w:p>
      <w:pPr>
        <w:spacing w:after="0" w:line="45" w:lineRule="exact"/>
        <w:rPr>
          <w:sz w:val="20"/>
          <w:szCs w:val="20"/>
          <w:color w:val="auto"/>
        </w:rPr>
      </w:pPr>
    </w:p>
    <w:p>
      <w:pPr>
        <w:jc w:val="center"/>
        <w:ind w:left="980"/>
        <w:spacing w:after="0"/>
        <w:rPr>
          <w:sz w:val="20"/>
          <w:szCs w:val="20"/>
          <w:color w:val="auto"/>
        </w:rPr>
      </w:pPr>
      <w:r>
        <w:rPr>
          <w:rFonts w:ascii="Times New Roman" w:cs="Times New Roman" w:eastAsia="Times New Roman" w:hAnsi="Times New Roman"/>
          <w:sz w:val="18"/>
          <w:szCs w:val="18"/>
          <w:u w:val="single" w:color="auto"/>
          <w:color w:val="auto"/>
        </w:rPr>
        <w:t>/s/Robert K. Moses, Jr.</w:t>
      </w:r>
    </w:p>
    <w:p>
      <w:pPr>
        <w:spacing w:after="0" w:line="27" w:lineRule="exact"/>
        <w:rPr>
          <w:sz w:val="20"/>
          <w:szCs w:val="20"/>
          <w:color w:val="auto"/>
        </w:rPr>
      </w:pPr>
    </w:p>
    <w:p>
      <w:pPr>
        <w:jc w:val="center"/>
        <w:ind w:left="980"/>
        <w:spacing w:after="0"/>
        <w:rPr>
          <w:sz w:val="20"/>
          <w:szCs w:val="20"/>
          <w:color w:val="auto"/>
        </w:rPr>
      </w:pPr>
      <w:r>
        <w:rPr>
          <w:rFonts w:ascii="Times New Roman" w:cs="Times New Roman" w:eastAsia="Times New Roman" w:hAnsi="Times New Roman"/>
          <w:sz w:val="18"/>
          <w:szCs w:val="18"/>
          <w:color w:val="auto"/>
        </w:rPr>
        <w:t>Robert K. Moses, Jr.</w:t>
      </w:r>
    </w:p>
    <w:p>
      <w:pPr>
        <w:spacing w:after="0" w:line="45" w:lineRule="exact"/>
        <w:rPr>
          <w:sz w:val="20"/>
          <w:szCs w:val="20"/>
          <w:color w:val="auto"/>
        </w:rPr>
      </w:pPr>
    </w:p>
    <w:p>
      <w:pPr>
        <w:jc w:val="center"/>
        <w:ind w:left="980"/>
        <w:spacing w:after="0"/>
        <w:rPr>
          <w:sz w:val="20"/>
          <w:szCs w:val="20"/>
          <w:color w:val="auto"/>
        </w:rPr>
      </w:pPr>
      <w:r>
        <w:rPr>
          <w:rFonts w:ascii="Times New Roman" w:cs="Times New Roman" w:eastAsia="Times New Roman" w:hAnsi="Times New Roman"/>
          <w:sz w:val="18"/>
          <w:szCs w:val="18"/>
          <w:u w:val="single" w:color="auto"/>
          <w:color w:val="auto"/>
        </w:rPr>
        <w:t>/s/Dr. Guillermo Ortiz</w:t>
      </w:r>
    </w:p>
    <w:p>
      <w:pPr>
        <w:spacing w:after="0" w:line="27" w:lineRule="exact"/>
        <w:rPr>
          <w:sz w:val="20"/>
          <w:szCs w:val="20"/>
          <w:color w:val="auto"/>
        </w:rPr>
      </w:pPr>
    </w:p>
    <w:p>
      <w:pPr>
        <w:jc w:val="center"/>
        <w:ind w:left="980"/>
        <w:spacing w:after="0"/>
        <w:rPr>
          <w:sz w:val="20"/>
          <w:szCs w:val="20"/>
          <w:color w:val="auto"/>
        </w:rPr>
      </w:pPr>
      <w:r>
        <w:rPr>
          <w:rFonts w:ascii="Times New Roman" w:cs="Times New Roman" w:eastAsia="Times New Roman" w:hAnsi="Times New Roman"/>
          <w:sz w:val="18"/>
          <w:szCs w:val="18"/>
          <w:color w:val="auto"/>
        </w:rPr>
        <w:t>Dr. Guillermo Ortiz</w:t>
      </w:r>
    </w:p>
    <w:p>
      <w:pPr>
        <w:spacing w:after="0" w:line="45" w:lineRule="exact"/>
        <w:rPr>
          <w:sz w:val="20"/>
          <w:szCs w:val="20"/>
          <w:color w:val="auto"/>
        </w:rPr>
      </w:pPr>
    </w:p>
    <w:p>
      <w:pPr>
        <w:jc w:val="center"/>
        <w:ind w:left="980"/>
        <w:spacing w:after="0"/>
        <w:rPr>
          <w:sz w:val="20"/>
          <w:szCs w:val="20"/>
          <w:color w:val="auto"/>
        </w:rPr>
      </w:pPr>
      <w:r>
        <w:rPr>
          <w:rFonts w:ascii="Times New Roman" w:cs="Times New Roman" w:eastAsia="Times New Roman" w:hAnsi="Times New Roman"/>
          <w:sz w:val="18"/>
          <w:szCs w:val="18"/>
          <w:u w:val="single" w:color="auto"/>
          <w:color w:val="auto"/>
        </w:rPr>
        <w:t>/s/Sir Emyr Jones Parry</w:t>
      </w:r>
    </w:p>
    <w:p>
      <w:pPr>
        <w:spacing w:after="0" w:line="27" w:lineRule="exact"/>
        <w:rPr>
          <w:sz w:val="20"/>
          <w:szCs w:val="20"/>
          <w:color w:val="auto"/>
        </w:rPr>
      </w:pPr>
    </w:p>
    <w:p>
      <w:pPr>
        <w:jc w:val="center"/>
        <w:ind w:left="980"/>
        <w:spacing w:after="0"/>
        <w:rPr>
          <w:sz w:val="20"/>
          <w:szCs w:val="20"/>
          <w:color w:val="auto"/>
        </w:rPr>
      </w:pPr>
      <w:r>
        <w:rPr>
          <w:rFonts w:ascii="Times New Roman" w:cs="Times New Roman" w:eastAsia="Times New Roman" w:hAnsi="Times New Roman"/>
          <w:sz w:val="18"/>
          <w:szCs w:val="18"/>
          <w:color w:val="auto"/>
        </w:rPr>
        <w:t>Sir Emyr Jones Parry</w:t>
      </w:r>
    </w:p>
    <w:p>
      <w:pPr>
        <w:spacing w:after="0" w:line="45" w:lineRule="exact"/>
        <w:rPr>
          <w:sz w:val="20"/>
          <w:szCs w:val="20"/>
          <w:color w:val="auto"/>
        </w:rPr>
      </w:pPr>
    </w:p>
    <w:p>
      <w:pPr>
        <w:jc w:val="center"/>
        <w:ind w:left="980"/>
        <w:spacing w:after="0"/>
        <w:rPr>
          <w:sz w:val="20"/>
          <w:szCs w:val="20"/>
          <w:color w:val="auto"/>
        </w:rPr>
      </w:pPr>
      <w:r>
        <w:rPr>
          <w:rFonts w:ascii="Times New Roman" w:cs="Times New Roman" w:eastAsia="Times New Roman" w:hAnsi="Times New Roman"/>
          <w:sz w:val="18"/>
          <w:szCs w:val="18"/>
          <w:u w:val="single" w:color="auto"/>
          <w:color w:val="auto"/>
        </w:rPr>
        <w:t>/s/Robert A. Rayne</w:t>
      </w:r>
    </w:p>
    <w:p>
      <w:pPr>
        <w:spacing w:after="0" w:line="27" w:lineRule="exact"/>
        <w:rPr>
          <w:sz w:val="20"/>
          <w:szCs w:val="20"/>
          <w:color w:val="auto"/>
        </w:rPr>
      </w:pPr>
    </w:p>
    <w:p>
      <w:pPr>
        <w:jc w:val="center"/>
        <w:ind w:left="980"/>
        <w:spacing w:after="0"/>
        <w:rPr>
          <w:sz w:val="20"/>
          <w:szCs w:val="20"/>
          <w:color w:val="auto"/>
        </w:rPr>
      </w:pPr>
      <w:r>
        <w:rPr>
          <w:rFonts w:ascii="Times New Roman" w:cs="Times New Roman" w:eastAsia="Times New Roman" w:hAnsi="Times New Roman"/>
          <w:sz w:val="18"/>
          <w:szCs w:val="18"/>
          <w:color w:val="auto"/>
        </w:rPr>
        <w:t>Robert A. Rayne</w:t>
      </w:r>
    </w:p>
    <w:p>
      <w:pPr>
        <w:spacing w:after="0" w:line="45" w:lineRule="exact"/>
        <w:rPr>
          <w:sz w:val="20"/>
          <w:szCs w:val="20"/>
          <w:color w:val="auto"/>
        </w:rPr>
      </w:pPr>
    </w:p>
    <w:p>
      <w:pPr>
        <w:jc w:val="center"/>
        <w:ind w:left="980"/>
        <w:spacing w:after="0"/>
        <w:rPr>
          <w:sz w:val="20"/>
          <w:szCs w:val="20"/>
          <w:color w:val="auto"/>
        </w:rPr>
      </w:pPr>
      <w:r>
        <w:rPr>
          <w:rFonts w:ascii="Times New Roman" w:cs="Times New Roman" w:eastAsia="Times New Roman" w:hAnsi="Times New Roman"/>
          <w:sz w:val="18"/>
          <w:szCs w:val="18"/>
          <w:u w:val="single" w:color="auto"/>
          <w:color w:val="auto"/>
        </w:rPr>
        <w:t>/s/Alejandro Cestero</w:t>
      </w:r>
    </w:p>
    <w:p>
      <w:pPr>
        <w:spacing w:after="0" w:line="27" w:lineRule="exact"/>
        <w:rPr>
          <w:sz w:val="20"/>
          <w:szCs w:val="20"/>
          <w:color w:val="auto"/>
        </w:rPr>
      </w:pPr>
    </w:p>
    <w:p>
      <w:pPr>
        <w:jc w:val="center"/>
        <w:ind w:left="980"/>
        <w:spacing w:after="0"/>
        <w:rPr>
          <w:sz w:val="20"/>
          <w:szCs w:val="20"/>
          <w:color w:val="auto"/>
        </w:rPr>
      </w:pPr>
      <w:r>
        <w:rPr>
          <w:rFonts w:ascii="Times New Roman" w:cs="Times New Roman" w:eastAsia="Times New Roman" w:hAnsi="Times New Roman"/>
          <w:sz w:val="18"/>
          <w:szCs w:val="18"/>
          <w:color w:val="auto"/>
        </w:rPr>
        <w:t>Alejandro Cestero</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36830</wp:posOffset>
            </wp:positionV>
            <wp:extent cx="41592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59250" cy="8890"/>
                    </a:xfrm>
                    <a:prstGeom prst="rect">
                      <a:avLst/>
                    </a:prstGeom>
                    <a:noFill/>
                  </pic:spPr>
                </pic:pic>
              </a:graphicData>
            </a:graphic>
          </wp:anchor>
        </w:drawing>
      </w:r>
    </w:p>
    <w:p>
      <w:pPr>
        <w:spacing w:after="0" w:line="61" w:lineRule="exact"/>
        <w:rPr>
          <w:sz w:val="20"/>
          <w:szCs w:val="20"/>
          <w:color w:val="auto"/>
        </w:rPr>
      </w:pPr>
    </w:p>
    <w:p>
      <w:pPr>
        <w:ind w:right="1760"/>
        <w:spacing w:after="0" w:line="281" w:lineRule="auto"/>
        <w:rPr>
          <w:sz w:val="20"/>
          <w:szCs w:val="20"/>
          <w:color w:val="auto"/>
        </w:rPr>
      </w:pPr>
      <w:r>
        <w:rPr>
          <w:rFonts w:ascii="Times New Roman" w:cs="Times New Roman" w:eastAsia="Times New Roman" w:hAnsi="Times New Roman"/>
          <w:sz w:val="18"/>
          <w:szCs w:val="18"/>
          <w:color w:val="auto"/>
        </w:rPr>
        <w:t>President, Chief Executive Officer, Chairman of the Board and Director (Principal Executive Officer)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and Chief Accounting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U.S. Representative</w:t>
      </w:r>
    </w:p>
    <w:p>
      <w:pPr>
        <w:sectPr>
          <w:pgSz w:w="11900" w:h="16838" w:orient="portrait"/>
          <w:cols w:equalWidth="0" w:num="2">
            <w:col w:w="3760" w:space="720"/>
            <w:col w:w="6940"/>
          </w:cols>
          <w:pgMar w:left="240" w:top="576" w:right="2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tcPr>
          <w:p>
            <w:pPr>
              <w:ind w:left="31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59"/>
        </w:trPr>
        <w:tc>
          <w:tcPr>
            <w:tcW w:w="1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Exhibit Number</w:t>
            </w:r>
          </w:p>
        </w:tc>
        <w:tc>
          <w:tcPr>
            <w:tcW w:w="9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Description</w:t>
            </w:r>
          </w:p>
        </w:tc>
      </w:tr>
      <w:tr>
        <w:trPr>
          <w:trHeight w:val="27"/>
        </w:trPr>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580" w:type="dxa"/>
            <w:vAlign w:val="bottom"/>
            <w:tcBorders>
              <w:bottom w:val="single" w:sz="8" w:color="auto"/>
            </w:tcBorders>
          </w:tcPr>
          <w:p>
            <w:pPr>
              <w:spacing w:after="0"/>
              <w:rPr>
                <w:sz w:val="2"/>
                <w:szCs w:val="2"/>
                <w:color w:val="auto"/>
              </w:rPr>
            </w:pPr>
          </w:p>
        </w:tc>
      </w:tr>
      <w:tr>
        <w:trPr>
          <w:trHeight w:val="407"/>
        </w:trPr>
        <w:tc>
          <w:tcPr>
            <w:tcW w:w="1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Memorandum and Articles of Association of Weatherford International public limited company (incorporated by reference to</w:t>
            </w:r>
          </w:p>
        </w:tc>
      </w:tr>
      <w:tr>
        <w:trPr>
          <w:trHeight w:val="234"/>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Exhibit 3.1 to Weatherford International plc’s Current Report on Form 8-K filed on June 17, 2014).</w:t>
            </w:r>
          </w:p>
        </w:tc>
      </w:tr>
      <w:tr>
        <w:trPr>
          <w:trHeight w:val="252"/>
        </w:trPr>
        <w:tc>
          <w:tcPr>
            <w:tcW w:w="1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1"/>
                <w:szCs w:val="21"/>
                <w:color w:val="auto"/>
              </w:rPr>
            </w:pPr>
          </w:p>
        </w:tc>
        <w:tc>
          <w:tcPr>
            <w:tcW w:w="9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Stock Option Agreement for Non-employee Directors, dated September 26, 2001 (incorporated by reference to Exhibit</w:t>
            </w:r>
          </w:p>
        </w:tc>
      </w:tr>
      <w:tr>
        <w:trPr>
          <w:trHeight w:val="234"/>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4.19 to the Registration Statement on Form S-8 filed on January 30, 2002).</w:t>
            </w:r>
          </w:p>
        </w:tc>
      </w:tr>
      <w:tr>
        <w:trPr>
          <w:trHeight w:val="270"/>
        </w:trPr>
        <w:tc>
          <w:tcPr>
            <w:tcW w:w="1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23"/>
                <w:szCs w:val="23"/>
                <w:color w:val="auto"/>
              </w:rPr>
            </w:pPr>
          </w:p>
        </w:tc>
        <w:tc>
          <w:tcPr>
            <w:tcW w:w="9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Opinion of Matheson regarding the legality of securities being registered.</w:t>
            </w:r>
          </w:p>
        </w:tc>
      </w:tr>
      <w:tr>
        <w:trPr>
          <w:trHeight w:val="270"/>
        </w:trPr>
        <w:tc>
          <w:tcPr>
            <w:tcW w:w="1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23"/>
                <w:szCs w:val="23"/>
                <w:color w:val="auto"/>
              </w:rPr>
            </w:pPr>
          </w:p>
        </w:tc>
        <w:tc>
          <w:tcPr>
            <w:tcW w:w="9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Consent of KPMG LLP.</w:t>
            </w:r>
          </w:p>
        </w:tc>
      </w:tr>
      <w:tr>
        <w:trPr>
          <w:trHeight w:val="270"/>
        </w:trPr>
        <w:tc>
          <w:tcPr>
            <w:tcW w:w="1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tcPr>
          <w:p>
            <w:pPr>
              <w:spacing w:after="0"/>
              <w:rPr>
                <w:sz w:val="23"/>
                <w:szCs w:val="23"/>
                <w:color w:val="auto"/>
              </w:rPr>
            </w:pPr>
          </w:p>
        </w:tc>
        <w:tc>
          <w:tcPr>
            <w:tcW w:w="9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Consent of Ernst &amp; Young LLP.</w:t>
            </w:r>
          </w:p>
        </w:tc>
      </w:tr>
      <w:tr>
        <w:trPr>
          <w:trHeight w:val="270"/>
        </w:trPr>
        <w:tc>
          <w:tcPr>
            <w:tcW w:w="1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Pr>
          <w:p>
            <w:pPr>
              <w:spacing w:after="0"/>
              <w:rPr>
                <w:sz w:val="23"/>
                <w:szCs w:val="23"/>
                <w:color w:val="auto"/>
              </w:rPr>
            </w:pPr>
          </w:p>
        </w:tc>
        <w:tc>
          <w:tcPr>
            <w:tcW w:w="9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Consent of Matheson (included in Exhibit 5.1).</w:t>
            </w:r>
          </w:p>
        </w:tc>
      </w:tr>
      <w:tr>
        <w:trPr>
          <w:trHeight w:val="270"/>
        </w:trPr>
        <w:tc>
          <w:tcPr>
            <w:tcW w:w="1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tcPr>
          <w:p>
            <w:pPr>
              <w:spacing w:after="0"/>
              <w:rPr>
                <w:sz w:val="23"/>
                <w:szCs w:val="23"/>
                <w:color w:val="auto"/>
              </w:rPr>
            </w:pPr>
          </w:p>
        </w:tc>
        <w:tc>
          <w:tcPr>
            <w:tcW w:w="9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Power of Attorney (included on the signature page to the Registration Statement).</w:t>
            </w:r>
          </w:p>
        </w:tc>
      </w:tr>
    </w:tbl>
    <w:p>
      <w:pPr>
        <w:sectPr>
          <w:pgSz w:w="11900" w:h="16838" w:orient="portrait"/>
          <w:cols w:equalWidth="0" w:num="1">
            <w:col w:w="11420"/>
          </w:cols>
          <w:pgMar w:left="240" w:top="738" w:right="2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88265</wp:posOffset>
            </wp:positionV>
            <wp:extent cx="3164205" cy="13208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64205" cy="1320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Weatherford International plc</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Alpenstrasse 15</w:t>
      </w:r>
    </w:p>
    <w:p>
      <w:pPr>
        <w:ind w:left="40"/>
        <w:spacing w:after="0"/>
        <w:rPr>
          <w:sz w:val="20"/>
          <w:szCs w:val="20"/>
          <w:color w:val="auto"/>
        </w:rPr>
      </w:pPr>
      <w:r>
        <w:rPr>
          <w:rFonts w:ascii="Times New Roman" w:cs="Times New Roman" w:eastAsia="Times New Roman" w:hAnsi="Times New Roman"/>
          <w:sz w:val="20"/>
          <w:szCs w:val="20"/>
          <w:color w:val="auto"/>
        </w:rPr>
        <w:t>6300 Zug</w:t>
      </w:r>
    </w:p>
    <w:p>
      <w:pPr>
        <w:ind w:left="40"/>
        <w:spacing w:after="0"/>
        <w:rPr>
          <w:sz w:val="20"/>
          <w:szCs w:val="20"/>
          <w:color w:val="auto"/>
        </w:rPr>
      </w:pPr>
      <w:r>
        <w:rPr>
          <w:rFonts w:ascii="Times New Roman" w:cs="Times New Roman" w:eastAsia="Times New Roman" w:hAnsi="Times New Roman"/>
          <w:sz w:val="20"/>
          <w:szCs w:val="20"/>
          <w:color w:val="auto"/>
        </w:rPr>
        <w:t>Switzerland</w:t>
      </w:r>
    </w:p>
    <w:p>
      <w:pPr>
        <w:spacing w:after="0" w:line="396" w:lineRule="exact"/>
        <w:rPr>
          <w:sz w:val="20"/>
          <w:szCs w:val="20"/>
          <w:color w:val="auto"/>
        </w:rPr>
      </w:pPr>
    </w:p>
    <w:p>
      <w:pPr>
        <w:ind w:left="40" w:right="2220"/>
        <w:spacing w:after="0" w:line="282" w:lineRule="auto"/>
        <w:rPr>
          <w:sz w:val="20"/>
          <w:szCs w:val="20"/>
          <w:color w:val="auto"/>
        </w:rPr>
      </w:pPr>
      <w:r>
        <w:rPr>
          <w:rFonts w:ascii="Times New Roman" w:cs="Times New Roman" w:eastAsia="Times New Roman" w:hAnsi="Times New Roman"/>
          <w:sz w:val="20"/>
          <w:szCs w:val="20"/>
          <w:color w:val="auto"/>
        </w:rPr>
        <w:t>Our Ref Your Ref 17 June 2014 FBO 661725.4</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Sirs</w:t>
      </w:r>
    </w:p>
    <w:p>
      <w:pPr>
        <w:spacing w:after="0" w:line="266" w:lineRule="exact"/>
        <w:rPr>
          <w:sz w:val="20"/>
          <w:szCs w:val="20"/>
          <w:color w:val="auto"/>
        </w:rPr>
      </w:pPr>
    </w:p>
    <w:p>
      <w:pPr>
        <w:ind w:right="5200"/>
        <w:spacing w:after="0" w:line="273" w:lineRule="auto"/>
        <w:rPr>
          <w:sz w:val="20"/>
          <w:szCs w:val="20"/>
          <w:color w:val="auto"/>
        </w:rPr>
      </w:pPr>
      <w:r>
        <w:rPr>
          <w:rFonts w:ascii="Times New Roman" w:cs="Times New Roman" w:eastAsia="Times New Roman" w:hAnsi="Times New Roman"/>
          <w:sz w:val="20"/>
          <w:szCs w:val="20"/>
          <w:b w:val="1"/>
          <w:bCs w:val="1"/>
          <w:color w:val="auto"/>
        </w:rPr>
        <w:t>Weatherford International plc, an Irish public company limited by shares Post-Effective Amendment on Form S-8 (File No. 333-81676)</w:t>
      </w:r>
    </w:p>
    <w:p>
      <w:pPr>
        <w:spacing w:after="0" w:line="17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have acted on behalf of Weatherford International plc, a public limited company incorporated under the laws of Ireland with company number 540406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in connection with the post-effective amendment to the registration statement on Form S-8 (File No. 333-81676) (the “</w:t>
      </w:r>
      <w:r>
        <w:rPr>
          <w:rFonts w:ascii="Times New Roman" w:cs="Times New Roman" w:eastAsia="Times New Roman" w:hAnsi="Times New Roman"/>
          <w:sz w:val="20"/>
          <w:szCs w:val="20"/>
          <w:b w:val="1"/>
          <w:bCs w:val="1"/>
          <w:color w:val="auto"/>
        </w:rPr>
        <w:t>Post-Effective Amendment</w:t>
      </w:r>
      <w:r>
        <w:rPr>
          <w:rFonts w:ascii="Times New Roman" w:cs="Times New Roman" w:eastAsia="Times New Roman" w:hAnsi="Times New Roman"/>
          <w:sz w:val="20"/>
          <w:szCs w:val="20"/>
          <w:color w:val="auto"/>
        </w:rPr>
        <w:t>”) to be filed by the Company, pursuant to the Securities Act of 1933 of the United States of America, as amended (the “</w:t>
      </w:r>
      <w:r>
        <w:rPr>
          <w:rFonts w:ascii="Times New Roman" w:cs="Times New Roman" w:eastAsia="Times New Roman" w:hAnsi="Times New Roman"/>
          <w:sz w:val="20"/>
          <w:szCs w:val="20"/>
          <w:b w:val="1"/>
          <w:bCs w:val="1"/>
          <w:color w:val="auto"/>
        </w:rPr>
        <w:t>Securities Act</w:t>
      </w:r>
      <w:r>
        <w:rPr>
          <w:rFonts w:ascii="Times New Roman" w:cs="Times New Roman" w:eastAsia="Times New Roman" w:hAnsi="Times New Roman"/>
          <w:sz w:val="20"/>
          <w:szCs w:val="20"/>
          <w:color w:val="auto"/>
        </w:rPr>
        <w:t>”), with the Securities and Exchange Commission of the United States of America (the “</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with respect to the Company’s ordinary shares (nominal value of US$0.001 per share) (the “</w:t>
      </w:r>
      <w:r>
        <w:rPr>
          <w:rFonts w:ascii="Times New Roman" w:cs="Times New Roman" w:eastAsia="Times New Roman" w:hAnsi="Times New Roman"/>
          <w:sz w:val="20"/>
          <w:szCs w:val="20"/>
          <w:b w:val="1"/>
          <w:bCs w:val="1"/>
          <w:color w:val="auto"/>
        </w:rPr>
        <w:t>Shares</w:t>
      </w:r>
      <w:r>
        <w:rPr>
          <w:rFonts w:ascii="Times New Roman" w:cs="Times New Roman" w:eastAsia="Times New Roman" w:hAnsi="Times New Roman"/>
          <w:sz w:val="20"/>
          <w:szCs w:val="20"/>
          <w:color w:val="auto"/>
        </w:rPr>
        <w:t>”) to be issued and delivered under the Stock Option Agreements dated 26 September 2001 with Non-Employee Directors (together, the “</w:t>
      </w:r>
      <w:r>
        <w:rPr>
          <w:rFonts w:ascii="Times New Roman" w:cs="Times New Roman" w:eastAsia="Times New Roman" w:hAnsi="Times New Roman"/>
          <w:sz w:val="20"/>
          <w:szCs w:val="20"/>
          <w:b w:val="1"/>
          <w:bCs w:val="1"/>
          <w:color w:val="auto"/>
        </w:rPr>
        <w:t>Plan</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ind w:left="620" w:hanging="612"/>
        <w:spacing w:after="0"/>
        <w:tabs>
          <w:tab w:leader="none" w:pos="6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Scope of appointment and basis of opinion</w:t>
      </w:r>
    </w:p>
    <w:p>
      <w:pPr>
        <w:spacing w:after="0" w:line="220"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19"/>
          <w:szCs w:val="19"/>
          <w:color w:val="auto"/>
        </w:rPr>
        <w:t>We have been requested by the Company to provide this opinion.</w:t>
      </w:r>
    </w:p>
    <w:p>
      <w:pPr>
        <w:spacing w:after="0" w:line="21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1.2</w:t>
      </w:r>
      <w:r>
        <w:rPr>
          <w:sz w:val="20"/>
          <w:szCs w:val="20"/>
          <w:color w:val="auto"/>
        </w:rPr>
        <w:tab/>
      </w:r>
      <w:r>
        <w:rPr>
          <w:rFonts w:ascii="Times New Roman" w:cs="Times New Roman" w:eastAsia="Times New Roman" w:hAnsi="Times New Roman"/>
          <w:sz w:val="19"/>
          <w:szCs w:val="19"/>
          <w:color w:val="auto"/>
        </w:rPr>
        <w:t>For the purpose of giving this opinion, we have examined:</w:t>
      </w:r>
    </w:p>
    <w:p>
      <w:pPr>
        <w:spacing w:after="0" w:line="54" w:lineRule="exact"/>
        <w:rPr>
          <w:sz w:val="20"/>
          <w:szCs w:val="20"/>
          <w:color w:val="auto"/>
        </w:rPr>
      </w:pPr>
    </w:p>
    <w:p>
      <w:pPr>
        <w:ind w:left="1260" w:hanging="644"/>
        <w:spacing w:after="0"/>
        <w:tabs>
          <w:tab w:leader="none" w:pos="12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final form of the Post-Effective Amendment to be filed by the Company with the SEC;</w:t>
      </w:r>
    </w:p>
    <w:p>
      <w:pPr>
        <w:spacing w:after="0" w:line="269" w:lineRule="exact"/>
        <w:rPr>
          <w:rFonts w:ascii="Times New Roman" w:cs="Times New Roman" w:eastAsia="Times New Roman" w:hAnsi="Times New Roman"/>
          <w:sz w:val="20"/>
          <w:szCs w:val="20"/>
          <w:color w:val="auto"/>
        </w:rPr>
      </w:pPr>
    </w:p>
    <w:p>
      <w:pPr>
        <w:ind w:left="1260" w:hanging="644"/>
        <w:spacing w:after="0" w:line="269" w:lineRule="auto"/>
        <w:tabs>
          <w:tab w:leader="none" w:pos="12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copy of the memorandum and articles of association of the Company, certified by the secretary of the Company as being true, complete and up-to-date;</w:t>
      </w:r>
    </w:p>
    <w:p>
      <w:pPr>
        <w:spacing w:after="0" w:line="159" w:lineRule="exact"/>
        <w:rPr>
          <w:rFonts w:ascii="Times New Roman" w:cs="Times New Roman" w:eastAsia="Times New Roman" w:hAnsi="Times New Roman"/>
          <w:sz w:val="20"/>
          <w:szCs w:val="20"/>
          <w:color w:val="auto"/>
        </w:rPr>
      </w:pPr>
    </w:p>
    <w:p>
      <w:pPr>
        <w:ind w:left="1260" w:right="20" w:hanging="644"/>
        <w:spacing w:after="0" w:line="269" w:lineRule="auto"/>
        <w:tabs>
          <w:tab w:leader="none" w:pos="12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copy minutes of a meeting of the board of directors’ of the Company held on 3 March 2014 and 6 June 2014, certified by the secretary to be a true and complete copy of those board minutes which have not since been amended or rescinded;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278765</wp:posOffset>
            </wp:positionV>
            <wp:extent cx="5848985" cy="9861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48985" cy="98615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8" w:name="page9"/>
    <w:bookmarkEnd w:id="8"/>
    <w:p>
      <w:pPr>
        <w:ind w:left="1260" w:right="20" w:hanging="644"/>
        <w:spacing w:after="0" w:line="269" w:lineRule="auto"/>
        <w:tabs>
          <w:tab w:leader="none" w:pos="12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5920740</wp:posOffset>
            </wp:positionH>
            <wp:positionV relativeFrom="page">
              <wp:posOffset>88900</wp:posOffset>
            </wp:positionV>
            <wp:extent cx="1483360" cy="2057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483360" cy="205740"/>
                    </a:xfrm>
                    <a:prstGeom prst="rect">
                      <a:avLst/>
                    </a:prstGeom>
                    <a:noFill/>
                  </pic:spPr>
                </pic:pic>
              </a:graphicData>
            </a:graphic>
          </wp:anchor>
        </w:drawing>
        <w:t>copy written resolutions of the shareholders of the Company dated 6 June 2014, certified by the secretary to be true and complete copies of those shareholders’ resolutions which have not since been amended or rescinded;</w:t>
      </w:r>
    </w:p>
    <w:p>
      <w:pPr>
        <w:spacing w:after="0" w:line="155" w:lineRule="exact"/>
        <w:rPr>
          <w:rFonts w:ascii="Times New Roman" w:cs="Times New Roman" w:eastAsia="Times New Roman" w:hAnsi="Times New Roman"/>
          <w:sz w:val="20"/>
          <w:szCs w:val="20"/>
          <w:color w:val="auto"/>
        </w:rPr>
      </w:pPr>
    </w:p>
    <w:p>
      <w:pPr>
        <w:ind w:left="1260" w:hanging="644"/>
        <w:spacing w:after="0"/>
        <w:tabs>
          <w:tab w:leader="none" w:pos="12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certificate of the secretary of the Company (the “</w:t>
      </w:r>
      <w:r>
        <w:rPr>
          <w:rFonts w:ascii="Times New Roman" w:cs="Times New Roman" w:eastAsia="Times New Roman" w:hAnsi="Times New Roman"/>
          <w:sz w:val="20"/>
          <w:szCs w:val="20"/>
          <w:b w:val="1"/>
          <w:bCs w:val="1"/>
          <w:color w:val="auto"/>
        </w:rPr>
        <w:t>Certificate</w:t>
      </w:r>
      <w:r>
        <w:rPr>
          <w:rFonts w:ascii="Times New Roman" w:cs="Times New Roman" w:eastAsia="Times New Roman" w:hAnsi="Times New Roman"/>
          <w:sz w:val="20"/>
          <w:szCs w:val="20"/>
          <w:color w:val="auto"/>
        </w:rPr>
        <w:t>”); and</w:t>
      </w:r>
    </w:p>
    <w:p>
      <w:pPr>
        <w:spacing w:after="0" w:line="219" w:lineRule="exact"/>
        <w:rPr>
          <w:rFonts w:ascii="Times New Roman" w:cs="Times New Roman" w:eastAsia="Times New Roman" w:hAnsi="Times New Roman"/>
          <w:sz w:val="20"/>
          <w:szCs w:val="20"/>
          <w:color w:val="auto"/>
        </w:rPr>
      </w:pPr>
    </w:p>
    <w:p>
      <w:pPr>
        <w:jc w:val="both"/>
        <w:ind w:left="1260" w:hanging="644"/>
        <w:spacing w:after="0" w:line="254" w:lineRule="auto"/>
        <w:tabs>
          <w:tab w:leader="none" w:pos="12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facsimile copy of the results of searches made on 16 June 2014 at the Irish Companies Registration Office, in the Register of Winding Up Petitions at the Central Office of the High Court of Ireland and at the Judgments’ Office in the Central Office of the High Court of Ireland against the Company (together the “</w:t>
      </w:r>
      <w:r>
        <w:rPr>
          <w:rFonts w:ascii="Times New Roman" w:cs="Times New Roman" w:eastAsia="Times New Roman" w:hAnsi="Times New Roman"/>
          <w:sz w:val="20"/>
          <w:szCs w:val="20"/>
          <w:b w:val="1"/>
          <w:bCs w:val="1"/>
          <w:color w:val="auto"/>
        </w:rPr>
        <w:t>Searches</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left="620" w:hanging="620"/>
        <w:spacing w:after="0" w:line="254" w:lineRule="auto"/>
        <w:tabs>
          <w:tab w:leader="none" w:pos="600" w:val="left"/>
        </w:tabs>
        <w:rPr>
          <w:sz w:val="20"/>
          <w:szCs w:val="20"/>
          <w:color w:val="auto"/>
        </w:rPr>
      </w:pPr>
      <w:r>
        <w:rPr>
          <w:rFonts w:ascii="Times New Roman" w:cs="Times New Roman" w:eastAsia="Times New Roman" w:hAnsi="Times New Roman"/>
          <w:sz w:val="20"/>
          <w:szCs w:val="20"/>
          <w:color w:val="auto"/>
        </w:rPr>
        <w:t>1.3</w:t>
      </w:r>
      <w:r>
        <w:rPr>
          <w:sz w:val="20"/>
          <w:szCs w:val="20"/>
          <w:color w:val="auto"/>
        </w:rPr>
        <w:tab/>
      </w:r>
      <w:r>
        <w:rPr>
          <w:rFonts w:ascii="Times New Roman" w:cs="Times New Roman" w:eastAsia="Times New Roman" w:hAnsi="Times New Roman"/>
          <w:sz w:val="20"/>
          <w:szCs w:val="20"/>
          <w:color w:val="auto"/>
        </w:rPr>
        <w:t>We have made no searches or enquiries concerning, and we have not examined any contracts, instruments or documents entered into by or affecting the Company or any other person, or any corporate records of the aforesaid, save for those searches, enquiries, contracts, instruments, documents or corporate records specified as being made or examined in this opinion.</w:t>
      </w:r>
    </w:p>
    <w:p>
      <w:pPr>
        <w:spacing w:after="0" w:line="175" w:lineRule="exact"/>
        <w:rPr>
          <w:sz w:val="20"/>
          <w:szCs w:val="20"/>
          <w:color w:val="auto"/>
        </w:rPr>
      </w:pPr>
    </w:p>
    <w:p>
      <w:pPr>
        <w:jc w:val="both"/>
        <w:ind w:left="620" w:hanging="620"/>
        <w:spacing w:after="0" w:line="249" w:lineRule="auto"/>
        <w:tabs>
          <w:tab w:leader="none" w:pos="600" w:val="left"/>
        </w:tabs>
        <w:rPr>
          <w:sz w:val="20"/>
          <w:szCs w:val="20"/>
          <w:color w:val="auto"/>
        </w:rPr>
      </w:pPr>
      <w:r>
        <w:rPr>
          <w:rFonts w:ascii="Times New Roman" w:cs="Times New Roman" w:eastAsia="Times New Roman" w:hAnsi="Times New Roman"/>
          <w:sz w:val="20"/>
          <w:szCs w:val="20"/>
          <w:color w:val="auto"/>
        </w:rPr>
        <w:t>1.4</w:t>
      </w:r>
      <w:r>
        <w:rPr>
          <w:sz w:val="20"/>
          <w:szCs w:val="20"/>
          <w:color w:val="auto"/>
        </w:rPr>
        <w:tab/>
      </w:r>
      <w:r>
        <w:rPr>
          <w:rFonts w:ascii="Times New Roman" w:cs="Times New Roman" w:eastAsia="Times New Roman" w:hAnsi="Times New Roman"/>
          <w:sz w:val="20"/>
          <w:szCs w:val="20"/>
          <w:color w:val="auto"/>
        </w:rPr>
        <w:t>We express no opinion and make no representation or warranty as to any matter of fact. Furthermore, we have not been responsible for the investigation or verification of the facts or the reasonableness of any assumption or statements of opinion contained or represented by the Company in the Post-Effective Amendment or the Plan nor have we attempted to determine whether any material facts have been omitted therefrom.</w:t>
      </w:r>
    </w:p>
    <w:p>
      <w:pPr>
        <w:spacing w:after="0" w:line="180" w:lineRule="exact"/>
        <w:rPr>
          <w:sz w:val="20"/>
          <w:szCs w:val="20"/>
          <w:color w:val="auto"/>
        </w:rPr>
      </w:pPr>
    </w:p>
    <w:p>
      <w:pPr>
        <w:jc w:val="both"/>
        <w:ind w:left="620" w:hanging="620"/>
        <w:spacing w:after="0" w:line="254" w:lineRule="auto"/>
        <w:tabs>
          <w:tab w:leader="none" w:pos="600" w:val="left"/>
        </w:tabs>
        <w:rPr>
          <w:sz w:val="20"/>
          <w:szCs w:val="20"/>
          <w:color w:val="auto"/>
        </w:rPr>
      </w:pPr>
      <w:r>
        <w:rPr>
          <w:rFonts w:ascii="Times New Roman" w:cs="Times New Roman" w:eastAsia="Times New Roman" w:hAnsi="Times New Roman"/>
          <w:sz w:val="20"/>
          <w:szCs w:val="20"/>
          <w:color w:val="auto"/>
        </w:rPr>
        <w:t>1.5</w:t>
      </w:r>
      <w:r>
        <w:rPr>
          <w:sz w:val="20"/>
          <w:szCs w:val="20"/>
          <w:color w:val="auto"/>
        </w:rPr>
        <w:tab/>
      </w:r>
      <w:r>
        <w:rPr>
          <w:rFonts w:ascii="Times New Roman" w:cs="Times New Roman" w:eastAsia="Times New Roman" w:hAnsi="Times New Roman"/>
          <w:sz w:val="20"/>
          <w:szCs w:val="20"/>
          <w:color w:val="auto"/>
        </w:rPr>
        <w:t>We have not investigated the laws of any country other than Ireland and this opinion is given only with respect to the laws of Ireland in effect at the date of this opinion. We have assumed, without enquiry, that there is nothing in the laws of any other jurisdiction which would or might affect the opinions as stated herein.</w:t>
      </w:r>
    </w:p>
    <w:p>
      <w:pPr>
        <w:spacing w:after="0" w:line="175" w:lineRule="exact"/>
        <w:rPr>
          <w:sz w:val="20"/>
          <w:szCs w:val="20"/>
          <w:color w:val="auto"/>
        </w:rPr>
      </w:pPr>
    </w:p>
    <w:p>
      <w:pPr>
        <w:jc w:val="both"/>
        <w:ind w:left="620" w:right="20" w:hanging="620"/>
        <w:spacing w:after="0" w:line="254" w:lineRule="auto"/>
        <w:tabs>
          <w:tab w:leader="none" w:pos="600" w:val="left"/>
        </w:tabs>
        <w:rPr>
          <w:sz w:val="20"/>
          <w:szCs w:val="20"/>
          <w:color w:val="auto"/>
        </w:rPr>
      </w:pPr>
      <w:r>
        <w:rPr>
          <w:rFonts w:ascii="Times New Roman" w:cs="Times New Roman" w:eastAsia="Times New Roman" w:hAnsi="Times New Roman"/>
          <w:sz w:val="20"/>
          <w:szCs w:val="20"/>
          <w:color w:val="auto"/>
        </w:rPr>
        <w:t>1.6</w:t>
      </w:r>
      <w:r>
        <w:rPr>
          <w:sz w:val="20"/>
          <w:szCs w:val="20"/>
          <w:color w:val="auto"/>
        </w:rPr>
        <w:tab/>
      </w:r>
      <w:r>
        <w:rPr>
          <w:rFonts w:ascii="Times New Roman" w:cs="Times New Roman" w:eastAsia="Times New Roman" w:hAnsi="Times New Roman"/>
          <w:sz w:val="20"/>
          <w:szCs w:val="20"/>
          <w:color w:val="auto"/>
        </w:rPr>
        <w:t>This opinion is to be construed in accordance with, and governed by, the laws of Ireland, and is given solely on the basis that any issues of interpretation or liability arising hereunder may only be brought before the Irish courts, which will have exclusive jurisdiction in respect of such matters.</w:t>
      </w:r>
    </w:p>
    <w:p>
      <w:pPr>
        <w:spacing w:after="0" w:line="175" w:lineRule="exact"/>
        <w:rPr>
          <w:sz w:val="20"/>
          <w:szCs w:val="20"/>
          <w:color w:val="auto"/>
        </w:rPr>
      </w:pPr>
    </w:p>
    <w:p>
      <w:pPr>
        <w:jc w:val="both"/>
        <w:ind w:left="620" w:hanging="620"/>
        <w:spacing w:after="0" w:line="244" w:lineRule="auto"/>
        <w:tabs>
          <w:tab w:leader="none" w:pos="600" w:val="left"/>
        </w:tabs>
        <w:rPr>
          <w:sz w:val="20"/>
          <w:szCs w:val="20"/>
          <w:color w:val="auto"/>
        </w:rPr>
      </w:pPr>
      <w:r>
        <w:rPr>
          <w:rFonts w:ascii="Times New Roman" w:cs="Times New Roman" w:eastAsia="Times New Roman" w:hAnsi="Times New Roman"/>
          <w:sz w:val="20"/>
          <w:szCs w:val="20"/>
          <w:color w:val="auto"/>
        </w:rPr>
        <w:t>1.7</w:t>
      </w:r>
      <w:r>
        <w:rPr>
          <w:sz w:val="20"/>
          <w:szCs w:val="20"/>
          <w:color w:val="auto"/>
        </w:rPr>
        <w:tab/>
      </w:r>
      <w:r>
        <w:rPr>
          <w:rFonts w:ascii="Times New Roman" w:cs="Times New Roman" w:eastAsia="Times New Roman" w:hAnsi="Times New Roman"/>
          <w:sz w:val="20"/>
          <w:szCs w:val="20"/>
          <w:color w:val="auto"/>
        </w:rPr>
        <w:t>This opinion is delivered in connection with the filing of the Post-Effective Amendment with the SEC and is strictly limited to the matters stated herein and does not extend to, and is not to be read as extending by implication to, any other matter. We hereby consent to the filing of this opinion as an exhibit to the Post-Effective Amendment and to the use of our name therein. In giving this consent, we do not hereby admit that we come within the category of persons whose consent is required under section 7 of the Securities Act or the rules and regulations of the SEC promulgated thereunder. This opinion is furnished to you and the persons entitled to rely upon it pursuant to the applicable provisions of the Securities Act for use in connection with the filing of the Post-Effective Amendment and is not to be use, circulated, quoted or otherwise referred to for any other purpose without our express written consent.</w:t>
      </w:r>
    </w:p>
    <w:p>
      <w:pPr>
        <w:spacing w:after="0" w:line="18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1.8</w:t>
      </w:r>
      <w:r>
        <w:rPr>
          <w:sz w:val="20"/>
          <w:szCs w:val="20"/>
          <w:color w:val="auto"/>
        </w:rPr>
        <w:tab/>
      </w:r>
      <w:r>
        <w:rPr>
          <w:rFonts w:ascii="Times New Roman" w:cs="Times New Roman" w:eastAsia="Times New Roman" w:hAnsi="Times New Roman"/>
          <w:sz w:val="19"/>
          <w:szCs w:val="19"/>
          <w:color w:val="auto"/>
        </w:rPr>
        <w:t>We assume no obligation to update the opinions set forth in this letter.</w:t>
      </w:r>
    </w:p>
    <w:p>
      <w:pPr>
        <w:spacing w:after="0" w:line="212" w:lineRule="exact"/>
        <w:rPr>
          <w:sz w:val="20"/>
          <w:szCs w:val="20"/>
          <w:color w:val="auto"/>
        </w:rPr>
      </w:pPr>
    </w:p>
    <w:p>
      <w:pPr>
        <w:ind w:left="620" w:hanging="612"/>
        <w:spacing w:after="0"/>
        <w:tabs>
          <w:tab w:leader="none" w:pos="6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Assumptions</w:t>
      </w:r>
    </w:p>
    <w:p>
      <w:pPr>
        <w:spacing w:after="0" w:line="219" w:lineRule="exact"/>
        <w:rPr>
          <w:rFonts w:ascii="Times New Roman" w:cs="Times New Roman" w:eastAsia="Times New Roman" w:hAnsi="Times New Roman"/>
          <w:sz w:val="20"/>
          <w:szCs w:val="20"/>
          <w:color w:val="auto"/>
        </w:rPr>
      </w:pPr>
    </w:p>
    <w:p>
      <w:pPr>
        <w:ind w:left="6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purpose of giving this opinion we have assumed:</w:t>
      </w:r>
    </w:p>
    <w:p>
      <w:pPr>
        <w:spacing w:after="0" w:line="215" w:lineRule="exact"/>
        <w:rPr>
          <w:rFonts w:ascii="Times New Roman" w:cs="Times New Roman" w:eastAsia="Times New Roman" w:hAnsi="Times New Roman"/>
          <w:sz w:val="20"/>
          <w:szCs w:val="20"/>
          <w:color w:val="auto"/>
        </w:rPr>
      </w:pPr>
    </w:p>
    <w:p>
      <w:pPr>
        <w:ind w:left="1260" w:hanging="644"/>
        <w:spacing w:after="0"/>
        <w:tabs>
          <w:tab w:leader="none" w:pos="126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authenticity and completeness of all documents submitted to us as originals;</w:t>
      </w:r>
    </w:p>
    <w:p>
      <w:pPr>
        <w:spacing w:after="0" w:line="215" w:lineRule="exact"/>
        <w:rPr>
          <w:rFonts w:ascii="Times New Roman" w:cs="Times New Roman" w:eastAsia="Times New Roman" w:hAnsi="Times New Roman"/>
          <w:sz w:val="20"/>
          <w:szCs w:val="20"/>
          <w:color w:val="auto"/>
        </w:rPr>
      </w:pPr>
    </w:p>
    <w:p>
      <w:pPr>
        <w:ind w:left="1260" w:hanging="644"/>
        <w:spacing w:after="0" w:line="269" w:lineRule="auto"/>
        <w:tabs>
          <w:tab w:leader="none" w:pos="126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completeness and conformity to originals of all documents supplied to us as certified, conformed or photostatic copies or received by us by facsimile or email transmission and the authenticity and completeness of the originals of such documents;</w:t>
      </w:r>
    </w:p>
    <w:p>
      <w:pPr>
        <w:spacing w:after="0" w:line="159" w:lineRule="exact"/>
        <w:rPr>
          <w:rFonts w:ascii="Times New Roman" w:cs="Times New Roman" w:eastAsia="Times New Roman" w:hAnsi="Times New Roman"/>
          <w:sz w:val="20"/>
          <w:szCs w:val="20"/>
          <w:color w:val="auto"/>
        </w:rPr>
      </w:pPr>
    </w:p>
    <w:p>
      <w:pPr>
        <w:ind w:left="1260" w:hanging="644"/>
        <w:spacing w:after="0"/>
        <w:tabs>
          <w:tab w:leader="none" w:pos="126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genuineness of the signatures and seals on all original and copy documents which we have examined;</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999999"/>
        </w:rPr>
        <w:t>30574266.1</w:t>
      </w:r>
    </w:p>
    <w:p>
      <w:pPr>
        <w:sectPr>
          <w:pgSz w:w="11900" w:h="16838" w:orient="portrait"/>
          <w:cols w:equalWidth="0" w:num="1">
            <w:col w:w="11420"/>
          </w:cols>
          <w:pgMar w:left="240" w:top="913" w:right="239" w:bottom="1440" w:gutter="0" w:footer="0" w:header="0"/>
        </w:sectPr>
      </w:pPr>
    </w:p>
    <w:bookmarkStart w:id="9" w:name="page10"/>
    <w:bookmarkEnd w:id="9"/>
    <w:p>
      <w:pPr>
        <w:jc w:val="both"/>
        <w:ind w:left="1260" w:hanging="644"/>
        <w:spacing w:after="0" w:line="249" w:lineRule="auto"/>
        <w:tabs>
          <w:tab w:leader="none" w:pos="12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5920740</wp:posOffset>
            </wp:positionH>
            <wp:positionV relativeFrom="page">
              <wp:posOffset>88900</wp:posOffset>
            </wp:positionV>
            <wp:extent cx="1483360" cy="2057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483360" cy="205740"/>
                    </a:xfrm>
                    <a:prstGeom prst="rect">
                      <a:avLst/>
                    </a:prstGeom>
                    <a:noFill/>
                  </pic:spPr>
                </pic:pic>
              </a:graphicData>
            </a:graphic>
          </wp:anchor>
        </w:drawing>
        <w:t>that the proceedings described in the copy minutes of the meeting of the board of directors of the Company referred to above and examined for the purposes of this opinion were conducted in the manner therein described, that the meeting was properly convened and constituted and that the resolutions referred to therein were duly passed and adopted and have not since been amended or rescinded;</w:t>
      </w:r>
    </w:p>
    <w:p>
      <w:pPr>
        <w:spacing w:after="0" w:line="180" w:lineRule="exact"/>
        <w:rPr>
          <w:rFonts w:ascii="Times New Roman" w:cs="Times New Roman" w:eastAsia="Times New Roman" w:hAnsi="Times New Roman"/>
          <w:sz w:val="20"/>
          <w:szCs w:val="20"/>
          <w:color w:val="auto"/>
        </w:rPr>
      </w:pPr>
    </w:p>
    <w:p>
      <w:pPr>
        <w:ind w:left="1260" w:hanging="644"/>
        <w:spacing w:after="0" w:line="269" w:lineRule="auto"/>
        <w:tabs>
          <w:tab w:leader="none" w:pos="12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the written resolutions of the shareholders referred to above were duly passed and adopted and have not since been amended or rescinded;</w:t>
      </w:r>
    </w:p>
    <w:p>
      <w:pPr>
        <w:spacing w:after="0" w:line="159" w:lineRule="exact"/>
        <w:rPr>
          <w:rFonts w:ascii="Times New Roman" w:cs="Times New Roman" w:eastAsia="Times New Roman" w:hAnsi="Times New Roman"/>
          <w:sz w:val="20"/>
          <w:szCs w:val="20"/>
          <w:color w:val="auto"/>
        </w:rPr>
      </w:pPr>
    </w:p>
    <w:p>
      <w:pPr>
        <w:jc w:val="both"/>
        <w:ind w:left="1260" w:hanging="644"/>
        <w:spacing w:after="0" w:line="243" w:lineRule="auto"/>
        <w:tabs>
          <w:tab w:leader="none" w:pos="12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at the time of the allotment of any Shares: (i) the Company will have a sufficient number of authorised but unissued Shares in its capital (at least equal to the number of Shares to be allotted and issued); (ii) the directors of the Company will have been generally and unconditionally authorised by ordinary resolution of the shareholders, in accordance with section 20 of the Companies (Amendment) Act 1983, as amended (the “</w:t>
      </w:r>
      <w:r>
        <w:rPr>
          <w:rFonts w:ascii="Times New Roman" w:cs="Times New Roman" w:eastAsia="Times New Roman" w:hAnsi="Times New Roman"/>
          <w:sz w:val="20"/>
          <w:szCs w:val="20"/>
          <w:b w:val="1"/>
          <w:bCs w:val="1"/>
          <w:color w:val="auto"/>
        </w:rPr>
        <w:t>1983 Act</w:t>
      </w:r>
      <w:r>
        <w:rPr>
          <w:rFonts w:ascii="Times New Roman" w:cs="Times New Roman" w:eastAsia="Times New Roman" w:hAnsi="Times New Roman"/>
          <w:sz w:val="20"/>
          <w:szCs w:val="20"/>
          <w:color w:val="auto"/>
        </w:rPr>
        <w:t>”), to allot a sufficient number of Shares (at least equal to the number of Shares to be allotted and issued); and (iii) if issued for cash consideration, such Shares will be allotted and issued in accordance with section 23(1) of the 1983 Act or the directors will have been empowered, by special resolution of the shareholders, passed in accordance with section 23 and section 24(1) of the 1983 Act, to allot and issue such Shares as of the said section 23(1) did not apply to such allotment and issue;</w:t>
      </w:r>
    </w:p>
    <w:p>
      <w:pPr>
        <w:spacing w:after="0" w:line="189" w:lineRule="exact"/>
        <w:rPr>
          <w:rFonts w:ascii="Times New Roman" w:cs="Times New Roman" w:eastAsia="Times New Roman" w:hAnsi="Times New Roman"/>
          <w:sz w:val="20"/>
          <w:szCs w:val="20"/>
          <w:color w:val="auto"/>
        </w:rPr>
      </w:pPr>
    </w:p>
    <w:p>
      <w:pPr>
        <w:ind w:left="1260" w:hanging="644"/>
        <w:spacing w:after="0"/>
        <w:tabs>
          <w:tab w:leader="none" w:pos="12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at the time of the allotment of any Shares, the Post-Effective Amendment will be effective and continue to be effective;</w:t>
      </w:r>
    </w:p>
    <w:p>
      <w:pPr>
        <w:spacing w:after="0" w:line="215" w:lineRule="exact"/>
        <w:rPr>
          <w:rFonts w:ascii="Times New Roman" w:cs="Times New Roman" w:eastAsia="Times New Roman" w:hAnsi="Times New Roman"/>
          <w:sz w:val="20"/>
          <w:szCs w:val="20"/>
          <w:color w:val="auto"/>
        </w:rPr>
      </w:pPr>
    </w:p>
    <w:p>
      <w:pPr>
        <w:jc w:val="both"/>
        <w:ind w:left="1260" w:hanging="644"/>
        <w:spacing w:after="0" w:line="247" w:lineRule="auto"/>
        <w:tabs>
          <w:tab w:leader="none" w:pos="12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any Shares allotted and issued in accordance with the Post-Effective Amendment will be paid-up in consideration of the receipt by the Company from the party to whom the Shares are to be issued, prior to, or simultaneously with the issue of such Shares, of cash and other consideration at least equal to the nominal value of such Shares and, to the extent that any of the consideration for such Shares is payable otherwise than in cash, that the provisions of sections 29 to 33 of the 1983 Act have been complied with;</w:t>
      </w:r>
    </w:p>
    <w:p>
      <w:pPr>
        <w:spacing w:after="0" w:line="180" w:lineRule="exact"/>
        <w:rPr>
          <w:rFonts w:ascii="Times New Roman" w:cs="Times New Roman" w:eastAsia="Times New Roman" w:hAnsi="Times New Roman"/>
          <w:sz w:val="20"/>
          <w:szCs w:val="20"/>
          <w:color w:val="auto"/>
        </w:rPr>
      </w:pPr>
    </w:p>
    <w:p>
      <w:pPr>
        <w:jc w:val="both"/>
        <w:ind w:left="1260" w:hanging="644"/>
        <w:spacing w:after="0" w:line="249" w:lineRule="auto"/>
        <w:tabs>
          <w:tab w:leader="none" w:pos="12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no Shares will be allotted and issued: (i) for consideration of an undertaking from an person that he or another will do work or perform services for the Company or for any other person; (ii) for consideration otherwise than in cash that includes an undertaking which is to be or may be performed more than five years after the date of allotment; or (iii) for other consideration which, from time to time, is not considered good or adequate consideration;</w:t>
      </w:r>
    </w:p>
    <w:p>
      <w:pPr>
        <w:spacing w:after="0" w:line="180" w:lineRule="exact"/>
        <w:rPr>
          <w:rFonts w:ascii="Times New Roman" w:cs="Times New Roman" w:eastAsia="Times New Roman" w:hAnsi="Times New Roman"/>
          <w:sz w:val="20"/>
          <w:szCs w:val="20"/>
          <w:color w:val="auto"/>
        </w:rPr>
      </w:pPr>
    </w:p>
    <w:p>
      <w:pPr>
        <w:jc w:val="both"/>
        <w:ind w:left="1260" w:hanging="644"/>
        <w:spacing w:after="0" w:line="254" w:lineRule="auto"/>
        <w:tabs>
          <w:tab w:leader="none" w:pos="12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no Shares will be allotted and issued other than pursuant to a resolution of the board of directors of the Company (or duly authorised committee thereof) that has been validly and sufficiently proposed and passed in accordance with the articles of association of the Company;</w:t>
      </w:r>
    </w:p>
    <w:p>
      <w:pPr>
        <w:spacing w:after="0" w:line="174" w:lineRule="exact"/>
        <w:rPr>
          <w:rFonts w:ascii="Times New Roman" w:cs="Times New Roman" w:eastAsia="Times New Roman" w:hAnsi="Times New Roman"/>
          <w:sz w:val="20"/>
          <w:szCs w:val="20"/>
          <w:color w:val="auto"/>
        </w:rPr>
      </w:pPr>
    </w:p>
    <w:p>
      <w:pPr>
        <w:jc w:val="both"/>
        <w:ind w:left="1260" w:hanging="644"/>
        <w:spacing w:after="0" w:line="243" w:lineRule="auto"/>
        <w:tabs>
          <w:tab w:leader="none" w:pos="12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the offering or sale (including the marketing) of any Shares will be made, effected and conducted in accordance with and will not violate: (i) the memorandum or articles of association, from time to time, of the Company; (ii) any applicable laws and regulations (including, without limitation, (A) the securities laws and regulations of any jurisdiction (including Ireland) or supra-national authority which impose any restrictions, or mandatory requirements, in relation to the offering or sale of any shares to the public in any jurisdiction (including Ireland) and any prospectus (or analogous disclosure document) prepared in connection therewith; and (B) the competition, anti-trust or merger control laws and regulations of any jurisdiction (including Ireland) or supra-national authority); and (iii) any requirement or restriction imposed by any court, governmental body or supra-national authority having jurisdiction over the Company or the members of its group;</w:t>
      </w:r>
    </w:p>
    <w:p>
      <w:pPr>
        <w:spacing w:after="0" w:line="189" w:lineRule="exact"/>
        <w:rPr>
          <w:rFonts w:ascii="Times New Roman" w:cs="Times New Roman" w:eastAsia="Times New Roman" w:hAnsi="Times New Roman"/>
          <w:sz w:val="20"/>
          <w:szCs w:val="20"/>
          <w:color w:val="auto"/>
        </w:rPr>
      </w:pPr>
    </w:p>
    <w:p>
      <w:pPr>
        <w:jc w:val="both"/>
        <w:ind w:left="1260" w:hanging="644"/>
        <w:spacing w:after="0" w:line="254" w:lineRule="auto"/>
        <w:tabs>
          <w:tab w:leader="none" w:pos="12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the Company has not given, nor shall it give, directly or indirectly, and whether by means of a loan, guarantee, the provision of security or otherwise, any financial assistance, as contemplated by section 60 of the Companies Act 1963, for the purpose of, or in connection with, the purchase or</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999999"/>
        </w:rPr>
        <w:t>30574266.1</w:t>
      </w:r>
    </w:p>
    <w:p>
      <w:pPr>
        <w:sectPr>
          <w:pgSz w:w="11900" w:h="16838" w:orient="portrait"/>
          <w:cols w:equalWidth="0" w:num="1">
            <w:col w:w="11420"/>
          </w:cols>
          <w:pgMar w:left="240" w:top="684" w:right="239" w:bottom="1440" w:gutter="0" w:footer="0" w:header="0"/>
        </w:sectPr>
      </w:pPr>
    </w:p>
    <w:bookmarkStart w:id="10" w:name="page11"/>
    <w:bookmarkEnd w:id="10"/>
    <w:p>
      <w:pPr>
        <w:ind w:left="1260"/>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5920740</wp:posOffset>
            </wp:positionH>
            <wp:positionV relativeFrom="page">
              <wp:posOffset>88900</wp:posOffset>
            </wp:positionV>
            <wp:extent cx="1483360" cy="2057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483360" cy="205740"/>
                    </a:xfrm>
                    <a:prstGeom prst="rect">
                      <a:avLst/>
                    </a:prstGeom>
                    <a:noFill/>
                  </pic:spPr>
                </pic:pic>
              </a:graphicData>
            </a:graphic>
          </wp:anchor>
        </w:drawing>
        <w:t>subscription by any person of or for any Shares save as permitted by, or pursuant to an exemption to, the said section 60;</w:t>
      </w:r>
    </w:p>
    <w:p>
      <w:pPr>
        <w:spacing w:after="0" w:line="229" w:lineRule="exact"/>
        <w:rPr>
          <w:sz w:val="20"/>
          <w:szCs w:val="20"/>
          <w:color w:val="auto"/>
        </w:rPr>
      </w:pPr>
    </w:p>
    <w:p>
      <w:pPr>
        <w:ind w:left="1260" w:hanging="644"/>
        <w:spacing w:after="0" w:line="269" w:lineRule="auto"/>
        <w:tabs>
          <w:tab w:leader="none" w:pos="12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accuracy and completeness as to factual matters of the representations and warranties of the Company contained in the Post-Effective Amendment and the accuracy of the Certificate;</w:t>
      </w:r>
    </w:p>
    <w:p>
      <w:pPr>
        <w:spacing w:after="0" w:line="159" w:lineRule="exact"/>
        <w:rPr>
          <w:rFonts w:ascii="Times New Roman" w:cs="Times New Roman" w:eastAsia="Times New Roman" w:hAnsi="Times New Roman"/>
          <w:sz w:val="20"/>
          <w:szCs w:val="20"/>
          <w:color w:val="auto"/>
        </w:rPr>
      </w:pPr>
    </w:p>
    <w:p>
      <w:pPr>
        <w:ind w:left="1260" w:right="20" w:hanging="644"/>
        <w:spacing w:after="0" w:line="269" w:lineRule="auto"/>
        <w:tabs>
          <w:tab w:leader="none" w:pos="12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there are no agreements or arrangements in existence which in any way amend or vary or are inconsistent with the terms of the Post-Effective Amendment or the Plan or in any way bear upon, or are inconsistent with, the contents of this opinion;</w:t>
      </w:r>
    </w:p>
    <w:p>
      <w:pPr>
        <w:spacing w:after="0" w:line="159" w:lineRule="exact"/>
        <w:rPr>
          <w:rFonts w:ascii="Times New Roman" w:cs="Times New Roman" w:eastAsia="Times New Roman" w:hAnsi="Times New Roman"/>
          <w:sz w:val="20"/>
          <w:szCs w:val="20"/>
          <w:color w:val="auto"/>
        </w:rPr>
      </w:pPr>
    </w:p>
    <w:p>
      <w:pPr>
        <w:jc w:val="both"/>
        <w:ind w:left="1260" w:hanging="644"/>
        <w:spacing w:after="0" w:line="254" w:lineRule="auto"/>
        <w:tabs>
          <w:tab w:leader="none" w:pos="12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in approving the filing by the Company of the Post-Effective Amendment, the directors of the Company have acted in a manner they consider, in good faith, to be in the best interests of the Company for its legitimate business purposes and would be most likely to promote the success of the Company for the benefit of its members as a whole;</w:t>
      </w:r>
    </w:p>
    <w:p>
      <w:pPr>
        <w:spacing w:after="0" w:line="174" w:lineRule="exact"/>
        <w:rPr>
          <w:rFonts w:ascii="Times New Roman" w:cs="Times New Roman" w:eastAsia="Times New Roman" w:hAnsi="Times New Roman"/>
          <w:sz w:val="20"/>
          <w:szCs w:val="20"/>
          <w:color w:val="auto"/>
        </w:rPr>
      </w:pPr>
    </w:p>
    <w:p>
      <w:pPr>
        <w:jc w:val="both"/>
        <w:ind w:left="1260" w:hanging="644"/>
        <w:spacing w:after="0" w:line="249" w:lineRule="auto"/>
        <w:tabs>
          <w:tab w:leader="none" w:pos="12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the information disclosed by the Searches was accurate at the date the Searches were made and has not been altered and that the Searches did not fail to disclose any information which had been delivered for registration but did not appear from the information available at the time the Searches were made or which ought to have been delivered for registration at that time but had not been so delivered and that no additional matters would have been disclosed by searches carried out since that time;</w:t>
      </w:r>
    </w:p>
    <w:p>
      <w:pPr>
        <w:spacing w:after="0" w:line="180" w:lineRule="exact"/>
        <w:rPr>
          <w:rFonts w:ascii="Times New Roman" w:cs="Times New Roman" w:eastAsia="Times New Roman" w:hAnsi="Times New Roman"/>
          <w:sz w:val="20"/>
          <w:szCs w:val="20"/>
          <w:color w:val="auto"/>
        </w:rPr>
      </w:pPr>
    </w:p>
    <w:p>
      <w:pPr>
        <w:jc w:val="both"/>
        <w:ind w:left="1260" w:hanging="644"/>
        <w:spacing w:after="0" w:line="245" w:lineRule="auto"/>
        <w:tabs>
          <w:tab w:leader="none" w:pos="12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(i) the Company was, or will be, fully solvent (A) at the time of, and immediately after, the filing of the Post-Effective Amendment and (B) at the date hereof; (ii) the Company would not, as a consequence of doing any act or thing which the Post-Effective Amendment contemplates, permits or requires the Company to do, be insolvent; and (iii) no steps have been taken or, to the best of the knowledge, information and belief of the directors of the Company, are being taken to appoint a receiver, liquidator or an examiner over the Company or any part of its undertaking or assets, or to strike the Company off the Register of Companies or to otherwise dissolve or wind up the Company; and</w:t>
      </w:r>
    </w:p>
    <w:p>
      <w:pPr>
        <w:spacing w:after="0" w:line="185" w:lineRule="exact"/>
        <w:rPr>
          <w:rFonts w:ascii="Times New Roman" w:cs="Times New Roman" w:eastAsia="Times New Roman" w:hAnsi="Times New Roman"/>
          <w:sz w:val="20"/>
          <w:szCs w:val="20"/>
          <w:color w:val="auto"/>
        </w:rPr>
      </w:pPr>
    </w:p>
    <w:p>
      <w:pPr>
        <w:ind w:left="1260" w:hanging="644"/>
        <w:spacing w:after="0" w:line="269" w:lineRule="auto"/>
        <w:tabs>
          <w:tab w:leader="none" w:pos="12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truth of all representations and information given to us in reply to any queries we have made which we have considered necessary for the purposes of giving this opinion.</w:t>
      </w:r>
    </w:p>
    <w:p>
      <w:pPr>
        <w:spacing w:after="0" w:line="156" w:lineRule="exact"/>
        <w:rPr>
          <w:sz w:val="20"/>
          <w:szCs w:val="20"/>
          <w:color w:val="auto"/>
        </w:rPr>
      </w:pPr>
    </w:p>
    <w:p>
      <w:pPr>
        <w:ind w:left="620" w:hanging="612"/>
        <w:spacing w:after="0"/>
        <w:tabs>
          <w:tab w:leader="none" w:pos="6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Opinion</w:t>
      </w:r>
    </w:p>
    <w:p>
      <w:pPr>
        <w:spacing w:after="0" w:line="219" w:lineRule="exact"/>
        <w:rPr>
          <w:rFonts w:ascii="Times New Roman" w:cs="Times New Roman" w:eastAsia="Times New Roman" w:hAnsi="Times New Roman"/>
          <w:sz w:val="20"/>
          <w:szCs w:val="20"/>
          <w:color w:val="auto"/>
        </w:rPr>
      </w:pPr>
    </w:p>
    <w:p>
      <w:pPr>
        <w:jc w:val="both"/>
        <w:ind w:left="620"/>
        <w:spacing w:after="0" w:line="245"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upon, and subject to, the foregoing and subject to the qualifications set out in this letter and any matter not disclosed to us, we are of the opinion that, so far as the laws of Ireland are concerned, upon the issuance of Shares in accordance with, and subject to any conditions contained in, the terms of the Plan (including any applicable duly authorised award agreement or other document accompanying the award, issuance or sale of any Shares), subject to receipt by the Company of the full consideration payable in respect thereof, such Shares will be legally issued, fully-paid and non-assessable (which term means that no shareholder shall be obliged to pay or contribute further amounts to the capital of the Company in connection with the issue of such shares).</w:t>
      </w:r>
    </w:p>
    <w:p>
      <w:pPr>
        <w:spacing w:after="0" w:line="181" w:lineRule="exact"/>
        <w:rPr>
          <w:sz w:val="20"/>
          <w:szCs w:val="20"/>
          <w:color w:val="auto"/>
        </w:rPr>
      </w:pPr>
    </w:p>
    <w:p>
      <w:pPr>
        <w:ind w:left="620" w:hanging="612"/>
        <w:spacing w:after="0"/>
        <w:tabs>
          <w:tab w:leader="none" w:pos="6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Qualifications</w:t>
      </w:r>
    </w:p>
    <w:p>
      <w:pPr>
        <w:spacing w:after="0" w:line="219" w:lineRule="exact"/>
        <w:rPr>
          <w:rFonts w:ascii="Times New Roman" w:cs="Times New Roman" w:eastAsia="Times New Roman" w:hAnsi="Times New Roman"/>
          <w:sz w:val="20"/>
          <w:szCs w:val="20"/>
          <w:color w:val="auto"/>
        </w:rPr>
      </w:pPr>
    </w:p>
    <w:p>
      <w:pPr>
        <w:ind w:left="6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opinions set forth in this opinion letter are given subject to the following qualifications:</w:t>
      </w:r>
    </w:p>
    <w:p>
      <w:pPr>
        <w:spacing w:after="0" w:line="215" w:lineRule="exact"/>
        <w:rPr>
          <w:rFonts w:ascii="Times New Roman" w:cs="Times New Roman" w:eastAsia="Times New Roman" w:hAnsi="Times New Roman"/>
          <w:sz w:val="20"/>
          <w:szCs w:val="20"/>
          <w:color w:val="auto"/>
        </w:rPr>
      </w:pPr>
    </w:p>
    <w:p>
      <w:pPr>
        <w:ind w:left="1540" w:hanging="911"/>
        <w:spacing w:after="0" w:line="269" w:lineRule="auto"/>
        <w:tabs>
          <w:tab w:leader="none" w:pos="1540"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search at the Companies Registration Office is not capable of revealing whether or not a winding up petition or a petition for the appointment of an examiner has been presented; and</w:t>
      </w:r>
    </w:p>
    <w:p>
      <w:pPr>
        <w:spacing w:after="0" w:line="159" w:lineRule="exact"/>
        <w:rPr>
          <w:rFonts w:ascii="Times New Roman" w:cs="Times New Roman" w:eastAsia="Times New Roman" w:hAnsi="Times New Roman"/>
          <w:sz w:val="20"/>
          <w:szCs w:val="20"/>
          <w:color w:val="auto"/>
        </w:rPr>
      </w:pPr>
    </w:p>
    <w:p>
      <w:pPr>
        <w:ind w:left="1540" w:hanging="911"/>
        <w:spacing w:after="0" w:line="269" w:lineRule="auto"/>
        <w:tabs>
          <w:tab w:leader="none" w:pos="1540"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search at the Registry of Winding up Petitions at the Central Office of the High Court is not capable of revealing whether or not a receiver has been appointed.</w:t>
      </w:r>
    </w:p>
    <w:p>
      <w:pPr>
        <w:spacing w:after="0" w:line="160" w:lineRule="exact"/>
        <w:rPr>
          <w:sz w:val="20"/>
          <w:szCs w:val="20"/>
          <w:color w:val="auto"/>
        </w:rPr>
      </w:pPr>
    </w:p>
    <w:p>
      <w:pPr>
        <w:jc w:val="both"/>
        <w:ind w:left="620"/>
        <w:spacing w:after="0" w:line="254" w:lineRule="auto"/>
        <w:rPr>
          <w:sz w:val="20"/>
          <w:szCs w:val="20"/>
          <w:color w:val="auto"/>
        </w:rPr>
      </w:pPr>
      <w:r>
        <w:rPr>
          <w:rFonts w:ascii="Times New Roman" w:cs="Times New Roman" w:eastAsia="Times New Roman" w:hAnsi="Times New Roman"/>
          <w:sz w:val="20"/>
          <w:szCs w:val="20"/>
          <w:color w:val="auto"/>
        </w:rPr>
        <w:t>Whilst each of the making of a winding up order, the making of an order for the appointment of an examiner and the appointment of a receiver may be revealed by a search at the Companies Registration Office it may not be filed at the Companies Registration Office immediately and, therefore, our searches at the Companies Registration Office may not have revealed such matters.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Yours faithfully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Matheson</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999999"/>
        </w:rPr>
        <w:t>30574266.1</w:t>
      </w:r>
    </w:p>
    <w:p>
      <w:pPr>
        <w:sectPr>
          <w:pgSz w:w="11900" w:h="16838" w:orient="portrait"/>
          <w:cols w:equalWidth="0" w:num="1">
            <w:col w:w="11420"/>
          </w:cols>
          <w:pgMar w:left="240" w:top="697" w:right="2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Weatherford International plc:</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on Form S-8 of Weatherford International plc, successor issuer to Weatherford International Ltd., relating to the Stock Option Agreements dated September 26, 2001 with Non-Employee Directors, of our reports dated February 25, 2014, with respect to the consolidated balance sheet of Weatherford International Ltd. as of December 31, 2013, and the related consolidated statements of operations, comprehensive income (loss), shareholders’ equity, and cash flows for the year ended December 31, 2013, the related financial statement schedule, and the effectiveness of internal control over financial reporting as of December 31, 2013, which reports appear in the December 31, 2013 annual report on Form 10-K of Weatherford International Ltd.</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u w:val="single" w:color="auto"/>
          <w:color w:val="auto"/>
        </w:rPr>
        <w:t>/s/ KPMG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17, 2014</w:t>
      </w:r>
    </w:p>
    <w:p>
      <w:pPr>
        <w:sectPr>
          <w:pgSz w:w="11900" w:h="16838" w:orient="portrait"/>
          <w:cols w:equalWidth="0" w:num="1">
            <w:col w:w="11420"/>
          </w:cols>
          <w:pgMar w:left="240" w:top="576" w:right="2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20"/>
          <w:szCs w:val="20"/>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2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We consent to the incorporation by reference in the Registration Statement (Form S-8 No. 333-81676) pertaining to the Stock Option Agreements dated September 26, 2001 with Non-Employee Directors, of our report dated March 4, 2013, with respect to the consolidated financial statements and schedule of Weatherford International Ltd. and Subsidiaries as of December 31, 2012 and for each of the two years in the period then ended, included in its Annual Report (Form 10-K) for the year ended December 31, 2013, filed with the Securities and Exchange Commission.</w:t>
      </w:r>
    </w:p>
    <w:p>
      <w:pPr>
        <w:spacing w:after="0" w:line="18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Houston, Texas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17, 2014</w:t>
      </w:r>
    </w:p>
    <w:sectPr>
      <w:pgSz w:w="11900" w:h="16838" w:orient="portrait"/>
      <w:cols w:equalWidth="0" w:num="1">
        <w:col w:w="11420"/>
      </w:cols>
      <w:pgMar w:left="240" w:top="57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713"/>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
    <w:nsid w:val="79E2A9E3"/>
    <w:multiLevelType w:val="hybridMultilevel"/>
    <w:lvl w:ilvl="0">
      <w:lvlJc w:val="left"/>
      <w:lvlText w:val="1"/>
      <w:numFmt w:val="bullet"/>
      <w:start w:val="1"/>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1)"/>
      <w:numFmt w:val="lowerLetter"/>
      <w:start w:val="4"/>
    </w:lvl>
  </w:abstractNum>
  <w:abstractNum w:abstractNumId="6">
    <w:nsid w:val="5BD062C2"/>
    <w:multiLevelType w:val="hybridMultilevel"/>
    <w:lvl w:ilvl="0">
      <w:lvlJc w:val="left"/>
      <w:lvlText w:val="2"/>
      <w:numFmt w:val="bullet"/>
      <w:start w:val="1"/>
    </w:lvl>
    <w:lvl w:ilvl="1">
      <w:lvlJc w:val="left"/>
      <w:lvlText w:val="(%2)"/>
      <w:numFmt w:val="lowerLetter"/>
      <w:start w:val="1"/>
    </w:lvl>
  </w:abstractNum>
  <w:abstractNum w:abstractNumId="7">
    <w:nsid w:val="12200854"/>
    <w:multiLevelType w:val="hybridMultilevel"/>
    <w:lvl w:ilvl="0">
      <w:lvlJc w:val="left"/>
      <w:lvlText w:val="(%1)"/>
      <w:numFmt w:val="lowerLetter"/>
      <w:start w:val="4"/>
    </w:lvl>
  </w:abstractNum>
  <w:abstractNum w:abstractNumId="8">
    <w:nsid w:val="4DB127F8"/>
    <w:multiLevelType w:val="hybridMultilevel"/>
    <w:lvl w:ilvl="0">
      <w:lvlJc w:val="left"/>
      <w:lvlText w:val="(%1)"/>
      <w:numFmt w:val="lowerLetter"/>
      <w:start w:val="13"/>
    </w:lvl>
  </w:abstractNum>
  <w:abstractNum w:abstractNumId="9">
    <w:nsid w:val="216231B"/>
    <w:multiLevelType w:val="hybridMultilevel"/>
    <w:lvl w:ilvl="0">
      <w:lvlJc w:val="left"/>
      <w:lvlText w:val="3"/>
      <w:numFmt w:val="bullet"/>
      <w:start w:val="1"/>
    </w:lvl>
  </w:abstractNum>
  <w:abstractNum w:abstractNumId="10">
    <w:nsid w:val="1F16E9E8"/>
    <w:multiLevelType w:val="hybridMultilevel"/>
    <w:lvl w:ilvl="0">
      <w:lvlJc w:val="left"/>
      <w:lvlText w:val="4"/>
      <w:numFmt w:val="bullet"/>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2019-12-08T10:46:54Z</dcterms:created>
  <dcterms:modified xsi:type="dcterms:W3CDTF">2019-12-08T10:46:54Z</dcterms:modified>
</cp:coreProperties>
</file>