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25"/>
          <w:szCs w:val="25"/>
          <w:b w:val="1"/>
          <w:bCs w:val="1"/>
          <w:color w:val="auto"/>
        </w:rPr>
        <w:t>Washington, D.C. 20549</w:t>
      </w:r>
    </w:p>
    <w:p>
      <w:pPr>
        <w:spacing w:after="0" w:line="353" w:lineRule="exact"/>
        <w:rPr>
          <w:sz w:val="24"/>
          <w:szCs w:val="24"/>
          <w:color w:val="auto"/>
        </w:rPr>
      </w:pPr>
    </w:p>
    <w:p>
      <w:pPr>
        <w:jc w:val="center"/>
        <w:ind w:right="-1220"/>
        <w:spacing w:after="0"/>
        <w:rPr>
          <w:sz w:val="20"/>
          <w:szCs w:val="20"/>
          <w:color w:val="auto"/>
        </w:rPr>
      </w:pPr>
      <w:r>
        <w:rPr>
          <w:rFonts w:ascii="Arial" w:cs="Arial" w:eastAsia="Arial" w:hAnsi="Arial"/>
          <w:sz w:val="43"/>
          <w:szCs w:val="43"/>
          <w:b w:val="1"/>
          <w:bCs w:val="1"/>
          <w:color w:val="auto"/>
        </w:rPr>
        <w:t>FORM 11-K</w:t>
      </w:r>
    </w:p>
    <w:p>
      <w:pPr>
        <w:spacing w:after="0" w:line="350" w:lineRule="exact"/>
        <w:rPr>
          <w:sz w:val="24"/>
          <w:szCs w:val="24"/>
          <w:color w:val="auto"/>
        </w:rPr>
      </w:pPr>
    </w:p>
    <w:p>
      <w:pPr>
        <w:jc w:val="center"/>
        <w:ind w:left="1780" w:right="1060"/>
        <w:spacing w:after="0" w:line="259" w:lineRule="auto"/>
        <w:rPr>
          <w:sz w:val="20"/>
          <w:szCs w:val="20"/>
          <w:color w:val="auto"/>
        </w:rPr>
      </w:pPr>
      <w:r>
        <w:rPr>
          <w:rFonts w:ascii="Arial" w:cs="Arial" w:eastAsia="Arial" w:hAnsi="Arial"/>
          <w:sz w:val="25"/>
          <w:szCs w:val="25"/>
          <w:b w:val="1"/>
          <w:bCs w:val="1"/>
          <w:color w:val="auto"/>
        </w:rPr>
        <w:t>FOR ANNUAL REPORTS OF EMPLOYEE STOCK PURCHASE, SAVINGS AND SIMILAR PLANS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ANNUAL REPORT PURSUANT TO SECTION 15(d)</w:t>
      </w:r>
    </w:p>
    <w:p>
      <w:pPr>
        <w:spacing w:after="0" w:line="27"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85"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99"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or</w:t>
      </w:r>
    </w:p>
    <w:p>
      <w:pPr>
        <w:ind w:left="1300"/>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77"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TRANSITION REPORT PURSUANT TO SECTION 15(d)</w:t>
      </w:r>
    </w:p>
    <w:p>
      <w:pPr>
        <w:spacing w:after="0" w:line="27"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85"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o</w:t>
      </w:r>
    </w:p>
    <w:p>
      <w:pPr>
        <w:spacing w:after="0" w:line="11"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Commission file number 001-36504</w:t>
      </w:r>
    </w:p>
    <w:p>
      <w:pPr>
        <w:spacing w:after="0" w:line="200" w:lineRule="exact"/>
        <w:rPr>
          <w:sz w:val="24"/>
          <w:szCs w:val="24"/>
          <w:color w:val="auto"/>
        </w:rPr>
      </w:pPr>
    </w:p>
    <w:p>
      <w:pPr>
        <w:spacing w:after="0" w:line="370" w:lineRule="exact"/>
        <w:rPr>
          <w:sz w:val="24"/>
          <w:szCs w:val="24"/>
          <w:color w:val="auto"/>
        </w:rPr>
      </w:pPr>
    </w:p>
    <w:p>
      <w:pPr>
        <w:jc w:val="center"/>
        <w:ind w:left="1780"/>
        <w:spacing w:after="0" w:line="283" w:lineRule="auto"/>
        <w:rPr>
          <w:sz w:val="20"/>
          <w:szCs w:val="20"/>
          <w:color w:val="auto"/>
        </w:rPr>
      </w:pPr>
      <w:r>
        <w:rPr>
          <w:rFonts w:ascii="Arial" w:cs="Arial" w:eastAsia="Arial" w:hAnsi="Arial"/>
          <w:sz w:val="43"/>
          <w:szCs w:val="43"/>
          <w:b w:val="1"/>
          <w:bCs w:val="1"/>
          <w:color w:val="auto"/>
        </w:rPr>
        <w:t>WEATHERFORD INTERNATIONAL, LLC 401(k) SAVINGS PLAN</w:t>
      </w:r>
    </w:p>
    <w:p>
      <w:pPr>
        <w:spacing w:after="0" w:line="83" w:lineRule="exact"/>
        <w:rPr>
          <w:sz w:val="24"/>
          <w:szCs w:val="24"/>
          <w:color w:val="auto"/>
        </w:rPr>
      </w:pPr>
    </w:p>
    <w:p>
      <w:pPr>
        <w:ind w:left="4600"/>
        <w:spacing w:after="0"/>
        <w:rPr>
          <w:sz w:val="20"/>
          <w:szCs w:val="20"/>
          <w:color w:val="auto"/>
        </w:rPr>
      </w:pPr>
      <w:r>
        <w:rPr>
          <w:rFonts w:ascii="Arial" w:cs="Arial" w:eastAsia="Arial" w:hAnsi="Arial"/>
          <w:sz w:val="25"/>
          <w:szCs w:val="25"/>
          <w:b w:val="1"/>
          <w:bCs w:val="1"/>
          <w:color w:val="auto"/>
        </w:rPr>
        <w:t>2000 St. James Place</w:t>
      </w:r>
    </w:p>
    <w:p>
      <w:pPr>
        <w:spacing w:after="0" w:line="38" w:lineRule="exact"/>
        <w:rPr>
          <w:sz w:val="24"/>
          <w:szCs w:val="24"/>
          <w:color w:val="auto"/>
        </w:rPr>
      </w:pPr>
    </w:p>
    <w:p>
      <w:pPr>
        <w:ind w:left="4540"/>
        <w:spacing w:after="0"/>
        <w:rPr>
          <w:sz w:val="20"/>
          <w:szCs w:val="20"/>
          <w:color w:val="auto"/>
        </w:rPr>
      </w:pPr>
      <w:r>
        <w:rPr>
          <w:rFonts w:ascii="Arial" w:cs="Arial" w:eastAsia="Arial" w:hAnsi="Arial"/>
          <w:sz w:val="25"/>
          <w:szCs w:val="25"/>
          <w:b w:val="1"/>
          <w:bCs w:val="1"/>
          <w:color w:val="auto"/>
        </w:rPr>
        <w:t>Houston, Texas 77056</w:t>
      </w:r>
    </w:p>
    <w:p>
      <w:pPr>
        <w:spacing w:after="0" w:line="360"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Weatherford International plc</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Bahnhofstrasse 1, 6340 Baar,</w:t>
      </w:r>
    </w:p>
    <w:p>
      <w:pPr>
        <w:spacing w:after="0" w:line="10"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Switzerland</w:t>
      </w:r>
    </w:p>
    <w:p>
      <w:pPr>
        <w:sectPr>
          <w:pgSz w:w="11900" w:h="16838" w:orient="portrait"/>
          <w:cols w:equalWidth="0" w:num="1">
            <w:col w:w="10219"/>
          </w:cols>
          <w:pgMar w:left="240" w:top="233"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INDEX TO FINANCIAL STATEMENTS AND SUPPLEMENTAL SCHEDULES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0"/>
              </w:rPr>
              <w:t>Page</w:t>
            </w:r>
          </w:p>
        </w:tc>
      </w:tr>
      <w:tr>
        <w:trPr>
          <w:trHeight w:val="520"/>
        </w:trPr>
        <w:tc>
          <w:tcPr>
            <w:tcW w:w="900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2080" w:type="dxa"/>
            <w:vAlign w:val="bottom"/>
            <w:gridSpan w:val="5"/>
          </w:tcPr>
          <w:p>
            <w:pPr>
              <w:jc w:val="center"/>
              <w:ind w:left="1790"/>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r>
      <w:tr>
        <w:trPr>
          <w:trHeight w:val="561"/>
        </w:trPr>
        <w:tc>
          <w:tcPr>
            <w:tcW w:w="42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4800" w:type="dxa"/>
            <w:vAlign w:val="bottom"/>
            <w:gridSpan w:val="5"/>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40" w:type="dxa"/>
            <w:vAlign w:val="bottom"/>
          </w:tcPr>
          <w:p>
            <w:pPr>
              <w:spacing w:after="0"/>
              <w:rPr>
                <w:sz w:val="19"/>
                <w:szCs w:val="19"/>
                <w:color w:val="auto"/>
              </w:rPr>
            </w:pPr>
          </w:p>
        </w:tc>
        <w:tc>
          <w:tcPr>
            <w:tcW w:w="886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Statements of Net Assets Available for Benefits as of December 31, 2013 and 2012</w:t>
              </w:r>
            </w:hyperlink>
          </w:p>
        </w:tc>
        <w:tc>
          <w:tcPr>
            <w:tcW w:w="2080" w:type="dxa"/>
            <w:vAlign w:val="bottom"/>
            <w:gridSpan w:val="5"/>
          </w:tcPr>
          <w:p>
            <w:pPr>
              <w:jc w:val="center"/>
              <w:ind w:left="17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8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86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 of Changes in Net Assets Available for Benefits for the Year Ended December 31, 2013</w:t>
              </w:r>
            </w:hyperlink>
          </w:p>
        </w:tc>
        <w:tc>
          <w:tcPr>
            <w:tcW w:w="2080" w:type="dxa"/>
            <w:vAlign w:val="bottom"/>
            <w:gridSpan w:val="5"/>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8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900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Financial Statements</w:t>
              </w:r>
            </w:hyperlink>
          </w:p>
        </w:tc>
        <w:tc>
          <w:tcPr>
            <w:tcW w:w="2080" w:type="dxa"/>
            <w:vAlign w:val="bottom"/>
            <w:gridSpan w:val="5"/>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80" w:type="dxa"/>
            <w:vAlign w:val="bottom"/>
          </w:tcPr>
          <w:p>
            <w:pPr>
              <w:spacing w:after="0"/>
              <w:rPr>
                <w:sz w:val="24"/>
                <w:szCs w:val="24"/>
                <w:color w:val="auto"/>
              </w:rPr>
            </w:pPr>
          </w:p>
        </w:tc>
      </w:tr>
      <w:tr>
        <w:trPr>
          <w:trHeight w:val="561"/>
        </w:trPr>
        <w:tc>
          <w:tcPr>
            <w:tcW w:w="21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Supplemental Schedules:</w:t>
            </w:r>
          </w:p>
        </w:tc>
        <w:tc>
          <w:tcPr>
            <w:tcW w:w="6860" w:type="dxa"/>
            <w:vAlign w:val="bottom"/>
            <w:gridSpan w:val="6"/>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40" w:type="dxa"/>
            <w:vAlign w:val="bottom"/>
          </w:tcPr>
          <w:p>
            <w:pPr>
              <w:spacing w:after="0"/>
              <w:rPr>
                <w:sz w:val="19"/>
                <w:szCs w:val="19"/>
                <w:color w:val="auto"/>
              </w:rPr>
            </w:pPr>
          </w:p>
        </w:tc>
        <w:tc>
          <w:tcPr>
            <w:tcW w:w="886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H, Line 4(a), Schedule of Delinquent Participant Contributions</w:t>
              </w:r>
            </w:hyperlink>
          </w:p>
        </w:tc>
        <w:tc>
          <w:tcPr>
            <w:tcW w:w="2080" w:type="dxa"/>
            <w:vAlign w:val="bottom"/>
            <w:gridSpan w:val="5"/>
          </w:tcPr>
          <w:p>
            <w:pPr>
              <w:jc w:val="center"/>
              <w:ind w:left="1810"/>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14</w:t>
              </w:r>
            </w:hyperlink>
          </w:p>
        </w:tc>
        <w:tc>
          <w:tcPr>
            <w:tcW w:w="8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46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20" w:type="dxa"/>
            <w:vAlign w:val="bottom"/>
            <w:gridSpan w:val="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Schedule H, Line 4(i), Schedule of Assets (Held at End of Year)</w:t>
              </w:r>
            </w:hyperlink>
          </w:p>
        </w:tc>
        <w:tc>
          <w:tcPr>
            <w:tcW w:w="3640" w:type="dxa"/>
            <w:vAlign w:val="bottom"/>
            <w:gridSpan w:val="3"/>
          </w:tcPr>
          <w:p>
            <w:pPr>
              <w:spacing w:after="0"/>
              <w:rPr>
                <w:sz w:val="21"/>
                <w:szCs w:val="21"/>
                <w:color w:val="auto"/>
              </w:rPr>
            </w:pPr>
          </w:p>
        </w:tc>
        <w:tc>
          <w:tcPr>
            <w:tcW w:w="2080" w:type="dxa"/>
            <w:vAlign w:val="bottom"/>
            <w:gridSpan w:val="5"/>
          </w:tcPr>
          <w:p>
            <w:pPr>
              <w:jc w:val="center"/>
              <w:ind w:left="181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15</w:t>
              </w:r>
            </w:hyperlink>
          </w:p>
        </w:tc>
        <w:tc>
          <w:tcPr>
            <w:tcW w:w="80" w:type="dxa"/>
            <w:vAlign w:val="bottom"/>
          </w:tcPr>
          <w:p>
            <w:pPr>
              <w:spacing w:after="0"/>
              <w:rPr>
                <w:sz w:val="21"/>
                <w:szCs w:val="21"/>
                <w:color w:val="auto"/>
              </w:rPr>
            </w:pPr>
          </w:p>
        </w:tc>
      </w:tr>
      <w:tr>
        <w:trPr>
          <w:trHeight w:val="952"/>
        </w:trPr>
        <w:tc>
          <w:tcPr>
            <w:tcW w:w="140" w:type="dxa"/>
            <w:vAlign w:val="bottom"/>
          </w:tcPr>
          <w:p>
            <w:pPr>
              <w:spacing w:after="0"/>
              <w:rPr>
                <w:sz w:val="24"/>
                <w:szCs w:val="24"/>
                <w:color w:val="auto"/>
              </w:rPr>
            </w:pPr>
          </w:p>
        </w:tc>
        <w:tc>
          <w:tcPr>
            <w:tcW w:w="4600" w:type="dxa"/>
            <w:vAlign w:val="bottom"/>
            <w:tcBorders>
              <w:top w:val="single" w:sz="8" w:color="0000EE"/>
            </w:tcBorders>
            <w:gridSpan w:val="3"/>
          </w:tcPr>
          <w:p>
            <w:pPr>
              <w:spacing w:after="0"/>
              <w:rPr>
                <w:sz w:val="24"/>
                <w:szCs w:val="2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80" w:top="126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Benefits Administrative Committee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Weatherford International, LLC 401(k) Savings Plan:</w:t>
      </w:r>
    </w:p>
    <w:p>
      <w:pPr>
        <w:spacing w:after="0" w:line="200" w:lineRule="exact"/>
        <w:rPr>
          <w:sz w:val="20"/>
          <w:szCs w:val="20"/>
          <w:color w:val="auto"/>
        </w:rPr>
      </w:pPr>
    </w:p>
    <w:p>
      <w:pPr>
        <w:jc w:val="both"/>
        <w:ind w:firstLine="540"/>
        <w:spacing w:after="0" w:line="246" w:lineRule="auto"/>
        <w:rPr>
          <w:sz w:val="20"/>
          <w:szCs w:val="20"/>
          <w:color w:val="auto"/>
        </w:rPr>
      </w:pPr>
      <w:r>
        <w:rPr>
          <w:rFonts w:ascii="Arial" w:cs="Arial" w:eastAsia="Arial" w:hAnsi="Arial"/>
          <w:sz w:val="20"/>
          <w:szCs w:val="20"/>
          <w:color w:val="auto"/>
        </w:rPr>
        <w:t>We have audited the accompanying statements of net assets available for benefits of the Weatherford International, LLC 401(k) Savings Plan (the "Plan") as of December 31, 2013 and 2012, and the related statement of changes in net assets available for benefits for the year ended December 31, 2013. These financial statements are the responsibility of the Plan's management. Our responsibility is to express an opinion on these financial statements based on our audits.</w:t>
      </w:r>
    </w:p>
    <w:p>
      <w:pPr>
        <w:spacing w:after="0" w:line="192"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9" w:lineRule="exact"/>
        <w:rPr>
          <w:sz w:val="20"/>
          <w:szCs w:val="20"/>
          <w:color w:val="auto"/>
        </w:rPr>
      </w:pPr>
    </w:p>
    <w:p>
      <w:pPr>
        <w:jc w:val="both"/>
        <w:ind w:firstLine="540"/>
        <w:spacing w:after="0" w:line="250"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net assets available for benefits of the Plan as of December 31, 2013 and 2012, and the changes in net assets available for benefits for the year ended December 31, 2013, in conformity with accounting principles generally accepted in the United States of America.</w:t>
      </w:r>
    </w:p>
    <w:p>
      <w:pPr>
        <w:spacing w:after="0" w:line="200" w:lineRule="exact"/>
        <w:rPr>
          <w:sz w:val="20"/>
          <w:szCs w:val="20"/>
          <w:color w:val="auto"/>
        </w:rPr>
      </w:pPr>
    </w:p>
    <w:p>
      <w:pPr>
        <w:jc w:val="both"/>
        <w:ind w:firstLine="540"/>
        <w:spacing w:after="0" w:line="305" w:lineRule="auto"/>
        <w:rPr>
          <w:sz w:val="20"/>
          <w:szCs w:val="20"/>
          <w:color w:val="auto"/>
        </w:rPr>
      </w:pPr>
      <w:r>
        <w:rPr>
          <w:rFonts w:ascii="Arial" w:cs="Arial" w:eastAsia="Arial" w:hAnsi="Arial"/>
          <w:sz w:val="18"/>
          <w:szCs w:val="18"/>
          <w:color w:val="auto"/>
        </w:rPr>
        <w:t xml:space="preserve">Our audits were conducted for the purpose of forming an opinion on the basic financial statements taken as a whole. The accompanying supplemental schedule H, line 4a, schedule of delinquent participant contributions </w:t>
      </w:r>
      <w:r>
        <w:rPr>
          <w:rFonts w:ascii="Arial" w:cs="Arial" w:eastAsia="Arial" w:hAnsi="Arial"/>
          <w:sz w:val="19"/>
          <w:szCs w:val="19"/>
          <w:color w:val="auto"/>
        </w:rPr>
        <w:t>and</w:t>
      </w:r>
      <w:r>
        <w:rPr>
          <w:rFonts w:ascii="Arial" w:cs="Arial" w:eastAsia="Arial" w:hAnsi="Arial"/>
          <w:sz w:val="18"/>
          <w:szCs w:val="18"/>
          <w:color w:val="auto"/>
        </w:rPr>
        <w:t xml:space="preserve"> supplemental schedule H, line 4i, schedule of assets (held at end of year) as of December 31, 2013 and for the year then ended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schedules are the responsibility of the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/s/ Melton &amp; Melton L.L.P.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27, 2014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4"/>
        </w:trPr>
        <w:tc>
          <w:tcPr>
            <w:tcW w:w="7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Investments, at fair</w:t>
            </w: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766,887,607</w:t>
            </w:r>
          </w:p>
        </w:tc>
        <w:tc>
          <w:tcPr>
            <w:tcW w:w="220" w:type="dxa"/>
            <w:vAlign w:val="bottom"/>
          </w:tcPr>
          <w:p>
            <w:pPr>
              <w:spacing w:after="0"/>
              <w:rPr>
                <w:sz w:val="19"/>
                <w:szCs w:val="19"/>
                <w:color w:val="auto"/>
              </w:rPr>
            </w:pPr>
          </w:p>
        </w:tc>
        <w:tc>
          <w:tcPr>
            <w:tcW w:w="620" w:type="dxa"/>
            <w:vAlign w:val="bottom"/>
            <w:vMerge w:val="restart"/>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616,625,203</w:t>
            </w:r>
          </w:p>
        </w:tc>
        <w:tc>
          <w:tcPr>
            <w:tcW w:w="0" w:type="dxa"/>
            <w:vAlign w:val="bottom"/>
          </w:tcPr>
          <w:p>
            <w:pPr>
              <w:spacing w:after="0"/>
              <w:rPr>
                <w:sz w:val="1"/>
                <w:szCs w:val="1"/>
                <w:color w:val="auto"/>
              </w:rPr>
            </w:pPr>
          </w:p>
        </w:tc>
      </w:tr>
      <w:tr>
        <w:trPr>
          <w:trHeight w:val="257"/>
        </w:trPr>
        <w:tc>
          <w:tcPr>
            <w:tcW w:w="7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value</w:t>
            </w:r>
          </w:p>
        </w:tc>
        <w:tc>
          <w:tcPr>
            <w:tcW w:w="460" w:type="dxa"/>
            <w:vAlign w:val="bottom"/>
            <w:tcBorders>
              <w:bottom w:val="single" w:sz="8" w:color="auto"/>
            </w:tcBorders>
            <w:vMerge w:val="continue"/>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74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Notes receivable from</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participants</w:t>
            </w:r>
          </w:p>
        </w:tc>
        <w:tc>
          <w:tcPr>
            <w:tcW w:w="4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26,928,451</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22,725,306</w:t>
            </w:r>
          </w:p>
        </w:tc>
        <w:tc>
          <w:tcPr>
            <w:tcW w:w="0" w:type="dxa"/>
            <w:vAlign w:val="bottom"/>
          </w:tcPr>
          <w:p>
            <w:pPr>
              <w:spacing w:after="0"/>
              <w:rPr>
                <w:sz w:val="1"/>
                <w:szCs w:val="1"/>
                <w:color w:val="auto"/>
              </w:rPr>
            </w:pPr>
          </w:p>
        </w:tc>
      </w:tr>
      <w:tr>
        <w:trPr>
          <w:trHeight w:val="229"/>
        </w:trPr>
        <w:tc>
          <w:tcPr>
            <w:tcW w:w="7480" w:type="dxa"/>
            <w:vAlign w:val="bottom"/>
          </w:tcPr>
          <w:p>
            <w:pPr>
              <w:ind w:left="380"/>
              <w:spacing w:after="0"/>
              <w:rPr>
                <w:sz w:val="20"/>
                <w:szCs w:val="20"/>
                <w:color w:val="auto"/>
              </w:rPr>
            </w:pPr>
            <w:r>
              <w:rPr>
                <w:rFonts w:ascii="Arial" w:cs="Arial" w:eastAsia="Arial" w:hAnsi="Arial"/>
                <w:sz w:val="18"/>
                <w:szCs w:val="18"/>
                <w:color w:val="auto"/>
              </w:rPr>
              <w:t>Plan Sponsor</w:t>
            </w:r>
          </w:p>
        </w:tc>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40"/>
              <w:spacing w:after="0"/>
              <w:rPr>
                <w:sz w:val="20"/>
                <w:szCs w:val="20"/>
                <w:color w:val="auto"/>
              </w:rPr>
            </w:pPr>
            <w:r>
              <w:rPr>
                <w:rFonts w:ascii="Arial" w:cs="Arial" w:eastAsia="Arial" w:hAnsi="Arial"/>
                <w:sz w:val="18"/>
                <w:szCs w:val="18"/>
                <w:color w:val="auto"/>
              </w:rPr>
              <w:t>contributions</w:t>
            </w:r>
          </w:p>
        </w:tc>
        <w:tc>
          <w:tcPr>
            <w:tcW w:w="4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1,357,752</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2,847,710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Participants' contributions</w:t>
            </w: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2,621,844</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Accrued income</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113,039</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 repayments</w:t>
            </w: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439,676</w:t>
            </w:r>
          </w:p>
        </w:tc>
        <w:tc>
          <w:tcPr>
            <w:tcW w:w="0" w:type="dxa"/>
            <w:vAlign w:val="bottom"/>
          </w:tcPr>
          <w:p>
            <w:pPr>
              <w:spacing w:after="0"/>
              <w:rPr>
                <w:sz w:val="1"/>
                <w:szCs w:val="1"/>
                <w:color w:val="auto"/>
              </w:rPr>
            </w:pPr>
          </w:p>
        </w:tc>
      </w:tr>
      <w:tr>
        <w:trPr>
          <w:trHeight w:val="284"/>
        </w:trPr>
        <w:tc>
          <w:tcPr>
            <w:tcW w:w="7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Pending settlement</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38,964</w:t>
            </w: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359,170</w:t>
            </w:r>
          </w:p>
        </w:tc>
        <w:tc>
          <w:tcPr>
            <w:tcW w:w="0" w:type="dxa"/>
            <w:vAlign w:val="bottom"/>
          </w:tcPr>
          <w:p>
            <w:pPr>
              <w:spacing w:after="0"/>
              <w:rPr>
                <w:sz w:val="1"/>
                <w:szCs w:val="1"/>
                <w:color w:val="auto"/>
              </w:rPr>
            </w:pPr>
          </w:p>
        </w:tc>
      </w:tr>
      <w:tr>
        <w:trPr>
          <w:trHeight w:val="271"/>
        </w:trPr>
        <w:tc>
          <w:tcPr>
            <w:tcW w:w="7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Receivables</w:t>
            </w:r>
          </w:p>
        </w:tc>
        <w:tc>
          <w:tcPr>
            <w:tcW w:w="4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28,325,199</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29,106,745</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NET ASSETS REFLECTING INVESTMENTS AT FAIR VALUE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795,212,806</w:t>
            </w:r>
          </w:p>
        </w:tc>
        <w:tc>
          <w:tcPr>
            <w:tcW w:w="2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645,731,948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(927,828)</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(882,810)</w:t>
            </w:r>
          </w:p>
        </w:tc>
        <w:tc>
          <w:tcPr>
            <w:tcW w:w="0" w:type="dxa"/>
            <w:vAlign w:val="bottom"/>
          </w:tcPr>
          <w:p>
            <w:pPr>
              <w:spacing w:after="0"/>
              <w:rPr>
                <w:sz w:val="1"/>
                <w:szCs w:val="1"/>
                <w:color w:val="auto"/>
              </w:rPr>
            </w:pPr>
          </w:p>
        </w:tc>
      </w:tr>
      <w:tr>
        <w:trPr>
          <w:trHeight w:val="209"/>
        </w:trPr>
        <w:tc>
          <w:tcPr>
            <w:tcW w:w="7480" w:type="dxa"/>
            <w:vAlign w:val="bottom"/>
          </w:tcPr>
          <w:p>
            <w:pPr>
              <w:ind w:left="40"/>
              <w:spacing w:after="0"/>
              <w:rPr>
                <w:sz w:val="20"/>
                <w:szCs w:val="20"/>
                <w:color w:val="auto"/>
              </w:rPr>
            </w:pPr>
            <w:r>
              <w:rPr>
                <w:rFonts w:ascii="Arial" w:cs="Arial" w:eastAsia="Arial" w:hAnsi="Arial"/>
                <w:sz w:val="18"/>
                <w:szCs w:val="18"/>
                <w:color w:val="auto"/>
              </w:rPr>
              <w:t>NET ASSETS AVAILABLE FOR</w:t>
            </w: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794,284,978</w:t>
            </w:r>
          </w:p>
        </w:tc>
        <w:tc>
          <w:tcPr>
            <w:tcW w:w="220" w:type="dxa"/>
            <w:vAlign w:val="bottom"/>
          </w:tcPr>
          <w:p>
            <w:pPr>
              <w:spacing w:after="0"/>
              <w:rPr>
                <w:sz w:val="18"/>
                <w:szCs w:val="18"/>
                <w:color w:val="auto"/>
              </w:rPr>
            </w:pPr>
          </w:p>
        </w:tc>
        <w:tc>
          <w:tcPr>
            <w:tcW w:w="620" w:type="dxa"/>
            <w:vAlign w:val="bottom"/>
            <w:vMerge w:val="restart"/>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644,849,138</w:t>
            </w:r>
          </w:p>
        </w:tc>
        <w:tc>
          <w:tcPr>
            <w:tcW w:w="0" w:type="dxa"/>
            <w:vAlign w:val="bottom"/>
          </w:tcPr>
          <w:p>
            <w:pPr>
              <w:spacing w:after="0"/>
              <w:rPr>
                <w:sz w:val="1"/>
                <w:szCs w:val="1"/>
                <w:color w:val="auto"/>
              </w:rPr>
            </w:pPr>
          </w:p>
        </w:tc>
      </w:tr>
      <w:tr>
        <w:trPr>
          <w:trHeight w:val="242"/>
        </w:trPr>
        <w:tc>
          <w:tcPr>
            <w:tcW w:w="7480" w:type="dxa"/>
            <w:vAlign w:val="bottom"/>
          </w:tcPr>
          <w:p>
            <w:pPr>
              <w:ind w:left="40"/>
              <w:spacing w:after="0"/>
              <w:rPr>
                <w:sz w:val="20"/>
                <w:szCs w:val="20"/>
                <w:color w:val="auto"/>
              </w:rPr>
            </w:pPr>
            <w:r>
              <w:rPr>
                <w:rFonts w:ascii="Arial" w:cs="Arial" w:eastAsia="Arial" w:hAnsi="Arial"/>
                <w:sz w:val="18"/>
                <w:szCs w:val="18"/>
                <w:color w:val="auto"/>
              </w:rPr>
              <w:t>BENEFITS</w:t>
            </w:r>
          </w:p>
        </w:tc>
        <w:tc>
          <w:tcPr>
            <w:tcW w:w="46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WEATHERFORD INTERNATIONAL, LLC 401(k) SAVINGS PLAN STATEMENT OF CHANGES IN NET ASSETS AVAILABLE FOR BENEFITS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97"/>
        </w:trPr>
        <w:tc>
          <w:tcPr>
            <w:tcW w:w="9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 on investments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13,632</w:t>
            </w:r>
          </w:p>
        </w:tc>
      </w:tr>
      <w:tr>
        <w:trPr>
          <w:trHeight w:val="243"/>
        </w:trPr>
        <w:tc>
          <w:tcPr>
            <w:tcW w:w="9720" w:type="dxa"/>
            <w:vAlign w:val="bottom"/>
          </w:tcPr>
          <w:p>
            <w:pPr>
              <w:ind w:left="260"/>
              <w:spacing w:after="0"/>
              <w:rPr>
                <w:sz w:val="20"/>
                <w:szCs w:val="20"/>
                <w:color w:val="auto"/>
              </w:rPr>
            </w:pPr>
            <w:r>
              <w:rPr>
                <w:rFonts w:ascii="Arial" w:cs="Arial" w:eastAsia="Arial" w:hAnsi="Arial"/>
                <w:sz w:val="18"/>
                <w:szCs w:val="18"/>
                <w:color w:val="auto"/>
              </w:rPr>
              <w:t>Interest income on notes receivable from participants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1,029,599</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30,741,116</w:t>
            </w:r>
          </w:p>
        </w:tc>
      </w:tr>
      <w:tr>
        <w:trPr>
          <w:trHeight w:val="243"/>
        </w:trPr>
        <w:tc>
          <w:tcPr>
            <w:tcW w:w="9720" w:type="dxa"/>
            <w:vAlign w:val="bottom"/>
          </w:tcPr>
          <w:p>
            <w:pPr>
              <w:ind w:left="220"/>
              <w:spacing w:after="0"/>
              <w:rPr>
                <w:sz w:val="20"/>
                <w:szCs w:val="20"/>
                <w:color w:val="auto"/>
              </w:rPr>
            </w:pPr>
            <w:r>
              <w:rPr>
                <w:rFonts w:ascii="Arial" w:cs="Arial" w:eastAsia="Arial" w:hAnsi="Arial"/>
                <w:sz w:val="18"/>
                <w:szCs w:val="18"/>
                <w:color w:val="auto"/>
              </w:rPr>
              <w:t>Net appreciation in fair value of collective trusts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18,035,898</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appreciation in fair value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30,096,791</w:t>
            </w:r>
          </w:p>
        </w:tc>
      </w:tr>
      <w:tr>
        <w:trPr>
          <w:trHeight w:val="284"/>
        </w:trPr>
        <w:tc>
          <w:tcPr>
            <w:tcW w:w="9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appreciation in fair value of mutual funds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52,875,227</w:t>
            </w:r>
          </w:p>
        </w:tc>
      </w:tr>
      <w:tr>
        <w:trPr>
          <w:trHeight w:val="244"/>
        </w:trPr>
        <w:tc>
          <w:tcPr>
            <w:tcW w:w="9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132,792,263</w:t>
            </w:r>
          </w:p>
        </w:tc>
      </w:tr>
      <w:tr>
        <w:trPr>
          <w:trHeight w:val="270"/>
        </w:trPr>
        <w:tc>
          <w:tcPr>
            <w:tcW w:w="9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tcPr>
          <w:p>
            <w:pPr>
              <w:ind w:left="380"/>
              <w:spacing w:after="0"/>
              <w:rPr>
                <w:sz w:val="20"/>
                <w:szCs w:val="20"/>
                <w:color w:val="auto"/>
              </w:rPr>
            </w:pPr>
            <w:r>
              <w:rPr>
                <w:rFonts w:ascii="Arial" w:cs="Arial" w:eastAsia="Arial" w:hAnsi="Arial"/>
                <w:sz w:val="18"/>
                <w:szCs w:val="18"/>
                <w:color w:val="auto"/>
              </w:rPr>
              <w:t>Participants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76,666,013</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Plan Sponsor</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40,321,839</w:t>
            </w:r>
          </w:p>
        </w:tc>
      </w:tr>
      <w:tr>
        <w:trPr>
          <w:trHeight w:val="284"/>
        </w:trPr>
        <w:tc>
          <w:tcPr>
            <w:tcW w:w="9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Rollovers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5,367,758</w:t>
            </w:r>
          </w:p>
        </w:tc>
      </w:tr>
      <w:tr>
        <w:trPr>
          <w:trHeight w:val="244"/>
        </w:trPr>
        <w:tc>
          <w:tcPr>
            <w:tcW w:w="9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122,355,610</w:t>
            </w:r>
          </w:p>
        </w:tc>
      </w:tr>
      <w:tr>
        <w:trPr>
          <w:trHeight w:val="270"/>
        </w:trPr>
        <w:tc>
          <w:tcPr>
            <w:tcW w:w="9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7"/>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13,348</w:t>
            </w:r>
          </w:p>
        </w:tc>
      </w:tr>
      <w:tr>
        <w:trPr>
          <w:trHeight w:val="270"/>
        </w:trPr>
        <w:tc>
          <w:tcPr>
            <w:tcW w:w="9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Additions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255,161,221</w:t>
            </w:r>
          </w:p>
        </w:tc>
      </w:tr>
      <w:tr>
        <w:trPr>
          <w:trHeight w:val="270"/>
        </w:trPr>
        <w:tc>
          <w:tcPr>
            <w:tcW w:w="9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9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Benefits paid to participants and beneficiaries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105,420,090</w:t>
            </w:r>
          </w:p>
        </w:tc>
      </w:tr>
      <w:tr>
        <w:trPr>
          <w:trHeight w:val="284"/>
        </w:trPr>
        <w:tc>
          <w:tcPr>
            <w:tcW w:w="9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Administrative fees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305,291</w:t>
            </w:r>
          </w:p>
        </w:tc>
      </w:tr>
      <w:tr>
        <w:trPr>
          <w:trHeight w:val="264"/>
        </w:trPr>
        <w:tc>
          <w:tcPr>
            <w:tcW w:w="97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9720" w:type="dxa"/>
            <w:vAlign w:val="bottom"/>
          </w:tcPr>
          <w:p>
            <w:pPr>
              <w:ind w:left="220"/>
              <w:spacing w:after="0"/>
              <w:rPr>
                <w:sz w:val="20"/>
                <w:szCs w:val="20"/>
                <w:color w:val="auto"/>
              </w:rPr>
            </w:pPr>
            <w:r>
              <w:rPr>
                <w:rFonts w:ascii="Arial" w:cs="Arial" w:eastAsia="Arial" w:hAnsi="Arial"/>
                <w:sz w:val="18"/>
                <w:szCs w:val="18"/>
                <w:color w:val="auto"/>
              </w:rPr>
              <w:t>Total Deductions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105,725,381</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NET INCREASE</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149,435,840</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 AVAILABLE FOR BENEFITS, beginning of year</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644,849,138</w:t>
            </w:r>
          </w:p>
        </w:tc>
      </w:tr>
      <w:tr>
        <w:trPr>
          <w:trHeight w:val="264"/>
        </w:trPr>
        <w:tc>
          <w:tcPr>
            <w:tcW w:w="97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4"/>
        </w:trPr>
        <w:tc>
          <w:tcPr>
            <w:tcW w:w="9720" w:type="dxa"/>
            <w:vAlign w:val="bottom"/>
          </w:tcPr>
          <w:p>
            <w:pPr>
              <w:ind w:left="40"/>
              <w:spacing w:after="0"/>
              <w:rPr>
                <w:sz w:val="20"/>
                <w:szCs w:val="20"/>
                <w:color w:val="auto"/>
              </w:rPr>
            </w:pPr>
            <w:r>
              <w:rPr>
                <w:rFonts w:ascii="Arial" w:cs="Arial" w:eastAsia="Arial" w:hAnsi="Arial"/>
                <w:sz w:val="18"/>
                <w:szCs w:val="18"/>
                <w:color w:val="auto"/>
              </w:rPr>
              <w:t>NET ASSETS AVAILABLE FOR BENEFITS, end of year</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794,284,978</w:t>
            </w:r>
          </w:p>
        </w:tc>
      </w:tr>
      <w:tr>
        <w:trPr>
          <w:trHeight w:val="20"/>
        </w:trPr>
        <w:tc>
          <w:tcPr>
            <w:tcW w:w="9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PLAN:</w:t>
      </w:r>
    </w:p>
    <w:p>
      <w:pPr>
        <w:spacing w:after="0" w:line="256"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The following description of the Weatherford International, LLC 401(k) Savings Plan ("the Plan"), formerly known as the Weatherford International, Inc. 401(k) Savings Plan, provides only general information. Participants should refer to the Plan document for a more complete description of the Plan's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Plan is a defined contribution plan established by the board of directors ("the Board of Directors") of Weatherford International, LLC ("the Plan Sponsor"), formerly known as Weatherford International, Inc.</w:t>
      </w:r>
    </w:p>
    <w:p>
      <w:pPr>
        <w:spacing w:after="0" w:line="17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Effective April 1, 2013, the Plan Sponsor converted from a Delaware corporation to a Delaware limited liability company and accordingly changed its name from "Weatherford International, Inc." to "Weatherford International, LLC". The Plan is henceforth known as the "Weatherford International, LLC 401(k) Savings Plan".</w:t>
      </w:r>
    </w:p>
    <w:p>
      <w:pPr>
        <w:spacing w:after="0" w:line="18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Effective as of June 17, 2014, Weatherford International Ltd., a Swiss joint-stock corporation ("Weatherford Switzerland"), merged into Weatherford International plc, an Irish public limited company ("Weatherford Ireland") making Weatherford Ireland the new public holding company and the parent of the Weatherford group of companies. By virtue of the merger, Weatherford International, LLC became an indirect, wholly-owned subsidiary of Weatherford Ireland.</w:t>
      </w:r>
    </w:p>
    <w:p>
      <w:pPr>
        <w:spacing w:after="0" w:line="187"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The Board of Directors appointed a committee ("the Benefits Administrative Committee") to administer the Plan. Bank of America, N.A. serves as asset custodian and trustee of the Plan. The Plan is subject to the provisions of the Employee Retirement Income Security Act of 1974, as amended ("ERISA").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jc w:val="both"/>
        <w:ind w:firstLine="270"/>
        <w:spacing w:after="0" w:line="219" w:lineRule="exact"/>
        <w:rPr>
          <w:sz w:val="20"/>
          <w:szCs w:val="20"/>
          <w:color w:val="auto"/>
        </w:rPr>
      </w:pPr>
      <w:r>
        <w:rPr>
          <w:rFonts w:ascii="Arial" w:cs="Arial" w:eastAsia="Arial" w:hAnsi="Arial"/>
          <w:sz w:val="18"/>
          <w:szCs w:val="18"/>
          <w:color w:val="auto"/>
        </w:rPr>
        <w:t>All employees, other than employees who are subject to collective bargaining agreements and have not bargained to participate, employees who are nonresident aliens and receive no U.S.</w:t>
      </w:r>
      <w:r>
        <w:rPr>
          <w:rFonts w:ascii="MS PGothic" w:cs="MS PGothic" w:eastAsia="MS PGothic" w:hAnsi="MS PGothic"/>
          <w:sz w:val="18"/>
          <w:szCs w:val="18"/>
          <w:color w:val="auto"/>
        </w:rPr>
        <w:t>‑</w:t>
      </w:r>
      <w:r>
        <w:rPr>
          <w:rFonts w:ascii="Arial" w:cs="Arial" w:eastAsia="Arial" w:hAnsi="Arial"/>
          <w:sz w:val="18"/>
          <w:szCs w:val="18"/>
          <w:color w:val="auto"/>
        </w:rPr>
        <w:t>source income from the Plan Sponsor and employees who are members of other retirement plans sponsored by the Plan Sponsor or one of its subsidiaries outside the United States or employed by an affiliate company that has not adopted the Plan, are eligible to participate in the Plan on their dates of hire but are not eligible to participate for purposes of the Plan Sponsor's matching or discretionary contributions until the employee has completed one year of continuous service.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An eligible employee may elect to contribute by payroll deductions to the Plan on a pre-tax and/or Roth basis subject to certain limitations, up to 50 percent and on an after tax basis, up to 16 percent of his or her considered compensation, as defined by the Plan. In addition, participants may contribute amounts representing rollovers and/or direct transfers from other qualified plans.</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Employees who are eligible to make elective deferrals under the Plan and who have attained the age of 50 before the close of the Plan year are permitted to make catch-up contributions subject to certain limitations.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Plan Sponsor automatically deducts and contributes to the Plan 3 percent of the considered compensation for each newly eligible employee who has not voluntarily elected a salary deferral. No automatic deduction is taken for those employees who have elected to defer a different percentage of covered compensation or for those who have elected not to participate in the salary deferral. In addition, for those participants with a pre-tax contribution rate of between 1 percent and 5 percent, their rate will be increased automatically by 1 percent annually to a maximum of 6 percent, unless they elect to opt out of the automatic increase.</w:t>
      </w:r>
    </w:p>
    <w:p>
      <w:pPr>
        <w:spacing w:after="0" w:line="18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Plan Sponsor shall make matching contributions equal to 100 percent of the participant's pre-tax and/or Roth contributions up to 4 percent of considered compensation, as defined by the Plan, on a plan year basis. Considered compensation used to calculate the Plan Sponsor match includes overtime, bonuses and commissions but does not include relocation expenses, severance pay, or any amounts paid after an employee's severance from employment. The Plan Sponsor, solely at the discretion of the Board of Directors, may make additional discretionary contributions. There were no additional discretionary contributions made for the year ended December 31,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Accounts</w:t>
      </w:r>
    </w:p>
    <w:p>
      <w:pPr>
        <w:spacing w:after="0" w:line="22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Each participant's account is charged with certain expenses and credited with the participant's contributions, the Plan Sponsor's matching contributions, an allocation of the Plan Sponsor's discretionary contribution, if any, and Plan earnings or losses thereon. Earnings or losses are allocated by investment based on the ratio of the participant's account invested in a particular investment to all participants' accounts in that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22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For the year ended December 31, 2013, participants had the following investment options: sixteen mutual funds, two collective trusts, a money market account and Weatherford International Ltd. registered shares ("Registered Shares"). Each participant who invested in Registered Shares had the right to vote the shares in his or her account with respect to any matter that came before the shareholders for a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22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Participants are immediately vested in their elective deferral account, rollovers from other qualified plans, the participant's Plan Sponsor match and discretionary contribution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225"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 xml:space="preserve">Participants may borrow from their vested account balances a minimum of $1,000 up to a maximum equal to the lesser of $50,000 reduced by the highest outstanding loan balance in the preceding one year period or one half of the fair market value of the participant's vested account balance. Loan maturity dates range from one year to five years except when the loan is used to purchase a participant's principal residence. In the case of home loans, all such loans are required to be repaid within ten years. The loans are fully secured by a pledge of the participant's vested account balance and bear interest at the prime rate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at the date of the loan plus 1% or at a rate determined by the Benefits Administrative Committee.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Withdrawals and Terminations</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 participant may withdraw the value of his or her after-tax contributions or rollover contributions from the Plan at any time and for any reason during the year, with a minimum withdrawal of $500. The participant's pre-tax contributions, Roth contributions and Plan Sponsor contributions will be available to a participant who has attained age 59-1/2 or in the event of severe and immediate financial hardship. Withdrawals based on financial hardship result in a suspension of participant contributions for 6 months.</w:t>
      </w:r>
    </w:p>
    <w:p>
      <w:pPr>
        <w:spacing w:after="0" w:line="18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In the event of normal retirement, total and permanent disability or death while actively employed, the full value of the participant's account balance will be made available to the participant or his or her beneficiary as a lump sum. Upon termination of employment, the participant's entire account balance will be available for withdrawal. If a participant has not elected otherwise, all mandatory distributions less than $1,000 are paid directly to the participant, while those in excess of $1,000, but not greater than $5,000, are automatically rolled-over into individual retirement accounts selected by the Benefits Administrative Committee. Certain benefits related to other forms of payment are protected by the Plan.</w:t>
      </w:r>
    </w:p>
    <w:p>
      <w:pPr>
        <w:spacing w:after="0" w:line="33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accompanying financial statements are prepared and presented in accordance with the accrual method of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amounts reported in the financial statements and accompanying notes and schedules. Actual results could differ from those estimates.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of Investments</w:t>
      </w:r>
    </w:p>
    <w:p>
      <w:pPr>
        <w:spacing w:after="0" w:line="225"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The Plan's investments are stated at fair value.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1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Invesco Stable Value Retirement Fund, a collective trust, invests in fully benefit-responsive investment contracts.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225"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Related fees are recorded as administrative expenses and are expensed when they are incurred. No allowance for credit losses has been recorded as of December 31, 2013 or 2012. If a participant ceases to make loan repayments and the plan administrator deems the participant loan to be a distribution, the participant loan balance is reduced and a benefit payment is recorded.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Recognition</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Interest and dividend income is recorded when earned. Purchases and sales of securities are recorded on a trade-date basis. Realized gains (losses) on the sale of investments and unrealized appreciation (depreciation) in the fair value of investments are shown as net appreciation in fair value of collective trusts, common stock and mutual funds on the Statement of Changes in Net Assets Available for Benefits. No dividends were paid on Registered Shares during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Benefits are recorded when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 of the Plan</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Recordkeeping fees for the Plan and fees for certain other services such as mailers, etc. are paid for by the revenue sharing from plan investments. Other administrative fees incurred by the Plan are paid by the Plan Sponsor, except for participant loan fees, which are paid from the account of the participant requesting the loan.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Individual investments that represent 5 percent or more of the Plan's net assets available for benefits at December 31, 2013 and 2012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spacing w:after="0"/>
              <w:rPr>
                <w:sz w:val="20"/>
                <w:szCs w:val="20"/>
                <w:color w:val="auto"/>
              </w:rPr>
            </w:pPr>
          </w:p>
        </w:tc>
      </w:tr>
      <w:tr>
        <w:trPr>
          <w:trHeight w:val="34"/>
        </w:trPr>
        <w:tc>
          <w:tcPr>
            <w:tcW w:w="7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2012</w:t>
            </w:r>
          </w:p>
        </w:tc>
      </w:tr>
      <w:tr>
        <w:trPr>
          <w:trHeight w:val="34"/>
        </w:trPr>
        <w:tc>
          <w:tcPr>
            <w:tcW w:w="7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Invesco Stable Value Retirement Fund (stated at contract value)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114,915,570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104,722,401</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Registered Shares of Weatherford International Ltd.</w:t>
            </w: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104,405,873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79,358,480</w:t>
            </w:r>
          </w:p>
        </w:tc>
      </w:tr>
      <w:tr>
        <w:trPr>
          <w:trHeight w:val="27"/>
        </w:trPr>
        <w:tc>
          <w:tcPr>
            <w:tcW w:w="7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BlackRock Equity Index Non-Lendable Fund</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63,846,204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60,901,083</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The Oakmark Fund</w:t>
            </w: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60,965,714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PIMCO Total Return Fund</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59,904,196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58,061,911</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Thornburg International Value Fund</w:t>
            </w: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57,227,944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34,629,362</w:t>
            </w:r>
          </w:p>
        </w:tc>
      </w:tr>
      <w:tr>
        <w:trPr>
          <w:trHeight w:val="27"/>
        </w:trPr>
        <w:tc>
          <w:tcPr>
            <w:tcW w:w="7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Goldman Sachs Mid Cap Value Fund</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47,208,464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American Beacon Small Cap Value Fund</w:t>
            </w: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44,184,021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37,331,725</w:t>
            </w:r>
          </w:p>
        </w:tc>
      </w:tr>
      <w:tr>
        <w:trPr>
          <w:trHeight w:val="27"/>
        </w:trPr>
        <w:tc>
          <w:tcPr>
            <w:tcW w:w="7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Invesco Equity and Income Fund</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39,725,440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MFS International New Discovery Fund</w:t>
            </w:r>
          </w:p>
        </w:tc>
        <w:tc>
          <w:tcPr>
            <w:tcW w:w="4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46,670,263</w:t>
            </w:r>
          </w:p>
        </w:tc>
      </w:tr>
      <w:tr>
        <w:trPr>
          <w:trHeight w:val="27"/>
        </w:trPr>
        <w:tc>
          <w:tcPr>
            <w:tcW w:w="7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Davis New York Venture Fund</w:t>
            </w: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36,390,527</w:t>
            </w:r>
          </w:p>
        </w:tc>
      </w:tr>
      <w:tr>
        <w:trPr>
          <w:trHeight w:val="27"/>
        </w:trPr>
        <w:tc>
          <w:tcPr>
            <w:tcW w:w="7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fair value of the Invesco Stable Value Retirement Fund totaled $115,843,398 and $105,605,211 at December 31, 2013 and 2012, respectively.</w:t>
      </w:r>
    </w:p>
    <w:p>
      <w:pPr>
        <w:spacing w:after="0" w:line="39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0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 xml:space="preserve">Accounting Standards Codification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as the price that would be received to sell an asset or paid to transfer a liability in an orderly transaction between market participants at the measurement date. ASC 820 establishes a fair value hierarchy that distinguishes between market participant assumptions developed based on market data obtained from independent sources (observable inputs) and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that are both significant to the fair value measurement and unobservable.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accordance with ASC 820, the following table presents the Plan's assets that are measured and recognized at fair value on a recurring basis classified under the appropriate level of the fair value hierarchy as of December 31, 2013 and 2012: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88"/>
              </w:rPr>
              <w:t>Assets at Fair Value as of December 31, 2013</w:t>
            </w:r>
          </w:p>
        </w:tc>
      </w:tr>
      <w:tr>
        <w:trPr>
          <w:trHeight w:val="34"/>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1"/>
                <w:szCs w:val="21"/>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10,402,927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10,402,927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small/mid cap growth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21,263,362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21,263,362</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small/mid cap value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91,392,485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91,392,485</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small/mid cap blend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20,470,126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20,470,126</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large cap growth</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28,109,971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28,109,971</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large cap blend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60,965,714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60,965,714</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large cap value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14,914,400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14,914,400</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Domestic/foreign allocation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65,117,153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65,117,153</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Foreign stock</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95,994,196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95,994,196</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72,666,734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72,666,734</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1,495,064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1,495,064</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104,405,873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104,405,873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Collective trusts: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Stable value(b)</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115,843,398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115,843,398</w:t>
            </w:r>
          </w:p>
        </w:tc>
      </w:tr>
      <w:tr>
        <w:trPr>
          <w:trHeight w:val="284"/>
        </w:trPr>
        <w:tc>
          <w:tcPr>
            <w:tcW w:w="6760" w:type="dxa"/>
            <w:vAlign w:val="bottom"/>
          </w:tcPr>
          <w:p>
            <w:pPr>
              <w:ind w:left="180"/>
              <w:spacing w:after="0"/>
              <w:rPr>
                <w:sz w:val="20"/>
                <w:szCs w:val="20"/>
                <w:color w:val="auto"/>
              </w:rPr>
            </w:pPr>
            <w:r>
              <w:rPr>
                <w:rFonts w:ascii="Arial" w:cs="Arial" w:eastAsia="Arial" w:hAnsi="Arial"/>
                <w:sz w:val="18"/>
                <w:szCs w:val="18"/>
                <w:color w:val="auto"/>
              </w:rPr>
              <w:t>Large cap blend(c)</w:t>
            </w:r>
          </w:p>
        </w:tc>
        <w:tc>
          <w:tcPr>
            <w:tcW w:w="3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63,846,204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63,846,204</w:t>
            </w:r>
          </w:p>
        </w:tc>
      </w:tr>
      <w:tr>
        <w:trPr>
          <w:trHeight w:val="257"/>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at fair value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587,198,005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179,689,602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766,887,607</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88"/>
              </w:rPr>
              <w:t>Assets at Fair Value as of December 31, 2012</w:t>
            </w:r>
          </w:p>
        </w:tc>
      </w:tr>
      <w:tr>
        <w:trPr>
          <w:trHeight w:val="34"/>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1"/>
                <w:szCs w:val="21"/>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6,367,053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6,367,053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small/mid cap growth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15,518,295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15,518,295</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small/mid cap value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68,076,794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68,076,794</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small/mid cap blend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16,056,688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16,056,688</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large cap growth</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15,593,163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15,593,163</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large cap blend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36,390,527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36,390,527</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large cap value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7,184,827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7,184,827</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Domestic/foreign allocation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52,777,738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52,777,738</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Foreign stock</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81,299,625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81,299,625</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70,339,354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70,339,354</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1,156,365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1,156,365</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79,358,480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79,358,480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Collective trusts: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Stable value(b)</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105,605,211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105,605,211</w:t>
            </w:r>
          </w:p>
        </w:tc>
      </w:tr>
      <w:tr>
        <w:trPr>
          <w:trHeight w:val="284"/>
        </w:trPr>
        <w:tc>
          <w:tcPr>
            <w:tcW w:w="6760" w:type="dxa"/>
            <w:vAlign w:val="bottom"/>
          </w:tcPr>
          <w:p>
            <w:pPr>
              <w:ind w:left="180"/>
              <w:spacing w:after="0"/>
              <w:rPr>
                <w:sz w:val="20"/>
                <w:szCs w:val="20"/>
                <w:color w:val="auto"/>
              </w:rPr>
            </w:pPr>
            <w:r>
              <w:rPr>
                <w:rFonts w:ascii="Arial" w:cs="Arial" w:eastAsia="Arial" w:hAnsi="Arial"/>
                <w:sz w:val="18"/>
                <w:szCs w:val="18"/>
                <w:color w:val="auto"/>
              </w:rPr>
              <w:t>Large cap blend(c)</w:t>
            </w:r>
          </w:p>
        </w:tc>
        <w:tc>
          <w:tcPr>
            <w:tcW w:w="3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60,901,083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60,901,083</w:t>
            </w:r>
          </w:p>
        </w:tc>
      </w:tr>
      <w:tr>
        <w:trPr>
          <w:trHeight w:val="257"/>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at fair value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450,118,909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166,506,294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616,625,203</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4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40" w:hanging="319"/>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investments in common stock are all Weatherford International Ltd. registered shares.</w:t>
      </w:r>
    </w:p>
    <w:p>
      <w:pPr>
        <w:spacing w:after="0" w:line="225" w:lineRule="exact"/>
        <w:rPr>
          <w:rFonts w:ascii="Arial" w:cs="Arial" w:eastAsia="Arial" w:hAnsi="Arial"/>
          <w:sz w:val="18"/>
          <w:szCs w:val="18"/>
          <w:color w:val="auto"/>
        </w:rPr>
      </w:pPr>
    </w:p>
    <w:p>
      <w:pPr>
        <w:ind w:left="840" w:right="80" w:hanging="319"/>
        <w:spacing w:after="0" w:line="25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category includes a collective trust that is designed to provide preservation of capital, liquidity and current income at levels that are typically higher than those provided by money market funds. The trust invests primarily in synthetic guaranteed investment contracts and a short-term investment fund. Participant-directed redemptions have no restrictions; however, the Plan is subject to a one-year notice provision if redemption is initiated. Effective May 1, 2013, the required one-year notice provision was changed to a two-year provision. For further discussion of the value of the trust, see Note 2.</w:t>
      </w:r>
    </w:p>
    <w:p>
      <w:pPr>
        <w:spacing w:after="0" w:line="188" w:lineRule="exact"/>
        <w:rPr>
          <w:rFonts w:ascii="Arial" w:cs="Arial" w:eastAsia="Arial" w:hAnsi="Arial"/>
          <w:sz w:val="18"/>
          <w:szCs w:val="18"/>
          <w:color w:val="auto"/>
        </w:rPr>
      </w:pPr>
    </w:p>
    <w:p>
      <w:pPr>
        <w:ind w:left="840" w:right="60" w:hanging="319"/>
        <w:spacing w:after="0" w:line="279"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category includes a collective trust that is designed to provide investment results that, before expenses, replicate the total return of the Standard &amp; Poor's 500 Composite Stock Price Index ("S&amp;P 500 Index"). The trust invests primarily in a portfolio of equity securities designed to substantially equal the performance of the S&amp;P 500 Index. There are currently no redemption restrictions on this investment. The fair value of the investment in this category has been estimated using the net asset value per share.</w:t>
      </w:r>
    </w:p>
    <w:p>
      <w:pPr>
        <w:spacing w:after="0" w:line="17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Common stock is valued at the closing price reported on the active market on which the individual securities are traded. Money market and mutual funds are valued at the net asset value ("NAV") of shares held by the Plan at year end.</w:t>
      </w:r>
    </w:p>
    <w:p>
      <w:pPr>
        <w:spacing w:after="0" w:line="17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2013 and 2012. The inputs and methodologies used for valuing securities are not an indication of the risk associated with investing in those securities.</w:t>
      </w:r>
    </w:p>
    <w:p>
      <w:pPr>
        <w:spacing w:after="0" w:line="184"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RISKS AND UNCERTAINTIES:</w:t>
      </w:r>
    </w:p>
    <w:p>
      <w:pPr>
        <w:spacing w:after="0" w:line="229"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The Plan provides for various investments in collective trusts, money market, mutual funds and common stocks. 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7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December 31, 2013 and 2012, the Plan was a holder of approximately 82 percent and 87 percent, respectively, of the assets held by the BlackRock Equity Index Non-Lendable Fund.</w:t>
      </w:r>
    </w:p>
    <w:p>
      <w:pPr>
        <w:spacing w:after="0" w:line="166"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PARTY-IN-INTEREST TRANSACTIONS:</w:t>
      </w:r>
    </w:p>
    <w:p>
      <w:pPr>
        <w:spacing w:after="0" w:line="22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Certain investments of the Plan are maintained by Bank of America, N.A. Bank of America, N.A. is the trustee of the Plan and, therefore, these transactions qualify as party-in-interest transactions. Additionally, a portion of the Plan's assets were invested in Weatherford International Ltd.'s Registered Shares at December 31, 2013. Because the Plan Sponsor was an indirect, wholly-owned subsidiary of Weatherford International Ltd. at December 31, 2013, transactions involving Weatherford International Ltd.'s Registered Shares qualified as party-in-interest transactions. All of these transactions, including notes receivable from participants, were exempt from the prohibited transactions rules.</w:t>
      </w:r>
    </w:p>
    <w:p>
      <w:pPr>
        <w:spacing w:after="0" w:line="169"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TERMINATION:</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Although it has not expressed any intent to do so, the Plan Sponsor has the right under the Plan to discontinue contributions at any time and to terminate the Plan subject to the provisions of ERISA.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STATUS:</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Plan received a determination letter from the Internal Revenue Service ("IRS") dated September 17, 2012 stating that the Plan is qualified under Section 401(a) of the Internal Revenue Code (the "Code") and, therefore, the related trust is exempt from taxation. Subsequent to this determination by the IRS, the Plan was amended and restated. Once qualified, the Plan is required to operate in conformity with the Code to maintain its qualification. The Plan administrator has indicated that the Plan's operations are in compliance with the Code.</w:t>
      </w:r>
    </w:p>
    <w:p>
      <w:pPr>
        <w:spacing w:after="0" w:line="1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Accounting principles generally accepted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2013 and 2012, there are no uncertain positions taken or expected to be taken. The Plan has recognized no interest or penalties related to uncertain tax positions. The Plan is subject to routine audits by US taxing jurisdictions; however, there are currently no audits for any tax periods in progress. The Plan administrator believes it is no longer subject to income tax examinations for years prior to 2010.</w:t>
      </w:r>
    </w:p>
    <w:p>
      <w:pPr>
        <w:spacing w:after="0" w:line="189"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7"/>
          <w:szCs w:val="17"/>
          <w:color w:val="auto"/>
        </w:rPr>
        <w:t>The following is a reconciliation of net assets available for benefits per the financial statements at December 31, 2013 and 2012 to the Form 5500:</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spacing w:after="0"/>
              <w:rPr>
                <w:sz w:val="20"/>
                <w:szCs w:val="20"/>
                <w:color w:val="auto"/>
              </w:rPr>
            </w:pPr>
          </w:p>
        </w:tc>
      </w:tr>
      <w:tr>
        <w:trPr>
          <w:trHeight w:val="34"/>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2012</w:t>
            </w:r>
          </w:p>
        </w:tc>
      </w:tr>
      <w:tr>
        <w:trPr>
          <w:trHeight w:val="34"/>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per the financial statements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794,284,978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644,849,138</w:t>
            </w:r>
          </w:p>
        </w:tc>
      </w:tr>
      <w:tr>
        <w:trPr>
          <w:trHeight w:val="229"/>
        </w:trPr>
        <w:tc>
          <w:tcPr>
            <w:tcW w:w="7540" w:type="dxa"/>
            <w:vAlign w:val="bottom"/>
          </w:tcPr>
          <w:p>
            <w:pPr>
              <w:ind w:left="40"/>
              <w:spacing w:after="0"/>
              <w:rPr>
                <w:sz w:val="20"/>
                <w:szCs w:val="20"/>
                <w:color w:val="auto"/>
              </w:rPr>
            </w:pPr>
            <w:r>
              <w:rPr>
                <w:rFonts w:ascii="Arial" w:cs="Arial" w:eastAsia="Arial" w:hAnsi="Arial"/>
                <w:sz w:val="18"/>
                <w:szCs w:val="18"/>
                <w:color w:val="auto"/>
              </w:rPr>
              <w:t>Amounts allocated to withdrawing</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(97,833)</w:t>
            </w:r>
          </w:p>
        </w:tc>
      </w:t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participants</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(460,081)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927,828</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882,810</w:t>
            </w:r>
          </w:p>
        </w:tc>
      </w:tr>
      <w:tr>
        <w:trPr>
          <w:trHeight w:val="230"/>
        </w:trPr>
        <w:tc>
          <w:tcPr>
            <w:tcW w:w="75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assets available for benefits per the Form 5500</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794,752,725</w:t>
            </w:r>
          </w:p>
        </w:tc>
        <w:tc>
          <w:tcPr>
            <w:tcW w:w="100" w:type="dxa"/>
            <w:vAlign w:val="bottom"/>
            <w:tcBorders>
              <w:top w:val="single" w:sz="8" w:color="CCEEFF"/>
            </w:tcBorders>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645,634,115</w:t>
            </w:r>
          </w:p>
        </w:tc>
      </w:tr>
      <w:tr>
        <w:trPr>
          <w:trHeight w:val="27"/>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The following is a reconciliation of the net increase in net assets available for benefits per the financial statements for the year ended December 31, 2013 to the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net assets available for benefits per the financial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allocated to withdrawing participants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allocated to withdrawing participants at December 31, 2012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 from fair value to contract value for fully benefit-responsive investment contracts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 from fair value to contract value for fully benefit-responsive investment contracts at December 31, 2012</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net assets available for benefits per Form 5500</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337" w:hanging="337"/>
        <w:spacing w:after="0"/>
        <w:tabs>
          <w:tab w:leader="none" w:pos="3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149,435,840</w:t>
      </w:r>
    </w:p>
    <w:p>
      <w:pPr>
        <w:spacing w:after="0" w:line="74" w:lineRule="exact"/>
        <w:rPr>
          <w:rFonts w:ascii="Arial" w:cs="Arial" w:eastAsia="Arial" w:hAnsi="Arial"/>
          <w:sz w:val="17"/>
          <w:szCs w:val="17"/>
          <w:color w:val="auto"/>
        </w:rPr>
      </w:pPr>
    </w:p>
    <w:p>
      <w:pPr>
        <w:ind w:left="577"/>
        <w:spacing w:after="0"/>
        <w:rPr>
          <w:rFonts w:ascii="Arial" w:cs="Arial" w:eastAsia="Arial" w:hAnsi="Arial"/>
          <w:sz w:val="17"/>
          <w:szCs w:val="17"/>
          <w:color w:val="auto"/>
        </w:rPr>
      </w:pPr>
      <w:r>
        <w:rPr>
          <w:rFonts w:ascii="Arial" w:cs="Arial" w:eastAsia="Arial" w:hAnsi="Arial"/>
          <w:sz w:val="16"/>
          <w:szCs w:val="16"/>
          <w:color w:val="auto"/>
        </w:rPr>
        <w:t>(460,081)</w:t>
      </w:r>
    </w:p>
    <w:p>
      <w:pPr>
        <w:spacing w:after="0" w:line="86" w:lineRule="exact"/>
        <w:rPr>
          <w:rFonts w:ascii="Arial" w:cs="Arial" w:eastAsia="Arial" w:hAnsi="Arial"/>
          <w:sz w:val="17"/>
          <w:szCs w:val="17"/>
          <w:color w:val="auto"/>
        </w:rPr>
      </w:pPr>
    </w:p>
    <w:p>
      <w:pPr>
        <w:ind w:left="737"/>
        <w:spacing w:after="0"/>
        <w:rPr>
          <w:rFonts w:ascii="Arial" w:cs="Arial" w:eastAsia="Arial" w:hAnsi="Arial"/>
          <w:sz w:val="17"/>
          <w:szCs w:val="17"/>
          <w:color w:val="auto"/>
        </w:rPr>
      </w:pPr>
      <w:r>
        <w:rPr>
          <w:rFonts w:ascii="Arial" w:cs="Arial" w:eastAsia="Arial" w:hAnsi="Arial"/>
          <w:sz w:val="18"/>
          <w:szCs w:val="18"/>
          <w:color w:val="auto"/>
        </w:rPr>
        <w:t>97,833</w:t>
      </w:r>
    </w:p>
    <w:p>
      <w:pPr>
        <w:spacing w:after="0" w:line="63" w:lineRule="exact"/>
        <w:rPr>
          <w:rFonts w:ascii="Arial" w:cs="Arial" w:eastAsia="Arial" w:hAnsi="Arial"/>
          <w:sz w:val="17"/>
          <w:szCs w:val="17"/>
          <w:color w:val="auto"/>
        </w:rPr>
      </w:pPr>
    </w:p>
    <w:p>
      <w:pPr>
        <w:ind w:left="637"/>
        <w:spacing w:after="0"/>
        <w:rPr>
          <w:rFonts w:ascii="Arial" w:cs="Arial" w:eastAsia="Arial" w:hAnsi="Arial"/>
          <w:sz w:val="17"/>
          <w:szCs w:val="17"/>
          <w:color w:val="auto"/>
        </w:rPr>
      </w:pPr>
      <w:r>
        <w:rPr>
          <w:rFonts w:ascii="Arial" w:cs="Arial" w:eastAsia="Arial" w:hAnsi="Arial"/>
          <w:sz w:val="18"/>
          <w:szCs w:val="18"/>
          <w:color w:val="auto"/>
        </w:rPr>
        <w:t>927,828</w:t>
      </w:r>
    </w:p>
    <w:p>
      <w:pPr>
        <w:spacing w:after="0" w:line="63" w:lineRule="exact"/>
        <w:rPr>
          <w:rFonts w:ascii="Arial" w:cs="Arial" w:eastAsia="Arial" w:hAnsi="Arial"/>
          <w:sz w:val="17"/>
          <w:szCs w:val="17"/>
          <w:color w:val="auto"/>
        </w:rPr>
      </w:pPr>
    </w:p>
    <w:p>
      <w:pPr>
        <w:ind w:left="577"/>
        <w:spacing w:after="0"/>
        <w:rPr>
          <w:rFonts w:ascii="Arial" w:cs="Arial" w:eastAsia="Arial" w:hAnsi="Arial"/>
          <w:sz w:val="17"/>
          <w:szCs w:val="17"/>
          <w:color w:val="auto"/>
        </w:rPr>
      </w:pPr>
      <w:r>
        <w:rPr>
          <w:rFonts w:ascii="Arial" w:cs="Arial" w:eastAsia="Arial" w:hAnsi="Arial"/>
          <w:sz w:val="16"/>
          <w:szCs w:val="16"/>
          <w:color w:val="auto"/>
        </w:rPr>
        <w:t>(882,810)</w:t>
      </w:r>
    </w:p>
    <w:p>
      <w:pPr>
        <w:spacing w:after="0" w:line="113" w:lineRule="exact"/>
        <w:rPr>
          <w:sz w:val="20"/>
          <w:szCs w:val="20"/>
          <w:color w:val="auto"/>
        </w:rPr>
      </w:pPr>
    </w:p>
    <w:p>
      <w:pPr>
        <w:ind w:left="337" w:hanging="337"/>
        <w:spacing w:after="0"/>
        <w:tabs>
          <w:tab w:leader="none" w:pos="337" w:val="left"/>
        </w:tabs>
        <w:numPr>
          <w:ilvl w:val="0"/>
          <w:numId w:val="12"/>
        </w:numPr>
        <w:rPr>
          <w:rFonts w:ascii="Arial" w:cs="Arial" w:eastAsia="Arial" w:hAnsi="Arial"/>
          <w:sz w:val="17"/>
          <w:szCs w:val="17"/>
          <w:color w:val="auto"/>
        </w:rPr>
      </w:pPr>
      <w:r>
        <w:rPr>
          <w:rFonts w:ascii="Arial" w:cs="Arial" w:eastAsia="Arial" w:hAnsi="Arial"/>
          <w:sz w:val="17"/>
          <w:szCs w:val="17"/>
          <w:color w:val="auto"/>
        </w:rPr>
        <w:t>149,118,610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56515</wp:posOffset>
            </wp:positionV>
            <wp:extent cx="866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63" w:space="720"/>
            <w:col w:w="1337"/>
          </w:cols>
          <w:pgMar w:left="240" w:top="346" w:right="239" w:bottom="1440" w:gutter="0" w:footer="0" w:header="0"/>
          <w:type w:val="continuous"/>
        </w:sectPr>
      </w:pPr>
    </w:p>
    <w:p>
      <w:pPr>
        <w:spacing w:after="0" w:line="104"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Amounts allocated to withdrawing participants are recorded on the Form 5500 for benefit claims that have been processed and approved for payment prior to December 31, 2013 and 2012, but not yet paid as of that date.</w:t>
      </w:r>
    </w:p>
    <w:p>
      <w:pPr>
        <w:spacing w:after="0" w:line="170"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accompanying financial statements present fully benefit-responsive contracts at contract value. The Form 5500 requires fully benefit-responsive contracts to be reported at fair value.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6"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Effective April 1, 2014, the Fidelity Advisor Small Cap Fund, Goldman Sachs Growth Opportunities Fund, and Goldman Sachs Mid Cap Value Fund were removed as investment options. Investments in the Fidelity Advisor Small Cap Fund were transferred to Baron Growth Fund, an existing fund. Investments in the Goldman Sachs funds were transferred to Vanguard Mid-Cap Index Fund. In addition, the share class for Invesco Equity and Income Fund, Invesco Stable Value Retirement Fund, and MFS International New Discovery Fund were switched to a share class with a lower expense ratio.</w:t>
      </w:r>
    </w:p>
    <w:p>
      <w:pPr>
        <w:spacing w:after="0" w:line="17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On June 17, 2014, Weatherford Switzerland completed the change in place of incorporation from Switzerland to Ireland, whereby Weatherford Ireland became the new public holding company and the parent of the Weatherford group of companies.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(except for shares held by, or for the benefit of, Weatherford Switzerland or any of its subsidiaries, which were also cancelled, but for which no Weatherford Ireland shares were allotted).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6"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919"/>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20"/>
          <w:szCs w:val="20"/>
          <w:b w:val="1"/>
          <w:bCs w:val="1"/>
          <w:color w:val="auto"/>
        </w:rPr>
        <w:t>SCHEDULE H, LINE 4(a), SCHEDULE OF DELINQUENT PARTICIPANT CONTRIBUTIONS</w:t>
      </w:r>
    </w:p>
    <w:p>
      <w:pPr>
        <w:jc w:val="center"/>
        <w:ind w:right="-919"/>
        <w:spacing w:after="0"/>
        <w:tabs>
          <w:tab w:leader="none" w:pos="180" w:val="left"/>
        </w:tabs>
        <w:rPr>
          <w:sz w:val="20"/>
          <w:szCs w:val="20"/>
          <w:color w:val="auto"/>
        </w:rPr>
      </w:pPr>
      <w:r>
        <w:rPr>
          <w:rFonts w:ascii="Arial" w:cs="Arial" w:eastAsia="Arial" w:hAnsi="Arial"/>
          <w:sz w:val="20"/>
          <w:szCs w:val="20"/>
          <w:b w:val="1"/>
          <w:bCs w:val="1"/>
          <w:color w:val="auto"/>
        </w:rPr>
        <w:t>EIN: 04-2515019</w:t>
      </w:r>
      <w:r>
        <w:rPr>
          <w:sz w:val="20"/>
          <w:szCs w:val="20"/>
          <w:color w:val="auto"/>
        </w:rPr>
        <w:tab/>
      </w:r>
      <w:r>
        <w:rPr>
          <w:rFonts w:ascii="Arial" w:cs="Arial" w:eastAsia="Arial" w:hAnsi="Arial"/>
          <w:sz w:val="18"/>
          <w:szCs w:val="18"/>
          <w:b w:val="1"/>
          <w:bCs w:val="1"/>
          <w:color w:val="auto"/>
        </w:rPr>
        <w:t>PN: 002</w:t>
      </w:r>
    </w:p>
    <w:p>
      <w:pPr>
        <w:jc w:val="center"/>
        <w:ind w:right="-919"/>
        <w:spacing w:after="0"/>
        <w:rPr>
          <w:sz w:val="20"/>
          <w:szCs w:val="20"/>
          <w:color w:val="auto"/>
        </w:rPr>
      </w:pPr>
      <w:r>
        <w:rPr>
          <w:rFonts w:ascii="Arial" w:cs="Arial" w:eastAsia="Arial" w:hAnsi="Arial"/>
          <w:sz w:val="20"/>
          <w:szCs w:val="20"/>
          <w:b w:val="1"/>
          <w:bCs w:val="1"/>
          <w:color w:val="auto"/>
        </w:rPr>
        <w:t>FOR THE YEAR ENDED DECEMBER 31, 2013</w:t>
      </w:r>
    </w:p>
    <w:p>
      <w:pPr>
        <w:spacing w:after="0" w:line="200" w:lineRule="exact"/>
        <w:rPr>
          <w:sz w:val="20"/>
          <w:szCs w:val="20"/>
          <w:color w:val="auto"/>
        </w:rPr>
      </w:pPr>
    </w:p>
    <w:p>
      <w:pPr>
        <w:spacing w:after="0" w:line="39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2"/>
              </w:rPr>
              <w:t>Participant</w:t>
            </w:r>
          </w:p>
        </w:tc>
        <w:tc>
          <w:tcPr>
            <w:tcW w:w="17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76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Total Fully</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Contributions</w:t>
            </w:r>
          </w:p>
        </w:tc>
        <w:tc>
          <w:tcPr>
            <w:tcW w:w="17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Total that Constitutes</w:t>
            </w:r>
          </w:p>
        </w:tc>
        <w:tc>
          <w:tcPr>
            <w:tcW w:w="376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Corrected Under</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Transferred</w:t>
            </w:r>
          </w:p>
        </w:tc>
        <w:tc>
          <w:tcPr>
            <w:tcW w:w="17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Nonexempt</w:t>
            </w:r>
          </w:p>
        </w:tc>
        <w:tc>
          <w:tcPr>
            <w:tcW w:w="376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VFCP and PTE 2002-</w:t>
            </w:r>
          </w:p>
        </w:tc>
      </w:tr>
      <w:tr>
        <w:trPr>
          <w:trHeight w:val="23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Late to the Plan</w:t>
            </w:r>
          </w:p>
        </w:tc>
        <w:tc>
          <w:tcPr>
            <w:tcW w:w="178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Prohibited Transactions</w:t>
            </w:r>
          </w:p>
        </w:tc>
        <w:tc>
          <w:tcPr>
            <w:tcW w:w="376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51</w:t>
            </w:r>
          </w:p>
        </w:tc>
      </w:tr>
      <w:tr>
        <w:trPr>
          <w:trHeight w:val="34"/>
        </w:trPr>
        <w:tc>
          <w:tcPr>
            <w:tcW w:w="1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9"/>
        </w:trPr>
        <w:tc>
          <w:tcPr>
            <w:tcW w:w="1920" w:type="dxa"/>
            <w:vAlign w:val="bottom"/>
          </w:tcPr>
          <w:p>
            <w:pPr>
              <w:jc w:val="center"/>
              <w:spacing w:after="0"/>
              <w:rPr>
                <w:sz w:val="20"/>
                <w:szCs w:val="20"/>
                <w:color w:val="auto"/>
              </w:rPr>
            </w:pPr>
            <w:r>
              <w:rPr>
                <w:rFonts w:ascii="Arial" w:cs="Arial" w:eastAsia="Arial" w:hAnsi="Arial"/>
                <w:sz w:val="18"/>
                <w:szCs w:val="18"/>
                <w:color w:val="auto"/>
                <w:w w:val="91"/>
              </w:rPr>
              <w:t>Check here if late</w:t>
            </w:r>
          </w:p>
        </w:tc>
        <w:tc>
          <w:tcPr>
            <w:tcW w:w="1780" w:type="dxa"/>
            <w:vAlign w:val="bottom"/>
          </w:tcPr>
          <w:p>
            <w:pPr>
              <w:jc w:val="center"/>
              <w:ind w:left="70"/>
              <w:spacing w:after="0"/>
              <w:rPr>
                <w:sz w:val="20"/>
                <w:szCs w:val="20"/>
                <w:color w:val="auto"/>
              </w:rPr>
            </w:pPr>
            <w:r>
              <w:rPr>
                <w:rFonts w:ascii="Arial" w:cs="Arial" w:eastAsia="Arial" w:hAnsi="Arial"/>
                <w:sz w:val="18"/>
                <w:szCs w:val="18"/>
                <w:color w:val="auto"/>
                <w:w w:val="93"/>
              </w:rPr>
              <w:t>Contributions Not</w:t>
            </w: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Contributions Corrected</w:t>
            </w:r>
          </w:p>
        </w:tc>
        <w:tc>
          <w:tcPr>
            <w:tcW w:w="3760" w:type="dxa"/>
            <w:vAlign w:val="bottom"/>
          </w:tcPr>
          <w:p>
            <w:pPr>
              <w:jc w:val="center"/>
              <w:ind w:right="1870"/>
              <w:spacing w:after="0"/>
              <w:rPr>
                <w:sz w:val="20"/>
                <w:szCs w:val="20"/>
                <w:color w:val="auto"/>
              </w:rPr>
            </w:pPr>
            <w:r>
              <w:rPr>
                <w:rFonts w:ascii="Arial" w:cs="Arial" w:eastAsia="Arial" w:hAnsi="Arial"/>
                <w:sz w:val="18"/>
                <w:szCs w:val="18"/>
                <w:color w:val="auto"/>
                <w:w w:val="92"/>
              </w:rPr>
              <w:t>Contributions Pending</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1"/>
              </w:rPr>
              <w:t>participant loan</w:t>
            </w:r>
          </w:p>
        </w:tc>
        <w:tc>
          <w:tcPr>
            <w:tcW w:w="1780" w:type="dxa"/>
            <w:vAlign w:val="bottom"/>
          </w:tcPr>
          <w:p>
            <w:pPr>
              <w:jc w:val="center"/>
              <w:ind w:left="50"/>
              <w:spacing w:after="0"/>
              <w:rPr>
                <w:sz w:val="20"/>
                <w:szCs w:val="20"/>
                <w:color w:val="auto"/>
              </w:rPr>
            </w:pPr>
            <w:r>
              <w:rPr>
                <w:rFonts w:ascii="Arial" w:cs="Arial" w:eastAsia="Arial" w:hAnsi="Arial"/>
                <w:sz w:val="18"/>
                <w:szCs w:val="18"/>
                <w:color w:val="auto"/>
                <w:w w:val="91"/>
              </w:rPr>
              <w:t>Corrected</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Outside VFCP</w:t>
            </w:r>
          </w:p>
        </w:tc>
        <w:tc>
          <w:tcPr>
            <w:tcW w:w="3760" w:type="dxa"/>
            <w:vAlign w:val="bottom"/>
          </w:tcPr>
          <w:p>
            <w:pPr>
              <w:jc w:val="center"/>
              <w:ind w:right="1870"/>
              <w:spacing w:after="0"/>
              <w:rPr>
                <w:sz w:val="20"/>
                <w:szCs w:val="20"/>
                <w:color w:val="auto"/>
              </w:rPr>
            </w:pPr>
            <w:r>
              <w:rPr>
                <w:rFonts w:ascii="Arial" w:cs="Arial" w:eastAsia="Arial" w:hAnsi="Arial"/>
                <w:sz w:val="18"/>
                <w:szCs w:val="18"/>
                <w:color w:val="auto"/>
                <w:w w:val="91"/>
              </w:rPr>
              <w:t>Correction</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87"/>
              </w:rPr>
              <w:t>repayments</w:t>
            </w:r>
          </w:p>
        </w:tc>
        <w:tc>
          <w:tcPr>
            <w:tcW w:w="17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760" w:type="dxa"/>
            <w:vAlign w:val="bottom"/>
          </w:tcPr>
          <w:p>
            <w:pPr>
              <w:jc w:val="center"/>
              <w:ind w:right="1870"/>
              <w:spacing w:after="0"/>
              <w:rPr>
                <w:sz w:val="20"/>
                <w:szCs w:val="20"/>
                <w:color w:val="auto"/>
              </w:rPr>
            </w:pPr>
            <w:r>
              <w:rPr>
                <w:rFonts w:ascii="Arial" w:cs="Arial" w:eastAsia="Arial" w:hAnsi="Arial"/>
                <w:sz w:val="18"/>
                <w:szCs w:val="18"/>
                <w:color w:val="auto"/>
                <w:w w:val="95"/>
              </w:rPr>
              <w:t>in VFCP</w:t>
            </w:r>
          </w:p>
        </w:tc>
      </w:tr>
      <w:tr>
        <w:trPr>
          <w:trHeight w:val="230"/>
        </w:trPr>
        <w:tc>
          <w:tcPr>
            <w:tcW w:w="1920" w:type="dxa"/>
            <w:vAlign w:val="bottom"/>
          </w:tcPr>
          <w:p>
            <w:pPr>
              <w:jc w:val="center"/>
              <w:spacing w:after="0"/>
              <w:rPr>
                <w:sz w:val="20"/>
                <w:szCs w:val="20"/>
                <w:color w:val="auto"/>
              </w:rPr>
            </w:pPr>
            <w:r>
              <w:rPr>
                <w:rFonts w:ascii="Arial" w:cs="Arial" w:eastAsia="Arial" w:hAnsi="Arial"/>
                <w:sz w:val="18"/>
                <w:szCs w:val="18"/>
                <w:color w:val="auto"/>
                <w:w w:val="91"/>
              </w:rPr>
              <w:t>are included:</w:t>
            </w:r>
          </w:p>
        </w:tc>
        <w:tc>
          <w:tcPr>
            <w:tcW w:w="17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27"/>
        </w:trPr>
        <w:tc>
          <w:tcPr>
            <w:tcW w:w="1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4,206*</w:t>
            </w:r>
          </w:p>
        </w:tc>
        <w:tc>
          <w:tcPr>
            <w:tcW w:w="1780" w:type="dxa"/>
            <w:vAlign w:val="bottom"/>
            <w:shd w:val="clear" w:color="auto" w:fill="CCEEFF"/>
          </w:tcPr>
          <w:p>
            <w:pPr>
              <w:spacing w:after="0"/>
              <w:rPr>
                <w:sz w:val="21"/>
                <w:szCs w:val="21"/>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4,206*</w:t>
            </w:r>
          </w:p>
        </w:tc>
        <w:tc>
          <w:tcPr>
            <w:tcW w:w="3760" w:type="dxa"/>
            <w:vAlign w:val="bottom"/>
            <w:shd w:val="clear" w:color="auto" w:fill="CCEEFF"/>
          </w:tcPr>
          <w:p>
            <w:pPr>
              <w:spacing w:after="0"/>
              <w:rPr>
                <w:sz w:val="21"/>
                <w:szCs w:val="21"/>
                <w:color w:val="auto"/>
              </w:rPr>
            </w:pPr>
          </w:p>
        </w:tc>
      </w:tr>
      <w:tr>
        <w:trPr>
          <w:trHeight w:val="27"/>
        </w:trPr>
        <w:tc>
          <w:tcPr>
            <w:tcW w:w="19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delinquent participant contributions from 2013. The Plan Sponsor will remit lost earnings and file the required Form 5330 in 2014.</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14</w:t>
      </w:r>
    </w:p>
    <w:p>
      <w:pPr>
        <w:sectPr>
          <w:pgSz w:w="11900" w:h="16838" w:orient="portrait"/>
          <w:cols w:equalWidth="0" w:num="1">
            <w:col w:w="10500"/>
          </w:cols>
          <w:pgMar w:left="240" w:top="125" w:right="11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H, LINE 4(i), SCHEDULE OF ASSETS (HELD AT END OF YEAR)</w:t>
      </w:r>
    </w:p>
    <w:p>
      <w:pPr>
        <w:jc w:val="center"/>
        <w:spacing w:after="0"/>
        <w:tabs>
          <w:tab w:leader="none" w:pos="180" w:val="left"/>
        </w:tabs>
        <w:rPr>
          <w:sz w:val="20"/>
          <w:szCs w:val="20"/>
          <w:color w:val="auto"/>
        </w:rPr>
      </w:pPr>
      <w:r>
        <w:rPr>
          <w:rFonts w:ascii="Arial" w:cs="Arial" w:eastAsia="Arial" w:hAnsi="Arial"/>
          <w:sz w:val="20"/>
          <w:szCs w:val="20"/>
          <w:b w:val="1"/>
          <w:bCs w:val="1"/>
          <w:color w:val="auto"/>
        </w:rPr>
        <w:t>EIN: 04-2515019</w:t>
      </w:r>
      <w:r>
        <w:rPr>
          <w:sz w:val="20"/>
          <w:szCs w:val="20"/>
          <w:color w:val="auto"/>
        </w:rPr>
        <w:tab/>
      </w:r>
      <w:r>
        <w:rPr>
          <w:rFonts w:ascii="Arial" w:cs="Arial" w:eastAsia="Arial" w:hAnsi="Arial"/>
          <w:sz w:val="18"/>
          <w:szCs w:val="18"/>
          <w:b w:val="1"/>
          <w:bCs w:val="1"/>
          <w:color w:val="auto"/>
        </w:rPr>
        <w:t>PN: 002</w:t>
      </w:r>
    </w:p>
    <w:p>
      <w:pPr>
        <w:jc w:val="center"/>
        <w:spacing w:after="0"/>
        <w:rPr>
          <w:sz w:val="20"/>
          <w:szCs w:val="20"/>
          <w:color w:val="auto"/>
        </w:rPr>
      </w:pPr>
      <w:r>
        <w:rPr>
          <w:rFonts w:ascii="Arial" w:cs="Arial" w:eastAsia="Arial" w:hAnsi="Arial"/>
          <w:sz w:val="20"/>
          <w:szCs w:val="20"/>
          <w:b w:val="1"/>
          <w:bCs w:val="1"/>
          <w:color w:val="auto"/>
        </w:rPr>
        <w:t>DECEMBER 31, 2013</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Principal Number</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(a)</w:t>
            </w:r>
          </w:p>
        </w:tc>
        <w:tc>
          <w:tcPr>
            <w:tcW w:w="2760" w:type="dxa"/>
            <w:vAlign w:val="bottom"/>
          </w:tcPr>
          <w:p>
            <w:pPr>
              <w:ind w:left="740"/>
              <w:spacing w:after="0"/>
              <w:rPr>
                <w:sz w:val="20"/>
                <w:szCs w:val="20"/>
                <w:color w:val="auto"/>
              </w:rPr>
            </w:pPr>
            <w:r>
              <w:rPr>
                <w:rFonts w:ascii="Arial" w:cs="Arial" w:eastAsia="Arial" w:hAnsi="Arial"/>
                <w:sz w:val="18"/>
                <w:szCs w:val="18"/>
                <w:b w:val="1"/>
                <w:bCs w:val="1"/>
                <w:color w:val="auto"/>
              </w:rPr>
              <w:t>(b) Identity of Issue</w:t>
            </w:r>
          </w:p>
        </w:tc>
        <w:tc>
          <w:tcPr>
            <w:tcW w:w="4960" w:type="dxa"/>
            <w:vAlign w:val="bottom"/>
          </w:tcPr>
          <w:p>
            <w:pPr>
              <w:ind w:left="1460"/>
              <w:spacing w:after="0"/>
              <w:rPr>
                <w:sz w:val="20"/>
                <w:szCs w:val="20"/>
                <w:color w:val="auto"/>
              </w:rPr>
            </w:pPr>
            <w:r>
              <w:rPr>
                <w:rFonts w:ascii="Arial" w:cs="Arial" w:eastAsia="Arial" w:hAnsi="Arial"/>
                <w:sz w:val="18"/>
                <w:szCs w:val="18"/>
                <w:b w:val="1"/>
                <w:bCs w:val="1"/>
                <w:color w:val="auto"/>
              </w:rPr>
              <w:t>(c) Description of Investment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Units/Shares</w:t>
            </w:r>
          </w:p>
        </w:tc>
        <w:tc>
          <w:tcPr>
            <w:tcW w:w="12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(e) Current Value</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COLLECTIVE TRUSTS:</w:t>
            </w:r>
          </w:p>
        </w:tc>
        <w:tc>
          <w:tcPr>
            <w:tcW w:w="496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BlackRock</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BlackRock Equity Index Non-Lendable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63,846,204</w:t>
            </w:r>
          </w:p>
        </w:tc>
        <w:tc>
          <w:tcPr>
            <w:tcW w:w="0" w:type="dxa"/>
            <w:vAlign w:val="bottom"/>
          </w:tcPr>
          <w:p>
            <w:pPr>
              <w:spacing w:after="0"/>
              <w:rPr>
                <w:sz w:val="1"/>
                <w:szCs w:val="1"/>
                <w:color w:val="auto"/>
              </w:rPr>
            </w:pPr>
          </w:p>
        </w:tc>
      </w:tr>
      <w:tr>
        <w:trPr>
          <w:trHeight w:val="284"/>
        </w:trPr>
        <w:tc>
          <w:tcPr>
            <w:tcW w:w="52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Invesco</w:t>
            </w:r>
          </w:p>
        </w:tc>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Invesco Stable Value Retirement Fund</w:t>
            </w:r>
          </w:p>
        </w:tc>
        <w:tc>
          <w:tcPr>
            <w:tcW w:w="14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114,915,570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115,843,398</w:t>
            </w:r>
          </w:p>
        </w:tc>
        <w:tc>
          <w:tcPr>
            <w:tcW w:w="0" w:type="dxa"/>
            <w:vAlign w:val="bottom"/>
          </w:tcPr>
          <w:p>
            <w:pPr>
              <w:spacing w:after="0"/>
              <w:rPr>
                <w:sz w:val="1"/>
                <w:szCs w:val="1"/>
                <w:color w:val="auto"/>
              </w:rPr>
            </w:pPr>
          </w:p>
        </w:tc>
      </w:tr>
      <w:tr>
        <w:trPr>
          <w:trHeight w:val="277"/>
        </w:trPr>
        <w:tc>
          <w:tcPr>
            <w:tcW w:w="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spacing w:after="0"/>
              <w:rPr>
                <w:sz w:val="24"/>
                <w:szCs w:val="24"/>
                <w:color w:val="auto"/>
              </w:rPr>
            </w:pPr>
          </w:p>
        </w:tc>
        <w:tc>
          <w:tcPr>
            <w:tcW w:w="49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Total collective trusts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179,689,602</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MUTUAL FUNDS:</w:t>
            </w:r>
          </w:p>
        </w:tc>
        <w:tc>
          <w:tcPr>
            <w:tcW w:w="4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American Beacon</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American Beacon Small Cap Value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44,184,021</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American Funds</w:t>
            </w:r>
          </w:p>
        </w:tc>
        <w:tc>
          <w:tcPr>
            <w:tcW w:w="4960" w:type="dxa"/>
            <w:vAlign w:val="bottom"/>
          </w:tcPr>
          <w:p>
            <w:pPr>
              <w:ind w:left="320"/>
              <w:spacing w:after="0"/>
              <w:rPr>
                <w:sz w:val="20"/>
                <w:szCs w:val="20"/>
                <w:color w:val="auto"/>
              </w:rPr>
            </w:pPr>
            <w:r>
              <w:rPr>
                <w:rFonts w:ascii="Arial" w:cs="Arial" w:eastAsia="Arial" w:hAnsi="Arial"/>
                <w:sz w:val="18"/>
                <w:szCs w:val="18"/>
                <w:color w:val="auto"/>
              </w:rPr>
              <w:t>American Funds Growth Fund of America</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653,568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28,109,971</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American Funds</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American Washington Mutual Investors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14,914,400</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Baron Capital Growth</w:t>
            </w:r>
          </w:p>
        </w:tc>
        <w:tc>
          <w:tcPr>
            <w:tcW w:w="4960" w:type="dxa"/>
            <w:vAlign w:val="bottom"/>
          </w:tcPr>
          <w:p>
            <w:pPr>
              <w:ind w:left="320"/>
              <w:spacing w:after="0"/>
              <w:rPr>
                <w:sz w:val="20"/>
                <w:szCs w:val="20"/>
                <w:color w:val="auto"/>
              </w:rPr>
            </w:pPr>
            <w:r>
              <w:rPr>
                <w:rFonts w:ascii="Arial" w:cs="Arial" w:eastAsia="Arial" w:hAnsi="Arial"/>
                <w:sz w:val="18"/>
                <w:szCs w:val="18"/>
                <w:color w:val="auto"/>
              </w:rPr>
              <w:t>Baron Growth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72,515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5,302,300</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BlackRock</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BlackRock Global Allocation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1,184,868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25,391,713</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E.I.I.</w:t>
            </w:r>
          </w:p>
        </w:tc>
        <w:tc>
          <w:tcPr>
            <w:tcW w:w="4960" w:type="dxa"/>
            <w:vAlign w:val="bottom"/>
          </w:tcPr>
          <w:p>
            <w:pPr>
              <w:ind w:left="320"/>
              <w:spacing w:after="0"/>
              <w:rPr>
                <w:sz w:val="20"/>
                <w:szCs w:val="20"/>
                <w:color w:val="auto"/>
              </w:rPr>
            </w:pPr>
            <w:r>
              <w:rPr>
                <w:rFonts w:ascii="Arial" w:cs="Arial" w:eastAsia="Arial" w:hAnsi="Arial"/>
                <w:sz w:val="18"/>
                <w:szCs w:val="18"/>
                <w:color w:val="auto"/>
              </w:rPr>
              <w:t>Ell Global Property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89,418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1,495,064</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Fidelity Investments</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Fidelity Advisor Small Cap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689,462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20,470,126</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Goldman Sachs</w:t>
            </w:r>
          </w:p>
        </w:tc>
        <w:tc>
          <w:tcPr>
            <w:tcW w:w="4960" w:type="dxa"/>
            <w:vAlign w:val="bottom"/>
          </w:tcPr>
          <w:p>
            <w:pPr>
              <w:ind w:left="320"/>
              <w:spacing w:after="0"/>
              <w:rPr>
                <w:sz w:val="20"/>
                <w:szCs w:val="20"/>
                <w:color w:val="auto"/>
              </w:rPr>
            </w:pPr>
            <w:r>
              <w:rPr>
                <w:rFonts w:ascii="Arial" w:cs="Arial" w:eastAsia="Arial" w:hAnsi="Arial"/>
                <w:sz w:val="18"/>
                <w:szCs w:val="18"/>
                <w:color w:val="auto"/>
              </w:rPr>
              <w:t>Goldman Sachs Growth Opportunities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524,173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15,961,062</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Goldman Sachs</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Goldman Sachs High Yield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4,106,695</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Goldman Sachs</w:t>
            </w:r>
          </w:p>
        </w:tc>
        <w:tc>
          <w:tcPr>
            <w:tcW w:w="4960" w:type="dxa"/>
            <w:vAlign w:val="bottom"/>
          </w:tcPr>
          <w:p>
            <w:pPr>
              <w:ind w:left="320"/>
              <w:spacing w:after="0"/>
              <w:rPr>
                <w:sz w:val="20"/>
                <w:szCs w:val="20"/>
                <w:color w:val="auto"/>
              </w:rPr>
            </w:pPr>
            <w:r>
              <w:rPr>
                <w:rFonts w:ascii="Arial" w:cs="Arial" w:eastAsia="Arial" w:hAnsi="Arial"/>
                <w:sz w:val="18"/>
                <w:szCs w:val="18"/>
                <w:color w:val="auto"/>
              </w:rPr>
              <w:t>Goldman Sachs Mid Cap Value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1,062,536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47,208,464</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Invesco</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Invesco Equity and Income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3,726,589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39,725,440</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MFS</w:t>
            </w:r>
          </w:p>
        </w:tc>
        <w:tc>
          <w:tcPr>
            <w:tcW w:w="4960" w:type="dxa"/>
            <w:vAlign w:val="bottom"/>
          </w:tcPr>
          <w:p>
            <w:pPr>
              <w:ind w:left="320"/>
              <w:spacing w:after="0"/>
              <w:rPr>
                <w:sz w:val="20"/>
                <w:szCs w:val="20"/>
                <w:color w:val="auto"/>
              </w:rPr>
            </w:pPr>
            <w:r>
              <w:rPr>
                <w:rFonts w:ascii="Arial" w:cs="Arial" w:eastAsia="Arial" w:hAnsi="Arial"/>
                <w:sz w:val="18"/>
                <w:szCs w:val="18"/>
                <w:color w:val="auto"/>
              </w:rPr>
              <w:t>MFS International New Discovery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1,368,865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38,766,252</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Oakmark</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The Oakmark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958,128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60,965,714</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PIMCO</w:t>
            </w:r>
          </w:p>
        </w:tc>
        <w:tc>
          <w:tcPr>
            <w:tcW w:w="4960" w:type="dxa"/>
            <w:vAlign w:val="bottom"/>
          </w:tcPr>
          <w:p>
            <w:pPr>
              <w:ind w:left="320"/>
              <w:spacing w:after="0"/>
              <w:rPr>
                <w:sz w:val="20"/>
                <w:szCs w:val="20"/>
                <w:color w:val="auto"/>
              </w:rPr>
            </w:pPr>
            <w:r>
              <w:rPr>
                <w:rFonts w:ascii="Arial" w:cs="Arial" w:eastAsia="Arial" w:hAnsi="Arial"/>
                <w:sz w:val="18"/>
                <w:szCs w:val="18"/>
                <w:color w:val="auto"/>
              </w:rPr>
              <w:t>PIMCO Total Return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5,603,760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59,904,196</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Thornburg</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Thornburg International Value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1,831,880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57,227,944</w:t>
            </w:r>
          </w:p>
        </w:tc>
        <w:tc>
          <w:tcPr>
            <w:tcW w:w="0" w:type="dxa"/>
            <w:vAlign w:val="bottom"/>
          </w:tcPr>
          <w:p>
            <w:pPr>
              <w:spacing w:after="0"/>
              <w:rPr>
                <w:sz w:val="1"/>
                <w:szCs w:val="1"/>
                <w:color w:val="auto"/>
              </w:rPr>
            </w:pPr>
          </w:p>
        </w:tc>
      </w:tr>
      <w:tr>
        <w:trPr>
          <w:trHeight w:val="284"/>
        </w:trPr>
        <w:tc>
          <w:tcPr>
            <w:tcW w:w="52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Vanguard</w:t>
            </w:r>
          </w:p>
        </w:tc>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Vanguard Inflation-Protected Securities Fund</w:t>
            </w:r>
          </w:p>
        </w:tc>
        <w:tc>
          <w:tcPr>
            <w:tcW w:w="14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834,700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8,655,843</w:t>
            </w:r>
          </w:p>
        </w:tc>
        <w:tc>
          <w:tcPr>
            <w:tcW w:w="0" w:type="dxa"/>
            <w:vAlign w:val="bottom"/>
          </w:tcPr>
          <w:p>
            <w:pPr>
              <w:spacing w:after="0"/>
              <w:rPr>
                <w:sz w:val="1"/>
                <w:szCs w:val="1"/>
                <w:color w:val="auto"/>
              </w:rPr>
            </w:pPr>
          </w:p>
        </w:tc>
      </w:tr>
      <w:tr>
        <w:trPr>
          <w:trHeight w:val="277"/>
        </w:trPr>
        <w:tc>
          <w:tcPr>
            <w:tcW w:w="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spacing w:after="0"/>
              <w:rPr>
                <w:sz w:val="24"/>
                <w:szCs w:val="24"/>
                <w:color w:val="auto"/>
              </w:rPr>
            </w:pPr>
          </w:p>
        </w:tc>
        <w:tc>
          <w:tcPr>
            <w:tcW w:w="49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Total mutual funds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472,389,205</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4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Weatherford International Ltd.</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Registered Shares of Weatherford International Ltd.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6,740,211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104,405,873</w:t>
            </w:r>
          </w:p>
        </w:tc>
        <w:tc>
          <w:tcPr>
            <w:tcW w:w="0" w:type="dxa"/>
            <w:vAlign w:val="bottom"/>
          </w:tcPr>
          <w:p>
            <w:pPr>
              <w:spacing w:after="0"/>
              <w:rPr>
                <w:sz w:val="1"/>
                <w:szCs w:val="1"/>
                <w:color w:val="auto"/>
              </w:rPr>
            </w:pPr>
          </w:p>
        </w:tc>
      </w:tr>
      <w:tr>
        <w:trPr>
          <w:trHeight w:val="284"/>
        </w:trPr>
        <w:tc>
          <w:tcPr>
            <w:tcW w:w="52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4960" w:type="dxa"/>
            <w:vAlign w:val="bottom"/>
            <w:tcBorders>
              <w:bottom w:val="single" w:sz="8" w:color="CCEEFF"/>
            </w:tcBorders>
          </w:tcPr>
          <w:p>
            <w:pPr>
              <w:ind w:left="1460"/>
              <w:spacing w:after="0"/>
              <w:rPr>
                <w:sz w:val="20"/>
                <w:szCs w:val="20"/>
                <w:color w:val="auto"/>
              </w:rPr>
            </w:pPr>
            <w:r>
              <w:rPr>
                <w:rFonts w:ascii="Arial" w:cs="Arial" w:eastAsia="Arial" w:hAnsi="Arial"/>
                <w:sz w:val="18"/>
                <w:szCs w:val="18"/>
                <w:color w:val="auto"/>
              </w:rPr>
              <w:t>Total common stock</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104,405,873</w:t>
            </w:r>
          </w:p>
        </w:tc>
        <w:tc>
          <w:tcPr>
            <w:tcW w:w="0" w:type="dxa"/>
            <w:vAlign w:val="bottom"/>
          </w:tcPr>
          <w:p>
            <w:pPr>
              <w:spacing w:after="0"/>
              <w:rPr>
                <w:sz w:val="1"/>
                <w:szCs w:val="1"/>
                <w:color w:val="auto"/>
              </w:rPr>
            </w:pPr>
          </w:p>
        </w:tc>
      </w:tr>
      <w:tr>
        <w:trPr>
          <w:trHeight w:val="244"/>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49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760" w:type="dxa"/>
            <w:vAlign w:val="bottom"/>
          </w:tcPr>
          <w:p>
            <w:pPr>
              <w:ind w:left="240"/>
              <w:spacing w:after="0"/>
              <w:rPr>
                <w:sz w:val="20"/>
                <w:szCs w:val="20"/>
                <w:color w:val="auto"/>
              </w:rPr>
            </w:pPr>
            <w:r>
              <w:rPr>
                <w:rFonts w:ascii="Arial" w:cs="Arial" w:eastAsia="Arial" w:hAnsi="Arial"/>
                <w:sz w:val="18"/>
                <w:szCs w:val="18"/>
                <w:color w:val="auto"/>
              </w:rPr>
              <w:t>Bank of America, N.A.</w:t>
            </w:r>
          </w:p>
        </w:tc>
        <w:tc>
          <w:tcPr>
            <w:tcW w:w="4960" w:type="dxa"/>
            <w:vAlign w:val="bottom"/>
          </w:tcPr>
          <w:p>
            <w:pPr>
              <w:ind w:left="320"/>
              <w:spacing w:after="0"/>
              <w:rPr>
                <w:sz w:val="20"/>
                <w:szCs w:val="20"/>
                <w:color w:val="auto"/>
              </w:rPr>
            </w:pPr>
            <w:r>
              <w:rPr>
                <w:rFonts w:ascii="Arial" w:cs="Arial" w:eastAsia="Arial" w:hAnsi="Arial"/>
                <w:sz w:val="18"/>
                <w:szCs w:val="18"/>
                <w:color w:val="auto"/>
              </w:rPr>
              <w:t>Retirement Bank Account (RBA)</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9,929,081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9,929,081</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BlackRock</w:t>
            </w: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BIF Money Fund</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473,846</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Interest rates ranging from 4.25% to 9.25% with varying</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color w:val="auto"/>
              </w:rPr>
              <w:t>26,928,451</w:t>
            </w:r>
          </w:p>
        </w:tc>
        <w:tc>
          <w:tcPr>
            <w:tcW w:w="0" w:type="dxa"/>
            <w:vAlign w:val="bottom"/>
          </w:tcPr>
          <w:p>
            <w:pPr>
              <w:spacing w:after="0"/>
              <w:rPr>
                <w:sz w:val="1"/>
                <w:szCs w:val="1"/>
                <w:color w:val="auto"/>
              </w:rPr>
            </w:pPr>
          </w:p>
        </w:tc>
      </w:tr>
      <w:tr>
        <w:trPr>
          <w:trHeight w:val="257"/>
        </w:trPr>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Participant loans</w:t>
            </w:r>
          </w:p>
        </w:tc>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maturity dates</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Total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793,816,058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 Party in interest.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Column (d) Cost was omitted as all investments are participant-directed.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270"/>
        <w:spacing w:after="0" w:line="287" w:lineRule="auto"/>
        <w:rPr>
          <w:sz w:val="20"/>
          <w:szCs w:val="20"/>
          <w:color w:val="auto"/>
        </w:rPr>
      </w:pPr>
      <w:r>
        <w:rPr>
          <w:rFonts w:ascii="Arial" w:cs="Arial" w:eastAsia="Arial" w:hAnsi="Arial"/>
          <w:sz w:val="19"/>
          <w:szCs w:val="19"/>
          <w:color w:val="auto"/>
        </w:rPr>
        <w:t>THE PLAN. Pursuant to the requirements of the Securities Exchange Act of 1934, the Benefits Administrative Committee, which administers the Plan, has duly caused this annual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WEATHERFORD INTERNATIONAL, LLC</w:t>
      </w:r>
    </w:p>
    <w:p>
      <w:pPr>
        <w:spacing w:after="0" w:line="54"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401(k) SAVINGS PLAN</w:t>
      </w:r>
    </w:p>
    <w:p>
      <w:pPr>
        <w:spacing w:after="0" w:line="324" w:lineRule="exact"/>
        <w:rPr>
          <w:sz w:val="20"/>
          <w:szCs w:val="20"/>
          <w:color w:val="auto"/>
        </w:rPr>
      </w:pPr>
    </w:p>
    <w:p>
      <w:pPr>
        <w:ind w:left="1180"/>
        <w:spacing w:after="0"/>
        <w:tabs>
          <w:tab w:leader="none" w:pos="3560" w:val="left"/>
        </w:tabs>
        <w:rPr>
          <w:sz w:val="20"/>
          <w:szCs w:val="20"/>
          <w:color w:val="auto"/>
        </w:rPr>
      </w:pPr>
      <w:r>
        <w:rPr>
          <w:rFonts w:ascii="Arial" w:cs="Arial" w:eastAsia="Arial" w:hAnsi="Arial"/>
          <w:sz w:val="20"/>
          <w:szCs w:val="20"/>
          <w:color w:val="auto"/>
        </w:rPr>
        <w:t>Date: June 27, 2014</w:t>
      </w:r>
      <w:r>
        <w:rPr>
          <w:sz w:val="20"/>
          <w:szCs w:val="20"/>
          <w:color w:val="auto"/>
        </w:rPr>
        <w:tab/>
      </w:r>
      <w:r>
        <w:rPr>
          <w:rFonts w:ascii="Arial" w:cs="Arial" w:eastAsia="Arial" w:hAnsi="Arial"/>
          <w:sz w:val="19"/>
          <w:szCs w:val="19"/>
          <w:color w:val="auto"/>
        </w:rPr>
        <w:t>/s/ Kathy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27305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4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Kathy Bauer</w:t>
      </w:r>
    </w:p>
    <w:p>
      <w:pPr>
        <w:spacing w:after="0" w:line="54" w:lineRule="exact"/>
        <w:rPr>
          <w:sz w:val="20"/>
          <w:szCs w:val="20"/>
          <w:color w:val="auto"/>
        </w:rPr>
      </w:pPr>
    </w:p>
    <w:p>
      <w:pPr>
        <w:ind w:left="3580" w:right="1700"/>
        <w:spacing w:after="0" w:line="316" w:lineRule="auto"/>
        <w:rPr>
          <w:sz w:val="20"/>
          <w:szCs w:val="20"/>
          <w:color w:val="auto"/>
        </w:rPr>
      </w:pPr>
      <w:r>
        <w:rPr>
          <w:rFonts w:ascii="Arial" w:cs="Arial" w:eastAsia="Arial" w:hAnsi="Arial"/>
          <w:sz w:val="18"/>
          <w:szCs w:val="18"/>
          <w:color w:val="auto"/>
        </w:rPr>
        <w:t>Director of Benefits and Chairman of the Benefits Administrative Committee for Weatherford International, LLC and Weatherford International plc</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INDEX TO EXHIBITS</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Exhibit</w:t>
      </w:r>
    </w:p>
    <w:p>
      <w:pPr>
        <w:spacing w:after="0" w:line="54"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6"/>
          <w:szCs w:val="16"/>
          <w:b w:val="1"/>
          <w:bCs w:val="1"/>
          <w:u w:val="single" w:color="auto"/>
          <w:color w:val="auto"/>
        </w:rPr>
        <w:t>Number</w:t>
      </w:r>
      <w:r>
        <w:rPr>
          <w:sz w:val="20"/>
          <w:szCs w:val="20"/>
          <w:color w:val="auto"/>
        </w:rPr>
        <w:tab/>
      </w:r>
      <w:r>
        <w:rPr>
          <w:rFonts w:ascii="Arial" w:cs="Arial" w:eastAsia="Arial" w:hAnsi="Arial"/>
          <w:sz w:val="16"/>
          <w:szCs w:val="16"/>
          <w:b w:val="1"/>
          <w:bCs w:val="1"/>
          <w:u w:val="single" w:color="auto"/>
          <w:color w:val="auto"/>
        </w:rPr>
        <w:t>Description</w:t>
      </w:r>
    </w:p>
    <w:p>
      <w:pPr>
        <w:spacing w:after="0" w:line="376"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125"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90" w:lineRule="exact"/>
        <w:rPr>
          <w:sz w:val="20"/>
          <w:szCs w:val="20"/>
          <w:color w:val="auto"/>
        </w:rPr>
      </w:pPr>
    </w:p>
    <w:p>
      <w:pPr>
        <w:ind w:right="260" w:firstLine="648"/>
        <w:spacing w:after="0" w:line="302" w:lineRule="auto"/>
        <w:rPr>
          <w:sz w:val="20"/>
          <w:szCs w:val="20"/>
          <w:color w:val="auto"/>
        </w:rPr>
      </w:pPr>
      <w:r>
        <w:rPr>
          <w:rFonts w:ascii="Arial" w:cs="Arial" w:eastAsia="Arial" w:hAnsi="Arial"/>
          <w:sz w:val="19"/>
          <w:szCs w:val="19"/>
          <w:color w:val="auto"/>
        </w:rPr>
        <w:t>We consent to the incorporation by reference in the Registration Statements (Form S-8 Nos. 333-112378, 333-36598, and 333-53633-100) pertaining to the Weatherford International, LLC 401(k) Savings Plan of our report dated June 27, 2014, with respect to the financial statements and schedules of the Weatherford International, LLC 401(k) Savings Plan included in this Annual Report (Form 11-K) as of December 31, 2013 and 2012 and for the year ended December 31, 2013.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/s/ Melton &amp; Melton L.L.P.</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June 27, 2014</w:t>
      </w:r>
    </w:p>
    <w:sectPr>
      <w:pgSz w:w="11900" w:h="16838" w:orient="portrait"/>
      <w:cols w:equalWidth="0" w:num="1">
        <w:col w:w="11420"/>
      </w:cols>
      <w:pgMar w:left="240" w:top="6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1."/>
      <w:numFmt w:val="decimal"/>
      <w:start w:val="7"/>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0"/>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2019-12-08T11:19:36Z</dcterms:created>
  <dcterms:modified xsi:type="dcterms:W3CDTF">2019-12-08T11:19:36Z</dcterms:modified>
</cp:coreProperties>
</file>