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restart"/>
          </w:tcPr>
          <w:p>
            <w:pPr>
              <w:spacing w:after="0"/>
              <w:rPr>
                <w:rFonts w:ascii="Arial" w:cs="Arial" w:eastAsia="Arial" w:hAnsi="Arial"/>
                <w:sz w:val="22"/>
                <w:szCs w:val="22"/>
                <w:color w:val="0000EE"/>
                <w:w w:val="95"/>
              </w:rPr>
            </w:pPr>
            <w:hyperlink r:id="rId12">
              <w:r>
                <w:rPr>
                  <w:rFonts w:ascii="Arial" w:cs="Arial" w:eastAsia="Arial" w:hAnsi="Arial"/>
                  <w:sz w:val="22"/>
                  <w:szCs w:val="22"/>
                  <w:color w:val="0000EE"/>
                  <w:w w:val="95"/>
                </w:rPr>
                <w:t>Gass John D</w:t>
              </w:r>
            </w:hyperlink>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Weatherford International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WFT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C/O WEATHERFORD INTERNATIONAL PLC</w:t>
            </w: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09/27/2014</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2000 ST. JAMES PLACE</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8"/>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8"/>
            <w:vMerge w:val="continue"/>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77056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1360" w:type="dxa"/>
            <w:vAlign w:val="bottom"/>
            <w:tcBorders>
              <w:bottom w:val="single" w:sz="8" w:color="2C2C2C"/>
            </w:tcBorders>
            <w:gridSpan w:val="4"/>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9"/>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2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3"/>
              </w:rPr>
              <w:t>5)</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5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6"/>
              </w:rPr>
              <w:t>Ordinary Shares</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09/27/2014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68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800</w:t>
            </w:r>
          </w:p>
        </w:tc>
        <w:tc>
          <w:tcPr>
            <w:tcW w:w="5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w w:val="76"/>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3"/>
          </w:tcPr>
          <w:p>
            <w:pPr>
              <w:jc w:val="right"/>
              <w:ind w:right="1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21.31</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32,874</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9"/>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15"/>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09/29/2014</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180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2019-12-18T17:41:35Z</dcterms:created>
  <dcterms:modified xsi:type="dcterms:W3CDTF">2019-12-18T17:41:35Z</dcterms:modified>
</cp:coreProperties>
</file>