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4, 2015</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4, 2015, Weatherford International public limited company (“we” or the “Company”) issued a news release announcing results for the quarter and year ended December 31, 2014. A copy of the news release is furnished as Exhibit 99.1 and incorporated into this Item 2.02.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5, 2015, we will hold a conference call at 8:30 a.m. eastern daylight time (“EDT”), 7:30 a.m. central daylight time (“CDT”), regarding the quarterly results. This scheduled conference call was previously announced on December 4, 2014. To access the call, please contact the conference call operator at 866-393-8572, or 706-643-6499 for international calls and ask for the Weatherford conference call. The call will also be made available via real-time webcast. A replay of the call will be available until 5:00 p.m. EDT, February 19, 2015. The number for the replay is 855-859-2056 or 404-537-3406 for international calls; passcode 47944329.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Conference Call Details link.</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December 31, 2014 the Company initiated a 2015 cost reduction plan (“the 2015 Plan”), which includes a workforce reduction of 5,000 identified positions, principally in the Western Hemisphere. The Company recognized pre-tax charges of $58 million associated with the 2015 Plan during the three months ended December 31, 2014 for one-time termination (severance) benefits and other associated costs. Responsive to current market conditions, the Company expects to identify additional positions during the first quarter and record additional pre-tax charges related to severance. The 2015 Plan, which, until this time, was under development, is scheduled to be substantially complete in the first quarter of 2015.</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in this Item 2.05 consists of forward-looking statements within the meaning of the federal securities laws. These forward-looking statements involve a number of risks, uncertainties and other factors, which may cause the actual results to be materially different from those expressed or implied in the forward-looking statements. Important factors that could cause the statements made in this Item 2.05 to differ include, without limitation, the Company's ability to implement the 2015 Plan, identify additional positions and possible changes in the expected severance charges associated with the 2015 Plan. Other important factors are included under the caption “Forward-Looking Statements” in the Company's Form 10-K, Annual Report for the year ended December 31, 2013 and in subsequent filings. The Company does not intend to revise any particular forward-looking statement in light of future events.</w:t>
      </w:r>
    </w:p>
    <w:p>
      <w:pPr>
        <w:spacing w:after="0" w:line="323"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4, 2015, we issued a news release announcing results for the quarter and year ended December 31, 2014.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33"/>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4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1090"/>
              <w:spacing w:after="0"/>
              <w:rPr>
                <w:sz w:val="20"/>
                <w:szCs w:val="20"/>
                <w:color w:val="auto"/>
              </w:rPr>
            </w:pPr>
            <w:r>
              <w:rPr>
                <w:rFonts w:ascii="Arial" w:cs="Arial" w:eastAsia="Arial" w:hAnsi="Arial"/>
                <w:sz w:val="18"/>
                <w:szCs w:val="18"/>
                <w:color w:val="auto"/>
                <w:w w:val="96"/>
              </w:rPr>
              <w:t>99.1</w:t>
            </w:r>
          </w:p>
        </w:tc>
        <w:tc>
          <w:tcPr>
            <w:tcW w:w="9880" w:type="dxa"/>
            <w:vAlign w:val="bottom"/>
          </w:tcPr>
          <w:p>
            <w:pPr>
              <w:ind w:left="100"/>
              <w:spacing w:after="0"/>
              <w:rPr>
                <w:sz w:val="20"/>
                <w:szCs w:val="20"/>
                <w:color w:val="auto"/>
              </w:rPr>
            </w:pPr>
            <w:r>
              <w:rPr>
                <w:rFonts w:ascii="Arial" w:cs="Arial" w:eastAsia="Arial" w:hAnsi="Arial"/>
                <w:sz w:val="18"/>
                <w:szCs w:val="18"/>
                <w:color w:val="auto"/>
              </w:rPr>
              <w:t>News release dated February 4, 2015, announcing results for the quarter and year ended December 31, 2014.</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4, 2015</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302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News release dated February 4, 2015, announcing results for the quarter and year ended December 31, 2014.</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Fourth Quarter and 2014 Annual Results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Fourth Quarter EPS of $0.32 per share (non-GAAP)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Reduces Net Debt by $1.1 billion and generates free cash flow of $180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BAAR, SWITZERLAND, February 4, 2015 - Weatherford International plc (NYSE: WFT) reported net income before charges of $252 million ($0.32 diluted earnings per share non-GAAP) on revenues of $3.73 billion for the fourth quarter of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2014 Highlights</w:t>
      </w:r>
    </w:p>
    <w:p>
      <w:pPr>
        <w:spacing w:after="0" w:line="1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Margin improvement of 24% and non-GAAP earnings per share improvement of 67% from 2013;</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Non-core divestiture proceeds over $1.7 billion;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Debt reduction over $1.2 billion;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Annualized pre-tax cost reduction of $500 million;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Multiple U.S. government agency investigations settled.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2014 Highlights</w:t>
      </w:r>
    </w:p>
    <w:p>
      <w:pPr>
        <w:spacing w:after="0" w:line="10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the sale of our Engineered Chemistry and Integrity Drilling Fluids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the sale of our investment in Proserv Group Inc.;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free cash flow from operations of $180 million;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net debt by $1.1 billion using proceeds from the divestitures and positive free cash flow from operations.</w:t>
      </w:r>
    </w:p>
    <w:p>
      <w:pPr>
        <w:spacing w:after="0" w:line="200" w:lineRule="exact"/>
        <w:rPr>
          <w:sz w:val="20"/>
          <w:szCs w:val="20"/>
          <w:color w:val="auto"/>
        </w:rPr>
      </w:pPr>
    </w:p>
    <w:p>
      <w:pPr>
        <w:spacing w:after="0" w:line="214"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Bernard J. Duroc-Danner, Chairman of the Board, President and Chief Executive Officer, stated, “We complete 2014 having successfully achieved many of the objectives we set for ourselves a year ago. With a clear and disciplined strategy along with a highly committed management team and group of employees, we generated non-core divestiture proceeds of over $1.7 billion, significantly exceeding our target of $1.0 billion, thereby de-risking the Company substantially, ahead of a cyclically challenged year. We also significantly lowered our cost structure, achieving our goal of $500 million in annualized pre-tax savings. We showed progression on key operating and financial metrics, and we emerge a stronger and leaner company.</w:t>
      </w:r>
    </w:p>
    <w:p>
      <w:pPr>
        <w:spacing w:after="0" w:line="26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With a capable and focused team, we are ready to react swiftly to a dramatically changing landscape. We will adjust to a new reality by focusing on cash and cost, and re-direct the Company’s focus externally. We have a clear view of the additional measures needed to guide our Company as well as the intensity, focus and experience to navigate through the present environment.”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Fourth Quarter 2014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fourth quarter of $3.73 billion compared with $3.88 billion in the third quarter of 2014 and $3.74 billion in the fourth quarter of 2013. Excluding the impact of our divested businesses, fourth quarter revenues declined 1% sequentially. GAAP Net Loss for the fourth quarter of 2014 was $475 million, or $0.61 per diluted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of $727 million for the fourth quarter include:</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$592 million (pre-tax $618 million), primarily for rig related asset impairment and other related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$252 million (pre-tax $245 million), due to the devaluation of the Venezuelan Bolivar;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$41 million (pre-tax $58 million), of severance costs related to our 2015 workforce reduction plan;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$41 million (pre-tax $40 million), associated with the legacy work in Iraq;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$199 million gain (pre-tax $311 million), associated with our divestitures, which partially off-set the charges above.</w:t>
      </w:r>
    </w:p>
    <w:p>
      <w:pPr>
        <w:spacing w:after="0" w:line="200" w:lineRule="exact"/>
        <w:rPr>
          <w:sz w:val="20"/>
          <w:szCs w:val="20"/>
          <w:color w:val="auto"/>
        </w:rPr>
      </w:pPr>
    </w:p>
    <w:p>
      <w:pPr>
        <w:spacing w:after="0" w:line="21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Net income on a non-GAAP basis for the fourth quarter of 2014 was $252 million compared to $248 million in the third quarter of 2014 and $53 million in the fourth quarter of 2013.</w:t>
      </w:r>
    </w:p>
    <w:p>
      <w:pPr>
        <w:spacing w:after="0" w:line="26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Operating income margin improved 475 basis points compared to the fourth quarter of 2013. Sequential operating income declined 8% during the fourth quarter with operating income margins declining 63 basis points in the fourth quarter to 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Regional Highlights</w:t>
      </w:r>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North America</w:t>
      </w:r>
    </w:p>
    <w:p>
      <w:pPr>
        <w:spacing w:after="0" w:line="200" w:lineRule="exact"/>
        <w:rPr>
          <w:sz w:val="20"/>
          <w:szCs w:val="20"/>
          <w:color w:val="auto"/>
        </w:rPr>
      </w:pPr>
    </w:p>
    <w:p>
      <w:pPr>
        <w:spacing w:after="0" w:line="214"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Fourth quarter revenues of $1.77 billion were down $45 million, or 2% sequentially, and up $197 million, or 13%, over the same quarter in the prior year. Fourth quarter operating income of $283 million (16.0% margin) down 3% sequentially and up 31% from the same quarter in the prior year. The sequential decrease was due to a reduction in activity levels by customers as operators began cutting back on uneconomic activity in December.</w:t>
      </w:r>
    </w:p>
    <w:p>
      <w:pPr>
        <w:spacing w:after="0" w:line="26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Fourth quarter revenues of $680 million were up $69 million, or 11% sequentially, and up $23 million, or 4%, compared to the same quarter in the prior year. Fourth quarter operating income of $109 million (16.0% margin) was up $19 million, or 21% sequentially, and up $47 million, or 76%, compared to the same quarter in the prior year. The sequential improvements in revenue and operating income were driven by additional well construction activity in Brazil and across all product lines in Colombia.</w:t>
      </w:r>
    </w:p>
    <w:p>
      <w:pPr>
        <w:spacing w:after="0" w:line="28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200" w:lineRule="exact"/>
        <w:rPr>
          <w:sz w:val="20"/>
          <w:szCs w:val="20"/>
          <w:color w:val="auto"/>
        </w:rPr>
      </w:pPr>
    </w:p>
    <w:p>
      <w:pPr>
        <w:spacing w:after="0" w:line="228" w:lineRule="exact"/>
        <w:rPr>
          <w:sz w:val="20"/>
          <w:szCs w:val="20"/>
          <w:color w:val="auto"/>
        </w:rPr>
      </w:pPr>
    </w:p>
    <w:p>
      <w:pPr>
        <w:jc w:val="both"/>
        <w:spacing w:after="0" w:line="398" w:lineRule="auto"/>
        <w:rPr>
          <w:sz w:val="20"/>
          <w:szCs w:val="20"/>
          <w:color w:val="auto"/>
        </w:rPr>
      </w:pPr>
      <w:r>
        <w:rPr>
          <w:rFonts w:ascii="Arial" w:cs="Arial" w:eastAsia="Arial" w:hAnsi="Arial"/>
          <w:sz w:val="18"/>
          <w:szCs w:val="18"/>
          <w:color w:val="auto"/>
        </w:rPr>
        <w:t>Fourth quarter revenues of $526 million were down $118 million, or 18% sequentially, and down $162 million, or 24%, over the same quarter in the prior year. Fourth quarter operating income of $102 million (19.4% margin) was down $38 million, or 27%, sequentially and was up 117% when compared to the same quarter in the prior year. The sequential decline in revenues and operating income is primarily due to our sale of the pipeline and land drilling and workover rig operations in Russia in the early part of the third quarter. Sequential revenues were down seasonally in Russia and the North Sea and due to the impact of a markedly weaker Russian ruble.</w:t>
      </w:r>
    </w:p>
    <w:p>
      <w:pPr>
        <w:spacing w:after="0" w:line="26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Fourth quarter revenues of $752 million were down $56 million, or 7% sequentially, and down $69 million, or 8%, over the same quarter in the prior year. Fourth quarter operating income of $58 million (7.7% margin) was down 24% sequentially and increased 16% from the same quarter in the prior year. The decline in revenues and operating income is attributable to lower land rigs revenue partially offset by the contribution from our core product lines, primarily Artificial Lift.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Net Debt</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Net debt decreased by $1.1 billion sequentially, primarily due to the cash proceeds related to the divestiture of non-core businesses and positive free cash flow from operations. Capital expenditures of $380 million (net of lost-in-hole) in the fourth quarter were up sequentially by 9% and were up 12% versus the prior year quarter.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00" w:lineRule="exact"/>
        <w:rPr>
          <w:sz w:val="20"/>
          <w:szCs w:val="20"/>
          <w:color w:val="auto"/>
        </w:rPr>
      </w:pPr>
    </w:p>
    <w:p>
      <w:pPr>
        <w:spacing w:after="0" w:line="218" w:lineRule="exact"/>
        <w:rPr>
          <w:sz w:val="20"/>
          <w:szCs w:val="20"/>
          <w:color w:val="auto"/>
        </w:rPr>
      </w:pPr>
    </w:p>
    <w:p>
      <w:pPr>
        <w:jc w:val="both"/>
        <w:spacing w:after="0" w:line="388" w:lineRule="auto"/>
        <w:rPr>
          <w:sz w:val="20"/>
          <w:szCs w:val="20"/>
          <w:color w:val="auto"/>
        </w:rPr>
      </w:pPr>
      <w:r>
        <w:rPr>
          <w:rFonts w:ascii="Arial" w:cs="Arial" w:eastAsia="Arial" w:hAnsi="Arial"/>
          <w:sz w:val="17"/>
          <w:szCs w:val="17"/>
          <w:color w:val="auto"/>
        </w:rPr>
        <w:t>Due to the quickly changing market conditions, we are aligning and reducing our cost as well as organizational structures to match the new environment. As a result, we will have a leaner structure and a tighter organization. We have commenced a reduction-in-force exercise targeting 5,000 positions, of which more than 85% are located in the Western Hemisphere. The headcount reduction is expected to be complete by the end of the first quarter of 2015, resulting in expected annualized savings of over $350 million. Weatherford is also offering a Voluntary Separation Opportunity Program to eligible employees as part of the recognized need to reduce our employee workforce. The focus is on both operating and support positions. In addition, we launched a procurement savings initiative in the last quarter of 2014 designed to achieve $300 million of annualized savings over the next two years. Over the next few quarters, we will review and adjust our direct and structural cost base further.</w:t>
      </w:r>
    </w:p>
    <w:p>
      <w:pPr>
        <w:spacing w:after="0" w:line="273"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During the upcoming year, our focus will be to generate positive free cash flow from operations, despite challenging industry conditions. We expect our cost actions, a reduction in capital expenditures by $550 million to $900 million in 2015 and a positive contribution from working capital balances to more than offset any reduction in earnings.</w:t>
      </w:r>
    </w:p>
    <w:p>
      <w:pPr>
        <w:spacing w:after="0" w:line="277"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Bernard J. Duroc-Danner, Chairman, President and Chief Executive Officer commented, “We will focus the entire organization on ensuring we are cash flow positive in 2015. This means that for every dollar of revenue we lose due to reduced activity and pricing, we will make up for it in cost, capital expenditure and working capital reductions. Our team will be focused on swift market responsiveness. The joint effect of driving our technologies and optimizing our cost structure will support our customers’ priorities. We enter 2015 with strong core businesses, a de-risked financial position and an organization focused on working closely with our customers. We expect to emerge from this down cycle much leaner and stronger than we were going into it.”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00" w:lineRule="exact"/>
        <w:rPr>
          <w:sz w:val="20"/>
          <w:szCs w:val="20"/>
          <w:color w:val="auto"/>
        </w:rPr>
      </w:pPr>
    </w:p>
    <w:p>
      <w:pPr>
        <w:spacing w:after="0" w:line="218"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Unless explicitly stated to the contrary, all financial measures used throughout this document are non-GAAP. Corresponding reconciliations to GAAP financial measures have been provided in the following pages to offer meaningful comparisons between current results and results in prior periods.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Company’s product and service portfolio spans the lifecycle of the well, and includes Well Construction, Formation Evaluation, Completion and Artificial Lift. Weatherford is Irish-based, operates in over 100 countries, and currently employs approximately 56,000 people worldwide. For more information, visit www.weatherford.com.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Company will host a conference call with financial analysts to discuss the quarterly results on February 5, 2015, at 8:30 a.m. eastern daylight time (EDT), 7:30 a.m. central daylight time (CDT). Weatherford invites investors to listen to the call live via the Company’s website, www.weatherford.com,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080" w:type="dxa"/>
            <w:vAlign w:val="bottom"/>
          </w:tcPr>
          <w:p>
            <w:pPr>
              <w:jc w:val="right"/>
              <w:ind w:right="2330"/>
              <w:spacing w:after="0"/>
              <w:rPr>
                <w:sz w:val="20"/>
                <w:szCs w:val="20"/>
                <w:color w:val="auto"/>
              </w:rPr>
            </w:pPr>
            <w:r>
              <w:rPr>
                <w:rFonts w:ascii="Arial" w:cs="Arial" w:eastAsia="Arial" w:hAnsi="Arial"/>
                <w:sz w:val="18"/>
                <w:szCs w:val="18"/>
                <w:color w:val="auto"/>
              </w:rPr>
              <w:t># # #</w:t>
            </w:r>
          </w:p>
        </w:tc>
        <w:tc>
          <w:tcPr>
            <w:tcW w:w="198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08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8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Vice President – Investor Relations and Corporate Communications</w:t>
            </w:r>
          </w:p>
        </w:tc>
        <w:tc>
          <w:tcPr>
            <w:tcW w:w="198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6080" w:type="dxa"/>
            <w:vAlign w:val="bottom"/>
          </w:tcPr>
          <w:p>
            <w:pPr>
              <w:jc w:val="right"/>
              <w:ind w:right="2470"/>
              <w:spacing w:after="0"/>
              <w:rPr>
                <w:sz w:val="20"/>
                <w:szCs w:val="20"/>
                <w:color w:val="auto"/>
              </w:rPr>
            </w:pPr>
            <w:r>
              <w:rPr>
                <w:rFonts w:ascii="Arial" w:cs="Arial" w:eastAsia="Arial" w:hAnsi="Arial"/>
                <w:sz w:val="18"/>
                <w:szCs w:val="18"/>
                <w:color w:val="auto"/>
              </w:rPr>
              <w:t>5</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free cash flow, net debt,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Company’s ability to implement the planned workforce reductions; possible changes in the size and components of the expected costs and charges associated with the workforce reduction; and risks associated with the Company’s ability to achieve the benefits of the planned workforce reduction. Forward-looking statements are also affected by the risk factors described in the Company’s Annual Report on Form 10-K for the year ended December 31, 2013, as amended,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8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12/31/2014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12/31/2014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12/31/2013</w:t>
            </w:r>
          </w:p>
        </w:tc>
      </w:tr>
      <w:tr>
        <w:trPr>
          <w:trHeight w:val="27"/>
        </w:trPr>
        <w:tc>
          <w:tcPr>
            <w:tcW w:w="47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1,769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6,852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6,390</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3,344</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2,693</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2,836</w:t>
            </w:r>
          </w:p>
        </w:tc>
      </w:tr>
      <w:tr>
        <w:trPr>
          <w:trHeight w:val="237"/>
        </w:trPr>
        <w:tc>
          <w:tcPr>
            <w:tcW w:w="4720" w:type="dxa"/>
            <w:vAlign w:val="bottom"/>
          </w:tcPr>
          <w:p>
            <w:pPr>
              <w:ind w:left="280"/>
              <w:spacing w:after="0"/>
              <w:rPr>
                <w:sz w:val="20"/>
                <w:szCs w:val="20"/>
                <w:color w:val="auto"/>
              </w:rPr>
            </w:pPr>
            <w:r>
              <w:rPr>
                <w:rFonts w:ascii="Arial" w:cs="Arial" w:eastAsia="Arial" w:hAnsi="Arial"/>
                <w:sz w:val="18"/>
                <w:szCs w:val="18"/>
                <w:color w:val="auto"/>
              </w:rPr>
              <w:t>Total Net Revenues</w:t>
            </w:r>
          </w:p>
        </w:tc>
        <w:tc>
          <w:tcPr>
            <w:tcW w:w="14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3,727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15,263</w:t>
            </w:r>
          </w:p>
        </w:tc>
      </w:tr>
      <w:tr>
        <w:trPr>
          <w:trHeight w:val="27"/>
        </w:trPr>
        <w:tc>
          <w:tcPr>
            <w:tcW w:w="47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7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Businesses and Investments, Net</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Impairments &amp; Other Charges</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Investigation Loss</w:t>
            </w:r>
          </w:p>
        </w:tc>
        <w:tc>
          <w:tcPr>
            <w:tcW w:w="1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7"/>
        </w:trPr>
        <w:tc>
          <w:tcPr>
            <w:tcW w:w="4720" w:type="dxa"/>
            <w:vAlign w:val="bottom"/>
          </w:tcPr>
          <w:p>
            <w:pPr>
              <w:ind w:left="280"/>
              <w:spacing w:after="0"/>
              <w:rPr>
                <w:sz w:val="20"/>
                <w:szCs w:val="20"/>
                <w:color w:val="auto"/>
              </w:rPr>
            </w:pPr>
            <w:r>
              <w:rPr>
                <w:rFonts w:ascii="Arial" w:cs="Arial" w:eastAsia="Arial" w:hAnsi="Arial"/>
                <w:sz w:val="18"/>
                <w:szCs w:val="18"/>
                <w:color w:val="auto"/>
              </w:rPr>
              <w:t>Total Operating Income (Loss)</w:t>
            </w:r>
          </w:p>
        </w:tc>
        <w:tc>
          <w:tcPr>
            <w:tcW w:w="14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Net</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Devaluation of Venezuelan Bolivar</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97"/>
        </w:trPr>
        <w:tc>
          <w:tcPr>
            <w:tcW w:w="4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91"/>
        </w:trPr>
        <w:tc>
          <w:tcPr>
            <w:tcW w:w="4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7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675"/>
        </w:trPr>
        <w:tc>
          <w:tcPr>
            <w:tcW w:w="4720" w:type="dxa"/>
            <w:vAlign w:val="bottom"/>
          </w:tcPr>
          <w:p>
            <w:pPr>
              <w:spacing w:after="0"/>
              <w:rPr>
                <w:sz w:val="24"/>
                <w:szCs w:val="24"/>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9/30/2014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1,814</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3,738</w:t>
            </w:r>
          </w:p>
        </w:tc>
      </w:tr>
      <w:tr>
        <w:trPr>
          <w:trHeight w:val="271"/>
        </w:trPr>
        <w:tc>
          <w:tcPr>
            <w:tcW w:w="4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12/31/2014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9/30/2014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3/31/2014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12/31/2013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Impairments &amp; Other Charges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gridSpan w:val="6"/>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43"/>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9/30/2014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2,238</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2,307</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r>
      <w:tr>
        <w:trPr>
          <w:trHeight w:val="297"/>
        </w:trPr>
        <w:tc>
          <w:tcPr>
            <w:tcW w:w="4700" w:type="dxa"/>
            <w:vAlign w:val="bottom"/>
          </w:tcPr>
          <w:p>
            <w:pPr>
              <w:ind w:left="280"/>
              <w:spacing w:after="0"/>
              <w:rPr>
                <w:sz w:val="20"/>
                <w:szCs w:val="20"/>
                <w:color w:val="auto"/>
              </w:rPr>
            </w:pPr>
            <w:r>
              <w:rPr>
                <w:rFonts w:ascii="Arial" w:cs="Arial" w:eastAsia="Arial" w:hAnsi="Arial"/>
                <w:sz w:val="18"/>
                <w:szCs w:val="18"/>
                <w:color w:val="auto"/>
              </w:rPr>
              <w:t>Total Product Service Line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3,877</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3,738</w:t>
            </w:r>
          </w:p>
        </w:tc>
      </w:tr>
      <w:tr>
        <w:trPr>
          <w:trHeight w:val="271"/>
        </w:trPr>
        <w:tc>
          <w:tcPr>
            <w:tcW w:w="47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12/31/2014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9/30/2014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3/31/2014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12/31/2013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Formation Evaluation and Well Construction includes Controlled Pressure Drilling and Testing, Drilling Services, Tubular Running Services, Drilling Tools, Integrated Drilling, Wireline Services, Re-entry and Fishing, Cementing, Liner Systems, Integrated Laboratory Services and Surface Logging.</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Completion and Production includes Artificial Lift Systems, Stimulation, Completion Systems and Pipeline and Specialty Services. In September 2014, we completed the sale of our pipeline and specialty services business.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2" w:name="page13"/>
    <w:bookmarkEnd w:id="12"/>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4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12/31/2013</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6"/>
                <w:szCs w:val="16"/>
                <w:color w:val="auto"/>
              </w:rPr>
              <w:t>GAAP Operating Income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523</w:t>
            </w:r>
          </w:p>
        </w:tc>
      </w:tr>
      <w:tr>
        <w:trPr>
          <w:trHeight w:val="3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Sale of Businesses and Investments, Net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 xml:space="preserve">Impairments, Divestiture Related and Other Charges </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69</w:t>
            </w:r>
          </w:p>
        </w:tc>
      </w:tr>
      <w:tr>
        <w:trPr>
          <w:trHeight w:val="270"/>
        </w:trPr>
        <w:tc>
          <w:tcPr>
            <w:tcW w:w="4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Restructuring, Exited Business and Severance </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 xml:space="preserve">Legacy Contracts </w:t>
            </w:r>
            <w:r>
              <w:rPr>
                <w:rFonts w:ascii="Arial" w:cs="Arial" w:eastAsia="Arial" w:hAnsi="Arial"/>
                <w:sz w:val="21"/>
                <w:szCs w:val="21"/>
                <w:color w:val="auto"/>
                <w:vertAlign w:val="superscript"/>
              </w:rPr>
              <w:t>(c)</w:t>
            </w:r>
          </w:p>
        </w:tc>
        <w:tc>
          <w:tcPr>
            <w:tcW w:w="200" w:type="dxa"/>
            <w:vAlign w:val="bottom"/>
          </w:tcPr>
          <w:p>
            <w:pPr>
              <w:spacing w:after="0"/>
              <w:rPr>
                <w:sz w:val="23"/>
                <w:szCs w:val="23"/>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299</w:t>
            </w: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Remediation and Restatement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w:t>
            </w:r>
          </w:p>
        </w:tc>
      </w:tr>
      <w:tr>
        <w:trPr>
          <w:trHeight w:val="237"/>
        </w:trPr>
        <w:tc>
          <w:tcPr>
            <w:tcW w:w="4960" w:type="dxa"/>
            <w:vAlign w:val="bottom"/>
          </w:tcPr>
          <w:p>
            <w:pPr>
              <w:ind w:left="280"/>
              <w:spacing w:after="0"/>
              <w:rPr>
                <w:sz w:val="20"/>
                <w:szCs w:val="20"/>
                <w:color w:val="auto"/>
              </w:rPr>
            </w:pPr>
            <w:r>
              <w:rPr>
                <w:rFonts w:ascii="Arial" w:cs="Arial" w:eastAsia="Arial" w:hAnsi="Arial"/>
                <w:sz w:val="16"/>
                <w:szCs w:val="16"/>
                <w:color w:val="auto"/>
              </w:rPr>
              <w:t>U.S. Government Investigation Loss</w:t>
            </w:r>
          </w:p>
        </w:tc>
        <w:tc>
          <w:tcPr>
            <w:tcW w:w="2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153</w:t>
            </w:r>
          </w:p>
        </w:tc>
      </w:tr>
      <w:tr>
        <w:trPr>
          <w:trHeight w:val="3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Reserves and Write-offs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w:t>
            </w:r>
          </w:p>
        </w:tc>
      </w:tr>
      <w:tr>
        <w:trPr>
          <w:trHeight w:val="217"/>
        </w:trPr>
        <w:tc>
          <w:tcPr>
            <w:tcW w:w="4960" w:type="dxa"/>
            <w:vAlign w:val="bottom"/>
          </w:tcPr>
          <w:p>
            <w:pPr>
              <w:ind w:left="380"/>
              <w:spacing w:after="0"/>
              <w:rPr>
                <w:sz w:val="20"/>
                <w:szCs w:val="20"/>
                <w:color w:val="auto"/>
              </w:rPr>
            </w:pPr>
            <w:r>
              <w:rPr>
                <w:rFonts w:ascii="Arial" w:cs="Arial" w:eastAsia="Arial" w:hAnsi="Arial"/>
                <w:sz w:val="16"/>
                <w:szCs w:val="16"/>
                <w:color w:val="auto"/>
              </w:rPr>
              <w:t>Total Non-GAAP Adjustments</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726</w:t>
            </w:r>
          </w:p>
        </w:tc>
      </w:tr>
      <w:tr>
        <w:trPr>
          <w:trHeight w:val="33"/>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6"/>
                <w:szCs w:val="16"/>
                <w:color w:val="auto"/>
              </w:rPr>
              <w:t>GAAP Income (Loss) Before Income Taxes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(170)</w:t>
            </w:r>
          </w:p>
        </w:tc>
      </w:tr>
      <w:tr>
        <w:trPr>
          <w:trHeight w:val="3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Income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726</w:t>
            </w:r>
          </w:p>
        </w:tc>
      </w:tr>
      <w:tr>
        <w:trPr>
          <w:trHeight w:val="237"/>
        </w:trPr>
        <w:tc>
          <w:tcPr>
            <w:tcW w:w="4960" w:type="dxa"/>
            <w:vAlign w:val="bottom"/>
          </w:tcPr>
          <w:p>
            <w:pPr>
              <w:ind w:left="280"/>
              <w:spacing w:after="0"/>
              <w:rPr>
                <w:sz w:val="20"/>
                <w:szCs w:val="20"/>
                <w:color w:val="auto"/>
              </w:rPr>
            </w:pPr>
            <w:r>
              <w:rPr>
                <w:rFonts w:ascii="Arial" w:cs="Arial" w:eastAsia="Arial" w:hAnsi="Arial"/>
                <w:sz w:val="16"/>
                <w:szCs w:val="16"/>
                <w:color w:val="auto"/>
              </w:rPr>
              <w:t>Devaluation of Venezuelan Bolivar</w:t>
            </w:r>
          </w:p>
        </w:tc>
        <w:tc>
          <w:tcPr>
            <w:tcW w:w="2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100</w:t>
            </w:r>
          </w:p>
        </w:tc>
      </w:tr>
      <w:tr>
        <w:trPr>
          <w:trHeight w:val="33"/>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Income Before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6"/>
                <w:szCs w:val="16"/>
                <w:color w:val="auto"/>
              </w:rPr>
              <w:t>GAAP Provision for Income Taxes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(144)</w:t>
            </w:r>
          </w:p>
        </w:tc>
      </w:tr>
      <w:tr>
        <w:trPr>
          <w:trHeight w:val="3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Effect on Non-GAAP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84"/>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Non-GAAP Provision for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(162)</w:t>
            </w:r>
          </w:p>
        </w:tc>
      </w:tr>
      <w:tr>
        <w:trPr>
          <w:trHeight w:val="257"/>
        </w:trPr>
        <w:tc>
          <w:tcPr>
            <w:tcW w:w="4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Weatherford: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GAAP 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w:t>
            </w:r>
          </w:p>
        </w:tc>
      </w:tr>
      <w:tr>
        <w:trPr>
          <w:trHeight w:val="237"/>
        </w:trPr>
        <w:tc>
          <w:tcPr>
            <w:tcW w:w="4960" w:type="dxa"/>
            <w:vAlign w:val="bottom"/>
          </w:tcPr>
          <w:p>
            <w:pPr>
              <w:ind w:left="280"/>
              <w:spacing w:after="0"/>
              <w:rPr>
                <w:sz w:val="20"/>
                <w:szCs w:val="20"/>
                <w:color w:val="auto"/>
              </w:rPr>
            </w:pPr>
            <w:r>
              <w:rPr>
                <w:rFonts w:ascii="Arial" w:cs="Arial" w:eastAsia="Arial" w:hAnsi="Arial"/>
                <w:sz w:val="16"/>
                <w:szCs w:val="16"/>
                <w:color w:val="auto"/>
              </w:rPr>
              <w:t>Total Charges, net of tax</w:t>
            </w:r>
          </w:p>
        </w:tc>
        <w:tc>
          <w:tcPr>
            <w:tcW w:w="2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808</w:t>
            </w:r>
          </w:p>
        </w:tc>
      </w:tr>
      <w:tr>
        <w:trPr>
          <w:trHeight w:val="33"/>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 Earnings Per Share Attributable to Weatherford: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180"/>
              <w:spacing w:after="0"/>
              <w:rPr>
                <w:sz w:val="20"/>
                <w:szCs w:val="20"/>
                <w:color w:val="auto"/>
              </w:rPr>
            </w:pPr>
            <w:r>
              <w:rPr>
                <w:rFonts w:ascii="Arial" w:cs="Arial" w:eastAsia="Arial" w:hAnsi="Arial"/>
                <w:sz w:val="16"/>
                <w:szCs w:val="16"/>
                <w:color w:val="auto"/>
              </w:rPr>
              <w:t>GAAP Diluted Earnings (Loss) per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(0.45)</w:t>
            </w:r>
          </w:p>
        </w:tc>
      </w:tr>
      <w:tr>
        <w:trPr>
          <w:trHeight w:val="3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Charges,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1.05</w:t>
            </w:r>
          </w:p>
        </w:tc>
      </w:tr>
      <w:tr>
        <w:trPr>
          <w:trHeight w:val="284"/>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Non-GAAP Diluted Earnings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0.60</w:t>
            </w:r>
          </w:p>
        </w:tc>
      </w:tr>
      <w:tr>
        <w:trPr>
          <w:trHeight w:val="257"/>
        </w:trPr>
        <w:tc>
          <w:tcPr>
            <w:tcW w:w="4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70"/>
        </w:trPr>
        <w:tc>
          <w:tcPr>
            <w:tcW w:w="4960" w:type="dxa"/>
            <w:vAlign w:val="bottom"/>
          </w:tcPr>
          <w:p>
            <w:pPr>
              <w:ind w:left="180"/>
              <w:spacing w:after="0"/>
              <w:rPr>
                <w:sz w:val="20"/>
                <w:szCs w:val="20"/>
                <w:color w:val="auto"/>
              </w:rPr>
            </w:pPr>
            <w:r>
              <w:rPr>
                <w:rFonts w:ascii="Arial" w:cs="Arial" w:eastAsia="Arial" w:hAnsi="Arial"/>
                <w:sz w:val="16"/>
                <w:szCs w:val="16"/>
                <w:b w:val="1"/>
                <w:bCs w:val="1"/>
                <w:color w:val="auto"/>
              </w:rPr>
              <w:t xml:space="preserve">GAAP Effective Tax Rate </w:t>
            </w:r>
            <w:r>
              <w:rPr>
                <w:rFonts w:ascii="Arial" w:cs="Arial" w:eastAsia="Arial" w:hAnsi="Arial"/>
                <w:sz w:val="21"/>
                <w:szCs w:val="21"/>
                <w:b w:val="1"/>
                <w:bCs w:val="1"/>
                <w:color w:val="auto"/>
                <w:vertAlign w:val="superscript"/>
              </w:rPr>
              <w:t>(d)</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 xml:space="preserve">Non-GAAP Effective Tax Rate </w:t>
            </w:r>
            <w:r>
              <w:rPr>
                <w:rFonts w:ascii="Arial" w:cs="Arial" w:eastAsia="Arial" w:hAnsi="Arial"/>
                <w:sz w:val="21"/>
                <w:szCs w:val="21"/>
                <w:b w:val="1"/>
                <w:bCs w:val="1"/>
                <w:color w:val="auto"/>
                <w:vertAlign w:val="superscript"/>
              </w:rPr>
              <w:t>(e)</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bl>
    <w:p>
      <w:pPr>
        <w:spacing w:after="0" w:line="62" w:lineRule="exact"/>
        <w:rPr>
          <w:sz w:val="20"/>
          <w:szCs w:val="20"/>
          <w:color w:val="auto"/>
        </w:rPr>
      </w:pPr>
    </w:p>
    <w:p>
      <w:pPr>
        <w:jc w:val="both"/>
        <w:ind w:left="260" w:hanging="252"/>
        <w:spacing w:after="0" w:line="247"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Impairments, Divestiture Related Charges and Other of $618 million in the fourth quarter and $949 million for the year ended December 31, 2014 include goodwill impairments, long-lived asset impairments and other charges largely related to our rigs business and a charge related to a long-term contract in Asia. In addition, this includes the cost of our divestiture program and other professional fees and costs including restatement related litigation costs and other charges.</w:t>
      </w:r>
    </w:p>
    <w:p>
      <w:pPr>
        <w:spacing w:after="0" w:line="1" w:lineRule="exact"/>
        <w:rPr>
          <w:rFonts w:ascii="Arial" w:cs="Arial" w:eastAsia="Arial" w:hAnsi="Arial"/>
          <w:sz w:val="14"/>
          <w:szCs w:val="14"/>
          <w:color w:val="auto"/>
        </w:rPr>
      </w:pPr>
    </w:p>
    <w:p>
      <w:pPr>
        <w:jc w:val="both"/>
        <w:ind w:left="260" w:hanging="252"/>
        <w:spacing w:after="0" w:line="260" w:lineRule="auto"/>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Restructuring, Exited Business and Severance Cost in the three months ended December 31, 2014 include severance costs of $58 million associated with our 2015 workforce and cost reduction initiative. During 2014, we also recognized $345 million associated with the 2014 workforce and cost reduction initiative including the operating losses of the businesses exited. These results include $81 million characterized as our North Africa Restructuring in the third quarter of 2014. These amounts are presented in comparison to the severance amounts recognized in 2013.</w:t>
      </w:r>
    </w:p>
    <w:p>
      <w:pPr>
        <w:ind w:left="260" w:hanging="252"/>
        <w:spacing w:after="0" w:line="241"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revenues associated with the legacy lump sum contracts in Iraq were $35 million, $76 million and $52 million for the three months ended December 31, 2014, September 30, 2014 and December 31, 2013, and $249 million and $512 million for the year ended December 31, 2014 and 2013, respectively.</w:t>
      </w: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GAAP Effective Tax Rate is GAAP provision for income taxes divided by GAAP income before income taxes.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w:t>
      </w:r>
    </w:p>
    <w:p>
      <w:pPr>
        <w:sectPr>
          <w:pgSz w:w="11900" w:h="16838" w:orient="portrait"/>
          <w:cols w:equalWidth="0" w:num="1">
            <w:col w:w="11420"/>
          </w:cols>
          <w:pgMar w:left="240" w:top="580" w:right="239" w:bottom="1043"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043"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12/31/2014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12/31/2013</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3,087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3,281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3,200</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Goodwill and Intangibles, Net</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3,451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3,799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3,856</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Current Assets Held for Sale</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1,604</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term Debt</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1,653</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97"/>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12/31/2014: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9/30/2014</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(8,137)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338</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Goodwill &amp; Long-Lived Asset Impairment and Other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Restructuring Charges Related to Asset 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Gain on Sale of Businesses and Investments, Net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Decrease in 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Income Taxes Paid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Acquisitions and Divestitures of Assets and Businesses, Net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12/31/2014</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6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year Ended 12/31/2014: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12/31/2013</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(8,279)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1,371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Goodwill &amp; Long-Lived Asset Impairment and Other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Restructuring Charges Related to Asset 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Gain on Sale of Businesses and Investments, Net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Increase in 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Income Taxes Paid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FCPA / Sanctioned Country Matters Payment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Acquisitions and Divestitures of Assets and Businesses,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Proceeds from Sale of Executive Deferred Compensation Plan Treasury Shares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12/31/2014</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6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84"/>
        </w:trPr>
        <w:tc>
          <w:tcPr>
            <w:tcW w:w="68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1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12/31/2014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9/30/2014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12/31/2013</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r>
      <w:tr>
        <w:trPr>
          <w:trHeight w:val="257"/>
        </w:trPr>
        <w:tc>
          <w:tcPr>
            <w:tcW w:w="684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spacing w:after="0" w:line="273" w:lineRule="auto"/>
        <w:rPr>
          <w:sz w:val="20"/>
          <w:szCs w:val="20"/>
          <w:color w:val="auto"/>
        </w:rPr>
      </w:pPr>
      <w:r>
        <w:rPr>
          <w:rFonts w:ascii="Arial" w:cs="Arial" w:eastAsia="Arial" w:hAnsi="Arial"/>
          <w:sz w:val="14"/>
          <w:szCs w:val="14"/>
          <w:color w:val="auto"/>
        </w:rPr>
        <w:t>“Net Debt” is defined as debt less cash. Management believes that Net Debt provides useful information regarding the level of Weatherford indebtedness by reflecting cash that could be used to repay debt.</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Working capital is defined as accounts receivable plus inventory less accounts payable.</w:t>
      </w:r>
    </w:p>
    <w:p>
      <w:pPr>
        <w:sectPr>
          <w:pgSz w:w="11900" w:h="16838" w:orient="portrait"/>
          <w:cols w:equalWidth="0" w:num="1">
            <w:col w:w="11400"/>
          </w:cols>
          <w:pgMar w:left="260" w:top="742" w:right="2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60" w:top="742" w:right="239" w:bottom="1440" w:gutter="0" w:footer="0" w:header="0"/>
          <w:type w:val="continuous"/>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9/30/2014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12/31/2013</w:t>
            </w:r>
          </w:p>
        </w:tc>
      </w:tr>
      <w:tr>
        <w:trPr>
          <w:trHeight w:val="27"/>
        </w:trPr>
        <w:tc>
          <w:tcPr>
            <w:tcW w:w="5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r>
      <w:tr>
        <w:trPr>
          <w:trHeight w:val="270"/>
        </w:trPr>
        <w:tc>
          <w:tcPr>
            <w:tcW w:w="5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318"/>
        </w:trPr>
        <w:tc>
          <w:tcPr>
            <w:tcW w:w="5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Free Cash Flow: 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2019-12-09T04:12:32Z</dcterms:created>
  <dcterms:modified xsi:type="dcterms:W3CDTF">2019-12-09T04:12:32Z</dcterms:modified>
</cp:coreProperties>
</file>