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333-81678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4940" w:type="dxa"/>
            <w:vAlign w:val="bottom"/>
          </w:tcPr>
          <w:p>
            <w:pPr>
              <w:jc w:val="center"/>
              <w:ind w:right="270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4060" w:type="dxa"/>
            <w:vAlign w:val="bottom"/>
          </w:tcPr>
          <w:p>
            <w:pPr>
              <w:jc w:val="center"/>
              <w:ind w:left="27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8"/>
              </w:rPr>
              <w:t>incorporation or organization)</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87"/>
              </w:rPr>
              <w:t>Bahnhofstrasse 1</w:t>
            </w:r>
          </w:p>
        </w:tc>
        <w:tc>
          <w:tcPr>
            <w:tcW w:w="4060" w:type="dxa"/>
            <w:vAlign w:val="bottom"/>
          </w:tcPr>
          <w:p>
            <w:pPr>
              <w:spacing w:after="0"/>
              <w:rPr>
                <w:sz w:val="20"/>
                <w:szCs w:val="20"/>
                <w:color w:val="auto"/>
              </w:rPr>
            </w:pPr>
          </w:p>
        </w:tc>
      </w:tr>
      <w:tr>
        <w:trPr>
          <w:trHeight w:val="216"/>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90"/>
              </w:rPr>
              <w:t>6340 Baar, Switzerland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0"/>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Inc. 1998 Employee Stock Option Plan, as amended</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Alejandro Cestero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320" w:type="dxa"/>
        <w:tblCellMar>
          <w:top w:w="0" w:type="dxa"/>
          <w:left w:w="0" w:type="dxa"/>
          <w:bottom w:w="0" w:type="dxa"/>
          <w:right w:w="0" w:type="dxa"/>
        </w:tblCellMar>
      </w:tblPr>
      <w:tr>
        <w:trPr>
          <w:trHeight w:val="235"/>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40" w:type="dxa"/>
            <w:vAlign w:val="bottom"/>
          </w:tcPr>
          <w:p>
            <w:pPr>
              <w:ind w:left="340"/>
              <w:spacing w:after="0"/>
              <w:rPr>
                <w:sz w:val="20"/>
                <w:szCs w:val="20"/>
                <w:color w:val="auto"/>
              </w:rPr>
            </w:pPr>
            <w:r>
              <w:rPr>
                <w:rFonts w:ascii="Arial" w:cs="Arial" w:eastAsia="Arial" w:hAnsi="Arial"/>
                <w:sz w:val="18"/>
                <w:szCs w:val="18"/>
                <w:color w:val="auto"/>
              </w:rPr>
              <w:t>x</w:t>
            </w:r>
          </w:p>
        </w:tc>
        <w:tc>
          <w:tcPr>
            <w:tcW w:w="330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540"/>
              <w:spacing w:after="0"/>
              <w:rPr>
                <w:sz w:val="20"/>
                <w:szCs w:val="20"/>
                <w:color w:val="auto"/>
              </w:rPr>
            </w:pPr>
            <w:r>
              <w:rPr>
                <w:rFonts w:ascii="Arial" w:cs="Arial" w:eastAsia="Arial" w:hAnsi="Arial"/>
                <w:sz w:val="10"/>
                <w:szCs w:val="10"/>
                <w:color w:val="auto"/>
                <w:w w:val="71"/>
              </w:rPr>
              <w:t>o</w:t>
            </w:r>
          </w:p>
        </w:tc>
      </w:tr>
      <w:tr>
        <w:trPr>
          <w:trHeight w:val="50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34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300" w:type="dxa"/>
            <w:vAlign w:val="bottom"/>
          </w:tcPr>
          <w:p>
            <w:pPr>
              <w:ind w:left="8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540"/>
              <w:spacing w:after="0"/>
              <w:rPr>
                <w:sz w:val="20"/>
                <w:szCs w:val="20"/>
                <w:color w:val="auto"/>
              </w:rPr>
            </w:pPr>
            <w:r>
              <w:rPr>
                <w:rFonts w:ascii="Arial" w:cs="Arial" w:eastAsia="Arial" w:hAnsi="Arial"/>
                <w:sz w:val="10"/>
                <w:szCs w:val="10"/>
                <w:color w:val="auto"/>
                <w:w w:val="71"/>
              </w:rPr>
              <w:t>o</w:t>
            </w: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This Post-Effective Amendment No. 3 to Registration Statement on Form S-8, Registration No. 333-81678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7"/>
          <w:szCs w:val="17"/>
          <w:color w:val="auto"/>
        </w:rPr>
        <w:t>‑</w:t>
      </w:r>
      <w:r>
        <w:rPr>
          <w:rFonts w:ascii="Arial" w:cs="Arial" w:eastAsia="Arial" w:hAnsi="Arial"/>
          <w:sz w:val="17"/>
          <w:szCs w:val="17"/>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Inc. 1998 Employee Stock Option Plan, as amended (the “Plan”). Consequently, ordinary shares of Weatherford Ireland will henceforth be issuable under the Plan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1" w:lineRule="exact"/>
        <w:rPr>
          <w:rFonts w:ascii="Arial" w:cs="Arial" w:eastAsia="Arial" w:hAnsi="Arial"/>
          <w:sz w:val="18"/>
          <w:szCs w:val="18"/>
          <w:color w:val="auto"/>
        </w:rPr>
      </w:pPr>
    </w:p>
    <w:p>
      <w:pPr>
        <w:ind w:left="660" w:hanging="260"/>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 or which deregisters all securities then remaining unsold, shall be deemed to be incorporated by reference in this Registration</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Statement and to be a part hereof from the date of filing of such documents.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Weatherford International, Inc. 1998 Employee Stock Option Plan, as amended (incorporated by reference to Exhibit 10.18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Weatherford International plc’s Annual Report on Form 10-K for the year ended December 31, 2003, filed on March 10, 2004).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18"/>
          <w:szCs w:val="18"/>
          <w:color w:val="auto"/>
        </w:rPr>
        <w:t>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3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Weatherford International, Inc. 1998 Employee Stock Option Plan, as amended (incorporated by reference to Exhibit 10.18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Weatherford International plc’s Annual Report on Form 10-K for the year ended December 31, 2003, filed on March 10, 2004).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95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85725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Alpenstrasse 15</w:t>
      </w:r>
    </w:p>
    <w:p>
      <w:pPr>
        <w:ind w:left="40"/>
        <w:spacing w:after="0"/>
        <w:rPr>
          <w:sz w:val="20"/>
          <w:szCs w:val="20"/>
          <w:color w:val="auto"/>
        </w:rPr>
      </w:pPr>
      <w:r>
        <w:rPr>
          <w:rFonts w:ascii="Arial" w:cs="Arial" w:eastAsia="Arial" w:hAnsi="Arial"/>
          <w:sz w:val="20"/>
          <w:szCs w:val="20"/>
          <w:color w:val="auto"/>
        </w:rPr>
        <w:t>6300 Zug</w:t>
      </w:r>
    </w:p>
    <w:p>
      <w:pPr>
        <w:ind w:left="40"/>
        <w:spacing w:after="0"/>
        <w:rPr>
          <w:sz w:val="20"/>
          <w:szCs w:val="20"/>
          <w:color w:val="auto"/>
        </w:rPr>
      </w:pPr>
      <w:r>
        <w:rPr>
          <w:rFonts w:ascii="Arial" w:cs="Arial" w:eastAsia="Arial" w:hAnsi="Arial"/>
          <w:sz w:val="20"/>
          <w:szCs w:val="20"/>
          <w:color w:val="auto"/>
        </w:rPr>
        <w:t>Switzerland</w:t>
      </w: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2780" w:val="left"/>
          <w:tab w:leader="none" w:pos="7040" w:val="left"/>
        </w:tabs>
        <w:rPr>
          <w:sz w:val="20"/>
          <w:szCs w:val="20"/>
          <w:color w:val="auto"/>
        </w:rPr>
      </w:pPr>
      <w:r>
        <w:rPr>
          <w:rFonts w:ascii="Arial" w:cs="Arial" w:eastAsia="Arial" w:hAnsi="Arial"/>
          <w:sz w:val="20"/>
          <w:szCs w:val="20"/>
          <w:color w:val="auto"/>
        </w:rPr>
        <w:t>Our Ref</w:t>
      </w:r>
      <w:r>
        <w:rPr>
          <w:sz w:val="20"/>
          <w:szCs w:val="20"/>
          <w:color w:val="auto"/>
        </w:rPr>
        <w:tab/>
      </w:r>
      <w:r>
        <w:rPr>
          <w:rFonts w:ascii="Arial" w:cs="Arial" w:eastAsia="Arial" w:hAnsi="Arial"/>
          <w:sz w:val="20"/>
          <w:szCs w:val="20"/>
          <w:color w:val="auto"/>
        </w:rPr>
        <w:t>Your Ref</w:t>
      </w:r>
      <w:r>
        <w:rPr>
          <w:sz w:val="20"/>
          <w:szCs w:val="20"/>
          <w:color w:val="auto"/>
        </w:rPr>
        <w:tab/>
      </w:r>
      <w:r>
        <w:rPr>
          <w:rFonts w:ascii="Arial" w:cs="Arial" w:eastAsia="Arial" w:hAnsi="Arial"/>
          <w:sz w:val="16"/>
          <w:szCs w:val="16"/>
          <w:color w:val="auto"/>
        </w:rPr>
        <w:t>17 June 2014</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FBO 661725.4</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64" w:lineRule="exact"/>
        <w:rPr>
          <w:sz w:val="20"/>
          <w:szCs w:val="20"/>
          <w:color w:val="auto"/>
        </w:rPr>
      </w:pPr>
    </w:p>
    <w:p>
      <w:pPr>
        <w:ind w:right="5200"/>
        <w:spacing w:after="0" w:line="293" w:lineRule="auto"/>
        <w:rPr>
          <w:sz w:val="20"/>
          <w:szCs w:val="20"/>
          <w:color w:val="auto"/>
        </w:rPr>
      </w:pPr>
      <w:r>
        <w:rPr>
          <w:rFonts w:ascii="Arial" w:cs="Arial" w:eastAsia="Arial" w:hAnsi="Arial"/>
          <w:sz w:val="19"/>
          <w:szCs w:val="19"/>
          <w:b w:val="1"/>
          <w:bCs w:val="1"/>
          <w:color w:val="auto"/>
        </w:rPr>
        <w:t>Weatherford International plc, an Irish public company limited by shares Post-Effective Amendment on Form S-8 (File No. 333-81678)</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acted on behalf of Weatherford International plc, a public limited company incorporated under the laws of Ireland with company number 540406 (the “Company”) in connection with the post-effective amendment to the registration statement on Form S-8 (File No. 333-81678) (the “Post-Effective Amendment”) to be filed by the Company, pursuant to the Securities Act of 1933 of the United States of America, as amended (the “Securities Act”), with the Securities and Exchange Commission of the United States of America (the “SEC”) with respect to the Company’s ordinary shares (nominal value of US$0.001 per share) (the “Shares”) to be issued and delivered under the Weatherford International, Inc. 1998 Employee Stock Plan (the “Plan”).</w:t>
      </w:r>
    </w:p>
    <w:p>
      <w:pPr>
        <w:spacing w:after="0" w:line="28"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11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108" w:lineRule="exact"/>
        <w:rPr>
          <w:sz w:val="20"/>
          <w:szCs w:val="20"/>
          <w:color w:val="auto"/>
        </w:rPr>
      </w:pPr>
    </w:p>
    <w:p>
      <w:pPr>
        <w:ind w:left="1260" w:hanging="64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final form of the Post-Effective Amendment to be filed by the Company with the SEC;</w:t>
      </w:r>
    </w:p>
    <w:p>
      <w:pPr>
        <w:spacing w:after="0" w:line="107" w:lineRule="exact"/>
        <w:rPr>
          <w:rFonts w:ascii="Arial" w:cs="Arial" w:eastAsia="Arial" w:hAnsi="Arial"/>
          <w:sz w:val="20"/>
          <w:szCs w:val="20"/>
          <w:color w:val="auto"/>
        </w:rPr>
      </w:pPr>
    </w:p>
    <w:p>
      <w:pPr>
        <w:ind w:left="1260" w:hanging="644"/>
        <w:spacing w:after="0" w:line="352"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copy of the memorandum and articles of association of the Company, certified by the secretary of the Company as being true, complete and up-to-date;</w:t>
      </w:r>
    </w:p>
    <w:p>
      <w:pPr>
        <w:ind w:left="1260" w:right="20" w:hanging="644"/>
        <w:spacing w:after="0" w:line="405" w:lineRule="auto"/>
        <w:tabs>
          <w:tab w:leader="none" w:pos="1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copy minutes of a meeting of the board of directors’ of the Company held on 3 March 2014 and 6 June 2014, certified by the secretary to be a true and complete copy of those board minutes which have not since been amended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236855</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right="20" w:hanging="644"/>
        <w:spacing w:after="0" w:line="349"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written resolutions of the shareholders of the Company dated 6 June 2014, certified by the secretary to be true and complete copies of those shareholders’ resolutions which have not since been amended or rescinded;</w:t>
      </w:r>
    </w:p>
    <w:p>
      <w:pPr>
        <w:ind w:left="1260" w:hanging="644"/>
        <w:spacing w:after="0"/>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certificate of the secretary of the Company (the “</w:t>
      </w:r>
      <w:r>
        <w:rPr>
          <w:rFonts w:ascii="Arial" w:cs="Arial" w:eastAsia="Arial" w:hAnsi="Arial"/>
          <w:sz w:val="20"/>
          <w:szCs w:val="20"/>
          <w:b w:val="1"/>
          <w:bCs w:val="1"/>
          <w:color w:val="auto"/>
        </w:rPr>
        <w:t>Certificate</w:t>
      </w:r>
      <w:r>
        <w:rPr>
          <w:rFonts w:ascii="Arial" w:cs="Arial" w:eastAsia="Arial" w:hAnsi="Arial"/>
          <w:sz w:val="20"/>
          <w:szCs w:val="20"/>
          <w:color w:val="auto"/>
        </w:rPr>
        <w:t>”); and</w:t>
      </w:r>
    </w:p>
    <w:p>
      <w:pPr>
        <w:spacing w:after="0" w:line="113" w:lineRule="exact"/>
        <w:rPr>
          <w:rFonts w:ascii="Arial" w:cs="Arial" w:eastAsia="Arial" w:hAnsi="Arial"/>
          <w:sz w:val="20"/>
          <w:szCs w:val="20"/>
          <w:color w:val="auto"/>
        </w:rPr>
      </w:pPr>
    </w:p>
    <w:p>
      <w:pPr>
        <w:jc w:val="both"/>
        <w:ind w:left="1260" w:hanging="644"/>
        <w:spacing w:after="0" w:line="352"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20"/>
          <w:szCs w:val="20"/>
          <w:b w:val="1"/>
          <w:bCs w:val="1"/>
          <w:color w:val="auto"/>
        </w:rPr>
        <w:t>Searches</w:t>
      </w:r>
      <w:r>
        <w:rPr>
          <w:rFonts w:ascii="Arial" w:cs="Arial" w:eastAsia="Arial" w:hAnsi="Arial"/>
          <w:sz w:val="20"/>
          <w:szCs w:val="20"/>
          <w:color w:val="auto"/>
        </w:rPr>
        <w:t>”).</w:t>
      </w:r>
    </w:p>
    <w:p>
      <w:pPr>
        <w:spacing w:after="0" w:line="1" w:lineRule="exact"/>
        <w:rPr>
          <w:sz w:val="20"/>
          <w:szCs w:val="20"/>
          <w:color w:val="auto"/>
        </w:rPr>
      </w:pPr>
    </w:p>
    <w:p>
      <w:pPr>
        <w:jc w:val="both"/>
        <w:ind w:left="620" w:hanging="620"/>
        <w:spacing w:after="0" w:line="391" w:lineRule="auto"/>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 w:lineRule="exact"/>
        <w:rPr>
          <w:sz w:val="20"/>
          <w:szCs w:val="20"/>
          <w:color w:val="auto"/>
        </w:rPr>
      </w:pPr>
    </w:p>
    <w:p>
      <w:pPr>
        <w:jc w:val="both"/>
        <w:ind w:left="620" w:hanging="620"/>
        <w:spacing w:after="0" w:line="352" w:lineRule="auto"/>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 w:lineRule="exact"/>
        <w:rPr>
          <w:sz w:val="20"/>
          <w:szCs w:val="20"/>
          <w:color w:val="auto"/>
        </w:rPr>
      </w:pPr>
    </w:p>
    <w:p>
      <w:pPr>
        <w:jc w:val="both"/>
        <w:ind w:left="620" w:hanging="620"/>
        <w:spacing w:after="0" w:line="352" w:lineRule="auto"/>
        <w:tabs>
          <w:tab w:leader="none" w:pos="6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 w:lineRule="exact"/>
        <w:rPr>
          <w:sz w:val="20"/>
          <w:szCs w:val="20"/>
          <w:color w:val="auto"/>
        </w:rPr>
      </w:pPr>
    </w:p>
    <w:p>
      <w:pPr>
        <w:jc w:val="both"/>
        <w:ind w:left="620" w:right="20" w:hanging="620"/>
        <w:spacing w:after="0" w:line="352" w:lineRule="auto"/>
        <w:tabs>
          <w:tab w:leader="none" w:pos="6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 w:lineRule="exact"/>
        <w:rPr>
          <w:sz w:val="20"/>
          <w:szCs w:val="20"/>
          <w:color w:val="auto"/>
        </w:rPr>
      </w:pPr>
    </w:p>
    <w:p>
      <w:pPr>
        <w:jc w:val="both"/>
        <w:ind w:left="620" w:hanging="620"/>
        <w:spacing w:after="0" w:line="391" w:lineRule="auto"/>
        <w:tabs>
          <w:tab w:leader="none" w:pos="6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102"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113"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For the purpose of giving this opinion we have assumed:</w:t>
      </w:r>
    </w:p>
    <w:p>
      <w:pPr>
        <w:spacing w:after="0" w:line="323" w:lineRule="exact"/>
        <w:rPr>
          <w:rFonts w:ascii="Arial" w:cs="Arial" w:eastAsia="Arial" w:hAnsi="Arial"/>
          <w:sz w:val="20"/>
          <w:szCs w:val="20"/>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authenticity and completeness of all documents submitted to us as originals;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30574237.1</w:t>
      </w:r>
    </w:p>
    <w:p>
      <w:pPr>
        <w:sectPr>
          <w:pgSz w:w="11900" w:h="16838" w:orient="portrait"/>
          <w:cols w:equalWidth="0" w:num="1">
            <w:col w:w="11420"/>
          </w:cols>
          <w:pgMar w:left="240" w:top="744" w:right="239" w:bottom="1440" w:gutter="0" w:footer="0" w:header="0"/>
        </w:sectPr>
      </w:pPr>
    </w:p>
    <w:bookmarkStart w:id="9" w:name="page10"/>
    <w:bookmarkEnd w:id="9"/>
    <w:p>
      <w:pPr>
        <w:ind w:left="1260" w:hanging="644"/>
        <w:spacing w:after="0" w:line="391"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the completeness and conformity to originals of all documents supplied to us as certified, conformed or photostatic copies or received by us by facsimile or email transmission and the authenticity and completeness of the originals of such documents;</w:t>
      </w:r>
    </w:p>
    <w:p>
      <w:pPr>
        <w:ind w:left="1260" w:hanging="644"/>
        <w:spacing w:after="0"/>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genuineness of the signatures and seals on all original and copy documents which we have examined;</w:t>
      </w:r>
    </w:p>
    <w:p>
      <w:pPr>
        <w:spacing w:after="0" w:line="107" w:lineRule="exact"/>
        <w:rPr>
          <w:rFonts w:ascii="Arial" w:cs="Arial" w:eastAsia="Arial" w:hAnsi="Arial"/>
          <w:sz w:val="20"/>
          <w:szCs w:val="20"/>
          <w:color w:val="auto"/>
        </w:rPr>
      </w:pPr>
    </w:p>
    <w:p>
      <w:pPr>
        <w:jc w:val="both"/>
        <w:ind w:left="1260" w:hanging="644"/>
        <w:spacing w:after="0" w:line="352"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 w:lineRule="exact"/>
        <w:rPr>
          <w:rFonts w:ascii="Arial" w:cs="Arial" w:eastAsia="Arial" w:hAnsi="Arial"/>
          <w:sz w:val="20"/>
          <w:szCs w:val="20"/>
          <w:color w:val="auto"/>
        </w:rPr>
      </w:pPr>
    </w:p>
    <w:p>
      <w:pPr>
        <w:ind w:left="1260" w:hanging="644"/>
        <w:spacing w:after="0" w:line="352"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written resolutions of the shareholders referred to above were duly passed and adopted and have not since been amended or rescinded;</w:t>
      </w:r>
    </w:p>
    <w:p>
      <w:pPr>
        <w:jc w:val="both"/>
        <w:ind w:left="1260" w:hanging="644"/>
        <w:spacing w:after="0" w:line="370"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9"/>
          <w:szCs w:val="19"/>
          <w:b w:val="1"/>
          <w:bCs w:val="1"/>
          <w:color w:val="auto"/>
        </w:rPr>
        <w:t>1983 Act</w:t>
      </w:r>
      <w:r>
        <w:rPr>
          <w:rFonts w:ascii="Arial" w:cs="Arial" w:eastAsia="Arial" w:hAnsi="Arial"/>
          <w:sz w:val="19"/>
          <w:szCs w:val="19"/>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6" w:lineRule="exact"/>
        <w:rPr>
          <w:rFonts w:ascii="Arial" w:cs="Arial" w:eastAsia="Arial" w:hAnsi="Arial"/>
          <w:sz w:val="19"/>
          <w:szCs w:val="19"/>
          <w:color w:val="auto"/>
        </w:rPr>
      </w:pPr>
    </w:p>
    <w:p>
      <w:pPr>
        <w:ind w:left="1260" w:hanging="64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130" w:lineRule="exact"/>
        <w:rPr>
          <w:rFonts w:ascii="Arial" w:cs="Arial" w:eastAsia="Arial" w:hAnsi="Arial"/>
          <w:sz w:val="18"/>
          <w:szCs w:val="18"/>
          <w:color w:val="auto"/>
        </w:rPr>
      </w:pPr>
    </w:p>
    <w:p>
      <w:pPr>
        <w:jc w:val="both"/>
        <w:ind w:left="1260" w:hanging="644"/>
        <w:spacing w:after="0" w:line="352"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 w:lineRule="exact"/>
        <w:rPr>
          <w:rFonts w:ascii="Arial" w:cs="Arial" w:eastAsia="Arial" w:hAnsi="Arial"/>
          <w:sz w:val="20"/>
          <w:szCs w:val="20"/>
          <w:color w:val="auto"/>
        </w:rPr>
      </w:pPr>
    </w:p>
    <w:p>
      <w:pPr>
        <w:jc w:val="both"/>
        <w:ind w:left="1260" w:hanging="644"/>
        <w:spacing w:after="0" w:line="370"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3" w:lineRule="exact"/>
        <w:rPr>
          <w:rFonts w:ascii="Arial" w:cs="Arial" w:eastAsia="Arial" w:hAnsi="Arial"/>
          <w:sz w:val="19"/>
          <w:szCs w:val="19"/>
          <w:color w:val="auto"/>
        </w:rPr>
      </w:pPr>
    </w:p>
    <w:p>
      <w:pPr>
        <w:jc w:val="both"/>
        <w:ind w:left="1260" w:hanging="644"/>
        <w:spacing w:after="0" w:line="363"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30574237.1</w:t>
      </w:r>
    </w:p>
    <w:p>
      <w:pPr>
        <w:sectPr>
          <w:pgSz w:w="11900" w:h="16838" w:orient="portrait"/>
          <w:cols w:equalWidth="0" w:num="1">
            <w:col w:w="11420"/>
          </w:cols>
          <w:pgMar w:left="240" w:top="744" w:right="239" w:bottom="1440" w:gutter="0" w:footer="0" w:header="0"/>
        </w:sectPr>
      </w:pPr>
    </w:p>
    <w:bookmarkStart w:id="10" w:name="page11"/>
    <w:bookmarkEnd w:id="10"/>
    <w:p>
      <w:pPr>
        <w:jc w:val="both"/>
        <w:ind w:left="1260" w:hanging="644"/>
        <w:spacing w:after="0" w:line="370"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6" w:lineRule="exact"/>
        <w:rPr>
          <w:rFonts w:ascii="Arial" w:cs="Arial" w:eastAsia="Arial" w:hAnsi="Arial"/>
          <w:sz w:val="19"/>
          <w:szCs w:val="19"/>
          <w:color w:val="auto"/>
        </w:rPr>
      </w:pPr>
    </w:p>
    <w:p>
      <w:pPr>
        <w:jc w:val="both"/>
        <w:ind w:left="1260" w:hanging="644"/>
        <w:spacing w:after="0" w:line="352"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 subscription by any person of or for any Shares save as permitted by, or pursuant to an exemption to, the said section 60;</w:t>
      </w:r>
    </w:p>
    <w:p>
      <w:pPr>
        <w:spacing w:after="0" w:line="1" w:lineRule="exact"/>
        <w:rPr>
          <w:rFonts w:ascii="Arial" w:cs="Arial" w:eastAsia="Arial" w:hAnsi="Arial"/>
          <w:sz w:val="20"/>
          <w:szCs w:val="20"/>
          <w:color w:val="auto"/>
        </w:rPr>
      </w:pPr>
    </w:p>
    <w:p>
      <w:pPr>
        <w:ind w:left="1260" w:hanging="644"/>
        <w:spacing w:after="0" w:line="352" w:lineRule="auto"/>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accuracy and completeness as to factual matters of the representations and warranties of the Company contained in the Post-Effective Amendment and the accuracy of the Certificate;</w:t>
      </w:r>
    </w:p>
    <w:p>
      <w:pPr>
        <w:ind w:left="1260" w:right="20" w:hanging="644"/>
        <w:spacing w:after="0" w:line="391"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jc w:val="both"/>
        <w:ind w:left="1260" w:hanging="644"/>
        <w:spacing w:after="0" w:line="370"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2" w:lineRule="exact"/>
        <w:rPr>
          <w:rFonts w:ascii="Arial" w:cs="Arial" w:eastAsia="Arial" w:hAnsi="Arial"/>
          <w:sz w:val="19"/>
          <w:szCs w:val="19"/>
          <w:color w:val="auto"/>
        </w:rPr>
      </w:pPr>
    </w:p>
    <w:p>
      <w:pPr>
        <w:jc w:val="both"/>
        <w:ind w:left="1260" w:hanging="644"/>
        <w:spacing w:after="0" w:line="391"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 w:lineRule="exact"/>
        <w:rPr>
          <w:rFonts w:ascii="Arial" w:cs="Arial" w:eastAsia="Arial" w:hAnsi="Arial"/>
          <w:sz w:val="18"/>
          <w:szCs w:val="18"/>
          <w:color w:val="auto"/>
        </w:rPr>
      </w:pPr>
    </w:p>
    <w:p>
      <w:pPr>
        <w:jc w:val="both"/>
        <w:ind w:left="1260" w:hanging="644"/>
        <w:spacing w:after="0" w:line="377"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30574237.1</w:t>
      </w:r>
    </w:p>
    <w:p>
      <w:pPr>
        <w:sectPr>
          <w:pgSz w:w="11900" w:h="16838" w:orient="portrait"/>
          <w:cols w:equalWidth="0" w:num="1">
            <w:col w:w="11420"/>
          </w:cols>
          <w:pgMar w:left="240" w:top="744" w:right="239" w:bottom="1440" w:gutter="0" w:footer="0" w:header="0"/>
        </w:sectPr>
      </w:pPr>
    </w:p>
    <w:bookmarkStart w:id="11" w:name="page12"/>
    <w:bookmarkEnd w:id="11"/>
    <w:p>
      <w:pPr>
        <w:ind w:left="1260" w:hanging="644"/>
        <w:spacing w:after="0" w:line="349" w:lineRule="auto"/>
        <w:tabs>
          <w:tab w:leader="none" w:pos="1260" w:val="left"/>
        </w:tabs>
        <w:numPr>
          <w:ilvl w:val="1"/>
          <w:numId w:val="1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the truth of all representations and information given to us in reply to any queries we have made which we have considered necessary for the purposes of giving this opinion.</w:t>
      </w: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113" w:lineRule="exact"/>
        <w:rPr>
          <w:rFonts w:ascii="Arial" w:cs="Arial" w:eastAsia="Arial" w:hAnsi="Arial"/>
          <w:sz w:val="20"/>
          <w:szCs w:val="20"/>
          <w:color w:val="auto"/>
        </w:rPr>
      </w:pPr>
    </w:p>
    <w:p>
      <w:pPr>
        <w:jc w:val="both"/>
        <w:ind w:left="620"/>
        <w:spacing w:after="0" w:line="401"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160" w:lineRule="exact"/>
        <w:rPr>
          <w:rFonts w:ascii="Arial" w:cs="Arial" w:eastAsia="Arial" w:hAnsi="Arial"/>
          <w:sz w:val="20"/>
          <w:szCs w:val="20"/>
          <w:color w:val="auto"/>
        </w:rPr>
      </w:pPr>
    </w:p>
    <w:p>
      <w:pPr>
        <w:ind w:left="620" w:hanging="612"/>
        <w:spacing w:after="0"/>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113"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The opinions set forth in this opinion letter are given subject to the following qualifications:</w:t>
      </w:r>
    </w:p>
    <w:p>
      <w:pPr>
        <w:spacing w:after="0" w:line="323" w:lineRule="exact"/>
        <w:rPr>
          <w:rFonts w:ascii="Arial" w:cs="Arial" w:eastAsia="Arial" w:hAnsi="Arial"/>
          <w:sz w:val="20"/>
          <w:szCs w:val="20"/>
          <w:color w:val="auto"/>
        </w:rPr>
      </w:pPr>
    </w:p>
    <w:p>
      <w:pPr>
        <w:ind w:left="1540" w:hanging="911"/>
        <w:spacing w:after="0" w:line="352" w:lineRule="auto"/>
        <w:tabs>
          <w:tab w:leader="none" w:pos="1540"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search at the Companies Registration Office is not capable of revealing whether or not a winding up petition or a petition for the appointment of an examiner has been presented; and</w:t>
      </w:r>
    </w:p>
    <w:p>
      <w:pPr>
        <w:ind w:left="1540" w:hanging="911"/>
        <w:spacing w:after="0" w:line="352" w:lineRule="auto"/>
        <w:tabs>
          <w:tab w:leader="none" w:pos="1540"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search at the Registry of Winding up Petitions at the Central Office of the High Court is not capable of revealing whether or not a receiver has been appointed.</w:t>
      </w:r>
    </w:p>
    <w:p>
      <w:pPr>
        <w:spacing w:after="0" w:line="1" w:lineRule="exact"/>
        <w:rPr>
          <w:sz w:val="20"/>
          <w:szCs w:val="20"/>
          <w:color w:val="auto"/>
        </w:rPr>
      </w:pPr>
    </w:p>
    <w:p>
      <w:pPr>
        <w:jc w:val="both"/>
        <w:ind w:left="620"/>
        <w:spacing w:after="0" w:line="416"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MATHESON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999999"/>
        </w:rPr>
        <w:t>30574237.1</w:t>
      </w:r>
    </w:p>
    <w:p>
      <w:pPr>
        <w:sectPr>
          <w:pgSz w:w="11900" w:h="16838" w:orient="portrait"/>
          <w:cols w:equalWidth="0" w:num="1">
            <w:col w:w="11420"/>
          </w:cols>
          <w:pgMar w:left="240" w:top="74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Weatherford International plc, successor issuer to Weatherford International Ltd., relating to the Weatherford International, Inc. 1998 Employee Stock Option Plan, as amended,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 (Form S-8 No. 333-81678) pertaining to the Weatherford International, Inc. 1998 Employee Stock Option Plan, as amended,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713"/>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1."/>
      <w:numFmt w:val="decimal"/>
      <w:start w:val="2"/>
    </w:lvl>
    <w:lvl w:ilvl="1">
      <w:lvlJc w:val="left"/>
      <w:lvlText w:val="(%2)"/>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1"/>
    </w:lvl>
  </w:abstractNum>
  <w:abstractNum w:abstractNumId="10">
    <w:nsid w:val="1F16E9E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2019-12-08T10:51:35Z</dcterms:created>
  <dcterms:modified xsi:type="dcterms:W3CDTF">2019-12-08T10:51:35Z</dcterms:modified>
</cp:coreProperties>
</file>