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02</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6234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23443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Clearbridge Investments, LLC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01-0846058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 Limited Liability Corporation</w:t>
      </w:r>
    </w:p>
    <w:p>
      <w:pPr>
        <w:spacing w:after="0" w:line="66" w:lineRule="exact"/>
        <w:rPr>
          <w:rFonts w:ascii="Arial" w:cs="Arial" w:eastAsia="Arial" w:hAnsi="Arial"/>
          <w:sz w:val="32"/>
          <w:szCs w:val="32"/>
          <w:b w:val="1"/>
          <w:bCs w:val="1"/>
          <w:color w:val="auto"/>
        </w:rPr>
      </w:pPr>
    </w:p>
    <w:p>
      <w:pPr>
        <w:ind w:left="202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82,279,383</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84,301,397</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84,301,397</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10.82%</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Weatherford International plc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Bahnhofstrasse 1</w:t>
      </w:r>
    </w:p>
    <w:p>
      <w:pPr>
        <w:spacing w:after="0" w:line="1" w:lineRule="exact"/>
        <w:rPr>
          <w:rFonts w:ascii="Arial" w:cs="Arial" w:eastAsia="Arial" w:hAnsi="Arial"/>
          <w:sz w:val="18"/>
          <w:szCs w:val="18"/>
          <w:color w:val="auto"/>
        </w:rPr>
      </w:pPr>
    </w:p>
    <w:p>
      <w:pPr>
        <w:ind w:left="1300" w:right="8880"/>
        <w:spacing w:after="0" w:line="323" w:lineRule="auto"/>
        <w:rPr>
          <w:rFonts w:ascii="Arial" w:cs="Arial" w:eastAsia="Arial" w:hAnsi="Arial"/>
          <w:sz w:val="18"/>
          <w:szCs w:val="18"/>
          <w:color w:val="auto"/>
        </w:rPr>
      </w:pPr>
      <w:r>
        <w:rPr>
          <w:rFonts w:ascii="Arial" w:cs="Arial" w:eastAsia="Arial" w:hAnsi="Arial"/>
          <w:sz w:val="16"/>
          <w:szCs w:val="16"/>
          <w:color w:val="auto"/>
        </w:rPr>
        <w:t>Baar V8 6340 Switzerland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70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Clearbridge Investments, LLC</w:t>
      </w:r>
    </w:p>
    <w:p>
      <w:pPr>
        <w:spacing w:after="0" w:line="150"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620 8th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10018</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Delaware Limited Liability Corporation</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G48833100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84,301,397</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10.82%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82,279,383</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84,301,397</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ClearBridge Investments, LLC</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16, 2016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Barbara Brooke Manning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Barbara Brooke Manning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General Counsel &amp; Chief Compliance Offier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2019-12-17T06:22:38Z</dcterms:created>
  <dcterms:modified xsi:type="dcterms:W3CDTF">2019-12-17T06:22:38Z</dcterms:modified>
</cp:coreProperties>
</file>