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3)*</w:t>
      </w:r>
    </w:p>
    <w:p>
      <w:pPr>
        <w:spacing w:after="0" w:line="200" w:lineRule="exact"/>
        <w:rPr>
          <w:sz w:val="24"/>
          <w:szCs w:val="24"/>
          <w:color w:val="auto"/>
        </w:rPr>
      </w:pPr>
    </w:p>
    <w:p>
      <w:pPr>
        <w:spacing w:after="0" w:line="204"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Weatherford International plc</w:t>
      </w:r>
    </w:p>
    <w:p>
      <w:pPr>
        <w:ind w:left="30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Common Shares</w:t>
      </w:r>
    </w:p>
    <w:p>
      <w:pPr>
        <w:ind w:left="232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BLNN369</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October 31, 2016</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BLNN369</w:t>
      </w:r>
      <w:r>
        <w:rPr>
          <w:sz w:val="20"/>
          <w:szCs w:val="20"/>
          <w:color w:val="auto"/>
        </w:rPr>
        <w:tab/>
      </w:r>
      <w:r>
        <w:rPr>
          <w:rFonts w:ascii="Courier New" w:cs="Courier New" w:eastAsia="Courier New" w:hAnsi="Courier New"/>
          <w:sz w:val="16"/>
          <w:szCs w:val="16"/>
          <w:color w:val="auto"/>
        </w:rPr>
        <w:t>Page 1 of 4</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World Investors **</w:t>
      </w:r>
    </w:p>
    <w:p>
      <w:pPr>
        <w:spacing w:after="0" w:line="200" w:lineRule="exact"/>
        <w:rPr>
          <w:sz w:val="24"/>
          <w:szCs w:val="24"/>
          <w:color w:val="auto"/>
        </w:rPr>
      </w:pPr>
    </w:p>
    <w:p>
      <w:pPr>
        <w:spacing w:after="0" w:line="205"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ind w:left="540" w:hanging="427"/>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10" w:lineRule="exact"/>
        <w:rPr>
          <w:sz w:val="24"/>
          <w:szCs w:val="24"/>
          <w:color w:val="auto"/>
        </w:rPr>
      </w:pPr>
    </w:p>
    <w:p>
      <w:pPr>
        <w:ind w:left="540" w:right="5899" w:hanging="427"/>
        <w:spacing w:after="0" w:line="470"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6848" w:orient="portrait"/>
          <w:cols w:equalWidth="0" w:num="1">
            <w:col w:w="10219"/>
          </w:cols>
          <w:pgMar w:left="240" w:top="244" w:right="1440" w:bottom="0" w:gutter="0" w:footer="0" w:header="0"/>
        </w:sectPr>
      </w:pPr>
    </w:p>
    <w:bookmarkStart w:id="1" w:name="page2"/>
    <w:bookmarkEnd w:id="1"/>
    <w:p>
      <w:pPr>
        <w:ind w:left="1900" w:right="6639" w:hanging="523"/>
        <w:spacing w:after="0" w:line="558" w:lineRule="auto"/>
        <w:tabs>
          <w:tab w:leader="none" w:pos="179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58,167,846</w:t>
      </w:r>
    </w:p>
    <w:p>
      <w:pPr>
        <w:spacing w:after="0" w:line="164"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line="237" w:lineRule="auto"/>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7"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58,167,846</w:t>
      </w:r>
    </w:p>
    <w:p>
      <w:pPr>
        <w:ind w:left="320"/>
        <w:spacing w:after="0" w:line="237"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spacing w:after="0" w:line="3" w:lineRule="exact"/>
        <w:rPr>
          <w:sz w:val="20"/>
          <w:szCs w:val="20"/>
          <w:color w:val="auto"/>
        </w:rPr>
      </w:pPr>
    </w:p>
    <w:p>
      <w:pPr>
        <w:ind w:left="1900" w:right="5899" w:hanging="523"/>
        <w:spacing w:after="0" w:line="470" w:lineRule="auto"/>
        <w:tabs>
          <w:tab w:leader="none" w:pos="179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6"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58,167,846</w:t>
      </w:r>
      <w:r>
        <w:rPr>
          <w:rFonts w:ascii="Courier New" w:cs="Courier New" w:eastAsia="Courier New" w:hAnsi="Courier New"/>
          <w:sz w:val="16"/>
          <w:szCs w:val="16"/>
          <w:color w:val="auto"/>
        </w:rPr>
        <w:t>Beneficial ownership disclaimed pursuant to Rule</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13d-4</w:t>
      </w:r>
    </w:p>
    <w:p>
      <w:pPr>
        <w:spacing w:after="0" w:line="200" w:lineRule="exact"/>
        <w:rPr>
          <w:sz w:val="20"/>
          <w:szCs w:val="20"/>
          <w:color w:val="auto"/>
        </w:rPr>
      </w:pPr>
    </w:p>
    <w:p>
      <w:pPr>
        <w:spacing w:after="0" w:line="210" w:lineRule="exact"/>
        <w:rPr>
          <w:sz w:val="20"/>
          <w:szCs w:val="20"/>
          <w:color w:val="auto"/>
        </w:rPr>
      </w:pPr>
    </w:p>
    <w:p>
      <w:pPr>
        <w:ind w:left="540" w:right="2519" w:hanging="427"/>
        <w:spacing w:after="0" w:line="235"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6.5%</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division of Capital Research and Management Company (CRMC)</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BLNN369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 of 4</w:t>
      </w:r>
    </w:p>
    <w:p>
      <w:pPr>
        <w:spacing w:after="0" w:line="200" w:lineRule="exact"/>
        <w:rPr>
          <w:sz w:val="20"/>
          <w:szCs w:val="20"/>
          <w:color w:val="auto"/>
        </w:rPr>
      </w:pPr>
    </w:p>
    <w:p>
      <w:pPr>
        <w:sectPr>
          <w:pgSz w:w="11900" w:h="16838" w:orient="portrait"/>
          <w:cols w:equalWidth="0" w:num="2">
            <w:col w:w="6020" w:space="720"/>
            <w:col w:w="3479"/>
          </w:cols>
          <w:pgMar w:left="240" w:top="142" w:right="1440" w:bottom="0" w:gutter="0" w:footer="0" w:header="0"/>
          <w:type w:val="continuous"/>
        </w:sectPr>
      </w:pPr>
    </w:p>
    <w:p>
      <w:pPr>
        <w:spacing w:after="0" w:line="221"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4"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6"/>
          <w:szCs w:val="16"/>
          <w:color w:val="auto"/>
        </w:rPr>
        <w:t>Under the Securities Exchange Act of 1934</w:t>
      </w:r>
    </w:p>
    <w:p>
      <w:pPr>
        <w:sectPr>
          <w:pgSz w:w="11900" w:h="16838" w:orient="portrait"/>
          <w:cols w:equalWidth="0" w:num="1">
            <w:col w:w="10219"/>
          </w:cols>
          <w:pgMar w:left="240" w:top="142" w:right="1440" w:bottom="0" w:gutter="0" w:footer="0" w:header="0"/>
          <w:type w:val="continuous"/>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3</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Weatherford International plc</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2000 St James Place</w:t>
      </w:r>
    </w:p>
    <w:p>
      <w:pPr>
        <w:ind w:left="740"/>
        <w:spacing w:after="0"/>
        <w:rPr>
          <w:sz w:val="20"/>
          <w:szCs w:val="20"/>
          <w:color w:val="auto"/>
        </w:rPr>
      </w:pPr>
      <w:r>
        <w:rPr>
          <w:rFonts w:ascii="Courier New" w:cs="Courier New" w:eastAsia="Courier New" w:hAnsi="Courier New"/>
          <w:sz w:val="18"/>
          <w:szCs w:val="18"/>
          <w:color w:val="auto"/>
        </w:rPr>
        <w:t>Houston, TX 77056</w:t>
      </w:r>
    </w:p>
    <w:p>
      <w:pPr>
        <w:spacing w:after="0" w:line="20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ind w:left="740"/>
        <w:spacing w:after="0" w:line="238" w:lineRule="auto"/>
        <w:rPr>
          <w:sz w:val="20"/>
          <w:szCs w:val="20"/>
          <w:color w:val="auto"/>
        </w:rPr>
      </w:pPr>
      <w:r>
        <w:rPr>
          <w:rFonts w:ascii="Courier New" w:cs="Courier New" w:eastAsia="Courier New" w:hAnsi="Courier New"/>
          <w:sz w:val="18"/>
          <w:szCs w:val="18"/>
          <w:color w:val="auto"/>
        </w:rPr>
        <w:t>Capital World Investors</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line="237" w:lineRule="auto"/>
        <w:rPr>
          <w:sz w:val="20"/>
          <w:szCs w:val="20"/>
          <w:color w:val="auto"/>
        </w:rPr>
      </w:pPr>
      <w:r>
        <w:rPr>
          <w:rFonts w:ascii="Courier New" w:cs="Courier New" w:eastAsia="Courier New" w:hAnsi="Courier New"/>
          <w:sz w:val="18"/>
          <w:szCs w:val="18"/>
          <w:color w:val="auto"/>
        </w:rPr>
        <w:t>Los Angeles, CA 90071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gridSpan w:val="2"/>
          </w:tcPr>
          <w:p>
            <w:pPr>
              <w:spacing w:after="0"/>
              <w:rPr>
                <w:sz w:val="20"/>
                <w:szCs w:val="20"/>
                <w:color w:val="auto"/>
              </w:rPr>
            </w:pPr>
            <w:r>
              <w:rPr>
                <w:rFonts w:ascii="Courier New" w:cs="Courier New" w:eastAsia="Courier New" w:hAnsi="Courier New"/>
                <w:sz w:val="18"/>
                <w:szCs w:val="18"/>
                <w:color w:val="auto"/>
              </w:rPr>
              <w:t>Item 2(c)</w:t>
            </w:r>
          </w:p>
        </w:tc>
        <w:tc>
          <w:tcPr>
            <w:tcW w:w="1540" w:type="dxa"/>
            <w:vAlign w:val="bottom"/>
            <w:gridSpan w:val="2"/>
          </w:tcPr>
          <w:p>
            <w:pPr>
              <w:spacing w:after="0"/>
              <w:rPr>
                <w:sz w:val="20"/>
                <w:szCs w:val="20"/>
                <w:color w:val="auto"/>
              </w:rPr>
            </w:pPr>
            <w:r>
              <w:rPr>
                <w:rFonts w:ascii="Courier New" w:cs="Courier New" w:eastAsia="Courier New" w:hAnsi="Courier New"/>
                <w:sz w:val="18"/>
                <w:szCs w:val="18"/>
                <w:color w:val="auto"/>
              </w:rPr>
              <w:t>Citizenship:</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rPr>
              <w:t>N/A</w:t>
            </w:r>
          </w:p>
        </w:tc>
      </w:tr>
      <w:tr>
        <w:trPr>
          <w:trHeight w:val="405"/>
        </w:trPr>
        <w:tc>
          <w:tcPr>
            <w:tcW w:w="1480" w:type="dxa"/>
            <w:vAlign w:val="bottom"/>
            <w:gridSpan w:val="2"/>
          </w:tcPr>
          <w:p>
            <w:pPr>
              <w:spacing w:after="0"/>
              <w:rPr>
                <w:sz w:val="20"/>
                <w:szCs w:val="20"/>
                <w:color w:val="auto"/>
              </w:rPr>
            </w:pPr>
            <w:r>
              <w:rPr>
                <w:rFonts w:ascii="Courier New" w:cs="Courier New" w:eastAsia="Courier New" w:hAnsi="Courier New"/>
                <w:sz w:val="18"/>
                <w:szCs w:val="18"/>
                <w:color w:val="auto"/>
              </w:rPr>
              <w:t>Item 2(d)</w:t>
            </w:r>
          </w:p>
        </w:tc>
        <w:tc>
          <w:tcPr>
            <w:tcW w:w="1540" w:type="dxa"/>
            <w:vAlign w:val="bottom"/>
            <w:gridSpan w:val="2"/>
          </w:tcPr>
          <w:p>
            <w:pPr>
              <w:spacing w:after="0"/>
              <w:rPr>
                <w:sz w:val="20"/>
                <w:szCs w:val="20"/>
                <w:color w:val="auto"/>
              </w:rPr>
            </w:pPr>
            <w:r>
              <w:rPr>
                <w:rFonts w:ascii="Courier New" w:cs="Courier New" w:eastAsia="Courier New" w:hAnsi="Courier New"/>
                <w:sz w:val="18"/>
                <w:szCs w:val="18"/>
                <w:color w:val="auto"/>
              </w:rPr>
              <w:t>Title of Class</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rPr>
              <w:t>of Securities:</w:t>
            </w:r>
          </w:p>
        </w:tc>
      </w:tr>
      <w:tr>
        <w:trPr>
          <w:trHeight w:val="203"/>
        </w:trPr>
        <w:tc>
          <w:tcPr>
            <w:tcW w:w="700" w:type="dxa"/>
            <w:vAlign w:val="bottom"/>
          </w:tcPr>
          <w:p>
            <w:pPr>
              <w:spacing w:after="0"/>
              <w:rPr>
                <w:sz w:val="17"/>
                <w:szCs w:val="17"/>
                <w:color w:val="auto"/>
              </w:rPr>
            </w:pP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Common</w:t>
            </w: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700" w:type="dxa"/>
            <w:vAlign w:val="bottom"/>
          </w:tcPr>
          <w:p>
            <w:pPr>
              <w:spacing w:after="0"/>
              <w:rPr>
                <w:sz w:val="17"/>
                <w:szCs w:val="17"/>
                <w:color w:val="auto"/>
              </w:rPr>
            </w:pPr>
          </w:p>
        </w:tc>
        <w:tc>
          <w:tcPr>
            <w:tcW w:w="4460" w:type="dxa"/>
            <w:vAlign w:val="bottom"/>
          </w:tcPr>
          <w:p>
            <w:pPr>
              <w:spacing w:after="0"/>
              <w:rPr>
                <w:sz w:val="17"/>
                <w:szCs w:val="17"/>
                <w:color w:val="auto"/>
              </w:rPr>
            </w:pPr>
          </w:p>
        </w:tc>
      </w:tr>
      <w:tr>
        <w:trPr>
          <w:trHeight w:val="405"/>
        </w:trPr>
        <w:tc>
          <w:tcPr>
            <w:tcW w:w="1480" w:type="dxa"/>
            <w:vAlign w:val="bottom"/>
            <w:gridSpan w:val="2"/>
          </w:tcPr>
          <w:p>
            <w:pPr>
              <w:spacing w:after="0"/>
              <w:rPr>
                <w:sz w:val="20"/>
                <w:szCs w:val="20"/>
                <w:color w:val="auto"/>
              </w:rPr>
            </w:pPr>
            <w:r>
              <w:rPr>
                <w:rFonts w:ascii="Courier New" w:cs="Courier New" w:eastAsia="Courier New" w:hAnsi="Courier New"/>
                <w:sz w:val="18"/>
                <w:szCs w:val="18"/>
                <w:color w:val="auto"/>
              </w:rPr>
              <w:t>Item 2(e)</w:t>
            </w:r>
          </w:p>
        </w:tc>
        <w:tc>
          <w:tcPr>
            <w:tcW w:w="1540" w:type="dxa"/>
            <w:vAlign w:val="bottom"/>
            <w:gridSpan w:val="2"/>
          </w:tcPr>
          <w:p>
            <w:pPr>
              <w:spacing w:after="0"/>
              <w:rPr>
                <w:sz w:val="20"/>
                <w:szCs w:val="20"/>
                <w:color w:val="auto"/>
              </w:rPr>
            </w:pPr>
            <w:r>
              <w:rPr>
                <w:rFonts w:ascii="Courier New" w:cs="Courier New" w:eastAsia="Courier New" w:hAnsi="Courier New"/>
                <w:sz w:val="18"/>
                <w:szCs w:val="18"/>
                <w:color w:val="auto"/>
              </w:rPr>
              <w:t>CUSIP Number:</w:t>
            </w:r>
          </w:p>
        </w:tc>
        <w:tc>
          <w:tcPr>
            <w:tcW w:w="4460" w:type="dxa"/>
            <w:vAlign w:val="bottom"/>
          </w:tcPr>
          <w:p>
            <w:pPr>
              <w:spacing w:after="0"/>
              <w:rPr>
                <w:sz w:val="24"/>
                <w:szCs w:val="24"/>
                <w:color w:val="auto"/>
              </w:rPr>
            </w:pPr>
          </w:p>
        </w:tc>
      </w:tr>
      <w:tr>
        <w:trPr>
          <w:trHeight w:val="203"/>
        </w:trPr>
        <w:tc>
          <w:tcPr>
            <w:tcW w:w="700" w:type="dxa"/>
            <w:vAlign w:val="bottom"/>
          </w:tcPr>
          <w:p>
            <w:pPr>
              <w:spacing w:after="0"/>
              <w:rPr>
                <w:sz w:val="17"/>
                <w:szCs w:val="17"/>
                <w:color w:val="auto"/>
              </w:rPr>
            </w:pP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BLNN369</w:t>
            </w:r>
          </w:p>
        </w:tc>
        <w:tc>
          <w:tcPr>
            <w:tcW w:w="8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60" w:type="dxa"/>
            <w:vAlign w:val="bottom"/>
          </w:tcPr>
          <w:p>
            <w:pPr>
              <w:spacing w:after="0"/>
              <w:rPr>
                <w:sz w:val="17"/>
                <w:szCs w:val="17"/>
                <w:color w:val="auto"/>
              </w:rPr>
            </w:pP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80" w:type="dxa"/>
            <w:vAlign w:val="bottom"/>
          </w:tcPr>
          <w:p>
            <w:pPr>
              <w:ind w:left="460"/>
              <w:spacing w:after="0"/>
              <w:rPr>
                <w:sz w:val="20"/>
                <w:szCs w:val="20"/>
                <w:color w:val="auto"/>
              </w:rPr>
            </w:pPr>
            <w:r>
              <w:rPr>
                <w:rFonts w:ascii="Courier New" w:cs="Courier New" w:eastAsia="Courier New" w:hAnsi="Courier New"/>
                <w:sz w:val="18"/>
                <w:szCs w:val="18"/>
                <w:color w:val="auto"/>
              </w:rPr>
              <w:t>If</w:t>
            </w:r>
          </w:p>
        </w:tc>
        <w:tc>
          <w:tcPr>
            <w:tcW w:w="1540" w:type="dxa"/>
            <w:vAlign w:val="bottom"/>
            <w:gridSpan w:val="2"/>
          </w:tcPr>
          <w:p>
            <w:pPr>
              <w:spacing w:after="0"/>
              <w:rPr>
                <w:sz w:val="20"/>
                <w:szCs w:val="20"/>
                <w:color w:val="auto"/>
              </w:rPr>
            </w:pPr>
            <w:r>
              <w:rPr>
                <w:rFonts w:ascii="Courier New" w:cs="Courier New" w:eastAsia="Courier New" w:hAnsi="Courier New"/>
                <w:sz w:val="18"/>
                <w:szCs w:val="18"/>
                <w:color w:val="auto"/>
              </w:rPr>
              <w:t>this statement</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w w:val="96"/>
              </w:rPr>
              <w:t>is filed pursuant to sections 240.13d-1(b)</w:t>
            </w:r>
          </w:p>
        </w:tc>
      </w:tr>
      <w:tr>
        <w:trPr>
          <w:trHeight w:val="203"/>
        </w:trPr>
        <w:tc>
          <w:tcPr>
            <w:tcW w:w="700" w:type="dxa"/>
            <w:vAlign w:val="bottom"/>
          </w:tcPr>
          <w:p>
            <w:pPr>
              <w:spacing w:after="0"/>
              <w:rPr>
                <w:sz w:val="17"/>
                <w:szCs w:val="17"/>
                <w:color w:val="auto"/>
              </w:rPr>
            </w:pPr>
          </w:p>
        </w:tc>
        <w:tc>
          <w:tcPr>
            <w:tcW w:w="678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or 240.13d-2(b) or (c), check whether the person filing is a:</w:t>
            </w:r>
          </w:p>
        </w:tc>
      </w:tr>
      <w:tr>
        <w:trPr>
          <w:trHeight w:val="203"/>
        </w:trPr>
        <w:tc>
          <w:tcPr>
            <w:tcW w:w="700" w:type="dxa"/>
            <w:vAlign w:val="bottom"/>
          </w:tcPr>
          <w:p>
            <w:pPr>
              <w:spacing w:after="0"/>
              <w:rPr>
                <w:sz w:val="17"/>
                <w:szCs w:val="17"/>
                <w:color w:val="auto"/>
              </w:rPr>
            </w:pP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w:t>
            </w:r>
          </w:p>
        </w:tc>
        <w:tc>
          <w:tcPr>
            <w:tcW w:w="8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[X]</w:t>
            </w:r>
          </w:p>
        </w:tc>
        <w:tc>
          <w:tcPr>
            <w:tcW w:w="51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An investment adviser in accordance with</w:t>
            </w:r>
          </w:p>
        </w:tc>
      </w:tr>
    </w:tbl>
    <w:p>
      <w:pPr>
        <w:sectPr>
          <w:pgSz w:w="11900" w:h="16838" w:orient="portrait"/>
          <w:cols w:equalWidth="0" w:num="1">
            <w:col w:w="10219"/>
          </w:cols>
          <w:pgMar w:left="240" w:top="142" w:right="1440" w:bottom="0" w:gutter="0" w:footer="0" w:header="0"/>
          <w:type w:val="continuous"/>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section 240.13d-1(b)(1)(ii)(E).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06" w:lineRule="exact"/>
        <w:rPr>
          <w:sz w:val="20"/>
          <w:szCs w:val="20"/>
          <w:color w:val="auto"/>
        </w:rPr>
      </w:pPr>
    </w:p>
    <w:p>
      <w:pPr>
        <w:ind w:left="1480" w:hanging="735"/>
        <w:spacing w:after="0"/>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Capital World Investors is deemed to be the beneficial owner of 58,167,846 shares or 6.5% of the 897,095,556 shares believed to be outstanding as a result of CRMC acting as investment adviser to various investment companies registered under Section 8 of the Investment Company Act of 1940.</w:t>
      </w:r>
    </w:p>
    <w:p>
      <w:pPr>
        <w:spacing w:after="0" w:line="200" w:lineRule="exact"/>
        <w:rPr>
          <w:sz w:val="20"/>
          <w:szCs w:val="20"/>
          <w:color w:val="auto"/>
        </w:rPr>
      </w:pPr>
    </w:p>
    <w:p>
      <w:pPr>
        <w:spacing w:after="0" w:line="206"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BLNN369</w:t>
      </w:r>
      <w:r>
        <w:rPr>
          <w:sz w:val="20"/>
          <w:szCs w:val="20"/>
          <w:color w:val="auto"/>
        </w:rPr>
        <w:tab/>
      </w:r>
      <w:r>
        <w:rPr>
          <w:rFonts w:ascii="Courier New" w:cs="Courier New" w:eastAsia="Courier New" w:hAnsi="Courier New"/>
          <w:sz w:val="16"/>
          <w:szCs w:val="16"/>
          <w:color w:val="auto"/>
        </w:rPr>
        <w:t>Page 3 of 4</w:t>
      </w:r>
    </w:p>
    <w:p>
      <w:pPr>
        <w:spacing w:after="0" w:line="207"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 ]</w:t>
      </w:r>
    </w:p>
    <w:p>
      <w:pPr>
        <w:spacing w:after="0" w:line="209" w:lineRule="exact"/>
        <w:rPr>
          <w:sz w:val="20"/>
          <w:szCs w:val="20"/>
          <w:color w:val="auto"/>
        </w:rPr>
      </w:pPr>
    </w:p>
    <w:p>
      <w:pPr>
        <w:ind w:left="740" w:right="315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N/A</w:t>
      </w:r>
    </w:p>
    <w:p>
      <w:pPr>
        <w:spacing w:after="0" w:line="208" w:lineRule="exact"/>
        <w:rPr>
          <w:sz w:val="20"/>
          <w:szCs w:val="20"/>
          <w:color w:val="auto"/>
        </w:rPr>
      </w:pPr>
    </w:p>
    <w:p>
      <w:pPr>
        <w:jc w:val="both"/>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N/A</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136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380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November 8, 2016</w:t>
            </w:r>
          </w:p>
        </w:tc>
      </w:tr>
      <w:tr>
        <w:trPr>
          <w:trHeight w:val="405"/>
        </w:trPr>
        <w:tc>
          <w:tcPr>
            <w:tcW w:w="136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680" w:type="dxa"/>
            <w:vAlign w:val="bottom"/>
          </w:tcPr>
          <w:p>
            <w:pPr>
              <w:ind w:left="220"/>
              <w:spacing w:after="0"/>
              <w:rPr>
                <w:sz w:val="20"/>
                <w:szCs w:val="20"/>
                <w:color w:val="auto"/>
              </w:rPr>
            </w:pPr>
            <w:r>
              <w:rPr>
                <w:rFonts w:ascii="Courier New" w:cs="Courier New" w:eastAsia="Courier New" w:hAnsi="Courier New"/>
                <w:sz w:val="18"/>
                <w:szCs w:val="18"/>
                <w:color w:val="auto"/>
              </w:rPr>
              <w:t>Alan</w:t>
            </w:r>
          </w:p>
        </w:tc>
        <w:tc>
          <w:tcPr>
            <w:tcW w:w="3120" w:type="dxa"/>
            <w:vAlign w:val="bottom"/>
          </w:tcPr>
          <w:p>
            <w:pPr>
              <w:ind w:left="60"/>
              <w:spacing w:after="0"/>
              <w:rPr>
                <w:sz w:val="20"/>
                <w:szCs w:val="20"/>
                <w:color w:val="auto"/>
              </w:rPr>
            </w:pPr>
            <w:r>
              <w:rPr>
                <w:rFonts w:ascii="Courier New" w:cs="Courier New" w:eastAsia="Courier New" w:hAnsi="Courier New"/>
                <w:sz w:val="18"/>
                <w:szCs w:val="18"/>
                <w:color w:val="auto"/>
              </w:rPr>
              <w:t>Berro***</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Name/Title:</w:t>
            </w:r>
          </w:p>
        </w:tc>
        <w:tc>
          <w:tcPr>
            <w:tcW w:w="6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Alan</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Berro - Senior Vice President</w:t>
            </w:r>
          </w:p>
        </w:tc>
      </w:tr>
      <w:tr>
        <w:trPr>
          <w:trHeight w:val="203"/>
        </w:trPr>
        <w:tc>
          <w:tcPr>
            <w:tcW w:w="1360" w:type="dxa"/>
            <w:vAlign w:val="bottom"/>
          </w:tcPr>
          <w:p>
            <w:pPr>
              <w:spacing w:after="0"/>
              <w:rPr>
                <w:sz w:val="17"/>
                <w:szCs w:val="17"/>
                <w:color w:val="auto"/>
              </w:rPr>
            </w:pPr>
          </w:p>
        </w:tc>
        <w:tc>
          <w:tcPr>
            <w:tcW w:w="38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Capital World Investors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***By</w:t>
        <w:tab/>
        <w:t>/s/ Michael J. Triessl</w:t>
      </w:r>
    </w:p>
    <w:p>
      <w:pPr>
        <w:ind w:left="1580"/>
        <w:spacing w:after="0" w:line="238" w:lineRule="auto"/>
        <w:rPr>
          <w:sz w:val="20"/>
          <w:szCs w:val="20"/>
          <w:color w:val="auto"/>
        </w:rPr>
      </w:pPr>
      <w:r>
        <w:rPr>
          <w:rFonts w:ascii="Courier New" w:cs="Courier New" w:eastAsia="Courier New" w:hAnsi="Courier New"/>
          <w:sz w:val="18"/>
          <w:szCs w:val="18"/>
          <w:color w:val="auto"/>
        </w:rPr>
        <w:t>Michael J. Triessl</w:t>
      </w:r>
    </w:p>
    <w:p>
      <w:pPr>
        <w:ind w:left="1580"/>
        <w:spacing w:after="0"/>
        <w:rPr>
          <w:sz w:val="20"/>
          <w:szCs w:val="20"/>
          <w:color w:val="auto"/>
        </w:rPr>
      </w:pPr>
      <w:r>
        <w:rPr>
          <w:rFonts w:ascii="Courier New" w:cs="Courier New" w:eastAsia="Courier New" w:hAnsi="Courier New"/>
          <w:sz w:val="18"/>
          <w:szCs w:val="18"/>
          <w:color w:val="auto"/>
        </w:rPr>
        <w:t>Attorney-in-fact</w:t>
      </w:r>
    </w:p>
    <w:p>
      <w:pPr>
        <w:spacing w:after="0" w:line="206" w:lineRule="exact"/>
        <w:rPr>
          <w:sz w:val="20"/>
          <w:szCs w:val="20"/>
          <w:color w:val="auto"/>
        </w:rPr>
      </w:pPr>
    </w:p>
    <w:p>
      <w:pPr>
        <w:ind w:left="1060" w:right="2739"/>
        <w:spacing w:after="0" w:line="275" w:lineRule="auto"/>
        <w:rPr>
          <w:sz w:val="20"/>
          <w:szCs w:val="20"/>
          <w:color w:val="auto"/>
        </w:rPr>
      </w:pPr>
      <w:r>
        <w:rPr>
          <w:rFonts w:ascii="Courier New" w:cs="Courier New" w:eastAsia="Courier New" w:hAnsi="Courier New"/>
          <w:sz w:val="16"/>
          <w:szCs w:val="16"/>
          <w:color w:val="auto"/>
        </w:rPr>
        <w:t>Signed pursuant to a Power of Attorney dated December 19, 2014 included as an Exhibit to Schedule 13G filed with the Securities and Exchange Commission by Capital World Investors on February 6, 2015 with respect to Hudbay Minerals Inc.</w:t>
      </w:r>
    </w:p>
    <w:p>
      <w:pPr>
        <w:sectPr>
          <w:pgSz w:w="11900" w:h="16838" w:orient="portrait"/>
          <w:cols w:equalWidth="0" w:num="1">
            <w:col w:w="10219"/>
          </w:cols>
          <w:pgMar w:left="240" w:top="136" w:right="1440" w:bottom="0" w:gutter="0" w:footer="0" w:header="0"/>
        </w:sectPr>
      </w:pPr>
    </w:p>
    <w:bookmarkStart w:id="3" w:name="page4"/>
    <w:bookmarkEnd w:id="3"/>
    <w:p>
      <w:pPr>
        <w:spacing w:after="0" w:line="115"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BLNN369</w:t>
      </w:r>
      <w:r>
        <w:rPr>
          <w:sz w:val="20"/>
          <w:szCs w:val="20"/>
          <w:color w:val="auto"/>
        </w:rPr>
        <w:tab/>
      </w:r>
      <w:r>
        <w:rPr>
          <w:rFonts w:ascii="Courier New" w:cs="Courier New" w:eastAsia="Courier New" w:hAnsi="Courier New"/>
          <w:sz w:val="16"/>
          <w:szCs w:val="16"/>
          <w:color w:val="auto"/>
        </w:rPr>
        <w:t>Page 4 of 4</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4"/>
      <w:numFmt w:val="bullet"/>
      <w:start w:val="1"/>
    </w:lvl>
  </w:abstractNum>
  <w:abstractNum w:abstractNumId="5">
    <w:nsid w:val="515F007C"/>
    <w:multiLevelType w:val="hybridMultilevel"/>
    <w:lvl w:ilvl="0">
      <w:lvlJc w:val="left"/>
      <w:lvlText w:val="5"/>
      <w:numFmt w:val="bullet"/>
      <w:start w:val="1"/>
    </w:lvl>
  </w:abstractNum>
  <w:abstractNum w:abstractNumId="6">
    <w:nsid w:val="5BD062C2"/>
    <w:multiLevelType w:val="hybridMultilevel"/>
    <w:lvl w:ilvl="0">
      <w:lvlJc w:val="left"/>
      <w:lvlText w:val="8"/>
      <w:numFmt w:val="bullet"/>
      <w:start w:val="1"/>
    </w:lvl>
  </w:abstractNum>
  <w:abstractNum w:abstractNumId="7">
    <w:nsid w:val="12200854"/>
    <w:multiLevelType w:val="hybridMultilevel"/>
    <w:lvl w:ilvl="0">
      <w:lvlJc w:val="left"/>
      <w:lvlText w:val="9"/>
      <w:numFmt w:val="bullet"/>
      <w:start w:val="1"/>
    </w:lvl>
  </w:abstractNum>
  <w:abstractNum w:abstractNumId="8">
    <w:nsid w:val="4DB127F8"/>
    <w:multiLevelType w:val="hybridMultilevel"/>
    <w:lvl w:ilvl="0">
      <w:lvlJc w:val="left"/>
      <w:lvlText w:val="**"/>
      <w:numFmt w:val="bullet"/>
      <w:start w:val="1"/>
    </w:lvl>
    <w:lvl w:ilvl="1">
      <w:lvlJc w:val="left"/>
      <w:lvlText w:val="%2"/>
      <w:numFmt w:val="decimal"/>
      <w:start w:val="10"/>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2019-12-08T23:57:56Z</dcterms:created>
  <dcterms:modified xsi:type="dcterms:W3CDTF">2019-12-08T23:57:56Z</dcterms:modified>
</cp:coreProperties>
</file>