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Weatherford International PLC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G48833118</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28,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G48833118</w:t>
      </w:r>
    </w:p>
    <w:p>
      <w:pPr>
        <w:spacing w:after="0" w:line="270" w:lineRule="exact"/>
        <w:rPr>
          <w:sz w:val="20"/>
          <w:szCs w:val="20"/>
          <w:color w:val="auto"/>
        </w:rPr>
      </w:pPr>
    </w:p>
    <w:p>
      <w:pPr>
        <w:ind w:left="780" w:hanging="537"/>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Exor N.V.</w:t>
      </w:r>
    </w:p>
    <w:p>
      <w:pPr>
        <w:spacing w:after="0" w:line="40" w:lineRule="exact"/>
        <w:rPr>
          <w:rFonts w:ascii="Arial" w:cs="Arial" w:eastAsia="Arial" w:hAnsi="Arial"/>
          <w:sz w:val="18"/>
          <w:szCs w:val="18"/>
          <w:color w:val="auto"/>
        </w:rPr>
      </w:pPr>
    </w:p>
    <w:p>
      <w:pPr>
        <w:ind w:left="780" w:hanging="537"/>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7003415"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ind w:left="780"/>
        <w:spacing w:after="0" w:line="205" w:lineRule="exact"/>
        <w:tabs>
          <w:tab w:leader="none" w:pos="15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37"/>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hanging="537"/>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The Netherlands</w:t>
      </w:r>
    </w:p>
    <w:p>
      <w:pPr>
        <w:spacing w:after="0" w:line="40" w:lineRule="exact"/>
        <w:rPr>
          <w:rFonts w:ascii="Arial" w:cs="Arial" w:eastAsia="Arial" w:hAnsi="Arial"/>
          <w:sz w:val="18"/>
          <w:szCs w:val="18"/>
          <w:color w:val="auto"/>
        </w:rPr>
      </w:pPr>
    </w:p>
    <w:p>
      <w:pPr>
        <w:ind w:left="1860" w:hanging="428"/>
        <w:spacing w:after="0"/>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3,528,348</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3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5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3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b w:val="1"/>
                <w:bCs w:val="1"/>
                <w:color w:val="auto"/>
              </w:rPr>
              <w:t>3,528,348</w:t>
            </w:r>
          </w:p>
        </w:tc>
        <w:tc>
          <w:tcPr>
            <w:tcW w:w="0" w:type="dxa"/>
            <w:vAlign w:val="bottom"/>
          </w:tcPr>
          <w:p>
            <w:pPr>
              <w:spacing w:after="0"/>
              <w:rPr>
                <w:sz w:val="1"/>
                <w:szCs w:val="1"/>
                <w:color w:val="auto"/>
              </w:rPr>
            </w:pPr>
          </w:p>
        </w:tc>
      </w:tr>
      <w:tr>
        <w:trPr>
          <w:trHeight w:val="67"/>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740" w:hanging="49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3,528,348</w:t>
      </w:r>
    </w:p>
    <w:p>
      <w:pPr>
        <w:spacing w:after="0" w:line="40" w:lineRule="exact"/>
        <w:rPr>
          <w:sz w:val="20"/>
          <w:szCs w:val="20"/>
          <w:color w:val="auto"/>
        </w:rPr>
      </w:pPr>
    </w:p>
    <w:p>
      <w:pPr>
        <w:ind w:left="740" w:hanging="58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hanging="587"/>
        <w:spacing w:after="0"/>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b w:val="1"/>
          <w:bCs w:val="1"/>
          <w:color w:val="auto"/>
        </w:rPr>
        <w:t>5.04%*</w:t>
      </w:r>
    </w:p>
    <w:p>
      <w:pPr>
        <w:spacing w:after="0" w:line="40" w:lineRule="exact"/>
        <w:rPr>
          <w:rFonts w:ascii="Arial" w:cs="Arial" w:eastAsia="Arial" w:hAnsi="Arial"/>
          <w:sz w:val="18"/>
          <w:szCs w:val="18"/>
          <w:color w:val="auto"/>
        </w:rPr>
      </w:pPr>
    </w:p>
    <w:p>
      <w:pPr>
        <w:ind w:left="740" w:right="7100" w:hanging="587"/>
        <w:spacing w:after="0" w:line="547" w:lineRule="auto"/>
        <w:tabs>
          <w:tab w:leader="none" w:pos="737"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HC, CO</w:t>
      </w:r>
    </w:p>
    <w:p>
      <w:pPr>
        <w:spacing w:after="0" w:line="1" w:lineRule="exact"/>
        <w:rPr>
          <w:rFonts w:ascii="Arial" w:cs="Arial" w:eastAsia="Arial" w:hAnsi="Arial"/>
          <w:sz w:val="18"/>
          <w:szCs w:val="18"/>
          <w:color w:val="auto"/>
        </w:rPr>
      </w:pPr>
    </w:p>
    <w:p>
      <w:pPr>
        <w:ind w:left="420" w:right="70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69,999,954 ordinary shares outstanding at December 13, 2019 as reported in the Issuer’s Form 8-K filed with the Securities and Exchange Commission (“SEC”) on December 18,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 pages</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Arial" w:cs="Arial" w:eastAsia="Arial" w:hAnsi="Arial"/>
          <w:sz w:val="18"/>
          <w:szCs w:val="18"/>
          <w:b w:val="1"/>
          <w:bCs w:val="1"/>
          <w:color w:val="auto"/>
        </w:rPr>
        <w:t>G48833118</w:t>
      </w:r>
    </w:p>
    <w:p>
      <w:pPr>
        <w:spacing w:after="0" w:line="270" w:lineRule="exact"/>
        <w:rPr>
          <w:sz w:val="20"/>
          <w:szCs w:val="20"/>
          <w:color w:val="auto"/>
        </w:rPr>
      </w:pPr>
    </w:p>
    <w:p>
      <w:pPr>
        <w:ind w:left="780" w:hanging="53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Exor Investments (UK) LLP</w:t>
      </w:r>
    </w:p>
    <w:p>
      <w:pPr>
        <w:spacing w:after="0" w:line="40" w:lineRule="exact"/>
        <w:rPr>
          <w:rFonts w:ascii="Arial" w:cs="Arial" w:eastAsia="Arial" w:hAnsi="Arial"/>
          <w:sz w:val="18"/>
          <w:szCs w:val="18"/>
          <w:color w:val="auto"/>
        </w:rPr>
      </w:pPr>
    </w:p>
    <w:p>
      <w:pPr>
        <w:ind w:left="780" w:hanging="53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ind w:left="780"/>
        <w:spacing w:after="0" w:line="205" w:lineRule="exact"/>
        <w:tabs>
          <w:tab w:leader="none" w:pos="158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37"/>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hanging="537"/>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b w:val="1"/>
          <w:bCs w:val="1"/>
          <w:color w:val="auto"/>
        </w:rPr>
        <w:t>United Kingdom</w:t>
      </w:r>
    </w:p>
    <w:p>
      <w:pPr>
        <w:spacing w:after="0" w:line="40" w:lineRule="exact"/>
        <w:rPr>
          <w:rFonts w:ascii="Arial" w:cs="Arial" w:eastAsia="Arial" w:hAnsi="Arial"/>
          <w:sz w:val="18"/>
          <w:szCs w:val="18"/>
          <w:color w:val="auto"/>
        </w:rPr>
      </w:pPr>
    </w:p>
    <w:p>
      <w:pPr>
        <w:ind w:left="1860" w:hanging="428"/>
        <w:spacing w:after="0"/>
        <w:tabs>
          <w:tab w:leader="none" w:pos="1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500" w:type="dxa"/>
            <w:vAlign w:val="bottom"/>
            <w:tcBorders>
              <w:bottom w:val="single" w:sz="8" w:color="auto"/>
            </w:tcBorders>
          </w:tcPr>
          <w:p>
            <w:pPr>
              <w:spacing w:after="0"/>
              <w:rPr>
                <w:sz w:val="21"/>
                <w:szCs w:val="21"/>
                <w:color w:val="auto"/>
              </w:rPr>
            </w:pPr>
          </w:p>
        </w:tc>
        <w:tc>
          <w:tcPr>
            <w:tcW w:w="93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3,528,348</w:t>
            </w:r>
          </w:p>
        </w:tc>
        <w:tc>
          <w:tcPr>
            <w:tcW w:w="0" w:type="dxa"/>
            <w:vAlign w:val="bottom"/>
          </w:tcPr>
          <w:p>
            <w:pPr>
              <w:spacing w:after="0"/>
              <w:rPr>
                <w:sz w:val="1"/>
                <w:szCs w:val="1"/>
                <w:color w:val="auto"/>
              </w:rPr>
            </w:pPr>
          </w:p>
        </w:tc>
      </w:tr>
      <w:tr>
        <w:trPr>
          <w:trHeight w:val="23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84"/>
              </w:rPr>
              <w:t>Shares</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93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6"/>
              </w:rPr>
              <w:t>Beneficially</w:t>
            </w:r>
          </w:p>
        </w:tc>
        <w:tc>
          <w:tcPr>
            <w:tcW w:w="50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5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87"/>
              </w:rPr>
              <w:t>Each</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930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Arial" w:cs="Arial" w:eastAsia="Arial" w:hAnsi="Arial"/>
                <w:sz w:val="18"/>
                <w:szCs w:val="18"/>
                <w:color w:val="auto"/>
                <w:w w:val="92"/>
              </w:rPr>
              <w:t>Reporting</w:t>
            </w:r>
          </w:p>
        </w:tc>
        <w:tc>
          <w:tcPr>
            <w:tcW w:w="50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500" w:type="dxa"/>
            <w:vAlign w:val="bottom"/>
          </w:tcPr>
          <w:p>
            <w:pPr>
              <w:spacing w:after="0"/>
              <w:rPr>
                <w:sz w:val="18"/>
                <w:szCs w:val="18"/>
                <w:color w:val="auto"/>
              </w:rPr>
            </w:pPr>
          </w:p>
        </w:tc>
        <w:tc>
          <w:tcPr>
            <w:tcW w:w="9300" w:type="dxa"/>
            <w:vAlign w:val="bottom"/>
          </w:tcPr>
          <w:p>
            <w:pPr>
              <w:ind w:left="140"/>
              <w:spacing w:after="0"/>
              <w:rPr>
                <w:sz w:val="20"/>
                <w:szCs w:val="20"/>
                <w:color w:val="auto"/>
              </w:rPr>
            </w:pPr>
            <w:r>
              <w:rPr>
                <w:rFonts w:ascii="Arial" w:cs="Arial" w:eastAsia="Arial" w:hAnsi="Arial"/>
                <w:sz w:val="18"/>
                <w:szCs w:val="18"/>
                <w:b w:val="1"/>
                <w:bCs w:val="1"/>
                <w:color w:val="auto"/>
              </w:rPr>
              <w:t>3,528,348</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80" w:type="dxa"/>
            <w:vAlign w:val="bottom"/>
            <w:vMerge w:val="continue"/>
          </w:tcPr>
          <w:p>
            <w:pPr>
              <w:spacing w:after="0"/>
              <w:rPr>
                <w:sz w:val="12"/>
                <w:szCs w:val="12"/>
                <w:color w:val="auto"/>
              </w:rPr>
            </w:pPr>
          </w:p>
        </w:tc>
        <w:tc>
          <w:tcPr>
            <w:tcW w:w="50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0</w:t>
      </w:r>
    </w:p>
    <w:p>
      <w:pPr>
        <w:spacing w:after="0" w:line="40" w:lineRule="exact"/>
        <w:rPr>
          <w:sz w:val="20"/>
          <w:szCs w:val="20"/>
          <w:color w:val="auto"/>
        </w:rPr>
      </w:pPr>
    </w:p>
    <w:p>
      <w:pPr>
        <w:ind w:left="740" w:hanging="49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3,528,348</w:t>
      </w:r>
    </w:p>
    <w:p>
      <w:pPr>
        <w:spacing w:after="0" w:line="40" w:lineRule="exact"/>
        <w:rPr>
          <w:sz w:val="20"/>
          <w:szCs w:val="20"/>
          <w:color w:val="auto"/>
        </w:rPr>
      </w:pPr>
    </w:p>
    <w:p>
      <w:pPr>
        <w:ind w:left="740" w:hanging="58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740" w:hanging="58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0"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b w:val="1"/>
          <w:bCs w:val="1"/>
          <w:color w:val="auto"/>
        </w:rPr>
        <w:t>5.04%*</w:t>
      </w:r>
    </w:p>
    <w:p>
      <w:pPr>
        <w:spacing w:after="0" w:line="40" w:lineRule="exact"/>
        <w:rPr>
          <w:rFonts w:ascii="Arial" w:cs="Arial" w:eastAsia="Arial" w:hAnsi="Arial"/>
          <w:sz w:val="18"/>
          <w:szCs w:val="18"/>
          <w:color w:val="auto"/>
        </w:rPr>
      </w:pPr>
    </w:p>
    <w:p>
      <w:pPr>
        <w:ind w:left="740" w:hanging="587"/>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0" w:right="100" w:hanging="432"/>
        <w:spacing w:after="0" w:line="277" w:lineRule="auto"/>
        <w:rPr>
          <w:rFonts w:ascii="Arial" w:cs="Arial" w:eastAsia="Arial" w:hAnsi="Arial"/>
          <w:sz w:val="18"/>
          <w:szCs w:val="18"/>
          <w:color w:val="auto"/>
        </w:rPr>
      </w:pPr>
      <w:r>
        <w:rPr>
          <w:rFonts w:ascii="Arial" w:cs="Arial" w:eastAsia="Arial" w:hAnsi="Arial"/>
          <w:sz w:val="18"/>
          <w:szCs w:val="18"/>
          <w:color w:val="auto"/>
        </w:rPr>
        <w:t>*Based on 69,999,954 ordinary shares outstanding at December 13, 2019 as reported in the Issuer’s Form 8-K filed with the SEC on December 18,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 pages</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27"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Weatherford International PLC</w:t>
      </w:r>
    </w:p>
    <w:p>
      <w:pPr>
        <w:spacing w:after="0" w:line="126"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color w:val="auto"/>
        </w:rPr>
      </w:pPr>
    </w:p>
    <w:p>
      <w:pPr>
        <w:ind w:left="980" w:right="8080"/>
        <w:spacing w:after="0" w:line="342" w:lineRule="auto"/>
        <w:rPr>
          <w:rFonts w:ascii="Arial" w:cs="Arial" w:eastAsia="Arial" w:hAnsi="Arial"/>
          <w:sz w:val="18"/>
          <w:szCs w:val="18"/>
          <w:color w:val="auto"/>
        </w:rPr>
      </w:pPr>
      <w:r>
        <w:rPr>
          <w:rFonts w:ascii="Arial" w:cs="Arial" w:eastAsia="Arial" w:hAnsi="Arial"/>
          <w:sz w:val="16"/>
          <w:szCs w:val="16"/>
          <w:color w:val="auto"/>
        </w:rPr>
        <w:t>2000 St. James Place Houston, Texas 77056</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N.V.</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Investments (UK) LLP</w:t>
      </w:r>
    </w:p>
    <w:p>
      <w:pPr>
        <w:spacing w:after="0" w:line="112" w:lineRule="exact"/>
        <w:rPr>
          <w:rFonts w:ascii="Arial" w:cs="Arial" w:eastAsia="Arial" w:hAnsi="Arial"/>
          <w:sz w:val="18"/>
          <w:szCs w:val="18"/>
          <w:color w:val="auto"/>
        </w:rPr>
      </w:pPr>
    </w:p>
    <w:p>
      <w:pPr>
        <w:ind w:left="980" w:right="5240" w:hanging="552"/>
        <w:spacing w:after="0" w:line="378" w:lineRule="auto"/>
        <w:tabs>
          <w:tab w:leader="none" w:pos="96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Address of Principal Business Office or, if none, Residence Exor N.V.</w:t>
      </w:r>
    </w:p>
    <w:p>
      <w:pPr>
        <w:ind w:left="980" w:right="8040"/>
        <w:spacing w:after="0" w:line="286" w:lineRule="auto"/>
        <w:rPr>
          <w:rFonts w:ascii="Arial" w:cs="Arial" w:eastAsia="Arial" w:hAnsi="Arial"/>
          <w:sz w:val="18"/>
          <w:szCs w:val="18"/>
          <w:color w:val="auto"/>
        </w:rPr>
      </w:pPr>
      <w:r>
        <w:rPr>
          <w:rFonts w:ascii="Arial" w:cs="Arial" w:eastAsia="Arial" w:hAnsi="Arial"/>
          <w:sz w:val="17"/>
          <w:szCs w:val="17"/>
          <w:color w:val="auto"/>
        </w:rPr>
        <w:t>Gustav Mahlerplein 25 Amsterdam, 1082 MS The Netherlands</w:t>
      </w:r>
    </w:p>
    <w:p>
      <w:pPr>
        <w:spacing w:after="0" w:line="5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Exor Investments (UK) LLP</w:t>
      </w:r>
    </w:p>
    <w:p>
      <w:pPr>
        <w:spacing w:after="0" w:line="121" w:lineRule="exact"/>
        <w:rPr>
          <w:rFonts w:ascii="Arial" w:cs="Arial" w:eastAsia="Arial" w:hAnsi="Arial"/>
          <w:sz w:val="18"/>
          <w:szCs w:val="18"/>
          <w:color w:val="auto"/>
        </w:rPr>
      </w:pPr>
    </w:p>
    <w:p>
      <w:pPr>
        <w:ind w:left="980" w:right="8160"/>
        <w:spacing w:after="0" w:line="286" w:lineRule="auto"/>
        <w:rPr>
          <w:rFonts w:ascii="Arial" w:cs="Arial" w:eastAsia="Arial" w:hAnsi="Arial"/>
          <w:sz w:val="18"/>
          <w:szCs w:val="18"/>
          <w:color w:val="auto"/>
        </w:rPr>
      </w:pPr>
      <w:r>
        <w:rPr>
          <w:rFonts w:ascii="Arial" w:cs="Arial" w:eastAsia="Arial" w:hAnsi="Arial"/>
          <w:sz w:val="17"/>
          <w:szCs w:val="17"/>
          <w:color w:val="auto"/>
        </w:rPr>
        <w:t>28 Headfort Place London, SW1X 7DH United Kingdom</w:t>
      </w:r>
    </w:p>
    <w:p>
      <w:pPr>
        <w:spacing w:after="0" w:line="66" w:lineRule="exact"/>
        <w:rPr>
          <w:rFonts w:ascii="Arial" w:cs="Arial" w:eastAsia="Arial" w:hAnsi="Arial"/>
          <w:sz w:val="18"/>
          <w:szCs w:val="18"/>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N.V. – the Netherlands</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Exor Investments (UK) LLP – United Kingdom</w:t>
      </w:r>
    </w:p>
    <w:p>
      <w:pPr>
        <w:spacing w:after="0" w:line="112" w:lineRule="exact"/>
        <w:rPr>
          <w:rFonts w:ascii="Arial" w:cs="Arial" w:eastAsia="Arial" w:hAnsi="Arial"/>
          <w:sz w:val="18"/>
          <w:szCs w:val="18"/>
          <w:color w:val="auto"/>
        </w:rPr>
      </w:pPr>
    </w:p>
    <w:p>
      <w:pPr>
        <w:ind w:left="980" w:right="7720" w:hanging="552"/>
        <w:spacing w:after="0" w:line="431" w:lineRule="auto"/>
        <w:tabs>
          <w:tab w:leader="none" w:pos="961"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Ordinary Shares</w:t>
      </w:r>
    </w:p>
    <w:p>
      <w:pPr>
        <w:ind w:left="980" w:right="8480" w:hanging="552"/>
        <w:spacing w:after="0" w:line="445" w:lineRule="auto"/>
        <w:tabs>
          <w:tab w:leader="none" w:pos="961"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G48833118</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Exor N.V.:</w:t>
      </w:r>
    </w:p>
    <w:p>
      <w:pPr>
        <w:spacing w:after="0" w:line="131" w:lineRule="exact"/>
        <w:rPr>
          <w:sz w:val="20"/>
          <w:szCs w:val="20"/>
          <w:color w:val="auto"/>
        </w:rPr>
      </w:pPr>
    </w:p>
    <w:p>
      <w:pPr>
        <w:ind w:left="440" w:right="2900" w:firstLine="541"/>
        <w:spacing w:after="0" w:line="383" w:lineRule="auto"/>
        <w:tabs>
          <w:tab w:leader="none" w:pos="141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 Exor Investments (UK) LLP:</w:t>
      </w:r>
    </w:p>
    <w:p>
      <w:pPr>
        <w:spacing w:after="0" w:line="1" w:lineRule="exact"/>
        <w:rPr>
          <w:sz w:val="20"/>
          <w:szCs w:val="20"/>
          <w:color w:val="auto"/>
        </w:rPr>
      </w:pPr>
    </w:p>
    <w:p>
      <w:pPr>
        <w:ind w:left="1420" w:hanging="43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non-U.S. institution in accordance with Rule 13d-1(b)(1)(ii)(J)</w:t>
      </w:r>
    </w:p>
    <w:p>
      <w:pPr>
        <w:spacing w:after="0" w:line="117" w:lineRule="exact"/>
        <w:rPr>
          <w:sz w:val="20"/>
          <w:szCs w:val="20"/>
          <w:color w:val="auto"/>
        </w:rPr>
      </w:pPr>
    </w:p>
    <w:p>
      <w:pPr>
        <w:ind w:left="4860" w:hanging="3881"/>
        <w:spacing w:after="0" w:line="449"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Investment Manager Page 4 of 6 pages</w:t>
      </w:r>
    </w:p>
    <w:p>
      <w:pPr>
        <w:sectPr>
          <w:pgSz w:w="11900" w:h="16838" w:orient="portrait"/>
          <w:cols w:equalWidth="0" w:num="1">
            <w:col w:w="10680"/>
          </w:cols>
          <w:pgMar w:left="440" w:top="274" w:right="77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p>
    <w:p>
      <w:pPr>
        <w:spacing w:after="0" w:line="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112"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Percent of class:</w:t>
      </w:r>
    </w:p>
    <w:p>
      <w:pPr>
        <w:spacing w:after="0" w:line="2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116" w:lineRule="exact"/>
        <w:rPr>
          <w:rFonts w:ascii="Arial" w:cs="Arial" w:eastAsia="Arial" w:hAnsi="Arial"/>
          <w:sz w:val="18"/>
          <w:szCs w:val="18"/>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26" w:lineRule="exact"/>
        <w:rPr>
          <w:rFonts w:ascii="Arial" w:cs="Arial" w:eastAsia="Arial" w:hAnsi="Arial"/>
          <w:sz w:val="18"/>
          <w:szCs w:val="18"/>
          <w:color w:val="auto"/>
        </w:rPr>
      </w:pPr>
    </w:p>
    <w:p>
      <w:pPr>
        <w:ind w:left="1420" w:hanging="439"/>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Sole power to vote or to direct the vote</w:t>
      </w:r>
    </w:p>
    <w:p>
      <w:pPr>
        <w:spacing w:after="0" w:line="2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12" w:lineRule="exact"/>
        <w:rPr>
          <w:rFonts w:ascii="Arial" w:cs="Arial" w:eastAsia="Arial" w:hAnsi="Arial"/>
          <w:sz w:val="18"/>
          <w:szCs w:val="18"/>
          <w:color w:val="auto"/>
        </w:rPr>
      </w:pPr>
    </w:p>
    <w:p>
      <w:pPr>
        <w:ind w:left="1420" w:hanging="439"/>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Shared power to vote or to direct the vote</w:t>
      </w:r>
    </w:p>
    <w:p>
      <w:pPr>
        <w:spacing w:after="0" w:line="2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12" w:lineRule="exact"/>
        <w:rPr>
          <w:rFonts w:ascii="Arial" w:cs="Arial" w:eastAsia="Arial" w:hAnsi="Arial"/>
          <w:sz w:val="18"/>
          <w:szCs w:val="18"/>
          <w:color w:val="auto"/>
        </w:rPr>
      </w:pPr>
    </w:p>
    <w:p>
      <w:pPr>
        <w:ind w:left="1420" w:right="5420" w:hanging="439"/>
        <w:spacing w:after="0" w:line="385" w:lineRule="auto"/>
        <w:tabs>
          <w:tab w:leader="none" w:pos="1405" w:val="left"/>
        </w:tabs>
        <w:numPr>
          <w:ilvl w:val="1"/>
          <w:numId w:val="15"/>
        </w:numPr>
        <w:rPr>
          <w:rFonts w:ascii="Arial" w:cs="Arial" w:eastAsia="Arial" w:hAnsi="Arial"/>
          <w:sz w:val="15"/>
          <w:szCs w:val="15"/>
          <w:color w:val="auto"/>
        </w:rPr>
      </w:pPr>
      <w:r>
        <w:rPr>
          <w:rFonts w:ascii="Arial" w:cs="Arial" w:eastAsia="Arial" w:hAnsi="Arial"/>
          <w:sz w:val="15"/>
          <w:szCs w:val="15"/>
          <w:b w:val="1"/>
          <w:bCs w:val="1"/>
          <w:color w:val="auto"/>
        </w:rPr>
        <w:t xml:space="preserve">Sole power to dispose or to direct the disposition of </w:t>
      </w:r>
      <w:r>
        <w:rPr>
          <w:rFonts w:ascii="Arial" w:cs="Arial" w:eastAsia="Arial" w:hAnsi="Arial"/>
          <w:sz w:val="15"/>
          <w:szCs w:val="15"/>
          <w:color w:val="auto"/>
        </w:rPr>
        <w:t>See the responses to Item 7 on the attached cover pages.</w:t>
      </w:r>
    </w:p>
    <w:p>
      <w:pPr>
        <w:ind w:left="1420" w:right="5360" w:hanging="439"/>
        <w:spacing w:after="0" w:line="386" w:lineRule="auto"/>
        <w:tabs>
          <w:tab w:leader="none" w:pos="1405" w:val="left"/>
        </w:tabs>
        <w:numPr>
          <w:ilvl w:val="1"/>
          <w:numId w:val="15"/>
        </w:numPr>
        <w:rPr>
          <w:rFonts w:ascii="Arial" w:cs="Arial" w:eastAsia="Arial" w:hAnsi="Arial"/>
          <w:sz w:val="15"/>
          <w:szCs w:val="15"/>
          <w:color w:val="auto"/>
        </w:rPr>
      </w:pPr>
      <w:r>
        <w:rPr>
          <w:rFonts w:ascii="Arial" w:cs="Arial" w:eastAsia="Arial" w:hAnsi="Arial"/>
          <w:sz w:val="15"/>
          <w:szCs w:val="15"/>
          <w:b w:val="1"/>
          <w:bCs w:val="1"/>
          <w:color w:val="auto"/>
        </w:rPr>
        <w:t xml:space="preserve">Shared power to dispose or to direct the disposition of </w:t>
      </w:r>
      <w:r>
        <w:rPr>
          <w:rFonts w:ascii="Arial" w:cs="Arial" w:eastAsia="Arial" w:hAnsi="Arial"/>
          <w:sz w:val="15"/>
          <w:szCs w:val="15"/>
          <w:color w:val="auto"/>
        </w:rPr>
        <w:t>See the responses to Item 8 on the attached cover pages.</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56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Exor Investments (UK) LLP:</w:t>
      </w:r>
    </w:p>
    <w:p>
      <w:pPr>
        <w:spacing w:after="0" w:line="131"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non-U.S. institution in accordance with Rule 13d-1(b)(1)(ii)(J)</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Investment Manager</w:t>
      </w:r>
    </w:p>
    <w:p>
      <w:pPr>
        <w:spacing w:after="0" w:line="3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5 of 6 pages</w:t>
      </w:r>
    </w:p>
    <w:p>
      <w:pPr>
        <w:sectPr>
          <w:pgSz w:w="11900" w:h="16838" w:orient="portrait"/>
          <w:cols w:equalWidth="0" w:num="1">
            <w:col w:w="10900"/>
          </w:cols>
          <w:pgMar w:left="440" w:top="270" w:right="5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N.V.</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Enrico Vellano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Enrico Vellano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Investments (UK) LLP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Matteo Scolari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Matteo Scolari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6 of 6 pages</w:t>
      </w:r>
    </w:p>
    <w:p>
      <w:pPr>
        <w:sectPr>
          <w:pgSz w:w="11900" w:h="16838" w:orient="portrait"/>
          <w:cols w:equalWidth="0" w:num="1">
            <w:col w:w="10900"/>
          </w:cols>
          <w:pgMar w:left="440" w:top="270" w:right="559" w:bottom="1440" w:gutter="0" w:footer="0" w:header="0"/>
        </w:sectPr>
      </w:pPr>
    </w:p>
    <w:bookmarkStart w:id="6" w:name="page7"/>
    <w:bookmarkEnd w:id="6"/>
    <w:p>
      <w:pPr>
        <w:jc w:val="right"/>
        <w:ind w:right="3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INDEX TO EXHIBITS</w:t>
      </w: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019"/>
          </w:cols>
          <w:pgMar w:left="440" w:top="27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the undersigned agree to the joint filing of a Statement on Schedule 13G (including any and all amendments thereto) with respect to the ordinary shares of Weatherford International PLC and further agree to the filing of this agreement as an Exhibit thereto. In addition, each party to this Agreement expressly authorizes each other party to this Agreement to file on its behalf any and all amendments to such Statement on Schedule 13G.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N.V.</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Enrico Vellano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Enrico Vellano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Exor Investments (UK) LLP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Matteo Scolari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Matteo Scolari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3"/>
    </w:lvl>
    <w:lvl w:ilvl="1">
      <w:lvlJc w:val="left"/>
      <w:lvlText w:val="%2."/>
      <w:numFmt w:val="decimal"/>
      <w:start w:val="5"/>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
      <w:numFmt w:val="bullet"/>
      <w:start w:val="1"/>
    </w:lvl>
    <w:lvl w:ilvl="1">
      <w:lvlJc w:val="left"/>
      <w:lvlText w:val="%2."/>
      <w:numFmt w:val="decimal"/>
      <w:start w:val="10"/>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3"/>
    </w:lvl>
    <w:lvl w:ilvl="1">
      <w:lvlJc w:val="left"/>
      <w:lvlText w:val="%2."/>
      <w:numFmt w:val="decimal"/>
      <w:start w:val="5"/>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
      <w:numFmt w:val="bullet"/>
      <w:start w:val="1"/>
    </w:lvl>
    <w:lvl w:ilvl="1">
      <w:lvlJc w:val="left"/>
      <w:lvlText w:val="%2."/>
      <w:numFmt w:val="decimal"/>
      <w:start w:val="10"/>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7"/>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2020-03-06T05:28:02Z</dcterms:created>
  <dcterms:modified xsi:type="dcterms:W3CDTF">2020-03-06T05:28:02Z</dcterms:modified>
</cp:coreProperties>
</file>