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913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1375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8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Fraser Stuart</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Weatherford International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NONE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12/13/2019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4"/>
        <w:spacing w:after="0"/>
        <w:rPr>
          <w:sz w:val="20"/>
          <w:szCs w:val="20"/>
          <w:color w:val="auto"/>
        </w:rPr>
      </w:pPr>
      <w:r>
        <w:rPr>
          <w:rFonts w:ascii="Arial" w:cs="Arial" w:eastAsia="Arial" w:hAnsi="Arial"/>
          <w:sz w:val="17"/>
          <w:szCs w:val="17"/>
          <w:color w:val="0000FF"/>
        </w:rPr>
        <w:t>Chief Accounting Officer</w:t>
      </w:r>
    </w:p>
    <w:p>
      <w:pPr>
        <w:spacing w:after="0" w:line="323" w:lineRule="exact"/>
        <w:rPr>
          <w:sz w:val="24"/>
          <w:szCs w:val="24"/>
          <w:color w:val="auto"/>
        </w:rPr>
      </w:pPr>
    </w:p>
    <w:p>
      <w:pPr>
        <w:sectPr>
          <w:pgSz w:w="11900" w:h="16838" w:orient="portrait"/>
          <w:cols w:equalWidth="0" w:num="3">
            <w:col w:w="3360" w:space="720"/>
            <w:col w:w="3320" w:space="656"/>
            <w:col w:w="3464"/>
          </w:cols>
          <w:pgMar w:left="240" w:top="226" w:right="139" w:bottom="188" w:gutter="0" w:footer="0" w:header="0"/>
          <w:type w:val="continuous"/>
        </w:sectPr>
      </w:pP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77056</w:t>
            </w:r>
          </w:p>
        </w:tc>
      </w:tr>
      <w:tr>
        <w:trPr>
          <w:trHeight w:val="157"/>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20" w:space="160"/>
            <w:col w:w="7440"/>
          </w:cols>
          <w:pgMar w:left="240" w:top="226" w:right="139" w:bottom="18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3"/>
                <w:szCs w:val="13"/>
                <w:color w:val="auto"/>
              </w:rPr>
            </w:pPr>
          </w:p>
        </w:tc>
        <w:tc>
          <w:tcPr>
            <w:tcW w:w="24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 Disposed</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48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Of (D) (Instr. 3, 4 and 5)</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43"/>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1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40" w:type="dxa"/>
            <w:vAlign w:val="bottom"/>
            <w:tcBorders>
              <w:bottom w:val="single" w:sz="8" w:color="2C2C2C"/>
            </w:tcBorders>
          </w:tcPr>
          <w:p>
            <w:pPr>
              <w:jc w:val="center"/>
              <w:ind w:left="443"/>
              <w:spacing w:after="0"/>
              <w:rPr>
                <w:sz w:val="20"/>
                <w:szCs w:val="20"/>
                <w:color w:val="auto"/>
              </w:rPr>
            </w:pPr>
            <w:r>
              <w:rPr>
                <w:rFonts w:ascii="Arial" w:cs="Arial" w:eastAsia="Arial" w:hAnsi="Arial"/>
                <w:sz w:val="17"/>
                <w:szCs w:val="17"/>
                <w:color w:val="0000FF"/>
                <w:w w:val="93"/>
              </w:rPr>
              <w:t>12/13/2019</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(1)(2)</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2"/>
              </w:rPr>
              <w:t>60,000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0.0156</w:t>
            </w:r>
            <w:r>
              <w:rPr>
                <w:rFonts w:ascii="Arial" w:cs="Arial" w:eastAsia="Arial" w:hAnsi="Arial"/>
                <w:sz w:val="22"/>
                <w:szCs w:val="22"/>
                <w:color w:val="008000"/>
                <w:w w:val="86"/>
                <w:vertAlign w:val="superscript"/>
              </w:rPr>
              <w:t>(1)(2)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150,066</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40" w:type="dxa"/>
            <w:vAlign w:val="bottom"/>
            <w:tcBorders>
              <w:bottom w:val="single" w:sz="8" w:color="2C2C2C"/>
            </w:tcBorders>
          </w:tcPr>
          <w:p>
            <w:pPr>
              <w:jc w:val="center"/>
              <w:ind w:left="443"/>
              <w:spacing w:after="0"/>
              <w:rPr>
                <w:sz w:val="20"/>
                <w:szCs w:val="20"/>
                <w:color w:val="auto"/>
              </w:rPr>
            </w:pPr>
            <w:r>
              <w:rPr>
                <w:rFonts w:ascii="Arial" w:cs="Arial" w:eastAsia="Arial" w:hAnsi="Arial"/>
                <w:sz w:val="17"/>
                <w:szCs w:val="17"/>
                <w:color w:val="0000FF"/>
                <w:w w:val="93"/>
              </w:rPr>
              <w:t>12/13/2019</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(1)(3)</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1"/>
              </w:rPr>
              <w:t>159,320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0.0156</w:t>
            </w:r>
            <w:r>
              <w:rPr>
                <w:rFonts w:ascii="Arial" w:cs="Arial" w:eastAsia="Arial" w:hAnsi="Arial"/>
                <w:sz w:val="22"/>
                <w:szCs w:val="22"/>
                <w:color w:val="008000"/>
                <w:w w:val="86"/>
                <w:vertAlign w:val="superscript"/>
              </w:rPr>
              <w:t>(1)(3)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309,386</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40" w:type="dxa"/>
            <w:vAlign w:val="bottom"/>
            <w:tcBorders>
              <w:bottom w:val="single" w:sz="8" w:color="2C2C2C"/>
            </w:tcBorders>
          </w:tcPr>
          <w:p>
            <w:pPr>
              <w:jc w:val="center"/>
              <w:ind w:left="443"/>
              <w:spacing w:after="0"/>
              <w:rPr>
                <w:sz w:val="20"/>
                <w:szCs w:val="20"/>
                <w:color w:val="auto"/>
              </w:rPr>
            </w:pPr>
            <w:r>
              <w:rPr>
                <w:rFonts w:ascii="Arial" w:cs="Arial" w:eastAsia="Arial" w:hAnsi="Arial"/>
                <w:sz w:val="17"/>
                <w:szCs w:val="17"/>
                <w:color w:val="0000FF"/>
                <w:w w:val="93"/>
              </w:rPr>
              <w:t>12/13/2019</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w w:val="98"/>
                <w:vertAlign w:val="subscript"/>
              </w:rPr>
              <w:t>F</w:t>
            </w:r>
            <w:r>
              <w:rPr>
                <w:rFonts w:ascii="Arial" w:cs="Arial" w:eastAsia="Arial" w:hAnsi="Arial"/>
                <w:sz w:val="11"/>
                <w:szCs w:val="11"/>
                <w:color w:val="008000"/>
                <w:w w:val="98"/>
              </w:rPr>
              <w:t>(1)(3)(4)</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2"/>
              </w:rPr>
              <w:t>38,795</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tcBorders>
              <w:bottom w:val="single" w:sz="8" w:color="2C2C2C"/>
            </w:tcBorders>
          </w:tcPr>
          <w:p>
            <w:pPr>
              <w:jc w:val="center"/>
              <w:spacing w:after="0" w:line="323" w:lineRule="exact"/>
              <w:rPr>
                <w:sz w:val="20"/>
                <w:szCs w:val="20"/>
                <w:color w:val="auto"/>
              </w:rPr>
            </w:pPr>
            <w:r>
              <w:rPr>
                <w:rFonts w:ascii="Arial" w:cs="Arial" w:eastAsia="Arial" w:hAnsi="Arial"/>
                <w:sz w:val="34"/>
                <w:szCs w:val="34"/>
                <w:color w:val="000000"/>
                <w:w w:val="80"/>
                <w:vertAlign w:val="subscript"/>
              </w:rPr>
              <w:t>$</w:t>
            </w:r>
            <w:r>
              <w:rPr>
                <w:rFonts w:ascii="Arial" w:cs="Arial" w:eastAsia="Arial" w:hAnsi="Arial"/>
                <w:sz w:val="34"/>
                <w:szCs w:val="34"/>
                <w:color w:val="0000FF"/>
                <w:w w:val="80"/>
                <w:vertAlign w:val="subscript"/>
              </w:rPr>
              <w:t>0.0156</w:t>
            </w:r>
            <w:r>
              <w:rPr>
                <w:rFonts w:ascii="Arial" w:cs="Arial" w:eastAsia="Arial" w:hAnsi="Arial"/>
                <w:sz w:val="11"/>
                <w:szCs w:val="11"/>
                <w:color w:val="008000"/>
                <w:w w:val="80"/>
              </w:rPr>
              <w:t>(1)(3)(4)</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270,591</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40" w:type="dxa"/>
            <w:vAlign w:val="bottom"/>
            <w:tcBorders>
              <w:bottom w:val="single" w:sz="8" w:color="2C2C2C"/>
            </w:tcBorders>
          </w:tcPr>
          <w:p>
            <w:pPr>
              <w:jc w:val="center"/>
              <w:ind w:left="443"/>
              <w:spacing w:after="0"/>
              <w:rPr>
                <w:sz w:val="20"/>
                <w:szCs w:val="20"/>
                <w:color w:val="auto"/>
              </w:rPr>
            </w:pPr>
            <w:r>
              <w:rPr>
                <w:rFonts w:ascii="Arial" w:cs="Arial" w:eastAsia="Arial" w:hAnsi="Arial"/>
                <w:sz w:val="17"/>
                <w:szCs w:val="17"/>
                <w:color w:val="0000FF"/>
                <w:w w:val="93"/>
              </w:rPr>
              <w:t>12/13/2019</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(1)(5)</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1"/>
              </w:rPr>
              <w:t>270,591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140" w:type="dxa"/>
            <w:vAlign w:val="bottom"/>
            <w:tcBorders>
              <w:bottom w:val="single" w:sz="8" w:color="2C2C2C"/>
            </w:tcBorders>
          </w:tcPr>
          <w:p>
            <w:pPr>
              <w:jc w:val="center"/>
              <w:spacing w:after="0" w:line="323" w:lineRule="exact"/>
              <w:rPr>
                <w:sz w:val="20"/>
                <w:szCs w:val="20"/>
                <w:color w:val="auto"/>
              </w:rPr>
            </w:pPr>
            <w:r>
              <w:rPr>
                <w:rFonts w:ascii="Arial" w:cs="Arial" w:eastAsia="Arial" w:hAnsi="Arial"/>
                <w:sz w:val="34"/>
                <w:szCs w:val="34"/>
                <w:color w:val="000000"/>
                <w:w w:val="84"/>
                <w:vertAlign w:val="subscript"/>
              </w:rPr>
              <w:t>$</w:t>
            </w: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(1)(5)</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0</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40" w:type="dxa"/>
            <w:vAlign w:val="bottom"/>
            <w:tcBorders>
              <w:bottom w:val="single" w:sz="8" w:color="2C2C2C"/>
            </w:tcBorders>
          </w:tcPr>
          <w:p>
            <w:pPr>
              <w:jc w:val="center"/>
              <w:ind w:left="443"/>
              <w:spacing w:after="0"/>
              <w:rPr>
                <w:sz w:val="20"/>
                <w:szCs w:val="20"/>
                <w:color w:val="auto"/>
              </w:rPr>
            </w:pPr>
            <w:r>
              <w:rPr>
                <w:rFonts w:ascii="Arial" w:cs="Arial" w:eastAsia="Arial" w:hAnsi="Arial"/>
                <w:sz w:val="17"/>
                <w:szCs w:val="17"/>
                <w:color w:val="0000FF"/>
                <w:w w:val="93"/>
              </w:rPr>
              <w:t>12/13/2019</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(1)(6)</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187</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1140" w:type="dxa"/>
            <w:vAlign w:val="bottom"/>
            <w:tcBorders>
              <w:bottom w:val="single" w:sz="8" w:color="2C2C2C"/>
            </w:tcBorders>
          </w:tcPr>
          <w:p>
            <w:pPr>
              <w:jc w:val="center"/>
              <w:spacing w:after="0" w:line="323" w:lineRule="exact"/>
              <w:rPr>
                <w:sz w:val="20"/>
                <w:szCs w:val="20"/>
                <w:color w:val="auto"/>
              </w:rPr>
            </w:pPr>
            <w:r>
              <w:rPr>
                <w:rFonts w:ascii="Arial" w:cs="Arial" w:eastAsia="Arial" w:hAnsi="Arial"/>
                <w:sz w:val="34"/>
                <w:szCs w:val="34"/>
                <w:color w:val="000000"/>
                <w:w w:val="84"/>
                <w:vertAlign w:val="subscript"/>
              </w:rPr>
              <w:t>$</w:t>
            </w: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(1)(6)</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187</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Warrants</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(1)(7)</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2,084</w:t>
            </w:r>
          </w:p>
        </w:tc>
        <w:tc>
          <w:tcPr>
            <w:tcW w:w="720" w:type="dxa"/>
            <w:vAlign w:val="bottom"/>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(1)(7)</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99.96</w:t>
            </w:r>
          </w:p>
        </w:tc>
        <w:tc>
          <w:tcPr>
            <w:tcW w:w="1120" w:type="dxa"/>
            <w:vAlign w:val="bottom"/>
            <w:vMerge w:val="restart"/>
          </w:tcPr>
          <w:p>
            <w:pPr>
              <w:jc w:val="right"/>
              <w:ind w:right="198"/>
              <w:spacing w:after="0" w:line="148" w:lineRule="exact"/>
              <w:rPr>
                <w:sz w:val="20"/>
                <w:szCs w:val="20"/>
                <w:color w:val="auto"/>
              </w:rPr>
            </w:pPr>
            <w:r>
              <w:rPr>
                <w:rFonts w:ascii="Arial" w:cs="Arial" w:eastAsia="Arial" w:hAnsi="Arial"/>
                <w:sz w:val="13"/>
                <w:szCs w:val="13"/>
                <w:color w:val="0000FF"/>
              </w:rPr>
              <w:t>12/13/2019</w:t>
            </w:r>
          </w:p>
        </w:tc>
        <w:tc>
          <w:tcPr>
            <w:tcW w:w="1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500" w:type="dxa"/>
            <w:vAlign w:val="bottom"/>
            <w:vMerge w:val="restart"/>
          </w:tcPr>
          <w:p>
            <w:pPr>
              <w:ind w:left="100"/>
              <w:spacing w:after="0" w:line="148" w:lineRule="exact"/>
              <w:rPr>
                <w:sz w:val="20"/>
                <w:szCs w:val="20"/>
                <w:color w:val="auto"/>
              </w:rPr>
            </w:pPr>
            <w:r>
              <w:rPr>
                <w:rFonts w:ascii="Arial" w:cs="Arial" w:eastAsia="Arial" w:hAnsi="Arial"/>
                <w:sz w:val="13"/>
                <w:szCs w:val="13"/>
                <w:color w:val="0000FF"/>
              </w:rPr>
              <w:t>2,084</w:t>
            </w:r>
          </w:p>
        </w:tc>
        <w:tc>
          <w:tcPr>
            <w:tcW w:w="280" w:type="dxa"/>
            <w:vAlign w:val="bottom"/>
          </w:tcPr>
          <w:p>
            <w:pPr>
              <w:spacing w:after="0"/>
              <w:rPr>
                <w:sz w:val="5"/>
                <w:szCs w:val="5"/>
                <w:color w:val="auto"/>
              </w:rPr>
            </w:pPr>
          </w:p>
        </w:tc>
        <w:tc>
          <w:tcPr>
            <w:tcW w:w="82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rPr>
              <w:t>12/13/2019</w:t>
            </w: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12/13/2023</w:t>
            </w: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2,084</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2"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July 1, 2019, Weatherford International plc (the "Issuer"), Weatherford International Ltd., and Weatherford International, LLC (collectively, the "Company") commenced voluntary cases under Chapter 11 of the United States Bankruptcy Code in the U.S. Bankruptcy Court for the Southern District of Texas (the "Bankruptcy Court") under the caption In re Weatherford International plc, et al. seeking relief under the provisions of Chapter 11 of Title 11 of the United States Code. On September 9, 2019, the Company filed with the Bankruptcy Court the proposed Second Amended Joint Prepackaged Plan of Reorganization of Weatherford International plc and its Affiliate Debtors, dated September 9, 2019 (the "Plan"). On September 11, 2019, the Bankruptcy Court entered an order, Docket No. 343, confirming and approving the Plan. On December 13, 2019 (the "Effective Date"), the Plan became effective pursuant to its terms and the Company emerged from bankruptcy.</w:t>
      </w:r>
    </w:p>
    <w:p>
      <w:pPr>
        <w:spacing w:after="0" w:line="12"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terms of the award agreements, immediately prior to the Effective Date, all outstanding unvested restricted stock units were cancelled.</w:t>
      </w:r>
    </w:p>
    <w:p>
      <w:pPr>
        <w:spacing w:after="0" w:line="52" w:lineRule="exact"/>
        <w:rPr>
          <w:rFonts w:ascii="Arial" w:cs="Arial" w:eastAsia="Arial" w:hAnsi="Arial"/>
          <w:sz w:val="13"/>
          <w:szCs w:val="13"/>
          <w:color w:val="008000"/>
        </w:rPr>
      </w:pPr>
    </w:p>
    <w:p>
      <w:pPr>
        <w:ind w:left="40" w:right="54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terms of the award agreements, immediately prior to the Effective Time, all outstanding performance share units previously granted vested at a multiple of two times the number of units granted. Includes awards granted on April 27, 2018.</w:t>
      </w:r>
    </w:p>
    <w:p>
      <w:pPr>
        <w:spacing w:after="0" w:line="9" w:lineRule="exact"/>
        <w:rPr>
          <w:rFonts w:ascii="Arial" w:cs="Arial" w:eastAsia="Arial" w:hAnsi="Arial"/>
          <w:sz w:val="13"/>
          <w:szCs w:val="13"/>
          <w:color w:val="008000"/>
        </w:rPr>
      </w:pPr>
    </w:p>
    <w:p>
      <w:pPr>
        <w:ind w:left="40" w:right="16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withholding of a portion of vested performance share units to satisfy the reporting person's tax withholding obligations upon vesting, pursuant to the award agreements and associated equity incentive plan under which the awards were granted.</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the Effective Date, all of the Issuer's outstanding ordinary shares were cancelled and extinguished pursuant to the Plan.</w:t>
      </w:r>
    </w:p>
    <w:p>
      <w:pPr>
        <w:spacing w:after="0" w:line="52" w:lineRule="exact"/>
        <w:rPr>
          <w:rFonts w:ascii="Arial" w:cs="Arial" w:eastAsia="Arial" w:hAnsi="Arial"/>
          <w:sz w:val="13"/>
          <w:szCs w:val="13"/>
          <w:color w:val="008000"/>
        </w:rPr>
      </w:pPr>
    </w:p>
    <w:p>
      <w:pPr>
        <w:ind w:left="40" w:right="50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New shares of the Issuer's ordinary shares, par value $.001 per share (the "New Ordinary Shares") were issued to the Reporting Person on the Effective Date pursuant to the Plan. The receipt of the New Ordinary Shares by the Reporting Person was involuntary, without additional consideration and in accordance with the Plan approved by the Bankruptcy Court.</w:t>
      </w:r>
    </w:p>
    <w:p>
      <w:pPr>
        <w:spacing w:after="0" w:line="9" w:lineRule="exact"/>
        <w:rPr>
          <w:rFonts w:ascii="Arial" w:cs="Arial" w:eastAsia="Arial" w:hAnsi="Arial"/>
          <w:sz w:val="13"/>
          <w:szCs w:val="13"/>
          <w:color w:val="008000"/>
        </w:rPr>
      </w:pPr>
    </w:p>
    <w:p>
      <w:pPr>
        <w:ind w:left="40" w:right="720" w:firstLine="8"/>
        <w:spacing w:after="0" w:line="297"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Warrants to purchase New Ordinary Shares (the "Warrants") were issued to the Reporting Person on the Effective Date pursuant to the Plan. The Warrants may be exercised at any time prior to their expiration. The receipt of the Warrants by the Reporting Person was involuntary, without additional consideration and in accordance with the Plan approved by the Bankruptcy Court.</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Christi Morrison, by Power of</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12/17/2019</w:t>
            </w:r>
          </w:p>
        </w:tc>
        <w:tc>
          <w:tcPr>
            <w:tcW w:w="0" w:type="dxa"/>
            <w:vAlign w:val="bottom"/>
          </w:tcPr>
          <w:p>
            <w:pPr>
              <w:spacing w:after="0"/>
              <w:rPr>
                <w:sz w:val="1"/>
                <w:szCs w:val="1"/>
                <w:color w:val="auto"/>
              </w:rPr>
            </w:pPr>
          </w:p>
        </w:tc>
      </w:tr>
      <w:tr>
        <w:trPr>
          <w:trHeight w:val="88"/>
        </w:trPr>
        <w:tc>
          <w:tcPr>
            <w:tcW w:w="620" w:type="dxa"/>
            <w:vAlign w:val="bottom"/>
            <w:vMerge w:val="restart"/>
          </w:tcPr>
          <w:p>
            <w:pPr>
              <w:spacing w:after="0"/>
              <w:rPr>
                <w:sz w:val="20"/>
                <w:szCs w:val="20"/>
                <w:color w:val="auto"/>
              </w:rPr>
            </w:pPr>
            <w:r>
              <w:rPr>
                <w:rFonts w:ascii="Arial" w:cs="Arial" w:eastAsia="Arial" w:hAnsi="Arial"/>
                <w:sz w:val="17"/>
                <w:szCs w:val="17"/>
                <w:color w:val="0000FF"/>
                <w:w w:val="94"/>
              </w:rPr>
              <w:t>Attorney</w:t>
            </w:r>
          </w:p>
        </w:tc>
        <w:tc>
          <w:tcPr>
            <w:tcW w:w="15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20" w:type="dxa"/>
            <w:vAlign w:val="bottom"/>
            <w:tcBorders>
              <w:bottom w:val="single" w:sz="8" w:color="auto"/>
            </w:tcBorders>
            <w:vMerge w:val="continue"/>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715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2019-12-17T17:40:48Z</dcterms:created>
  <dcterms:modified xsi:type="dcterms:W3CDTF">2019-12-17T17:40:48Z</dcterms:modified>
</cp:coreProperties>
</file>