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294640</wp:posOffset>
            </wp:positionH>
            <wp:positionV relativeFrom="page">
              <wp:posOffset>612140</wp:posOffset>
            </wp:positionV>
            <wp:extent cx="6980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0555" cy="8890"/>
                    </a:xfrm>
                    <a:prstGeom prst="rect">
                      <a:avLst/>
                    </a:prstGeom>
                    <a:noFill/>
                  </pic:spPr>
                </pic:pic>
              </a:graphicData>
            </a:graphic>
          </wp:anchor>
        </w:drawing>
        <w:t>UNITED STATES</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26, 2018</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9"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Ireland</w:t>
            </w:r>
          </w:p>
        </w:tc>
        <w:tc>
          <w:tcPr>
            <w:tcW w:w="350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2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5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7"/>
        </w:trPr>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37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4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26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7"/>
        </w:trPr>
        <w:tc>
          <w:tcPr>
            <w:tcW w:w="748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274955</wp:posOffset>
            </wp:positionV>
            <wp:extent cx="6217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142875</wp:posOffset>
            </wp:positionV>
            <wp:extent cx="698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3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 xml:space="preserve">On March 26, 2018 at 1:15 p.m. Central Time, Weatherford International plc will present to certain investors at the Scotia Howard Weil Energy Conference held in New Orleans, Louisiana. The presentation materials will be available on Weatherford’s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in the Investor Relations section on the date of the event.</w:t>
      </w:r>
    </w:p>
    <w:p>
      <w:pPr>
        <w:spacing w:after="0" w:line="27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742"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44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Weatherford International plc</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March 26,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48895</wp:posOffset>
            </wp:positionV>
            <wp:extent cx="4511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8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General Counsel, Chief Compliance Officer and Corporate Secretary</w:t>
      </w:r>
    </w:p>
    <w:sectPr>
      <w:pgSz w:w="11900" w:h="16838" w:orient="portrait"/>
      <w:cols w:equalWidth="0" w:num="1">
        <w:col w:w="11040"/>
      </w:cols>
      <w:pgMar w:left="240" w:top="60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2019-12-08T09:52:20Z</dcterms:created>
  <dcterms:modified xsi:type="dcterms:W3CDTF">2019-12-08T09:52:20Z</dcterms:modified>
</cp:coreProperties>
</file>