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17, 2014</w:t>
      </w:r>
    </w:p>
    <w:p>
      <w:pPr>
        <w:spacing w:after="0" w:line="231" w:lineRule="exact"/>
        <w:rPr>
          <w:sz w:val="24"/>
          <w:szCs w:val="24"/>
          <w:color w:val="auto"/>
        </w:rPr>
      </w:pPr>
    </w:p>
    <w:p>
      <w:pPr>
        <w:ind w:left="8040"/>
        <w:spacing w:after="0"/>
        <w:rPr>
          <w:sz w:val="20"/>
          <w:szCs w:val="20"/>
          <w:color w:val="auto"/>
        </w:rPr>
      </w:pPr>
      <w:r>
        <w:rPr>
          <w:rFonts w:ascii="Arial" w:cs="Arial" w:eastAsia="Arial" w:hAnsi="Arial"/>
          <w:sz w:val="14"/>
          <w:szCs w:val="14"/>
          <w:b w:val="1"/>
          <w:bCs w:val="1"/>
          <w:color w:val="auto"/>
        </w:rPr>
        <w:t>Registration No. 333-194431</w:t>
      </w:r>
    </w:p>
    <w:p>
      <w:pPr>
        <w:spacing w:after="0" w:line="109" w:lineRule="exact"/>
        <w:rPr>
          <w:sz w:val="24"/>
          <w:szCs w:val="24"/>
          <w:color w:val="auto"/>
        </w:rPr>
      </w:pPr>
    </w:p>
    <w:p>
      <w:pPr>
        <w:ind w:left="8040"/>
        <w:spacing w:after="0"/>
        <w:rPr>
          <w:sz w:val="20"/>
          <w:szCs w:val="20"/>
          <w:color w:val="auto"/>
        </w:rPr>
      </w:pPr>
      <w:r>
        <w:rPr>
          <w:rFonts w:ascii="Arial" w:cs="Arial" w:eastAsia="Arial" w:hAnsi="Arial"/>
          <w:sz w:val="12"/>
          <w:szCs w:val="12"/>
          <w:b w:val="1"/>
          <w:bCs w:val="1"/>
          <w:color w:val="auto"/>
        </w:rPr>
        <w:t>Registration No. 333-194431-01</w:t>
      </w:r>
    </w:p>
    <w:p>
      <w:pPr>
        <w:spacing w:after="0" w:line="132" w:lineRule="exact"/>
        <w:rPr>
          <w:sz w:val="24"/>
          <w:szCs w:val="24"/>
          <w:color w:val="auto"/>
        </w:rPr>
      </w:pPr>
    </w:p>
    <w:p>
      <w:pPr>
        <w:ind w:left="8040"/>
        <w:spacing w:after="0"/>
        <w:rPr>
          <w:sz w:val="20"/>
          <w:szCs w:val="20"/>
          <w:color w:val="auto"/>
        </w:rPr>
      </w:pPr>
      <w:r>
        <w:rPr>
          <w:rFonts w:ascii="Arial" w:cs="Arial" w:eastAsia="Arial" w:hAnsi="Arial"/>
          <w:sz w:val="12"/>
          <w:szCs w:val="12"/>
          <w:b w:val="1"/>
          <w:bCs w:val="1"/>
          <w:color w:val="auto"/>
        </w:rPr>
        <w:t>Registration No. 333-194431-02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POST-EFFECTIVE AMENDMENT NO. 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Weatherford International public limited company</w:t>
      </w:r>
    </w:p>
    <w:p>
      <w:pPr>
        <w:ind w:left="4220"/>
        <w:spacing w:after="0"/>
        <w:rPr>
          <w:sz w:val="20"/>
          <w:szCs w:val="20"/>
          <w:color w:val="auto"/>
        </w:rPr>
      </w:pPr>
      <w:r>
        <w:rPr>
          <w:rFonts w:ascii="Arial" w:cs="Arial" w:eastAsia="Arial" w:hAnsi="Arial"/>
          <w:sz w:val="14"/>
          <w:szCs w:val="14"/>
          <w:color w:val="auto"/>
        </w:rPr>
        <w:t>(Exact name of registrant as specified in its charter)</w:t>
      </w:r>
    </w:p>
    <w:p>
      <w:pPr>
        <w:spacing w:after="0" w:line="12" w:lineRule="exact"/>
        <w:rPr>
          <w:sz w:val="24"/>
          <w:szCs w:val="24"/>
          <w:color w:val="auto"/>
        </w:rPr>
      </w:pPr>
    </w:p>
    <w:p>
      <w:pPr>
        <w:ind w:left="5480"/>
        <w:spacing w:after="0"/>
        <w:rPr>
          <w:sz w:val="20"/>
          <w:szCs w:val="20"/>
          <w:color w:val="auto"/>
        </w:rPr>
      </w:pPr>
      <w:r>
        <w:rPr>
          <w:rFonts w:ascii="Arial" w:cs="Arial" w:eastAsia="Arial" w:hAnsi="Arial"/>
          <w:sz w:val="14"/>
          <w:szCs w:val="14"/>
          <w:b w:val="1"/>
          <w:bCs w:val="1"/>
          <w:color w:val="auto"/>
        </w:rPr>
        <w:t>Ireland</w:t>
      </w:r>
    </w:p>
    <w:p>
      <w:pPr>
        <w:spacing w:after="0" w:line="17"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12" w:lineRule="exact"/>
        <w:rPr>
          <w:sz w:val="24"/>
          <w:szCs w:val="24"/>
          <w:color w:val="auto"/>
        </w:rPr>
      </w:pPr>
    </w:p>
    <w:p>
      <w:pPr>
        <w:ind w:left="5360"/>
        <w:spacing w:after="0"/>
        <w:rPr>
          <w:sz w:val="20"/>
          <w:szCs w:val="20"/>
          <w:color w:val="auto"/>
        </w:rPr>
      </w:pPr>
      <w:r>
        <w:rPr>
          <w:rFonts w:ascii="Arial" w:cs="Arial" w:eastAsia="Arial" w:hAnsi="Arial"/>
          <w:sz w:val="14"/>
          <w:szCs w:val="14"/>
          <w:b w:val="1"/>
          <w:bCs w:val="1"/>
          <w:color w:val="auto"/>
        </w:rPr>
        <w:t>98-0606750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(I.R.S. Employer Identification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Bahnhofstrasse 1, 6340 Baar,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47" w:lineRule="exact"/>
        <w:rPr>
          <w:sz w:val="24"/>
          <w:szCs w:val="24"/>
          <w:color w:val="auto"/>
        </w:rPr>
      </w:pPr>
    </w:p>
    <w:tbl>
      <w:tblPr>
        <w:tblLayout w:type="fixed"/>
        <w:tblInd w:w="1840" w:type="dxa"/>
        <w:tblCellMar>
          <w:top w:w="0" w:type="dxa"/>
          <w:left w:w="0" w:type="dxa"/>
          <w:bottom w:w="0" w:type="dxa"/>
          <w:right w:w="0" w:type="dxa"/>
        </w:tblCellMar>
      </w:tblPr>
      <w:tr>
        <w:trPr>
          <w:trHeight w:val="301"/>
        </w:trPr>
        <w:tc>
          <w:tcPr>
            <w:tcW w:w="3860" w:type="dxa"/>
            <w:vAlign w:val="bottom"/>
          </w:tcPr>
          <w:p>
            <w:pPr>
              <w:jc w:val="center"/>
              <w:ind w:right="337"/>
              <w:spacing w:after="0"/>
              <w:rPr>
                <w:sz w:val="20"/>
                <w:szCs w:val="20"/>
                <w:color w:val="auto"/>
              </w:rPr>
            </w:pPr>
            <w:r>
              <w:rPr>
                <w:rFonts w:ascii="Arial" w:cs="Arial" w:eastAsia="Arial" w:hAnsi="Arial"/>
                <w:sz w:val="25"/>
                <w:szCs w:val="25"/>
                <w:b w:val="1"/>
                <w:bCs w:val="1"/>
                <w:color w:val="auto"/>
                <w:w w:val="95"/>
              </w:rPr>
              <w:t>Weatherford International Ltd.</w:t>
            </w:r>
          </w:p>
        </w:tc>
        <w:tc>
          <w:tcPr>
            <w:tcW w:w="3920" w:type="dxa"/>
            <w:vAlign w:val="bottom"/>
          </w:tcPr>
          <w:p>
            <w:pPr>
              <w:jc w:val="center"/>
              <w:ind w:left="317"/>
              <w:spacing w:after="0"/>
              <w:rPr>
                <w:sz w:val="20"/>
                <w:szCs w:val="20"/>
                <w:color w:val="auto"/>
              </w:rPr>
            </w:pPr>
            <w:r>
              <w:rPr>
                <w:rFonts w:ascii="Arial" w:cs="Arial" w:eastAsia="Arial" w:hAnsi="Arial"/>
                <w:sz w:val="25"/>
                <w:szCs w:val="25"/>
                <w:b w:val="1"/>
                <w:bCs w:val="1"/>
                <w:color w:val="auto"/>
                <w:w w:val="95"/>
              </w:rPr>
              <w:t>Weatherford International, LLC</w:t>
            </w:r>
          </w:p>
        </w:tc>
      </w:tr>
      <w:tr>
        <w:trPr>
          <w:trHeight w:val="180"/>
        </w:trPr>
        <w:tc>
          <w:tcPr>
            <w:tcW w:w="3860" w:type="dxa"/>
            <w:vAlign w:val="bottom"/>
          </w:tcPr>
          <w:p>
            <w:pPr>
              <w:jc w:val="center"/>
              <w:ind w:right="337"/>
              <w:spacing w:after="0"/>
              <w:rPr>
                <w:sz w:val="20"/>
                <w:szCs w:val="20"/>
                <w:color w:val="auto"/>
              </w:rPr>
            </w:pPr>
            <w:r>
              <w:rPr>
                <w:rFonts w:ascii="Arial" w:cs="Arial" w:eastAsia="Arial" w:hAnsi="Arial"/>
                <w:sz w:val="14"/>
                <w:szCs w:val="14"/>
                <w:color w:val="auto"/>
                <w:w w:val="93"/>
              </w:rPr>
              <w:t>(Exact name of co-registrant as specified in its charter)</w:t>
            </w:r>
          </w:p>
        </w:tc>
        <w:tc>
          <w:tcPr>
            <w:tcW w:w="3920" w:type="dxa"/>
            <w:vAlign w:val="bottom"/>
          </w:tcPr>
          <w:p>
            <w:pPr>
              <w:jc w:val="center"/>
              <w:ind w:left="317"/>
              <w:spacing w:after="0"/>
              <w:rPr>
                <w:sz w:val="20"/>
                <w:szCs w:val="20"/>
                <w:color w:val="auto"/>
              </w:rPr>
            </w:pPr>
            <w:r>
              <w:rPr>
                <w:rFonts w:ascii="Arial" w:cs="Arial" w:eastAsia="Arial" w:hAnsi="Arial"/>
                <w:sz w:val="14"/>
                <w:szCs w:val="14"/>
                <w:color w:val="auto"/>
                <w:w w:val="93"/>
              </w:rPr>
              <w:t>(Exact name of co-registrant as specified in its charter)</w:t>
            </w:r>
          </w:p>
        </w:tc>
      </w:tr>
      <w:tr>
        <w:trPr>
          <w:trHeight w:val="198"/>
        </w:trPr>
        <w:tc>
          <w:tcPr>
            <w:tcW w:w="3860" w:type="dxa"/>
            <w:vAlign w:val="bottom"/>
          </w:tcPr>
          <w:p>
            <w:pPr>
              <w:jc w:val="center"/>
              <w:ind w:right="377"/>
              <w:spacing w:after="0"/>
              <w:rPr>
                <w:sz w:val="20"/>
                <w:szCs w:val="20"/>
                <w:color w:val="auto"/>
              </w:rPr>
            </w:pPr>
            <w:r>
              <w:rPr>
                <w:rFonts w:ascii="Arial" w:cs="Arial" w:eastAsia="Arial" w:hAnsi="Arial"/>
                <w:sz w:val="16"/>
                <w:szCs w:val="16"/>
                <w:b w:val="1"/>
                <w:bCs w:val="1"/>
                <w:color w:val="auto"/>
                <w:w w:val="92"/>
              </w:rPr>
              <w:t>Bermuda</w:t>
            </w:r>
          </w:p>
        </w:tc>
        <w:tc>
          <w:tcPr>
            <w:tcW w:w="3920" w:type="dxa"/>
            <w:vAlign w:val="bottom"/>
          </w:tcPr>
          <w:p>
            <w:pPr>
              <w:jc w:val="center"/>
              <w:ind w:left="297"/>
              <w:spacing w:after="0"/>
              <w:rPr>
                <w:sz w:val="20"/>
                <w:szCs w:val="20"/>
                <w:color w:val="auto"/>
              </w:rPr>
            </w:pPr>
            <w:r>
              <w:rPr>
                <w:rFonts w:ascii="Arial" w:cs="Arial" w:eastAsia="Arial" w:hAnsi="Arial"/>
                <w:sz w:val="16"/>
                <w:szCs w:val="16"/>
                <w:b w:val="1"/>
                <w:bCs w:val="1"/>
                <w:color w:val="auto"/>
                <w:w w:val="93"/>
              </w:rPr>
              <w:t>Delaware</w:t>
            </w:r>
          </w:p>
        </w:tc>
      </w:tr>
      <w:tr>
        <w:trPr>
          <w:trHeight w:val="180"/>
        </w:trPr>
        <w:tc>
          <w:tcPr>
            <w:tcW w:w="3860" w:type="dxa"/>
            <w:vAlign w:val="bottom"/>
          </w:tcPr>
          <w:p>
            <w:pPr>
              <w:jc w:val="center"/>
              <w:ind w:right="3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20" w:type="dxa"/>
            <w:vAlign w:val="bottom"/>
          </w:tcPr>
          <w:p>
            <w:pPr>
              <w:jc w:val="center"/>
              <w:ind w:left="317"/>
              <w:spacing w:after="0"/>
              <w:rPr>
                <w:sz w:val="20"/>
                <w:szCs w:val="20"/>
                <w:color w:val="auto"/>
              </w:rPr>
            </w:pPr>
            <w:r>
              <w:rPr>
                <w:rFonts w:ascii="Arial" w:cs="Arial" w:eastAsia="Arial" w:hAnsi="Arial"/>
                <w:sz w:val="14"/>
                <w:szCs w:val="14"/>
                <w:color w:val="auto"/>
                <w:w w:val="95"/>
              </w:rPr>
              <w:t>(State or other jurisdiction of incorporation or organization)</w:t>
            </w:r>
          </w:p>
        </w:tc>
      </w:tr>
      <w:tr>
        <w:trPr>
          <w:trHeight w:val="198"/>
        </w:trPr>
        <w:tc>
          <w:tcPr>
            <w:tcW w:w="3860" w:type="dxa"/>
            <w:vAlign w:val="bottom"/>
          </w:tcPr>
          <w:p>
            <w:pPr>
              <w:jc w:val="right"/>
              <w:ind w:right="1677"/>
              <w:spacing w:after="0"/>
              <w:rPr>
                <w:sz w:val="20"/>
                <w:szCs w:val="20"/>
                <w:color w:val="auto"/>
              </w:rPr>
            </w:pPr>
            <w:r>
              <w:rPr>
                <w:rFonts w:ascii="Arial" w:cs="Arial" w:eastAsia="Arial" w:hAnsi="Arial"/>
                <w:sz w:val="16"/>
                <w:szCs w:val="16"/>
                <w:b w:val="1"/>
                <w:bCs w:val="1"/>
                <w:color w:val="auto"/>
              </w:rPr>
              <w:t>98-0371344</w:t>
            </w:r>
          </w:p>
        </w:tc>
        <w:tc>
          <w:tcPr>
            <w:tcW w:w="3920" w:type="dxa"/>
            <w:vAlign w:val="bottom"/>
          </w:tcPr>
          <w:p>
            <w:pPr>
              <w:jc w:val="right"/>
              <w:ind w:right="1297"/>
              <w:spacing w:after="0"/>
              <w:rPr>
                <w:sz w:val="20"/>
                <w:szCs w:val="20"/>
                <w:color w:val="auto"/>
              </w:rPr>
            </w:pPr>
            <w:r>
              <w:rPr>
                <w:rFonts w:ascii="Arial" w:cs="Arial" w:eastAsia="Arial" w:hAnsi="Arial"/>
                <w:sz w:val="16"/>
                <w:szCs w:val="16"/>
                <w:b w:val="1"/>
                <w:bCs w:val="1"/>
                <w:color w:val="auto"/>
              </w:rPr>
              <w:t>33-0430755</w:t>
            </w:r>
          </w:p>
        </w:tc>
      </w:tr>
      <w:tr>
        <w:trPr>
          <w:trHeight w:val="180"/>
        </w:trPr>
        <w:tc>
          <w:tcPr>
            <w:tcW w:w="3860" w:type="dxa"/>
            <w:vAlign w:val="bottom"/>
          </w:tcPr>
          <w:p>
            <w:pPr>
              <w:jc w:val="center"/>
              <w:ind w:right="337"/>
              <w:spacing w:after="0"/>
              <w:rPr>
                <w:sz w:val="20"/>
                <w:szCs w:val="20"/>
                <w:color w:val="auto"/>
              </w:rPr>
            </w:pPr>
            <w:r>
              <w:rPr>
                <w:rFonts w:ascii="Arial" w:cs="Arial" w:eastAsia="Arial" w:hAnsi="Arial"/>
                <w:sz w:val="14"/>
                <w:szCs w:val="14"/>
                <w:color w:val="auto"/>
                <w:w w:val="96"/>
              </w:rPr>
              <w:t>(I.R.S. Employer Identification Number)</w:t>
            </w:r>
          </w:p>
        </w:tc>
        <w:tc>
          <w:tcPr>
            <w:tcW w:w="3920" w:type="dxa"/>
            <w:vAlign w:val="bottom"/>
          </w:tcPr>
          <w:p>
            <w:pPr>
              <w:jc w:val="center"/>
              <w:ind w:left="337"/>
              <w:spacing w:after="0"/>
              <w:rPr>
                <w:sz w:val="20"/>
                <w:szCs w:val="20"/>
                <w:color w:val="auto"/>
              </w:rPr>
            </w:pPr>
            <w:r>
              <w:rPr>
                <w:rFonts w:ascii="Arial" w:cs="Arial" w:eastAsia="Arial" w:hAnsi="Arial"/>
                <w:sz w:val="14"/>
                <w:szCs w:val="14"/>
                <w:color w:val="auto"/>
                <w:w w:val="96"/>
              </w:rPr>
              <w:t>(I.R.S. Employer Identification Number)</w:t>
            </w:r>
          </w:p>
        </w:tc>
      </w:tr>
      <w:tr>
        <w:trPr>
          <w:trHeight w:val="203"/>
        </w:trPr>
        <w:tc>
          <w:tcPr>
            <w:tcW w:w="3860" w:type="dxa"/>
            <w:vAlign w:val="bottom"/>
          </w:tcPr>
          <w:p>
            <w:pPr>
              <w:jc w:val="center"/>
              <w:ind w:right="377"/>
              <w:spacing w:after="0"/>
              <w:rPr>
                <w:sz w:val="20"/>
                <w:szCs w:val="20"/>
                <w:color w:val="auto"/>
              </w:rPr>
            </w:pPr>
            <w:r>
              <w:rPr>
                <w:rFonts w:ascii="Arial" w:cs="Arial" w:eastAsia="Arial" w:hAnsi="Arial"/>
                <w:sz w:val="16"/>
                <w:szCs w:val="16"/>
                <w:b w:val="1"/>
                <w:bCs w:val="1"/>
                <w:color w:val="auto"/>
                <w:w w:val="88"/>
              </w:rPr>
              <w:t>2000 St. James Place</w:t>
            </w:r>
            <w:r>
              <w:rPr>
                <w:rFonts w:ascii="Arial" w:cs="Arial" w:eastAsia="Arial" w:hAnsi="Arial"/>
                <w:sz w:val="16"/>
                <w:szCs w:val="16"/>
                <w:color w:val="auto"/>
                <w:w w:val="88"/>
              </w:rPr>
              <w:t>,</w:t>
            </w:r>
            <w:r>
              <w:rPr>
                <w:rFonts w:ascii="Arial" w:cs="Arial" w:eastAsia="Arial" w:hAnsi="Arial"/>
                <w:sz w:val="16"/>
                <w:szCs w:val="16"/>
                <w:b w:val="1"/>
                <w:bCs w:val="1"/>
                <w:color w:val="auto"/>
                <w:w w:val="88"/>
              </w:rPr>
              <w:t xml:space="preserve"> Houston, Texas 77056</w:t>
            </w:r>
          </w:p>
        </w:tc>
        <w:tc>
          <w:tcPr>
            <w:tcW w:w="3920" w:type="dxa"/>
            <w:vAlign w:val="bottom"/>
          </w:tcPr>
          <w:p>
            <w:pPr>
              <w:jc w:val="center"/>
              <w:ind w:left="297"/>
              <w:spacing w:after="0"/>
              <w:rPr>
                <w:sz w:val="20"/>
                <w:szCs w:val="20"/>
                <w:color w:val="auto"/>
              </w:rPr>
            </w:pPr>
            <w:r>
              <w:rPr>
                <w:rFonts w:ascii="Arial" w:cs="Arial" w:eastAsia="Arial" w:hAnsi="Arial"/>
                <w:sz w:val="16"/>
                <w:szCs w:val="16"/>
                <w:b w:val="1"/>
                <w:bCs w:val="1"/>
                <w:color w:val="auto"/>
                <w:w w:val="89"/>
              </w:rPr>
              <w:t>2000 St. James Place</w:t>
            </w:r>
            <w:r>
              <w:rPr>
                <w:rFonts w:ascii="Arial" w:cs="Arial" w:eastAsia="Arial" w:hAnsi="Arial"/>
                <w:sz w:val="16"/>
                <w:szCs w:val="16"/>
                <w:color w:val="auto"/>
                <w:w w:val="89"/>
              </w:rPr>
              <w:t>,</w:t>
            </w:r>
            <w:r>
              <w:rPr>
                <w:rFonts w:ascii="Arial" w:cs="Arial" w:eastAsia="Arial" w:hAnsi="Arial"/>
                <w:sz w:val="16"/>
                <w:szCs w:val="16"/>
                <w:b w:val="1"/>
                <w:bCs w:val="1"/>
                <w:color w:val="auto"/>
                <w:w w:val="89"/>
              </w:rPr>
              <w:t xml:space="preserve"> Houston, Texas 77056</w:t>
            </w:r>
          </w:p>
        </w:tc>
      </w:tr>
      <w:tr>
        <w:trPr>
          <w:trHeight w:val="210"/>
        </w:trPr>
        <w:tc>
          <w:tcPr>
            <w:tcW w:w="3860" w:type="dxa"/>
            <w:vAlign w:val="bottom"/>
          </w:tcPr>
          <w:p>
            <w:pPr>
              <w:jc w:val="right"/>
              <w:ind w:right="1577"/>
              <w:spacing w:after="0"/>
              <w:rPr>
                <w:sz w:val="20"/>
                <w:szCs w:val="20"/>
                <w:color w:val="auto"/>
              </w:rPr>
            </w:pPr>
            <w:r>
              <w:rPr>
                <w:rFonts w:ascii="Arial" w:cs="Arial" w:eastAsia="Arial" w:hAnsi="Arial"/>
                <w:sz w:val="16"/>
                <w:szCs w:val="16"/>
                <w:b w:val="1"/>
                <w:bCs w:val="1"/>
                <w:color w:val="auto"/>
              </w:rPr>
              <w:t>(713) 836-4000</w:t>
            </w:r>
          </w:p>
        </w:tc>
        <w:tc>
          <w:tcPr>
            <w:tcW w:w="3920" w:type="dxa"/>
            <w:vAlign w:val="bottom"/>
          </w:tcPr>
          <w:p>
            <w:pPr>
              <w:jc w:val="right"/>
              <w:ind w:right="1177"/>
              <w:spacing w:after="0"/>
              <w:rPr>
                <w:sz w:val="20"/>
                <w:szCs w:val="20"/>
                <w:color w:val="auto"/>
              </w:rPr>
            </w:pPr>
            <w:r>
              <w:rPr>
                <w:rFonts w:ascii="Arial" w:cs="Arial" w:eastAsia="Arial" w:hAnsi="Arial"/>
                <w:sz w:val="16"/>
                <w:szCs w:val="16"/>
                <w:b w:val="1"/>
                <w:bCs w:val="1"/>
                <w:color w:val="auto"/>
              </w:rPr>
              <w:t>(713) 836-4000</w:t>
            </w:r>
          </w:p>
        </w:tc>
      </w:tr>
    </w:tbl>
    <w:p>
      <w:pPr>
        <w:spacing w:after="0" w:line="1" w:lineRule="exact"/>
        <w:rPr>
          <w:sz w:val="24"/>
          <w:szCs w:val="24"/>
          <w:color w:val="auto"/>
        </w:rPr>
      </w:pPr>
    </w:p>
    <w:p>
      <w:pPr>
        <w:sectPr>
          <w:pgSz w:w="11900" w:h="16838" w:orient="portrait"/>
          <w:cols w:equalWidth="0" w:num="1">
            <w:col w:w="11420"/>
          </w:cols>
          <w:pgMar w:left="240" w:top="225" w:right="239" w:bottom="1440" w:gutter="0" w:footer="0" w:header="0"/>
        </w:sectPr>
      </w:pPr>
    </w:p>
    <w:p>
      <w:pPr>
        <w:jc w:val="center"/>
        <w:ind w:left="1640"/>
        <w:spacing w:after="0"/>
        <w:rPr>
          <w:sz w:val="20"/>
          <w:szCs w:val="20"/>
          <w:color w:val="auto"/>
        </w:rPr>
      </w:pPr>
      <w:r>
        <w:rPr>
          <w:rFonts w:ascii="Arial" w:cs="Arial" w:eastAsia="Arial" w:hAnsi="Arial"/>
          <w:sz w:val="12"/>
          <w:szCs w:val="12"/>
          <w:color w:val="auto"/>
        </w:rPr>
        <w:t>(Address, including zip code, and telephone number, including area</w:t>
      </w:r>
    </w:p>
    <w:p>
      <w:pPr>
        <w:spacing w:after="0" w:line="11" w:lineRule="exact"/>
        <w:rPr>
          <w:sz w:val="24"/>
          <w:szCs w:val="24"/>
          <w:color w:val="auto"/>
        </w:rPr>
      </w:pPr>
    </w:p>
    <w:p>
      <w:pPr>
        <w:jc w:val="center"/>
        <w:ind w:left="1600"/>
        <w:spacing w:after="0"/>
        <w:rPr>
          <w:sz w:val="20"/>
          <w:szCs w:val="20"/>
          <w:color w:val="auto"/>
        </w:rPr>
      </w:pPr>
      <w:r>
        <w:rPr>
          <w:rFonts w:ascii="Arial" w:cs="Arial" w:eastAsia="Arial" w:hAnsi="Arial"/>
          <w:sz w:val="14"/>
          <w:szCs w:val="14"/>
          <w:color w:val="auto"/>
        </w:rPr>
        <w:t>code, of co-registrant’s principal executive offices)</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3"/>
          <w:szCs w:val="13"/>
          <w:color w:val="auto"/>
        </w:rPr>
        <w:t>(Address, including zip code, and telephone number, including area</w:t>
      </w:r>
    </w:p>
    <w:p>
      <w:pPr>
        <w:jc w:val="center"/>
        <w:ind w:right="1620"/>
        <w:spacing w:after="0"/>
        <w:rPr>
          <w:sz w:val="20"/>
          <w:szCs w:val="20"/>
          <w:color w:val="auto"/>
        </w:rPr>
      </w:pPr>
      <w:r>
        <w:rPr>
          <w:rFonts w:ascii="Arial" w:cs="Arial" w:eastAsia="Arial" w:hAnsi="Arial"/>
          <w:sz w:val="14"/>
          <w:szCs w:val="14"/>
          <w:color w:val="auto"/>
        </w:rPr>
        <w:t>code, of co-registrant’s principal executive offices)</w:t>
      </w:r>
    </w:p>
    <w:p>
      <w:pPr>
        <w:spacing w:after="0" w:line="66" w:lineRule="exact"/>
        <w:rPr>
          <w:sz w:val="24"/>
          <w:szCs w:val="24"/>
          <w:color w:val="auto"/>
        </w:rPr>
      </w:pPr>
    </w:p>
    <w:p>
      <w:pPr>
        <w:sectPr>
          <w:pgSz w:w="11900" w:h="16838" w:orient="portrait"/>
          <w:cols w:equalWidth="0" w:num="2">
            <w:col w:w="5520" w:space="420"/>
            <w:col w:w="548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Alejandro Cestero</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Weatherford International plc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Vice President, Co-General Counsel and Secretary</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2000 St. James Place</w:t>
      </w:r>
      <w:r>
        <w:rPr>
          <w:rFonts w:ascii="Arial" w:cs="Arial" w:eastAsia="Arial" w:hAnsi="Arial"/>
          <w:sz w:val="14"/>
          <w:szCs w:val="14"/>
          <w:color w:val="auto"/>
        </w:rPr>
        <w:t>,</w:t>
      </w:r>
      <w:r>
        <w:rPr>
          <w:rFonts w:ascii="Arial" w:cs="Arial" w:eastAsia="Arial" w:hAnsi="Arial"/>
          <w:sz w:val="14"/>
          <w:szCs w:val="14"/>
          <w:b w:val="1"/>
          <w:bCs w:val="1"/>
          <w:color w:val="auto"/>
        </w:rPr>
        <w:t xml:space="preserve"> Houston, Texas 77056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(713) 836-4000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With a copy to</w:t>
      </w:r>
      <w:r>
        <w:rPr>
          <w:rFonts w:ascii="Arial" w:cs="Arial" w:eastAsia="Arial" w:hAnsi="Arial"/>
          <w:sz w:val="14"/>
          <w:szCs w:val="14"/>
          <w:color w:val="auto"/>
        </w:rPr>
        <w: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Jonathan B. Newton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Baker &amp; McKenzie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700 Louisiana, Suite 3000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Houston, Texas 77002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(713) 427-5000</w:t>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69"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25"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5" w:lineRule="exact"/>
        <w:rPr>
          <w:sz w:val="24"/>
          <w:szCs w:val="24"/>
          <w:color w:val="auto"/>
        </w:rPr>
      </w:pPr>
    </w:p>
    <w:p>
      <w:pPr>
        <w:ind w:left="340"/>
        <w:spacing w:after="0"/>
        <w:tabs>
          <w:tab w:leader="none" w:pos="26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3"/>
          <w:szCs w:val="13"/>
          <w:color w:val="auto"/>
        </w:rPr>
        <w:t>Accelerated filer o</w:t>
      </w:r>
    </w:p>
    <w:p>
      <w:pPr>
        <w:spacing w:after="0" w:line="13" w:lineRule="exact"/>
        <w:rPr>
          <w:sz w:val="24"/>
          <w:szCs w:val="24"/>
          <w:color w:val="auto"/>
        </w:rPr>
      </w:pPr>
    </w:p>
    <w:p>
      <w:pPr>
        <w:ind w:left="340"/>
        <w:spacing w:after="0"/>
        <w:tabs>
          <w:tab w:leader="none" w:pos="4700" w:val="left"/>
        </w:tabs>
        <w:rPr>
          <w:sz w:val="20"/>
          <w:szCs w:val="20"/>
          <w:color w:val="auto"/>
        </w:rPr>
      </w:pPr>
      <w:r>
        <w:rPr>
          <w:rFonts w:ascii="Arial" w:cs="Arial" w:eastAsia="Arial" w:hAnsi="Arial"/>
          <w:sz w:val="14"/>
          <w:szCs w:val="14"/>
          <w:color w:val="auto"/>
        </w:rPr>
        <w:t>Non-accelerated filer o (Do not check if smaller reporting company)</w:t>
      </w:r>
      <w:r>
        <w:rPr>
          <w:sz w:val="20"/>
          <w:szCs w:val="20"/>
          <w:color w:val="auto"/>
        </w:rPr>
        <w:tab/>
      </w:r>
      <w:r>
        <w:rPr>
          <w:rFonts w:ascii="Arial" w:cs="Arial" w:eastAsia="Arial" w:hAnsi="Arial"/>
          <w:sz w:val="13"/>
          <w:szCs w:val="13"/>
          <w:color w:val="auto"/>
        </w:rPr>
        <w:t>Smaller reporting company o</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left="340"/>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97790</wp:posOffset>
            </wp:positionV>
            <wp:extent cx="5883275" cy="1655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3275" cy="1655445"/>
                    </a:xfrm>
                    <a:prstGeom prst="rect">
                      <a:avLst/>
                    </a:prstGeom>
                    <a:noFill/>
                  </pic:spPr>
                </pic:pic>
              </a:graphicData>
            </a:graphic>
          </wp:anchor>
        </w:drawing>
      </w:r>
    </w:p>
    <w:p>
      <w:pPr>
        <w:spacing w:after="0" w:line="193" w:lineRule="exact"/>
        <w:rPr>
          <w:sz w:val="20"/>
          <w:szCs w:val="20"/>
          <w:color w:val="auto"/>
        </w:rPr>
      </w:pPr>
    </w:p>
    <w:tbl>
      <w:tblPr>
        <w:tblLayout w:type="fixed"/>
        <w:tblInd w:w="2772"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80" w:type="dxa"/>
            <w:vAlign w:val="bottom"/>
          </w:tcPr>
          <w:p>
            <w:pPr>
              <w:jc w:val="center"/>
              <w:ind w:left="808"/>
              <w:spacing w:after="0"/>
              <w:rPr>
                <w:sz w:val="20"/>
                <w:szCs w:val="20"/>
                <w:color w:val="auto"/>
              </w:rPr>
            </w:pPr>
            <w:r>
              <w:rPr>
                <w:rFonts w:ascii="Arial" w:cs="Arial" w:eastAsia="Arial" w:hAnsi="Arial"/>
                <w:sz w:val="14"/>
                <w:szCs w:val="14"/>
                <w:b w:val="1"/>
                <w:bCs w:val="1"/>
                <w:color w:val="auto"/>
                <w:w w:val="91"/>
              </w:rPr>
              <w:t>Amount to be registered/</w:t>
            </w:r>
          </w:p>
        </w:tc>
      </w:tr>
      <w:tr>
        <w:trPr>
          <w:trHeight w:val="149"/>
        </w:trPr>
        <w:tc>
          <w:tcPr>
            <w:tcW w:w="3720" w:type="dxa"/>
            <w:vAlign w:val="bottom"/>
          </w:tcPr>
          <w:p>
            <w:pPr>
              <w:spacing w:after="0"/>
              <w:rPr>
                <w:sz w:val="12"/>
                <w:szCs w:val="12"/>
                <w:color w:val="auto"/>
              </w:rPr>
            </w:pPr>
          </w:p>
        </w:tc>
        <w:tc>
          <w:tcPr>
            <w:tcW w:w="368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2"/>
              </w:rPr>
              <w:t>Proposed maximum offering price per unit/</w:t>
            </w:r>
          </w:p>
        </w:tc>
      </w:tr>
      <w:tr>
        <w:trPr>
          <w:trHeight w:val="149"/>
        </w:trPr>
        <w:tc>
          <w:tcPr>
            <w:tcW w:w="3720" w:type="dxa"/>
            <w:vAlign w:val="bottom"/>
          </w:tcPr>
          <w:p>
            <w:pPr>
              <w:spacing w:after="0"/>
              <w:rPr>
                <w:sz w:val="12"/>
                <w:szCs w:val="12"/>
                <w:color w:val="auto"/>
              </w:rPr>
            </w:pPr>
          </w:p>
        </w:tc>
        <w:tc>
          <w:tcPr>
            <w:tcW w:w="368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2"/>
              </w:rPr>
              <w:t>Proposed maximum aggregate offering price/</w:t>
            </w:r>
          </w:p>
        </w:tc>
      </w:tr>
      <w:tr>
        <w:trPr>
          <w:trHeight w:val="213"/>
        </w:trPr>
        <w:tc>
          <w:tcPr>
            <w:tcW w:w="3720" w:type="dxa"/>
            <w:vAlign w:val="bottom"/>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680" w:type="dxa"/>
            <w:vAlign w:val="bottom"/>
          </w:tcPr>
          <w:p>
            <w:pPr>
              <w:jc w:val="center"/>
              <w:ind w:left="828"/>
              <w:spacing w:after="0"/>
              <w:rPr>
                <w:sz w:val="20"/>
                <w:szCs w:val="20"/>
                <w:color w:val="auto"/>
              </w:rPr>
            </w:pPr>
            <w:r>
              <w:rPr>
                <w:rFonts w:ascii="Arial" w:cs="Arial" w:eastAsia="Arial" w:hAnsi="Arial"/>
                <w:sz w:val="14"/>
                <w:szCs w:val="14"/>
                <w:b w:val="1"/>
                <w:bCs w:val="1"/>
                <w:color w:val="auto"/>
                <w:w w:val="92"/>
              </w:rPr>
              <w:t>Amount of registration fee (1)</w:t>
            </w:r>
          </w:p>
        </w:tc>
      </w:tr>
    </w:tbl>
    <w:p>
      <w:pPr>
        <w:spacing w:after="0" w:line="43"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Ordinary shares, par value $.001 USD per share, of Weatherford International plc</w:t>
      </w:r>
    </w:p>
    <w:p>
      <w:pPr>
        <w:spacing w:after="0" w:line="22"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(“Weatherford Ireland”) (2)</w:t>
      </w:r>
    </w:p>
    <w:p>
      <w:pPr>
        <w:spacing w:after="0" w:line="82"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Debt securities of Weatherford International Ltd. (“Weatherford Bermuda”) (2)(3)</w:t>
      </w:r>
    </w:p>
    <w:p>
      <w:pPr>
        <w:spacing w:after="0" w:line="86"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Debt securities of Weatherford International, LLC (“Weatherford Delaware”) (2)(3)</w:t>
      </w:r>
    </w:p>
    <w:p>
      <w:pPr>
        <w:spacing w:after="0" w:line="86"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Guarantees of Weatherford Ireland (2)(3)</w:t>
      </w:r>
    </w:p>
    <w:p>
      <w:pPr>
        <w:spacing w:after="0" w:line="86"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Guarantees of Weatherford Bermuda (2)(3)</w:t>
      </w:r>
    </w:p>
    <w:p>
      <w:pPr>
        <w:spacing w:after="0" w:line="86" w:lineRule="exact"/>
        <w:rPr>
          <w:sz w:val="20"/>
          <w:szCs w:val="20"/>
          <w:color w:val="auto"/>
        </w:rPr>
      </w:pPr>
    </w:p>
    <w:p>
      <w:pPr>
        <w:ind w:left="1152"/>
        <w:spacing w:after="0"/>
        <w:rPr>
          <w:sz w:val="20"/>
          <w:szCs w:val="20"/>
          <w:color w:val="auto"/>
        </w:rPr>
      </w:pPr>
      <w:r>
        <w:rPr>
          <w:rFonts w:ascii="Arial" w:cs="Arial" w:eastAsia="Arial" w:hAnsi="Arial"/>
          <w:sz w:val="16"/>
          <w:szCs w:val="16"/>
          <w:color w:val="auto"/>
        </w:rPr>
        <w:t>Guarantees of Weatherford Delaware (2)(3)</w:t>
      </w:r>
    </w:p>
    <w:p>
      <w:pPr>
        <w:spacing w:after="0" w:line="293" w:lineRule="exact"/>
        <w:rPr>
          <w:sz w:val="20"/>
          <w:szCs w:val="20"/>
          <w:color w:val="auto"/>
        </w:rPr>
      </w:pPr>
    </w:p>
    <w:p>
      <w:pPr>
        <w:jc w:val="both"/>
        <w:ind w:left="332" w:hanging="332"/>
        <w:spacing w:after="0" w:line="246"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initial offering price, principal amount or number of securities of each identified class is being registered as may from time to time be issued at indeterminate prices. Separate consideration may or may not be received for securities that are being registered that are issued in exchange for, or upon conversion or exercise of, the securities being registered hereunder. In accordance with Rules 456(b) and 457(r) under the Securities Act of 1933, as amended, the registrants are deferring payment of all of the registration fee and will pay the registration fee subsequently in advance or on a pay-as-you-go basis.</w:t>
      </w:r>
    </w:p>
    <w:p>
      <w:pPr>
        <w:ind w:left="332" w:hanging="332"/>
        <w:spacing w:after="0" w:line="241" w:lineRule="auto"/>
        <w:tabs>
          <w:tab w:leader="none" w:pos="332"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covers an indeterminate number of ordinary shares of Weatherford Ireland, debt securities of Weatherford Bermuda (and related guarantees of Weatherford Ireland and Weatherford Delaware) and debt securities of Weatherford Delaware (and related guarantees of Weatherford Ireland and Weatherford Bermuda).</w:t>
      </w:r>
    </w:p>
    <w:p>
      <w:pPr>
        <w:ind w:left="332" w:hanging="332"/>
        <w:spacing w:after="0" w:line="266" w:lineRule="auto"/>
        <w:tabs>
          <w:tab w:leader="none" w:pos="332" w:val="left"/>
        </w:tabs>
        <w:numPr>
          <w:ilvl w:val="0"/>
          <w:numId w:val="1"/>
        </w:numPr>
        <w:rPr>
          <w:rFonts w:ascii="Arial" w:cs="Arial" w:eastAsia="Arial" w:hAnsi="Arial"/>
          <w:sz w:val="13"/>
          <w:szCs w:val="13"/>
          <w:color w:val="auto"/>
        </w:rPr>
      </w:pPr>
      <w:r>
        <w:rPr>
          <w:rFonts w:ascii="Arial" w:cs="Arial" w:eastAsia="Arial" w:hAnsi="Arial"/>
          <w:sz w:val="13"/>
          <w:szCs w:val="13"/>
          <w:color w:val="auto"/>
        </w:rPr>
        <w:t>Debt securities issued by Weatherford Bermuda may be guaranteed by Weatherford Ireland and Weatherford Delaware. Debt securities issued by Weatherford Delaware may be guaranteed by Weatherford Ireland and Weatherford Bermuda. In accordance with Rule 457(n), no separate fee is payable with respect to the guarantees of the debt securities being registered.</w:t>
      </w:r>
    </w:p>
    <w:p>
      <w:pPr>
        <w:spacing w:after="0" w:line="1" w:lineRule="exact"/>
        <w:rPr>
          <w:sz w:val="20"/>
          <w:szCs w:val="20"/>
          <w:color w:val="auto"/>
        </w:rPr>
      </w:pPr>
    </w:p>
    <w:p>
      <w:pPr>
        <w:ind w:left="4272"/>
        <w:spacing w:after="0"/>
        <w:rPr>
          <w:sz w:val="20"/>
          <w:szCs w:val="20"/>
          <w:color w:val="auto"/>
        </w:rPr>
      </w:pPr>
      <w:r>
        <w:rPr>
          <w:rFonts w:ascii="Arial" w:cs="Arial" w:eastAsia="Arial" w:hAnsi="Arial"/>
          <w:sz w:val="18"/>
          <w:szCs w:val="18"/>
          <w:color w:val="auto"/>
        </w:rPr>
        <w:t>________________________________</w:t>
      </w:r>
    </w:p>
    <w:p>
      <w:pPr>
        <w:sectPr>
          <w:pgSz w:w="11900" w:h="16838" w:orient="portrait"/>
          <w:cols w:equalWidth="0" w:num="1">
            <w:col w:w="11412"/>
          </w:cols>
          <w:pgMar w:left="248" w:top="58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Post-Effective Amendment No. 1 to Registration Statement on Form S-3 (File No. 333-</w:t>
      </w:r>
      <w:r>
        <w:rPr>
          <w:rFonts w:ascii="Arial" w:cs="Arial" w:eastAsia="Arial" w:hAnsi="Arial"/>
          <w:sz w:val="15"/>
          <w:szCs w:val="15"/>
          <w:color w:val="auto"/>
        </w:rPr>
        <w:t>194431</w:t>
      </w:r>
      <w:r>
        <w:rPr>
          <w:rFonts w:ascii="Arial" w:cs="Arial" w:eastAsia="Arial" w:hAnsi="Arial"/>
          <w:sz w:val="17"/>
          <w:szCs w:val="17"/>
          <w:color w:val="auto"/>
        </w:rPr>
        <w:t>) (as amended, this “Registration Statement”) is being filed pursuant to Rule 414 of the Securities Act of 1933, as amended (the “Securities Act”), by Weatherford International plc, a public limited company organized under the laws of Ireland ( “Weatherford Ireland”), as successor issuer to Weatherford International Ltd., a Swiss joint-stock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Consequently, ordinary shares and guarantees of Weatherford Ireland will henceforth be issuable under this Registration Statement in lieu of registered shares and guarantees of Weatherford Switzerland. Weatherford Ireland hereby expressly adopts the Registration Statement as its own registration statement for all purposes of the Securities Act and the Securities Exchange Act of 1934, as amended (the “Exchange Act”).</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154940</wp:posOffset>
            </wp:positionV>
            <wp:extent cx="164655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Weatherford International plc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Irish public limited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 of Debt Securities</w:t>
      </w:r>
    </w:p>
    <w:p>
      <w:pPr>
        <w:spacing w:after="0" w:line="355"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4060" w:type="dxa"/>
            <w:vAlign w:val="bottom"/>
          </w:tcPr>
          <w:p>
            <w:pPr>
              <w:jc w:val="center"/>
              <w:ind w:right="76"/>
              <w:spacing w:after="0"/>
              <w:rPr>
                <w:sz w:val="20"/>
                <w:szCs w:val="20"/>
                <w:color w:val="auto"/>
              </w:rPr>
            </w:pPr>
            <w:r>
              <w:rPr>
                <w:rFonts w:ascii="Arial" w:cs="Arial" w:eastAsia="Arial" w:hAnsi="Arial"/>
                <w:sz w:val="29"/>
                <w:szCs w:val="29"/>
                <w:b w:val="1"/>
                <w:bCs w:val="1"/>
                <w:color w:val="auto"/>
                <w:w w:val="93"/>
              </w:rPr>
              <w:t>Weatherford International Ltd.</w:t>
            </w:r>
          </w:p>
        </w:tc>
        <w:tc>
          <w:tcPr>
            <w:tcW w:w="4200" w:type="dxa"/>
            <w:vAlign w:val="bottom"/>
          </w:tcPr>
          <w:p>
            <w:pPr>
              <w:jc w:val="center"/>
              <w:ind w:left="76"/>
              <w:spacing w:after="0"/>
              <w:rPr>
                <w:sz w:val="20"/>
                <w:szCs w:val="20"/>
                <w:color w:val="auto"/>
              </w:rPr>
            </w:pPr>
            <w:r>
              <w:rPr>
                <w:rFonts w:ascii="Arial" w:cs="Arial" w:eastAsia="Arial" w:hAnsi="Arial"/>
                <w:sz w:val="29"/>
                <w:szCs w:val="29"/>
                <w:b w:val="1"/>
                <w:bCs w:val="1"/>
                <w:color w:val="auto"/>
                <w:w w:val="94"/>
              </w:rPr>
              <w:t>Weatherford International, LLC</w:t>
            </w:r>
          </w:p>
        </w:tc>
      </w:tr>
      <w:tr>
        <w:trPr>
          <w:trHeight w:val="234"/>
        </w:trPr>
        <w:tc>
          <w:tcPr>
            <w:tcW w:w="4060" w:type="dxa"/>
            <w:vAlign w:val="bottom"/>
          </w:tcPr>
          <w:p>
            <w:pPr>
              <w:jc w:val="center"/>
              <w:ind w:right="76"/>
              <w:spacing w:after="0"/>
              <w:rPr>
                <w:sz w:val="20"/>
                <w:szCs w:val="20"/>
                <w:color w:val="auto"/>
              </w:rPr>
            </w:pPr>
            <w:r>
              <w:rPr>
                <w:rFonts w:ascii="Arial" w:cs="Arial" w:eastAsia="Arial" w:hAnsi="Arial"/>
                <w:sz w:val="18"/>
                <w:szCs w:val="18"/>
                <w:b w:val="1"/>
                <w:bCs w:val="1"/>
                <w:color w:val="auto"/>
                <w:w w:val="90"/>
              </w:rPr>
              <w:t>(a Bermuda exempted company )</w:t>
            </w:r>
          </w:p>
        </w:tc>
        <w:tc>
          <w:tcPr>
            <w:tcW w:w="4200" w:type="dxa"/>
            <w:vAlign w:val="bottom"/>
          </w:tcPr>
          <w:p>
            <w:pPr>
              <w:jc w:val="center"/>
              <w:ind w:left="76"/>
              <w:spacing w:after="0"/>
              <w:rPr>
                <w:sz w:val="20"/>
                <w:szCs w:val="20"/>
                <w:color w:val="auto"/>
              </w:rPr>
            </w:pPr>
            <w:r>
              <w:rPr>
                <w:rFonts w:ascii="Arial" w:cs="Arial" w:eastAsia="Arial" w:hAnsi="Arial"/>
                <w:sz w:val="18"/>
                <w:szCs w:val="18"/>
                <w:b w:val="1"/>
                <w:bCs w:val="1"/>
                <w:color w:val="auto"/>
                <w:w w:val="91"/>
              </w:rPr>
              <w:t>(a Delaware limited liability company)</w:t>
            </w:r>
          </w:p>
        </w:tc>
      </w:tr>
      <w:tr>
        <w:trPr>
          <w:trHeight w:val="414"/>
        </w:trPr>
        <w:tc>
          <w:tcPr>
            <w:tcW w:w="4060" w:type="dxa"/>
            <w:vAlign w:val="bottom"/>
          </w:tcPr>
          <w:p>
            <w:pPr>
              <w:jc w:val="center"/>
              <w:ind w:right="76"/>
              <w:spacing w:after="0"/>
              <w:rPr>
                <w:sz w:val="20"/>
                <w:szCs w:val="20"/>
                <w:color w:val="auto"/>
              </w:rPr>
            </w:pPr>
            <w:r>
              <w:rPr>
                <w:rFonts w:ascii="Arial" w:cs="Arial" w:eastAsia="Arial" w:hAnsi="Arial"/>
                <w:sz w:val="18"/>
                <w:szCs w:val="18"/>
                <w:b w:val="1"/>
                <w:bCs w:val="1"/>
                <w:color w:val="auto"/>
                <w:w w:val="88"/>
              </w:rPr>
              <w:t>Debt Securities</w:t>
            </w:r>
          </w:p>
        </w:tc>
        <w:tc>
          <w:tcPr>
            <w:tcW w:w="4200" w:type="dxa"/>
            <w:vAlign w:val="bottom"/>
          </w:tcPr>
          <w:p>
            <w:pPr>
              <w:jc w:val="center"/>
              <w:ind w:left="76"/>
              <w:spacing w:after="0"/>
              <w:rPr>
                <w:sz w:val="20"/>
                <w:szCs w:val="20"/>
                <w:color w:val="auto"/>
              </w:rPr>
            </w:pPr>
            <w:r>
              <w:rPr>
                <w:rFonts w:ascii="Arial" w:cs="Arial" w:eastAsia="Arial" w:hAnsi="Arial"/>
                <w:sz w:val="18"/>
                <w:szCs w:val="18"/>
                <w:b w:val="1"/>
                <w:bCs w:val="1"/>
                <w:color w:val="auto"/>
                <w:w w:val="90"/>
              </w:rPr>
              <w:t>Debt Securities</w:t>
            </w:r>
          </w:p>
        </w:tc>
      </w:tr>
      <w:tr>
        <w:trPr>
          <w:trHeight w:val="234"/>
        </w:trPr>
        <w:tc>
          <w:tcPr>
            <w:tcW w:w="4060" w:type="dxa"/>
            <w:vAlign w:val="bottom"/>
          </w:tcPr>
          <w:p>
            <w:pPr>
              <w:jc w:val="center"/>
              <w:ind w:right="76"/>
              <w:spacing w:after="0"/>
              <w:rPr>
                <w:sz w:val="20"/>
                <w:szCs w:val="20"/>
                <w:color w:val="auto"/>
              </w:rPr>
            </w:pPr>
            <w:r>
              <w:rPr>
                <w:rFonts w:ascii="Arial" w:cs="Arial" w:eastAsia="Arial" w:hAnsi="Arial"/>
                <w:sz w:val="18"/>
                <w:szCs w:val="18"/>
                <w:b w:val="1"/>
                <w:bCs w:val="1"/>
                <w:color w:val="auto"/>
                <w:w w:val="88"/>
              </w:rPr>
              <w:t>Guarantees of Debt Securities</w:t>
            </w:r>
          </w:p>
        </w:tc>
        <w:tc>
          <w:tcPr>
            <w:tcW w:w="4200" w:type="dxa"/>
            <w:vAlign w:val="bottom"/>
          </w:tcPr>
          <w:p>
            <w:pPr>
              <w:jc w:val="center"/>
              <w:ind w:left="76"/>
              <w:spacing w:after="0"/>
              <w:rPr>
                <w:sz w:val="20"/>
                <w:szCs w:val="20"/>
                <w:color w:val="auto"/>
              </w:rPr>
            </w:pPr>
            <w:r>
              <w:rPr>
                <w:rFonts w:ascii="Arial" w:cs="Arial" w:eastAsia="Arial" w:hAnsi="Arial"/>
                <w:sz w:val="18"/>
                <w:szCs w:val="18"/>
                <w:b w:val="1"/>
                <w:bCs w:val="1"/>
                <w:color w:val="auto"/>
                <w:w w:val="89"/>
              </w:rPr>
              <w:t>Guarantees of Debt Securities</w:t>
            </w:r>
          </w:p>
        </w:tc>
      </w:tr>
    </w:tbl>
    <w:p>
      <w:pPr>
        <w:spacing w:after="0" w:line="1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Investing in our securities involves risk. You should carefully review the risks and uncertainties described under the headings “Forward-Looking Statements” on page 3 and “Risk Factors” on page 4 herein and in the applicable prospectus supplement and any related free writing prospectus and under similar headings in the other documents incorporated by reference into this prospectus and the accompanying prospectus supplement.</w:t>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June 17, 2014.</w:t>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980" w:type="dxa"/>
            <w:vAlign w:val="bottom"/>
          </w:tcPr>
          <w:p>
            <w:pPr>
              <w:ind w:left="60"/>
              <w:spacing w:after="0"/>
              <w:rPr>
                <w:sz w:val="20"/>
                <w:szCs w:val="20"/>
                <w:color w:val="auto"/>
              </w:rPr>
            </w:pPr>
            <w:r>
              <w:rPr>
                <w:rFonts w:ascii="Arial" w:cs="Arial" w:eastAsia="Arial" w:hAnsi="Arial"/>
                <w:sz w:val="18"/>
                <w:szCs w:val="18"/>
                <w:b w:val="1"/>
                <w:bCs w:val="1"/>
                <w:color w:val="auto"/>
              </w:rPr>
              <w:t>Table of Contents</w:t>
            </w:r>
          </w:p>
        </w:tc>
      </w:tr>
      <w:tr>
        <w:trPr>
          <w:trHeight w:val="594"/>
        </w:trPr>
        <w:tc>
          <w:tcPr>
            <w:tcW w:w="3900" w:type="dxa"/>
            <w:vAlign w:val="bottom"/>
          </w:tcPr>
          <w:p>
            <w:pPr>
              <w:spacing w:after="0"/>
              <w:rPr>
                <w:sz w:val="24"/>
                <w:szCs w:val="24"/>
                <w:color w:val="auto"/>
              </w:rPr>
            </w:pPr>
          </w:p>
        </w:tc>
        <w:tc>
          <w:tcPr>
            <w:tcW w:w="4980" w:type="dxa"/>
            <w:vAlign w:val="bottom"/>
          </w:tcPr>
          <w:p>
            <w:pPr>
              <w:jc w:val="center"/>
              <w:ind w:left="4530"/>
              <w:spacing w:after="0"/>
              <w:rPr>
                <w:sz w:val="20"/>
                <w:szCs w:val="20"/>
                <w:color w:val="auto"/>
              </w:rPr>
            </w:pPr>
            <w:r>
              <w:rPr>
                <w:rFonts w:ascii="Arial" w:cs="Arial" w:eastAsia="Arial" w:hAnsi="Arial"/>
                <w:sz w:val="18"/>
                <w:szCs w:val="18"/>
                <w:b w:val="1"/>
                <w:bCs w:val="1"/>
                <w:color w:val="auto"/>
                <w:w w:val="83"/>
              </w:rPr>
              <w:t>Page</w:t>
            </w:r>
          </w:p>
        </w:tc>
      </w:tr>
      <w:tr>
        <w:trPr>
          <w:trHeight w:val="405"/>
        </w:trPr>
        <w:tc>
          <w:tcPr>
            <w:tcW w:w="3900" w:type="dxa"/>
            <w:vAlign w:val="bottom"/>
          </w:tcPr>
          <w:p>
            <w:pPr>
              <w:spacing w:after="0"/>
              <w:rPr>
                <w:sz w:val="20"/>
                <w:szCs w:val="20"/>
                <w:color w:val="auto"/>
              </w:rPr>
            </w:pPr>
            <w:r>
              <w:rPr>
                <w:rFonts w:ascii="Arial" w:cs="Arial" w:eastAsia="Arial" w:hAnsi="Arial"/>
                <w:sz w:val="18"/>
                <w:szCs w:val="18"/>
                <w:color w:val="auto"/>
              </w:rPr>
              <w:t>ABOUT THIS PROSPECTUS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1</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ABOUT US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1</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w w:val="99"/>
              </w:rPr>
              <w:t>WHERE YOU CAN FIND MORE INFORMATION</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2</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FORWARD LOOKING STATEMENTS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3</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RISK FACTORS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USE OF PROCEEDS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SELLING SECURITYHOLDERS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PLAN OF DISTRIBUTION</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LEGAL MATTERS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5</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EXPERTS</w:t>
            </w:r>
          </w:p>
        </w:tc>
        <w:tc>
          <w:tcPr>
            <w:tcW w:w="4980" w:type="dxa"/>
            <w:vAlign w:val="bottom"/>
          </w:tcPr>
          <w:p>
            <w:pPr>
              <w:jc w:val="center"/>
              <w:ind w:left="4530"/>
              <w:spacing w:after="0"/>
              <w:rPr>
                <w:sz w:val="20"/>
                <w:szCs w:val="20"/>
                <w:color w:val="auto"/>
              </w:rPr>
            </w:pPr>
            <w:r>
              <w:rPr>
                <w:rFonts w:ascii="Arial" w:cs="Arial" w:eastAsia="Arial" w:hAnsi="Arial"/>
                <w:sz w:val="18"/>
                <w:szCs w:val="18"/>
                <w:color w:val="auto"/>
                <w:w w:val="79"/>
              </w:rPr>
              <w:t>5</w:t>
            </w:r>
          </w:p>
        </w:tc>
      </w:tr>
    </w:tbl>
    <w:p>
      <w:pPr>
        <w:sectPr>
          <w:pgSz w:w="11900" w:h="16838" w:orient="portrait"/>
          <w:cols w:equalWidth="0" w:num="1">
            <w:col w:w="9099"/>
          </w:cols>
          <w:pgMar w:left="1360" w:top="58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8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US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jc w:val="both"/>
        <w:ind w:firstLine="648"/>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Weatherford Switzerland’s Annual Report on Form 10-K for the fiscal year ended December 31, 2013, as filed with the SEC on February 25, 2014;</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Weatherford Switzerland’s Quarterly Report on Form 10-Q for the quarter ended March 31, 2014, as filed with the SEC on April 29, 2014;</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836-4000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182" w:lineRule="exact"/>
        <w:rPr>
          <w:sz w:val="20"/>
          <w:szCs w:val="20"/>
          <w:color w:val="auto"/>
        </w:rPr>
      </w:pPr>
    </w:p>
    <w:p>
      <w:pPr>
        <w:ind w:left="1300" w:right="2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access to capital or significantly higher cost of capital related to liquidity or uncertainty in the domestic or international financial markets.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183" w:lineRule="exact"/>
        <w:rPr>
          <w:sz w:val="20"/>
          <w:szCs w:val="20"/>
          <w:color w:val="auto"/>
        </w:rPr>
      </w:pPr>
    </w:p>
    <w:p>
      <w:pPr>
        <w:ind w:left="660" w:right="3860" w:firstLine="3203"/>
        <w:spacing w:after="0" w:line="528" w:lineRule="auto"/>
        <w:rPr>
          <w:sz w:val="20"/>
          <w:szCs w:val="20"/>
          <w:color w:val="auto"/>
        </w:rPr>
      </w:pPr>
      <w:r>
        <w:rPr>
          <w:rFonts w:ascii="Arial" w:cs="Arial" w:eastAsia="Arial" w:hAnsi="Arial"/>
          <w:sz w:val="17"/>
          <w:szCs w:val="17"/>
          <w:b w:val="1"/>
          <w:bCs w:val="1"/>
          <w:color w:val="auto"/>
        </w:rPr>
        <w:t xml:space="preserve">RATIO OF EARNINGS TO FIXED CHARGES </w:t>
      </w:r>
      <w:r>
        <w:rPr>
          <w:rFonts w:ascii="Arial" w:cs="Arial" w:eastAsia="Arial" w:hAnsi="Arial"/>
          <w:sz w:val="17"/>
          <w:szCs w:val="17"/>
          <w:color w:val="auto"/>
        </w:rPr>
        <w:t>The following table sets forth our ratio of earnings to fixed charges for the periods indicated.</w:t>
      </w:r>
    </w:p>
    <w:p>
      <w:pPr>
        <w:spacing w:after="0" w:line="12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Years Ended</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 2014</w:t>
            </w:r>
          </w:p>
        </w:tc>
        <w:tc>
          <w:tcPr>
            <w:tcW w:w="3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r>
      <w:tr>
        <w:trPr>
          <w:trHeight w:val="27"/>
        </w:trPr>
        <w:tc>
          <w:tcPr>
            <w:tcW w:w="28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Ratio of earnings to fixed charges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   2.30x</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1.34x</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1.51x</w:t>
            </w:r>
          </w:p>
        </w:tc>
      </w:tr>
      <w:tr>
        <w:trPr>
          <w:trHeight w:val="27"/>
        </w:trPr>
        <w:tc>
          <w:tcPr>
            <w:tcW w:w="28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60" w:hanging="338"/>
        <w:spacing w:after="0" w:line="273"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2014 and for the years ended December 31, 2013 and 2012, earnings before fixed charges were inadequate to cover fixed charges by $7 million, $211 million and $349 million, respectively.</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10" w:name="page11"/>
    <w:bookmarkEnd w:id="10"/>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best estimate of the registrants as to the anticipated expenses and costs (other than underwriting discounts and commissions) expected to be incurred in connection with a distribution of securities registered hereby:</w:t>
      </w:r>
    </w:p>
    <w:p>
      <w:pPr>
        <w:spacing w:after="0" w:line="292"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SEC registration fee</w:t>
            </w:r>
          </w:p>
        </w:tc>
        <w:tc>
          <w:tcPr>
            <w:tcW w:w="2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Rating agency fees</w:t>
            </w:r>
          </w:p>
        </w:tc>
        <w:tc>
          <w:tcPr>
            <w:tcW w:w="2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2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Printing expenses</w:t>
            </w:r>
          </w:p>
        </w:tc>
        <w:tc>
          <w:tcPr>
            <w:tcW w:w="2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Miscellaneous</w:t>
            </w:r>
          </w:p>
        </w:tc>
        <w:tc>
          <w:tcPr>
            <w:tcW w:w="2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720" w:type="dxa"/>
            <w:vAlign w:val="bottom"/>
          </w:tcPr>
          <w:p>
            <w:pPr>
              <w:ind w:left="160"/>
              <w:spacing w:after="0"/>
              <w:rPr>
                <w:sz w:val="20"/>
                <w:szCs w:val="20"/>
                <w:color w:val="auto"/>
              </w:rPr>
            </w:pPr>
            <w:r>
              <w:rPr>
                <w:rFonts w:ascii="Arial" w:cs="Arial" w:eastAsia="Arial" w:hAnsi="Arial"/>
                <w:sz w:val="18"/>
                <w:szCs w:val="18"/>
                <w:color w:val="auto"/>
              </w:rPr>
              <w:t>Total</w:t>
            </w:r>
          </w:p>
        </w:tc>
        <w:tc>
          <w:tcPr>
            <w:tcW w:w="2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65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900" w:hanging="284"/>
        <w:spacing w:after="0" w:line="26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Applicable SEC registration fees have been deferred pursuant to Rule 456(b) and calculated in connection with the offering of securities under this registration statement pursuant to Rule 457(r) and are not estimated at this time.</w:t>
      </w:r>
    </w:p>
    <w:p>
      <w:pPr>
        <w:ind w:left="620"/>
        <w:spacing w:after="0"/>
        <w:rPr>
          <w:sz w:val="20"/>
          <w:szCs w:val="20"/>
          <w:color w:val="auto"/>
        </w:rPr>
      </w:pPr>
      <w:r>
        <w:rPr>
          <w:rFonts w:ascii="Arial" w:cs="Arial" w:eastAsia="Arial" w:hAnsi="Arial"/>
          <w:sz w:val="16"/>
          <w:szCs w:val="16"/>
          <w:color w:val="auto"/>
        </w:rPr>
        <w:t>** These fees are calculated based upon the number of issuances and amount of securities offered, and accordingly, cannot be estimated at this time.</w:t>
      </w:r>
    </w:p>
    <w:p>
      <w:pPr>
        <w:spacing w:after="0" w:line="2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Ireland</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Weatherford Bermuda</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98A of the Companies Act permits Weatherford Bermuda to purchase and maintain insurance for the benefit of any of its officers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Delaware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Weatherford International, LLC (“Weatherford Delaware”) is a Delaware limited liability company. Section 18-108 of the Delaware Limited Liability Company Act provides that, subject to such standards and 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the Company (unless a court of competent jurisdiction determines otherwise). The indemnification agreements also provide that Weatherford Delaware must pay all reasonable expenses incurred in advance of a final disposition.</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II- 2</w:t>
      </w:r>
    </w:p>
    <w:p>
      <w:pPr>
        <w:sectPr>
          <w:pgSz w:w="11900" w:h="16838" w:orient="portrait"/>
          <w:cols w:equalWidth="0" w:num="1">
            <w:col w:w="11420"/>
          </w:cols>
          <w:pgMar w:left="240" w:top="5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6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7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20" w:type="dxa"/>
            <w:vAlign w:val="bottom"/>
          </w:tcPr>
          <w:p>
            <w:pPr>
              <w:spacing w:after="0"/>
              <w:rPr>
                <w:sz w:val="24"/>
                <w:szCs w:val="24"/>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6"/>
                <w:szCs w:val="16"/>
                <w:color w:val="auto"/>
              </w:rPr>
            </w:pPr>
          </w:p>
        </w:tc>
        <w:tc>
          <w:tcPr>
            <w:tcW w:w="10660" w:type="dxa"/>
            <w:vAlign w:val="bottom"/>
            <w:gridSpan w:val="3"/>
          </w:tcPr>
          <w:p>
            <w:pPr>
              <w:ind w:left="20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r>
      <w:tr>
        <w:trPr>
          <w:trHeight w:val="453"/>
        </w:trPr>
        <w:tc>
          <w:tcPr>
            <w:tcW w:w="600" w:type="dxa"/>
            <w:vAlign w:val="bottom"/>
          </w:tcPr>
          <w:p>
            <w:pPr>
              <w:ind w:left="20"/>
              <w:spacing w:after="0"/>
              <w:rPr>
                <w:sz w:val="20"/>
                <w:szCs w:val="20"/>
                <w:color w:val="auto"/>
              </w:rPr>
            </w:pPr>
            <w:r>
              <w:rPr>
                <w:rFonts w:ascii="Arial" w:cs="Arial" w:eastAsia="Arial" w:hAnsi="Arial"/>
                <w:sz w:val="18"/>
                <w:szCs w:val="18"/>
                <w:color w:val="auto"/>
              </w:rPr>
              <w:t>1 .1***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5"/>
              </w:rPr>
              <w:t>Memorandum and Articles of Association of Weatherford International public limited company (incorporated by reference to Exhibit 3.1 to</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Weatherford Ireland’s Current Report on Form 8-K filed on June 17, 2014)</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3"/>
              </w:rPr>
              <w:t>Memorandum of Association of Weatherford International Ltd., a Bermuda exempted company (incorporated by reference to Annex II to the</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5"/>
              </w:rPr>
              <w:t>proxy statement/prospectus included in Amendment No. 1 to the Registration Statement on Form S-4 of Weatherford International Ltd., a</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Bermuda exempted company (Registration No. 333-85644), filed May 22, 2002)</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4"/>
              </w:rPr>
              <w:t>Memorandum of Increase of Share Capital of Weatherford International Ltd., a Bermuda exempted company (incorporated by reference to</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8"/>
              </w:rPr>
              <w:t>Annex II to the proxy statement/prospectus included in Amendment No. 1 to the Registration Statement on Form S-4 of Weatherford</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International Ltd., a Bermuda exempted company (Registration No. 333-85644), filed May 22, 2002)</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Bye-Laws of Weatherford International Ltd., a Bermuda exempted company, as amended on February 20, 2012</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1"/>
              </w:rPr>
              <w:t>Certificate of Assistant Secretary of Weatherford International Ltd., a Bermuda exempted company, as to the adoption of a resolution increasing</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6"/>
              </w:rPr>
              <w:t>authorized share capital (incorporated by reference to Exhibit 4.1 to the Current Report on Form 8-K of Weatherford International Ltd., a</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Bermuda exempted company (File No. 1-31339), filed May 15, 2006)</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Certificate of Formation of Weatherford International, LLC, a Delaware limited liability company</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Limited Liability Company Agreement of Weatherford International, LLC, a Delaware limited liability company</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4"/>
              </w:rPr>
              <w:t>Indenture dated October 1, 2003, among Weatherford International Ltd., a Bermuda exempted company, Weatherford International, Inc., a</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2"/>
              </w:rPr>
              <w:t>Delaware corporation, and Deutsche Bank Trust Company Americas, as trustee (incorporated by reference to Exhibit 4.1 to Current Report on</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Form 8-K of Weatherford International Ltd., a Bermuda exempted company (File No. 1-31339), filed October 2, 2003)</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5"/>
              </w:rPr>
              <w:t>First Supplemental Indenture dated March 25, 2008, among Weatherford International Ltd., a Bermuda exempted company, Weatherford</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2"/>
              </w:rPr>
              <w:t>International, Inc., a Delaware corporation, and Deutsche Bank Trust Company Americas, as trustee, to the Indenture dated October 1, 2003</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9"/>
              </w:rPr>
              <w:t>(including the form of notes issued pursuant thereto) (incorporated by reference to Exhibit 4.1 to the Current Report on Form 8-K of</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Weatherford International Ltd., a Bermuda exempted company (File No. 1-31339), filed March 25, 2008)</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8"/>
              </w:rPr>
              <w:t>Second Supplemental Indenture dated January 8, 2009, Weatherford International Ltd., a Bermuda exempted company, Weatherford</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2"/>
              </w:rPr>
              <w:t>International, Inc., a Delaware corporation, and Deutsche Bank Trust Company Americas, as trustee, to the Indenture dated October 1, 2003</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9"/>
              </w:rPr>
              <w:t>(including the form of notes issued pursuant thereto) (incorporated by reference to Exhibit 4.1 to the Current Report on Form 8-K of</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Weatherford International Ltd., a Bermuda exempted company (File No. 1-31339), filed January 8, 2009)</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3"/>
              </w:rPr>
              <w:t>Third Supplemental Indenture dated February 26, 2009, among Weatherford International Ltd., a Bermuda exempted company, Weatherford</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1"/>
              </w:rPr>
              <w:t>International, Inc., a Delaware corporation, Weatherford International Ltd., a Swiss joint-stock corporation, and Deutsche Bank Trust Company</w:t>
            </w:r>
          </w:p>
        </w:tc>
      </w:tr>
      <w:tr>
        <w:trPr>
          <w:trHeight w:val="216"/>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1"/>
              </w:rPr>
              <w:t>Americas, as trustee, to the Indenture dated as of October 1, 2003 (incorporated by reference to Exhibit 4.2 to the Current Report on Form 8-K</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of Weatherford International Ltd., a Swiss joint-stock corporation (File No. 1-34258), filed February 26, 2009)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II- 3</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4.12</w:t>
            </w: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Fourth Supplemental Indenture dated as of September 23, 2010, among Weatherford International Ltd., a Bermuda exempted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Weatherford International, Inc., a Delaware corporation, Weatherford International Ltd., a Swiss joint-stock corporation, and Deutsche Bank</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0"/>
              </w:rPr>
              <w:t>Trust Company Americas, as trustee, to the Indenture dated as of October 1, 2003 (including the form of notes issued pursuant thereto and form</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of guarantee notation) (incorporated by reference to Exhibit 4.1 to the Quarterly Report on Form 10-Q of Weatherford International Ltd., a</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Swiss joint-stock corporation (File No. 1-34258) for the quarter ended September 30, 2010, filed November 2, 2010)</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4.13</w:t>
            </w: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Form of Fifth Supplemental Indenture dated April 4, 2012, among Weatherford International Ltd., a Bermuda exempted company,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International, Inc., a Delaware corporation, Weatherford International Ltd., a Swiss joint-stock corporation, and Deutsche Bank Trust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Americas, as trustee, to the Indenture dated as of October 1, 2003 (including the form of notes issued pursuant thereto and form of guarantee</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notation) (incorporated by reference to Exhibit 4.1 to the Current Report on Form 8-K of Weatherford International Ltd., a Swiss joint-stock</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corporation (File No. 1-34258), filed April 4, 2012)</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4.14</w:t>
            </w:r>
          </w:p>
        </w:tc>
        <w:tc>
          <w:tcPr>
            <w:tcW w:w="10760" w:type="dxa"/>
            <w:vAlign w:val="bottom"/>
          </w:tcPr>
          <w:p>
            <w:pPr>
              <w:ind w:left="340"/>
              <w:spacing w:after="0"/>
              <w:rPr>
                <w:sz w:val="20"/>
                <w:szCs w:val="20"/>
                <w:color w:val="auto"/>
              </w:rPr>
            </w:pPr>
            <w:r>
              <w:rPr>
                <w:rFonts w:ascii="Arial" w:cs="Arial" w:eastAsia="Arial" w:hAnsi="Arial"/>
                <w:sz w:val="18"/>
                <w:szCs w:val="18"/>
                <w:color w:val="auto"/>
                <w:w w:val="90"/>
              </w:rPr>
              <w:t>Sixth Supplemental Indenture, dated as of August 14, 2012, among Weatherford International Ltd., a Bermuda exempted company,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International, Inc., a Delaware corporation, Weatherford International Ltd., a Swiss joint-stock corporation, and Deutsche Bank Trust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7"/>
              </w:rPr>
              <w:t>Americas, to the indenture dated as of October 1, 2003 (incorporated by reference to Exhibit 4.1 to the Current Report on Form 8-K of</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Weatherford International Ltd., a Swiss joint-stock corporation (File No. 1-34258), filed August 14, 2012)</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4.15</w:t>
            </w:r>
          </w:p>
        </w:tc>
        <w:tc>
          <w:tcPr>
            <w:tcW w:w="10760" w:type="dxa"/>
            <w:vAlign w:val="bottom"/>
          </w:tcPr>
          <w:p>
            <w:pPr>
              <w:ind w:left="340"/>
              <w:spacing w:after="0"/>
              <w:rPr>
                <w:sz w:val="20"/>
                <w:szCs w:val="20"/>
                <w:color w:val="auto"/>
              </w:rPr>
            </w:pPr>
            <w:r>
              <w:rPr>
                <w:rFonts w:ascii="Arial" w:cs="Arial" w:eastAsia="Arial" w:hAnsi="Arial"/>
                <w:sz w:val="18"/>
                <w:szCs w:val="18"/>
                <w:color w:val="auto"/>
                <w:w w:val="98"/>
              </w:rPr>
              <w:t>Seventh Supplemental Indenture dated as of March 31, 2013, among Weatherford International Ltd., a Bermuda exempted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Weatherford International, Inc., a Delaware corporation, Weatherford International Ltd., a Swiss joint-stock corporation, and Deutsche Bank</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Trust Company Americas, to the indenture dated as of October 1, 2003 (incorporated by reference to Exhibit 4.1 to the Quarterly Report on</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Form 10-Q for the quarter ended March 31, 2013 of Weatherford International Ltd., a Swiss joint-stock corporation (File No. 1-34258), filed</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May 3, 2013)</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4.16</w:t>
            </w: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Eighth Supplemental Indenture dated as of June 17, 2014, among Weatherford International Ltd., a Bermuda exempted company,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International, Inc., a Delaware corporation, Weatherford International plc, an Irish public limited company, and Deutsche Bank Trust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Americas, as trustee, to the indenture dated as of October 1, 2003 (incorporated by reference to Exhibit 4.1 to Weatherford International plc’s</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Current Report Form 8-K filed June 17, 2014)</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4.17</w:t>
            </w: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Indenture dated June 18, 2007, among Weatherford International, Inc., a Delaware corporation, Weatherford International Ltd., a Bermuda</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exempted company, and Deutsche Bank Trust Company Americas (incorporated by reference to Exhibit 4.1 to the Current Report on Form 8-K</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of Weatherford International Ltd., a Bermuda exempted company (File No. 1-31339), filed June 18, 2007)</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4.18</w:t>
            </w: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First Supplemental Indenture dated June 18, 2007, among Weatherford International, Inc., a Delaware corporation, Weatherford International</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Ltd., a Bermuda exempted company, and Deutsche Bank Trust Company Americas (including the form of notes issued pursuant thereto)</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(incorporated by reference to Exhibit 4.2 to the Current Report on Form 8-K of Weatherford International Ltd., a Bermuda exempted company</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(File No. 1-31339), filed June 18, 2007)</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4.19</w:t>
            </w: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Second Supplemental Indenture dated as of February 26, 2009, among Weatherford International, Inc., a Delaware corporation,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International Ltd., a Bermuda exempted company, Weatherford International Ltd., a Swiss joint-stock corporation, and Deutsche Bank Trust</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Company America (incorporated by reference to Exhibit 4.3 to the Current Report on Form 8-K of Weatherford International Ltd., a Swiss joint-</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stock corporation (File No. 1-34258), filed February 26, 2009)</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4.20</w:t>
            </w: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Third Supplemental Indenture dated as of August 14, 2012, among Weatherford International, Inc., a Delaware corporation, Weatherford</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International Ltd., a Bermuda exempted company, Weatherford International Ltd., a Swiss joint-stock corporation, and Deutsche Bank Trust</w:t>
            </w:r>
          </w:p>
        </w:tc>
      </w:tr>
    </w:tbl>
    <w:p>
      <w:pPr>
        <w:ind w:left="980"/>
        <w:spacing w:after="0" w:line="261" w:lineRule="auto"/>
        <w:rPr>
          <w:sz w:val="20"/>
          <w:szCs w:val="20"/>
          <w:color w:val="auto"/>
        </w:rPr>
      </w:pPr>
      <w:r>
        <w:rPr>
          <w:rFonts w:ascii="Arial" w:cs="Arial" w:eastAsia="Arial" w:hAnsi="Arial"/>
          <w:sz w:val="18"/>
          <w:szCs w:val="18"/>
          <w:color w:val="auto"/>
        </w:rPr>
        <w:t>Company Americas to the indenture dated as of June 18, 2007 (incorporated by reference to Exhibit 4.2 to the Current Report on Form 8-K of Weatherford International Ltd., a Swiss joint-stock corporation (File No. 1-34258), filed August 14, 2012)</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II- 4</w:t>
      </w:r>
    </w:p>
    <w:p>
      <w:pPr>
        <w:sectPr>
          <w:pgSz w:w="11900" w:h="16838" w:orient="portrait"/>
          <w:cols w:equalWidth="0" w:num="1">
            <w:col w:w="11400"/>
          </w:cols>
          <w:pgMar w:left="260" w:top="584" w:right="2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4.21</w:t>
            </w:r>
          </w:p>
        </w:tc>
        <w:tc>
          <w:tcPr>
            <w:tcW w:w="10660" w:type="dxa"/>
            <w:vAlign w:val="bottom"/>
          </w:tcPr>
          <w:p>
            <w:pPr>
              <w:ind w:left="240"/>
              <w:spacing w:after="0"/>
              <w:rPr>
                <w:sz w:val="20"/>
                <w:szCs w:val="20"/>
                <w:color w:val="auto"/>
              </w:rPr>
            </w:pPr>
            <w:r>
              <w:rPr>
                <w:rFonts w:ascii="Arial" w:cs="Arial" w:eastAsia="Arial" w:hAnsi="Arial"/>
                <w:sz w:val="18"/>
                <w:szCs w:val="18"/>
                <w:color w:val="auto"/>
                <w:w w:val="95"/>
              </w:rPr>
              <w:t>Fourth Supplemental Indenture dated as of March 31, 2013, among Weatherford International, Inc., a Delaware corporation, Weatherford</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3"/>
              </w:rPr>
              <w:t>International Ltd., a Bermuda exempted company, Weatherford International Ltd., a Swiss joint-stock corporation, and Deutsche Bank Trust</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1"/>
              </w:rPr>
              <w:t>Company Americas to the indenture dated as of June 18, 2007 (incorporated by reference to Exhibit 4.2 to the Quarterly Report on Form 10-Q</w:t>
            </w:r>
          </w:p>
        </w:tc>
      </w:tr>
      <w:tr>
        <w:trPr>
          <w:trHeight w:val="230"/>
        </w:trPr>
        <w:tc>
          <w:tcPr>
            <w:tcW w:w="7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3"/>
              </w:rPr>
              <w:t>for the quarter ended March 31, 2013 of Weatherford International Ltd., a Swiss joint-stock corporation (File No. 1-34258), filed May 3,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4.22</w:t>
            </w:r>
          </w:p>
        </w:tc>
        <w:tc>
          <w:tcPr>
            <w:tcW w:w="10660" w:type="dxa"/>
            <w:vAlign w:val="bottom"/>
          </w:tcPr>
          <w:p>
            <w:pPr>
              <w:ind w:left="240"/>
              <w:spacing w:after="0"/>
              <w:rPr>
                <w:sz w:val="20"/>
                <w:szCs w:val="20"/>
                <w:color w:val="auto"/>
              </w:rPr>
            </w:pPr>
            <w:r>
              <w:rPr>
                <w:rFonts w:ascii="Arial" w:cs="Arial" w:eastAsia="Arial" w:hAnsi="Arial"/>
                <w:sz w:val="18"/>
                <w:szCs w:val="18"/>
                <w:color w:val="auto"/>
                <w:w w:val="97"/>
              </w:rPr>
              <w:t>Fifth Supplemental Indenture dated as of June 17, 2014, among Weatherford International, Inc., a Delaware corporation, Weatherford</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4"/>
              </w:rPr>
              <w:t>International Ltd., a Bermuda exempted company, Weatherford International plc, an Irish public limited company, and Deutsche Bank Trust</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0"/>
              </w:rPr>
              <w:t>Company Americas, as trustee, to the indenture dated as of June 18, 2007 (incorporated by reference to Exhibit 4.2 to Weatherford International</w:t>
            </w:r>
          </w:p>
        </w:tc>
      </w:tr>
      <w:tr>
        <w:trPr>
          <w:trHeight w:val="230"/>
        </w:trPr>
        <w:tc>
          <w:tcPr>
            <w:tcW w:w="7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rPr>
              <w:t>plc’s Current Report Form 8-K filed June 17, 2014)</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5.1*</w:t>
            </w:r>
          </w:p>
        </w:tc>
        <w:tc>
          <w:tcPr>
            <w:tcW w:w="10660" w:type="dxa"/>
            <w:vAlign w:val="bottom"/>
          </w:tcPr>
          <w:p>
            <w:pPr>
              <w:ind w:left="240"/>
              <w:spacing w:after="0"/>
              <w:rPr>
                <w:sz w:val="20"/>
                <w:szCs w:val="20"/>
                <w:color w:val="auto"/>
              </w:rPr>
            </w:pPr>
            <w:r>
              <w:rPr>
                <w:rFonts w:ascii="Arial" w:cs="Arial" w:eastAsia="Arial" w:hAnsi="Arial"/>
                <w:sz w:val="18"/>
                <w:szCs w:val="18"/>
                <w:color w:val="auto"/>
              </w:rPr>
              <w:t>Opinion of Baker &amp; McKenzie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5.2*</w:t>
            </w:r>
          </w:p>
        </w:tc>
        <w:tc>
          <w:tcPr>
            <w:tcW w:w="10660" w:type="dxa"/>
            <w:vAlign w:val="bottom"/>
          </w:tcPr>
          <w:p>
            <w:pPr>
              <w:ind w:left="240"/>
              <w:spacing w:after="0"/>
              <w:rPr>
                <w:sz w:val="20"/>
                <w:szCs w:val="20"/>
                <w:color w:val="auto"/>
              </w:rPr>
            </w:pPr>
            <w:r>
              <w:rPr>
                <w:rFonts w:ascii="Arial" w:cs="Arial" w:eastAsia="Arial" w:hAnsi="Arial"/>
                <w:sz w:val="18"/>
                <w:szCs w:val="18"/>
                <w:color w:val="auto"/>
              </w:rPr>
              <w:t>Opinion of Conyers Dill &amp; Pearman Limited</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5.3*</w:t>
            </w:r>
          </w:p>
        </w:tc>
        <w:tc>
          <w:tcPr>
            <w:tcW w:w="10660" w:type="dxa"/>
            <w:vAlign w:val="bottom"/>
          </w:tcPr>
          <w:p>
            <w:pPr>
              <w:ind w:left="240"/>
              <w:spacing w:after="0"/>
              <w:rPr>
                <w:sz w:val="20"/>
                <w:szCs w:val="20"/>
                <w:color w:val="auto"/>
              </w:rPr>
            </w:pPr>
            <w:r>
              <w:rPr>
                <w:rFonts w:ascii="Arial" w:cs="Arial" w:eastAsia="Arial" w:hAnsi="Arial"/>
                <w:sz w:val="18"/>
                <w:szCs w:val="18"/>
                <w:color w:val="auto"/>
              </w:rPr>
              <w:t>Opinion of Matheson</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12.1*</w:t>
            </w:r>
          </w:p>
        </w:tc>
        <w:tc>
          <w:tcPr>
            <w:tcW w:w="10660" w:type="dxa"/>
            <w:vAlign w:val="bottom"/>
          </w:tcPr>
          <w:p>
            <w:pPr>
              <w:ind w:left="24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Baker &amp; McKenzie LLP (included in its opinion filed as Exhibit 5.1)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Conyers Dill &amp; Pearman Limited (included in its opinion filed as Exhibit 5.3)</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23.3*</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KPMG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23.4*</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23.5*</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Matheson (included in its opinion filed as exhibit 5.4 hereto)</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10660" w:type="dxa"/>
            <w:vAlign w:val="bottom"/>
          </w:tcPr>
          <w:p>
            <w:pPr>
              <w:ind w:left="240"/>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24.2**</w:t>
            </w:r>
          </w:p>
        </w:tc>
        <w:tc>
          <w:tcPr>
            <w:tcW w:w="10660" w:type="dxa"/>
            <w:vAlign w:val="bottom"/>
          </w:tcPr>
          <w:p>
            <w:pPr>
              <w:ind w:left="240"/>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24.3**</w:t>
            </w:r>
          </w:p>
        </w:tc>
        <w:tc>
          <w:tcPr>
            <w:tcW w:w="10660" w:type="dxa"/>
            <w:vAlign w:val="bottom"/>
          </w:tcPr>
          <w:p>
            <w:pPr>
              <w:ind w:left="240"/>
              <w:spacing w:after="0"/>
              <w:rPr>
                <w:sz w:val="20"/>
                <w:szCs w:val="20"/>
                <w:color w:val="auto"/>
              </w:rPr>
            </w:pPr>
            <w:r>
              <w:rPr>
                <w:rFonts w:ascii="Arial" w:cs="Arial" w:eastAsia="Arial" w:hAnsi="Arial"/>
                <w:sz w:val="18"/>
                <w:szCs w:val="18"/>
                <w:color w:val="auto"/>
              </w:rPr>
              <w:t>Power of Attorney for officers and member of Weatherford International, LLC, a Delaware limited liability company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25.1**</w:t>
            </w:r>
          </w:p>
        </w:tc>
        <w:tc>
          <w:tcPr>
            <w:tcW w:w="10660" w:type="dxa"/>
            <w:vAlign w:val="bottom"/>
          </w:tcPr>
          <w:p>
            <w:pPr>
              <w:ind w:left="24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r>
    </w:tbl>
    <w:p>
      <w:pPr>
        <w:spacing w:after="0" w:line="20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previously.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by amendment or as an exhibit to a document to be incorporated by reference herein in connection with the issuance of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r>
        <w:rPr>
          <w:rFonts w:ascii="Arial" w:cs="Arial" w:eastAsia="Arial" w:hAnsi="Arial"/>
          <w:sz w:val="18"/>
          <w:szCs w:val="18"/>
          <w:color w:val="auto"/>
        </w:rPr>
        <w:t>.</w:t>
      </w:r>
    </w:p>
    <w:p>
      <w:pPr>
        <w:spacing w:after="0" w:line="229" w:lineRule="exact"/>
        <w:rPr>
          <w:sz w:val="20"/>
          <w:szCs w:val="20"/>
          <w:color w:val="auto"/>
        </w:rPr>
      </w:pPr>
    </w:p>
    <w:p>
      <w:pPr>
        <w:ind w:left="980" w:hanging="36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17" w:lineRule="exact"/>
        <w:rPr>
          <w:rFonts w:ascii="Arial" w:cs="Arial" w:eastAsia="Arial" w:hAnsi="Arial"/>
          <w:sz w:val="18"/>
          <w:szCs w:val="18"/>
          <w:color w:val="auto"/>
        </w:rPr>
      </w:pPr>
    </w:p>
    <w:p>
      <w:pPr>
        <w:ind w:left="1620" w:hanging="356"/>
        <w:spacing w:after="0"/>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2280" w:hanging="368"/>
        <w:spacing w:after="0"/>
        <w:tabs>
          <w:tab w:leader="none" w:pos="2280" w:val="left"/>
        </w:tabs>
        <w:numPr>
          <w:ilvl w:val="2"/>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II- 5</w:t>
      </w:r>
    </w:p>
    <w:p>
      <w:pPr>
        <w:sectPr>
          <w:pgSz w:w="11900" w:h="16838" w:orient="portrait"/>
          <w:cols w:equalWidth="0" w:num="1">
            <w:col w:w="11420"/>
          </w:cols>
          <w:pgMar w:left="240" w:top="584" w:right="239" w:bottom="1440" w:gutter="0" w:footer="0" w:header="0"/>
        </w:sectPr>
      </w:pPr>
    </w:p>
    <w:bookmarkStart w:id="15" w:name="page16"/>
    <w:bookmarkEnd w:id="15"/>
    <w:p>
      <w:pPr>
        <w:jc w:val="both"/>
        <w:ind w:left="1080" w:hanging="327"/>
        <w:spacing w:after="0" w:line="291" w:lineRule="auto"/>
        <w:tabs>
          <w:tab w:leader="none" w:pos="10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7" w:lineRule="exact"/>
        <w:rPr>
          <w:rFonts w:ascii="Arial" w:cs="Arial" w:eastAsia="Arial" w:hAnsi="Arial"/>
          <w:sz w:val="16"/>
          <w:szCs w:val="16"/>
          <w:color w:val="auto"/>
        </w:rPr>
      </w:pPr>
    </w:p>
    <w:p>
      <w:pPr>
        <w:ind w:left="1080" w:hanging="327"/>
        <w:spacing w:after="0" w:line="277" w:lineRule="auto"/>
        <w:tabs>
          <w:tab w:leader="none" w:pos="10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1080"/>
        <w:spacing w:after="0" w:line="257" w:lineRule="auto"/>
        <w:rPr>
          <w:rFonts w:ascii="Arial" w:cs="Arial" w:eastAsia="Arial" w:hAnsi="Arial"/>
          <w:sz w:val="18"/>
          <w:szCs w:val="18"/>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reports filed with or furnished to the SEC by any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8" w:lineRule="exact"/>
        <w:rPr>
          <w:rFonts w:ascii="Arial" w:cs="Arial" w:eastAsia="Arial" w:hAnsi="Arial"/>
          <w:sz w:val="18"/>
          <w:szCs w:val="18"/>
          <w:color w:val="auto"/>
        </w:rPr>
      </w:pPr>
    </w:p>
    <w:p>
      <w:pPr>
        <w:jc w:val="both"/>
        <w:ind w:left="420" w:hanging="356"/>
        <w:spacing w:after="0" w:line="26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420" w:hanging="356"/>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20" w:hanging="35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080" w:hanging="368"/>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1080" w:hanging="368"/>
        <w:spacing w:after="0" w:line="268" w:lineRule="auto"/>
        <w:tabs>
          <w:tab w:leader="none" w:pos="10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3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II- 6</w:t>
      </w:r>
    </w:p>
    <w:p>
      <w:pPr>
        <w:sectPr>
          <w:pgSz w:w="11900" w:h="16838" w:orient="portrait"/>
          <w:cols w:equalWidth="0" w:num="1">
            <w:col w:w="10220"/>
          </w:cols>
          <w:pgMar w:left="1440" w:top="584" w:right="239" w:bottom="1440" w:gutter="0" w:footer="0" w:header="0"/>
        </w:sectPr>
      </w:pPr>
    </w:p>
    <w:bookmarkStart w:id="16" w:name="page17"/>
    <w:bookmarkEnd w:id="16"/>
    <w:p>
      <w:pPr>
        <w:jc w:val="both"/>
        <w:ind w:left="1004" w:hanging="356"/>
        <w:spacing w:after="0" w:line="276" w:lineRule="auto"/>
        <w:tabs>
          <w:tab w:leader="none" w:pos="100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2" w:lineRule="exact"/>
        <w:rPr>
          <w:rFonts w:ascii="Arial" w:cs="Arial" w:eastAsia="Arial" w:hAnsi="Arial"/>
          <w:sz w:val="17"/>
          <w:szCs w:val="17"/>
          <w:color w:val="auto"/>
        </w:rPr>
      </w:pPr>
    </w:p>
    <w:p>
      <w:pPr>
        <w:ind w:left="1664" w:hanging="368"/>
        <w:spacing w:after="0" w:line="277" w:lineRule="auto"/>
        <w:tabs>
          <w:tab w:leader="none" w:pos="1664"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preliminary prospectus or prospectus of an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664" w:hanging="368"/>
        <w:spacing w:after="0" w:line="277" w:lineRule="auto"/>
        <w:tabs>
          <w:tab w:leader="none" w:pos="1664"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an undersigned registrant;</w:t>
      </w:r>
    </w:p>
    <w:p>
      <w:pPr>
        <w:spacing w:after="0" w:line="170" w:lineRule="exact"/>
        <w:rPr>
          <w:rFonts w:ascii="Arial" w:cs="Arial" w:eastAsia="Arial" w:hAnsi="Arial"/>
          <w:sz w:val="18"/>
          <w:szCs w:val="18"/>
          <w:color w:val="auto"/>
        </w:rPr>
      </w:pPr>
    </w:p>
    <w:p>
      <w:pPr>
        <w:ind w:left="1664" w:right="20" w:hanging="368"/>
        <w:spacing w:after="0" w:line="277" w:lineRule="auto"/>
        <w:tabs>
          <w:tab w:leader="none" w:pos="166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170" w:lineRule="exact"/>
        <w:rPr>
          <w:rFonts w:ascii="Arial" w:cs="Arial" w:eastAsia="Arial" w:hAnsi="Arial"/>
          <w:sz w:val="18"/>
          <w:szCs w:val="18"/>
          <w:color w:val="auto"/>
        </w:rPr>
      </w:pPr>
    </w:p>
    <w:p>
      <w:pPr>
        <w:ind w:left="1664" w:hanging="368"/>
        <w:spacing w:after="0"/>
        <w:tabs>
          <w:tab w:leader="none" w:pos="1664"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225" w:lineRule="exact"/>
        <w:rPr>
          <w:rFonts w:ascii="Arial" w:cs="Arial" w:eastAsia="Arial" w:hAnsi="Arial"/>
          <w:sz w:val="18"/>
          <w:szCs w:val="18"/>
          <w:color w:val="auto"/>
        </w:rPr>
      </w:pPr>
    </w:p>
    <w:p>
      <w:pPr>
        <w:jc w:val="both"/>
        <w:ind w:left="364" w:hanging="364"/>
        <w:spacing w:after="0" w:line="276" w:lineRule="auto"/>
        <w:tabs>
          <w:tab w:leader="none" w:pos="3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undersigned registrants hereby undertake that, for purposes of determining any liability under the Securities Act of 1933, each filing of a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jc w:val="both"/>
        <w:ind w:left="364" w:hanging="364"/>
        <w:spacing w:after="0" w:line="271" w:lineRule="auto"/>
        <w:tabs>
          <w:tab w:leader="none" w:pos="3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jc w:val="both"/>
        <w:ind w:left="364" w:hanging="364"/>
        <w:spacing w:after="0" w:line="264" w:lineRule="auto"/>
        <w:tabs>
          <w:tab w:leader="none" w:pos="3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II- 7</w:t>
      </w:r>
    </w:p>
    <w:p>
      <w:pPr>
        <w:sectPr>
          <w:pgSz w:w="11900" w:h="16838" w:orient="portrait"/>
          <w:cols w:equalWidth="0" w:num="1">
            <w:col w:w="10804"/>
          </w:cols>
          <w:pgMar w:left="856" w:top="58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Irish public limited company)</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Zurich, Switzerland on June 17, 2014.</w:t>
      </w:r>
    </w:p>
    <w:p>
      <w:pPr>
        <w:spacing w:after="0" w:line="17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/s/Alejandro Cestero</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Alejandro Cestero</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 Co-General Counsel and Corporate Secretary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 Effective Amendment No. 1 to the Registration Statement on Form S-3 (SEC Registration No. 333-</w:t>
      </w:r>
      <w:r>
        <w:rPr>
          <w:rFonts w:ascii="Arial" w:cs="Arial" w:eastAsia="Arial" w:hAnsi="Arial"/>
          <w:sz w:val="16"/>
          <w:szCs w:val="16"/>
          <w:color w:val="auto"/>
        </w:rPr>
        <w:t>194431)</w:t>
      </w:r>
      <w:r>
        <w:rPr>
          <w:rFonts w:ascii="Arial" w:cs="Arial" w:eastAsia="Arial" w:hAnsi="Arial"/>
          <w:sz w:val="18"/>
          <w:szCs w:val="18"/>
          <w:color w:val="auto"/>
        </w:rPr>
        <w:t xml:space="preserve">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Dr. Bernard J. Duroc-Danner</w:t>
      </w:r>
    </w:p>
    <w:p>
      <w:pPr>
        <w:spacing w:after="0" w:line="262"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Krishna Shivram</w:t>
      </w:r>
    </w:p>
    <w:p>
      <w:pPr>
        <w:spacing w:after="0" w:line="239"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Douglas M. Mills</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David J. Butters</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John D. Gass</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Francis S. Kalman</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William E. Macaulay</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Robert K. Moses, Jr.</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Dr. Guillermo Ortiz</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Sir Emyr Jones Parry</w:t>
      </w:r>
    </w:p>
    <w:p>
      <w:pPr>
        <w:spacing w:after="0" w:line="2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Robert A. Rayne</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Alejandro Cestero</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by Attorney-in-fact</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26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94" w:lineRule="exact"/>
        <w:rPr>
          <w:sz w:val="20"/>
          <w:szCs w:val="20"/>
          <w:color w:val="auto"/>
        </w:rPr>
      </w:pPr>
    </w:p>
    <w:p>
      <w:pPr>
        <w:ind w:right="234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180" w:space="720"/>
            <w:col w:w="7520"/>
          </w:cols>
          <w:pgMar w:left="240" w:top="58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Bermuda exempted company)</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Zurich, Switzerland on June 17, 2014.</w:t>
      </w:r>
    </w:p>
    <w:p>
      <w:pPr>
        <w:spacing w:after="0" w:line="1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WEATHERFORD INTERNATIONAL LTD.</w:t>
      </w:r>
    </w:p>
    <w:p>
      <w:pPr>
        <w:spacing w:after="0" w:line="1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/s/Alejandro Cestero</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Alejandro Cestero</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 Co-General Counsel and Assistant Secretary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 Effective Amendment No. 1 to the Registration Statement on Form S-3 (SEC Registration No. 333-194431) has been signed by the following persons in the capacities indicated below on June 17, 2014.</w:t>
      </w:r>
    </w:p>
    <w:p>
      <w:pPr>
        <w:sectPr>
          <w:pgSz w:w="11900" w:h="16838" w:orient="portrait"/>
          <w:cols w:equalWidth="0" w:num="1">
            <w:col w:w="11420"/>
          </w:cols>
          <w:pgMar w:left="240" w:top="796" w:right="239" w:bottom="1440" w:gutter="0" w:footer="0" w:header="0"/>
        </w:sectPr>
      </w:pPr>
    </w:p>
    <w:p>
      <w:pPr>
        <w:spacing w:after="0" w:line="32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Dharmesh Bhupatrai Mehta</w:t>
      </w:r>
    </w:p>
    <w:p>
      <w:pPr>
        <w:spacing w:after="0" w:line="262"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Krishna Shivram</w:t>
      </w:r>
    </w:p>
    <w:p>
      <w:pPr>
        <w:spacing w:after="0" w:line="23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Douglas M. Mills</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Alejandro Cestero</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Alejandro Cestero</w:t>
      </w:r>
    </w:p>
    <w:p>
      <w:pPr>
        <w:spacing w:after="0" w:line="23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by Attorney-in-fact</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Co-General Counsel and Assistant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4180" w:space="720"/>
            <w:col w:w="6520"/>
          </w:cols>
          <w:pgMar w:left="240" w:top="79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Zurich, Switzerland on June 17, 2014.</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LLC</w:t>
      </w:r>
    </w:p>
    <w:p>
      <w:pPr>
        <w:spacing w:after="0" w:line="39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/s/Alejandro Cestero</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Alejandro Cestero</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 Effective Amendment No. 1 to the Registration Statement on Form S-3 (SEC Registration No. 333-194431)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32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Dharmesh Bhupatrai Mehta</w:t>
      </w:r>
    </w:p>
    <w:p>
      <w:pPr>
        <w:spacing w:after="0" w:line="262"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Krishna Shivram</w:t>
      </w:r>
    </w:p>
    <w:p>
      <w:pPr>
        <w:spacing w:after="0" w:line="23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Douglas M. Mills</w:t>
      </w:r>
    </w:p>
    <w:p>
      <w:pPr>
        <w:spacing w:after="0" w:line="23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Alejandro Cestero</w:t>
      </w:r>
    </w:p>
    <w:p>
      <w:pPr>
        <w:spacing w:after="0" w:line="23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by Attorney-in-fact</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/s/Alejandro Cestero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Sole Manager, Vice President and Secretary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Weatherford U.S. Holdings, L.L.C., the sole member</w:t>
      </w:r>
    </w:p>
    <w:p>
      <w:pPr>
        <w:sectPr>
          <w:pgSz w:w="11900" w:h="16838" w:orient="portrait"/>
          <w:cols w:equalWidth="0" w:num="2">
            <w:col w:w="4180" w:space="720"/>
            <w:col w:w="6520"/>
          </w:cols>
          <w:pgMar w:left="240" w:top="580"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20" w:type="dxa"/>
            <w:vAlign w:val="bottom"/>
          </w:tcPr>
          <w:p>
            <w:pPr>
              <w:ind w:left="3020"/>
              <w:spacing w:after="0"/>
              <w:rPr>
                <w:sz w:val="20"/>
                <w:szCs w:val="20"/>
                <w:color w:val="auto"/>
              </w:rPr>
            </w:pPr>
            <w:r>
              <w:rPr>
                <w:rFonts w:ascii="Arial" w:cs="Arial" w:eastAsia="Arial" w:hAnsi="Arial"/>
                <w:sz w:val="18"/>
                <w:szCs w:val="18"/>
                <w:b w:val="1"/>
                <w:bCs w:val="1"/>
                <w:color w:val="auto"/>
              </w:rPr>
              <w:t>INDEX TO EXHIBITS</w:t>
            </w:r>
          </w:p>
        </w:tc>
      </w:tr>
      <w:tr>
        <w:trPr>
          <w:trHeight w:val="634"/>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20" w:type="dxa"/>
            <w:vAlign w:val="bottom"/>
          </w:tcPr>
          <w:p>
            <w:pPr>
              <w:spacing w:after="0"/>
              <w:rPr>
                <w:sz w:val="24"/>
                <w:szCs w:val="24"/>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0820" w:type="dxa"/>
            <w:vAlign w:val="bottom"/>
            <w:gridSpan w:val="3"/>
          </w:tcPr>
          <w:p>
            <w:pPr>
              <w:ind w:left="36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r>
      <w:tr>
        <w:trPr>
          <w:trHeight w:val="453"/>
        </w:trPr>
        <w:tc>
          <w:tcPr>
            <w:tcW w:w="600" w:type="dxa"/>
            <w:vAlign w:val="bottom"/>
          </w:tcPr>
          <w:p>
            <w:pPr>
              <w:ind w:left="20"/>
              <w:spacing w:after="0"/>
              <w:rPr>
                <w:sz w:val="20"/>
                <w:szCs w:val="20"/>
                <w:color w:val="auto"/>
              </w:rPr>
            </w:pPr>
            <w:r>
              <w:rPr>
                <w:rFonts w:ascii="Arial" w:cs="Arial" w:eastAsia="Arial" w:hAnsi="Arial"/>
                <w:sz w:val="18"/>
                <w:szCs w:val="18"/>
                <w:color w:val="auto"/>
              </w:rPr>
              <w:t>1 .1***</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4 .1</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5"/>
              </w:rPr>
              <w:t>Memorandum and Articles of Association of Weatherford International public limited company (incorporated by reference to Exhibit 3.1 to</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Weatherford Ireland’s Current Report on Form 8-K filed on June 17, 2014)</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4 .2</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3"/>
              </w:rPr>
              <w:t>Memorandum of Association of Weatherford International Ltd., a Bermuda exempted company (incorporated by reference to Annex II to the</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5"/>
              </w:rPr>
              <w:t>proxy statement/prospectus included in Amendment No. 1 to the Registration Statement on Form S-4 of Weatherford International Ltd., a</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Bermuda exempted company (Registration No. 333-85644), filed May 22, 2002)</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4 .3</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4"/>
              </w:rPr>
              <w:t>Memorandum of Increase of Share Capital of Weatherford International Ltd., a Bermuda exempted company (incorporated by reference to</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8"/>
              </w:rPr>
              <w:t>Annex II to the proxy statement/prospectus included in Amendment No. 1 to the Registration Statement on Form S-4 of Weatherford</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International Ltd., a Bermuda exempted company (Registration No. 333-85644), filed May 22, 2002)</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Bye-Laws of Weatherford International Ltd., a Bermuda exempted company, as amended on February 20, 2012</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4 .5</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1"/>
              </w:rPr>
              <w:t>Certificate of Assistant Secretary of Weatherford International Ltd., a Bermuda exempted company, as to the adoption of a resolution increasing</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6"/>
              </w:rPr>
              <w:t>authorized share capital (incorporated by reference to Exhibit 4.1 to the Current Report on Form 8-K of Weatherford International Ltd., a</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Bermuda exempted company (File No. 1-31339), filed May 15, 2006)</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Certificate of Formation of Weatherford International, LLC, a Delaware limited liability company</w:t>
            </w:r>
          </w:p>
        </w:tc>
      </w:tr>
      <w:tr>
        <w:trPr>
          <w:trHeight w:val="432"/>
        </w:trPr>
        <w:tc>
          <w:tcPr>
            <w:tcW w:w="600" w:type="dxa"/>
            <w:vAlign w:val="bottom"/>
          </w:tcPr>
          <w:p>
            <w:pPr>
              <w:ind w:left="2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Limited Liability Company Agreement of Weatherford International, LLC, a Delaware limited liability company</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4"/>
              </w:rPr>
              <w:t>Indenture dated October 1, 2003, among Weatherford International Ltd., a Bermuda exempted company, Weatherford International, Inc., a</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2"/>
              </w:rPr>
              <w:t>Delaware corporation, and Deutsche Bank Trust Company Americas, as trustee (incorporated by reference to Exhibit 4.1 to Current Report on</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Form 8-K of Weatherford International Ltd., a Bermuda exempted company (File No. 1-31339), filed October 2, 2003)</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5"/>
              </w:rPr>
              <w:t>First Supplemental Indenture dated March 25, 2008, among Weatherford International Ltd., a Bermuda exempted company, Weatherford</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2"/>
              </w:rPr>
              <w:t>International, Inc., a Delaware corporation, and Deutsche Bank Trust Company Americas, as trustee, to the Indenture dated October 1, 2003</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9"/>
              </w:rPr>
              <w:t>(including the form of notes issued pursuant thereto) (incorporated by reference to Exhibit 4.1 to the Current Report on Form 8-K of</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Weatherford International Ltd., a Bermuda exempted company (File No. 1-31339), filed March 25, 2008)</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4.10</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8"/>
              </w:rPr>
              <w:t>Second Supplemental Indenture dated January 8, 2009, Weatherford International Ltd., a Bermuda exempted company, Weatherford</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2"/>
              </w:rPr>
              <w:t>International, Inc., a Delaware corporation, and Deutsche Bank Trust Company Americas, as trustee, to the Indenture dated October 1, 2003</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9"/>
              </w:rPr>
              <w:t>(including the form of notes issued pursuant thereto) (incorporated by reference to Exhibit 4.1 to the Current Report on Form 8-K of</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Weatherford International Ltd., a Bermuda exempted company (File No. 1-31339), filed January 8, 2009)</w:t>
            </w:r>
          </w:p>
        </w:tc>
      </w:tr>
      <w:tr>
        <w:trPr>
          <w:trHeight w:val="418"/>
        </w:trPr>
        <w:tc>
          <w:tcPr>
            <w:tcW w:w="600" w:type="dxa"/>
            <w:vAlign w:val="bottom"/>
          </w:tcPr>
          <w:p>
            <w:pPr>
              <w:ind w:left="20"/>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24"/>
                <w:szCs w:val="24"/>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3"/>
              </w:rPr>
              <w:t>Third Supplemental Indenture dated February 26, 2009, among Weatherford International Ltd., a Bermuda exempted company, Weatherford</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1"/>
              </w:rPr>
              <w:t>International, Inc., a Delaware corporation, Weatherford International Ltd., a Swiss joint-stock corporation, and Deutsche Bank Trust Company</w:t>
            </w:r>
          </w:p>
        </w:tc>
      </w:tr>
      <w:tr>
        <w:trPr>
          <w:trHeight w:val="216"/>
        </w:trPr>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w w:val="91"/>
              </w:rPr>
              <w:t>Americas, as trustee, to the Indenture dated as of October 1, 2003 (incorporated by reference to Exhibit 4.2 to the Current Report on Form 8-K</w:t>
            </w:r>
          </w:p>
        </w:tc>
      </w:tr>
      <w:tr>
        <w:trPr>
          <w:trHeight w:val="230"/>
        </w:trPr>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gridSpan w:val="2"/>
          </w:tcPr>
          <w:p>
            <w:pPr>
              <w:ind w:left="40"/>
              <w:spacing w:after="0"/>
              <w:rPr>
                <w:sz w:val="20"/>
                <w:szCs w:val="20"/>
                <w:color w:val="auto"/>
              </w:rPr>
            </w:pPr>
            <w:r>
              <w:rPr>
                <w:rFonts w:ascii="Arial" w:cs="Arial" w:eastAsia="Arial" w:hAnsi="Arial"/>
                <w:sz w:val="18"/>
                <w:szCs w:val="18"/>
                <w:color w:val="auto"/>
              </w:rPr>
              <w:t>of Weatherford International Ltd., a Swiss joint-stock corporation (File No. 1-34258), filed February 26, 2009)</w:t>
            </w:r>
          </w:p>
        </w:tc>
      </w:tr>
    </w:tbl>
    <w:p>
      <w:pPr>
        <w:sectPr>
          <w:pgSz w:w="11900" w:h="16838" w:orient="portrait"/>
          <w:cols w:equalWidth="0" w:num="1">
            <w:col w:w="11420"/>
          </w:cols>
          <w:pgMar w:left="240" w:top="580"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4.12</w:t>
            </w: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Fourth Supplemental Indenture dated as of September 23, 2010, among Weatherford International Ltd., a Bermuda exempted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Weatherford International, Inc., a Delaware corporation, Weatherford International Ltd., a Swiss joint-stock corporation, and Deutsche Bank</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0"/>
              </w:rPr>
              <w:t>Trust Company Americas, as trustee, to the Indenture dated as of October 1, 2003 (including the form of notes issued pursuant thereto and form</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of guarantee notation) (incorporated by reference to Exhibit 4.1 to the Quarterly Report on Form 10-Q of Weatherford International Ltd., a</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Swiss joint-stock corporation (File No. 1-34258) for the quarter ended September 30, 2010, filed November 2, 2010)</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4.13</w:t>
            </w: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Form of Fifth Supplemental Indenture dated April 4, 2012, among Weatherford International Ltd., a Bermuda exempted company,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International, Inc., a Delaware corporation, Weatherford International Ltd., a Swiss joint-stock corporation, and Deutsche Bank Trust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Americas, as trustee, to the Indenture dated as of October 1, 2003 (including the form of notes issued pursuant thereto and form of guarantee</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notation) (incorporated by reference to Exhibit 4.1 to the Current Report on Form 8-K of Weatherford International Ltd., a Swiss joint-stock</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corporation (File No. 1-34258), filed April 4, 2012)</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4.14</w:t>
            </w:r>
          </w:p>
        </w:tc>
        <w:tc>
          <w:tcPr>
            <w:tcW w:w="10760" w:type="dxa"/>
            <w:vAlign w:val="bottom"/>
          </w:tcPr>
          <w:p>
            <w:pPr>
              <w:ind w:left="340"/>
              <w:spacing w:after="0"/>
              <w:rPr>
                <w:sz w:val="20"/>
                <w:szCs w:val="20"/>
                <w:color w:val="auto"/>
              </w:rPr>
            </w:pPr>
            <w:r>
              <w:rPr>
                <w:rFonts w:ascii="Arial" w:cs="Arial" w:eastAsia="Arial" w:hAnsi="Arial"/>
                <w:sz w:val="18"/>
                <w:szCs w:val="18"/>
                <w:color w:val="auto"/>
                <w:w w:val="90"/>
              </w:rPr>
              <w:t>Sixth Supplemental Indenture, dated as of August 14, 2012, among Weatherford International Ltd., a Bermuda exempted company,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International, Inc., a Delaware corporation, Weatherford International Ltd., a Swiss joint-stock corporation, and Deutsche Bank Trust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7"/>
              </w:rPr>
              <w:t>Americas, to the indenture dated as of October 1, 2003 (incorporated by reference to Exhibit 4.1 to the Current Report on Form 8-K of</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Weatherford International Ltd., a Swiss joint-stock corporation (File No. 1-34258), filed August 14, 2012)</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4.15</w:t>
            </w:r>
          </w:p>
        </w:tc>
        <w:tc>
          <w:tcPr>
            <w:tcW w:w="10760" w:type="dxa"/>
            <w:vAlign w:val="bottom"/>
          </w:tcPr>
          <w:p>
            <w:pPr>
              <w:ind w:left="340"/>
              <w:spacing w:after="0"/>
              <w:rPr>
                <w:sz w:val="20"/>
                <w:szCs w:val="20"/>
                <w:color w:val="auto"/>
              </w:rPr>
            </w:pPr>
            <w:r>
              <w:rPr>
                <w:rFonts w:ascii="Arial" w:cs="Arial" w:eastAsia="Arial" w:hAnsi="Arial"/>
                <w:sz w:val="18"/>
                <w:szCs w:val="18"/>
                <w:color w:val="auto"/>
                <w:w w:val="98"/>
              </w:rPr>
              <w:t>Seventh Supplemental Indenture dated as of March 31, 2013, among Weatherford International Ltd., a Bermuda exempted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Weatherford International, Inc., a Delaware corporation, Weatherford International Ltd., a Swiss joint-stock corporation, and Deutsche Bank</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Trust Company Americas, to the indenture dated as of October 1, 2003 (incorporated by reference to Exhibit 4.1 to the Quarterly Report on</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Form 10-Q for the quarter ended March 31, 2013 of Weatherford International Ltd., a Swiss joint-stock corporation (File No. 1-34258), filed</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May 3, 2013)</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4.16</w:t>
            </w: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Eighth Supplemental Indenture dated as of June 17, 2014, among Weatherford International Ltd., a Bermuda exempted company,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International, Inc., a Delaware corporation, Weatherford International plc, an Irish public limited company, and Deutsche Bank Trust Company</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Americas, as trustee, to the indenture dated as of October 1, 2003 (incorporated by reference to Exhibit 4.1 to Weatherford International plc’s</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Current Report Form 8-K filed June 17, 2014)</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4.17</w:t>
            </w:r>
          </w:p>
        </w:tc>
        <w:tc>
          <w:tcPr>
            <w:tcW w:w="10760" w:type="dxa"/>
            <w:vAlign w:val="bottom"/>
          </w:tcPr>
          <w:p>
            <w:pPr>
              <w:ind w:left="340"/>
              <w:spacing w:after="0"/>
              <w:rPr>
                <w:sz w:val="20"/>
                <w:szCs w:val="20"/>
                <w:color w:val="auto"/>
              </w:rPr>
            </w:pPr>
            <w:r>
              <w:rPr>
                <w:rFonts w:ascii="Arial" w:cs="Arial" w:eastAsia="Arial" w:hAnsi="Arial"/>
                <w:sz w:val="18"/>
                <w:szCs w:val="18"/>
                <w:color w:val="auto"/>
                <w:w w:val="94"/>
              </w:rPr>
              <w:t>Indenture dated June 18, 2007, among Weatherford International, Inc., a Delaware corporation, Weatherford International Ltd., a Bermuda</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exempted company, and Deutsche Bank Trust Company Americas (incorporated by reference to Exhibit 4.1 to the Current Report on Form 8-K</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of Weatherford International Ltd., a Bermuda exempted company (File No. 1-31339), filed June 18, 2007)</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4.18</w:t>
            </w: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First Supplemental Indenture dated June 18, 2007, among Weatherford International, Inc., a Delaware corporation, Weatherford International</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Ltd., a Bermuda exempted company, and Deutsche Bank Trust Company Americas (including the form of notes issued pursuant thereto)</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(incorporated by reference to Exhibit 4.2 to the Current Report on Form 8-K of Weatherford International Ltd., a Bermuda exempted company</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(File No. 1-31339), filed June 18, 2007)</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4.19</w:t>
            </w: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Second Supplemental Indenture dated as of February 26, 2009, among Weatherford International, Inc., a Delaware corporation,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International Ltd., a Bermuda exempted company, Weatherford International Ltd., a Swiss joint-stock corporation, and Deutsche Bank Trust</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1"/>
              </w:rPr>
              <w:t>Company America (incorporated by reference to Exhibit 4.3 to the Current Report on Form 8-K of Weatherford International Ltd., a Swiss joint-</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stock corporation (File No. 1-34258), filed February 26, 2009)</w:t>
            </w:r>
          </w:p>
        </w:tc>
      </w:tr>
      <w:tr>
        <w:trPr>
          <w:trHeight w:val="418"/>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4.20</w:t>
            </w:r>
          </w:p>
        </w:tc>
        <w:tc>
          <w:tcPr>
            <w:tcW w:w="10760" w:type="dxa"/>
            <w:vAlign w:val="bottom"/>
          </w:tcPr>
          <w:p>
            <w:pPr>
              <w:ind w:left="340"/>
              <w:spacing w:after="0"/>
              <w:rPr>
                <w:sz w:val="20"/>
                <w:szCs w:val="20"/>
                <w:color w:val="auto"/>
              </w:rPr>
            </w:pPr>
            <w:r>
              <w:rPr>
                <w:rFonts w:ascii="Arial" w:cs="Arial" w:eastAsia="Arial" w:hAnsi="Arial"/>
                <w:sz w:val="18"/>
                <w:szCs w:val="18"/>
                <w:color w:val="auto"/>
                <w:w w:val="95"/>
              </w:rPr>
              <w:t>Third Supplemental Indenture dated as of August 14, 2012, among Weatherford International, Inc., a Delaware corporation, Weatherford</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3"/>
              </w:rPr>
              <w:t>International Ltd., a Bermuda exempted company, Weatherford International Ltd., a Swiss joint-stock corporation, and Deutsche Bank Trust</w:t>
            </w:r>
          </w:p>
        </w:tc>
      </w:tr>
      <w:tr>
        <w:trPr>
          <w:trHeight w:val="216"/>
        </w:trPr>
        <w:tc>
          <w:tcPr>
            <w:tcW w:w="640" w:type="dxa"/>
            <w:vAlign w:val="bottom"/>
          </w:tcPr>
          <w:p>
            <w:pPr>
              <w:spacing w:after="0"/>
              <w:rPr>
                <w:sz w:val="18"/>
                <w:szCs w:val="18"/>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w w:val="92"/>
              </w:rPr>
              <w:t>Company Americas to the indenture dated as of June 18, 2007 (incorporated by reference to Exhibit 4.2 to the Current Report on Form 8-K of</w:t>
            </w:r>
          </w:p>
        </w:tc>
      </w:tr>
      <w:tr>
        <w:trPr>
          <w:trHeight w:val="230"/>
        </w:trPr>
        <w:tc>
          <w:tcPr>
            <w:tcW w:w="640" w:type="dxa"/>
            <w:vAlign w:val="bottom"/>
          </w:tcPr>
          <w:p>
            <w:pPr>
              <w:spacing w:after="0"/>
              <w:rPr>
                <w:sz w:val="20"/>
                <w:szCs w:val="20"/>
                <w:color w:val="auto"/>
              </w:rPr>
            </w:pPr>
          </w:p>
        </w:tc>
        <w:tc>
          <w:tcPr>
            <w:tcW w:w="10760" w:type="dxa"/>
            <w:vAlign w:val="bottom"/>
          </w:tcPr>
          <w:p>
            <w:pPr>
              <w:ind w:left="340"/>
              <w:spacing w:after="0"/>
              <w:rPr>
                <w:sz w:val="20"/>
                <w:szCs w:val="20"/>
                <w:color w:val="auto"/>
              </w:rPr>
            </w:pPr>
            <w:r>
              <w:rPr>
                <w:rFonts w:ascii="Arial" w:cs="Arial" w:eastAsia="Arial" w:hAnsi="Arial"/>
                <w:sz w:val="18"/>
                <w:szCs w:val="18"/>
                <w:color w:val="auto"/>
              </w:rPr>
              <w:t>Weatherford International Ltd., a Swiss joint-stock corporation (File No. 1-34258), filed August 14, 2012)</w:t>
            </w:r>
          </w:p>
        </w:tc>
      </w:tr>
    </w:tbl>
    <w:p>
      <w:pPr>
        <w:sectPr>
          <w:pgSz w:w="11900" w:h="16838" w:orient="portrait"/>
          <w:cols w:equalWidth="0" w:num="1">
            <w:col w:w="11400"/>
          </w:cols>
          <w:pgMar w:left="260" w:top="584" w:right="239" w:bottom="1440" w:gutter="0" w:footer="0" w:header="0"/>
        </w:sectPr>
      </w:pPr>
    </w:p>
    <w:bookmarkStart w:id="22" w:name="page23"/>
    <w:bookmarkEnd w:id="2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4.21</w:t>
            </w:r>
          </w:p>
        </w:tc>
        <w:tc>
          <w:tcPr>
            <w:tcW w:w="10660" w:type="dxa"/>
            <w:vAlign w:val="bottom"/>
          </w:tcPr>
          <w:p>
            <w:pPr>
              <w:ind w:left="240"/>
              <w:spacing w:after="0"/>
              <w:rPr>
                <w:sz w:val="20"/>
                <w:szCs w:val="20"/>
                <w:color w:val="auto"/>
              </w:rPr>
            </w:pPr>
            <w:r>
              <w:rPr>
                <w:rFonts w:ascii="Arial" w:cs="Arial" w:eastAsia="Arial" w:hAnsi="Arial"/>
                <w:sz w:val="18"/>
                <w:szCs w:val="18"/>
                <w:color w:val="auto"/>
                <w:w w:val="95"/>
              </w:rPr>
              <w:t>Fourth Supplemental Indenture dated as of March 31, 2013, among Weatherford International, Inc., a Delaware corporation, Weatherford</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3"/>
              </w:rPr>
              <w:t>International Ltd., a Bermuda exempted company, Weatherford International Ltd., a Swiss joint-stock corporation, and Deutsche Bank Trust</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1"/>
              </w:rPr>
              <w:t>Company Americas to the indenture dated as of June 18, 2007 (incorporated by reference to Exhibit 4.2 to the Quarterly Report on Form 10-Q</w:t>
            </w:r>
          </w:p>
        </w:tc>
      </w:tr>
      <w:tr>
        <w:trPr>
          <w:trHeight w:val="230"/>
        </w:trPr>
        <w:tc>
          <w:tcPr>
            <w:tcW w:w="7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3"/>
              </w:rPr>
              <w:t>for the quarter ended March 31, 2013 of Weatherford International Ltd., a Swiss joint-stock corporation (File No. 1-34258), filed May 3,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4.22</w:t>
            </w:r>
          </w:p>
        </w:tc>
        <w:tc>
          <w:tcPr>
            <w:tcW w:w="10660" w:type="dxa"/>
            <w:vAlign w:val="bottom"/>
          </w:tcPr>
          <w:p>
            <w:pPr>
              <w:ind w:left="240"/>
              <w:spacing w:after="0"/>
              <w:rPr>
                <w:sz w:val="20"/>
                <w:szCs w:val="20"/>
                <w:color w:val="auto"/>
              </w:rPr>
            </w:pPr>
            <w:r>
              <w:rPr>
                <w:rFonts w:ascii="Arial" w:cs="Arial" w:eastAsia="Arial" w:hAnsi="Arial"/>
                <w:sz w:val="18"/>
                <w:szCs w:val="18"/>
                <w:color w:val="auto"/>
                <w:w w:val="97"/>
              </w:rPr>
              <w:t>Fifth Supplemental Indenture dated as of June 17, 2014, among Weatherford International, Inc., a Delaware corporation, Weatherford</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4"/>
              </w:rPr>
              <w:t>International Ltd., a Bermuda exempted company, Weatherford International plc, an Irish public limited company, and Deutsche Bank Trust</w:t>
            </w:r>
          </w:p>
        </w:tc>
      </w:tr>
      <w:tr>
        <w:trPr>
          <w:trHeight w:val="216"/>
        </w:trPr>
        <w:tc>
          <w:tcPr>
            <w:tcW w:w="740" w:type="dxa"/>
            <w:vAlign w:val="bottom"/>
          </w:tcPr>
          <w:p>
            <w:pPr>
              <w:spacing w:after="0"/>
              <w:rPr>
                <w:sz w:val="18"/>
                <w:szCs w:val="18"/>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w w:val="90"/>
              </w:rPr>
              <w:t>Company Americas, as trustee, to the indenture dated as of June 18, 2007 (incorporated by reference to Exhibit 4.2 to Weatherford International</w:t>
            </w:r>
          </w:p>
        </w:tc>
      </w:tr>
      <w:tr>
        <w:trPr>
          <w:trHeight w:val="230"/>
        </w:trPr>
        <w:tc>
          <w:tcPr>
            <w:tcW w:w="740" w:type="dxa"/>
            <w:vAlign w:val="bottom"/>
          </w:tcPr>
          <w:p>
            <w:pPr>
              <w:spacing w:after="0"/>
              <w:rPr>
                <w:sz w:val="20"/>
                <w:szCs w:val="20"/>
                <w:color w:val="auto"/>
              </w:rPr>
            </w:pPr>
          </w:p>
        </w:tc>
        <w:tc>
          <w:tcPr>
            <w:tcW w:w="10660" w:type="dxa"/>
            <w:vAlign w:val="bottom"/>
          </w:tcPr>
          <w:p>
            <w:pPr>
              <w:ind w:left="240"/>
              <w:spacing w:after="0"/>
              <w:rPr>
                <w:sz w:val="20"/>
                <w:szCs w:val="20"/>
                <w:color w:val="auto"/>
              </w:rPr>
            </w:pPr>
            <w:r>
              <w:rPr>
                <w:rFonts w:ascii="Arial" w:cs="Arial" w:eastAsia="Arial" w:hAnsi="Arial"/>
                <w:sz w:val="18"/>
                <w:szCs w:val="18"/>
                <w:color w:val="auto"/>
              </w:rPr>
              <w:t>plc’s Current Report Form 8-K filed June 17, 2014)</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5.1*</w:t>
            </w:r>
          </w:p>
        </w:tc>
        <w:tc>
          <w:tcPr>
            <w:tcW w:w="10660" w:type="dxa"/>
            <w:vAlign w:val="bottom"/>
          </w:tcPr>
          <w:p>
            <w:pPr>
              <w:ind w:left="240"/>
              <w:spacing w:after="0"/>
              <w:rPr>
                <w:sz w:val="20"/>
                <w:szCs w:val="20"/>
                <w:color w:val="auto"/>
              </w:rPr>
            </w:pPr>
            <w:r>
              <w:rPr>
                <w:rFonts w:ascii="Arial" w:cs="Arial" w:eastAsia="Arial" w:hAnsi="Arial"/>
                <w:sz w:val="18"/>
                <w:szCs w:val="18"/>
                <w:color w:val="auto"/>
              </w:rPr>
              <w:t>Opinion of Baker &amp; McKenzie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5.2*</w:t>
            </w:r>
          </w:p>
        </w:tc>
        <w:tc>
          <w:tcPr>
            <w:tcW w:w="10660" w:type="dxa"/>
            <w:vAlign w:val="bottom"/>
          </w:tcPr>
          <w:p>
            <w:pPr>
              <w:ind w:left="240"/>
              <w:spacing w:after="0"/>
              <w:rPr>
                <w:sz w:val="20"/>
                <w:szCs w:val="20"/>
                <w:color w:val="auto"/>
              </w:rPr>
            </w:pPr>
            <w:r>
              <w:rPr>
                <w:rFonts w:ascii="Arial" w:cs="Arial" w:eastAsia="Arial" w:hAnsi="Arial"/>
                <w:sz w:val="18"/>
                <w:szCs w:val="18"/>
                <w:color w:val="auto"/>
              </w:rPr>
              <w:t>Opinion of Conyers Dill &amp; Pearman Limited</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5.3*</w:t>
            </w:r>
          </w:p>
        </w:tc>
        <w:tc>
          <w:tcPr>
            <w:tcW w:w="10660" w:type="dxa"/>
            <w:vAlign w:val="bottom"/>
          </w:tcPr>
          <w:p>
            <w:pPr>
              <w:ind w:left="240"/>
              <w:spacing w:after="0"/>
              <w:rPr>
                <w:sz w:val="20"/>
                <w:szCs w:val="20"/>
                <w:color w:val="auto"/>
              </w:rPr>
            </w:pPr>
            <w:r>
              <w:rPr>
                <w:rFonts w:ascii="Arial" w:cs="Arial" w:eastAsia="Arial" w:hAnsi="Arial"/>
                <w:sz w:val="18"/>
                <w:szCs w:val="18"/>
                <w:color w:val="auto"/>
              </w:rPr>
              <w:t>Opinion of Matheson</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12.1*</w:t>
            </w:r>
          </w:p>
        </w:tc>
        <w:tc>
          <w:tcPr>
            <w:tcW w:w="10660" w:type="dxa"/>
            <w:vAlign w:val="bottom"/>
          </w:tcPr>
          <w:p>
            <w:pPr>
              <w:ind w:left="240"/>
              <w:spacing w:after="0"/>
              <w:rPr>
                <w:sz w:val="20"/>
                <w:szCs w:val="20"/>
                <w:color w:val="auto"/>
              </w:rPr>
            </w:pPr>
            <w:r>
              <w:rPr>
                <w:rFonts w:ascii="Arial" w:cs="Arial" w:eastAsia="Arial" w:hAnsi="Arial"/>
                <w:sz w:val="18"/>
                <w:szCs w:val="18"/>
                <w:color w:val="auto"/>
              </w:rPr>
              <w:t>Computation of Ratio of Earnings to Fixed Charges</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Baker &amp; McKenzie LLP (included in its opinion filed as Exhibit 5.1)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Conyers Dill &amp; Pearman Limited (included in its opinion filed as Exhibit 5.3)</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23.3*</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KPMG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23.4*</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23.5*</w:t>
            </w:r>
          </w:p>
        </w:tc>
        <w:tc>
          <w:tcPr>
            <w:tcW w:w="10660" w:type="dxa"/>
            <w:vAlign w:val="bottom"/>
          </w:tcPr>
          <w:p>
            <w:pPr>
              <w:ind w:left="240"/>
              <w:spacing w:after="0"/>
              <w:rPr>
                <w:sz w:val="20"/>
                <w:szCs w:val="20"/>
                <w:color w:val="auto"/>
              </w:rPr>
            </w:pPr>
            <w:r>
              <w:rPr>
                <w:rFonts w:ascii="Arial" w:cs="Arial" w:eastAsia="Arial" w:hAnsi="Arial"/>
                <w:sz w:val="18"/>
                <w:szCs w:val="18"/>
                <w:color w:val="auto"/>
              </w:rPr>
              <w:t>Consent of Matheson (included in its opinion filed as exhibit 5.4 hereto)</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10660" w:type="dxa"/>
            <w:vAlign w:val="bottom"/>
          </w:tcPr>
          <w:p>
            <w:pPr>
              <w:ind w:left="240"/>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24.2**</w:t>
            </w:r>
          </w:p>
        </w:tc>
        <w:tc>
          <w:tcPr>
            <w:tcW w:w="10660" w:type="dxa"/>
            <w:vAlign w:val="bottom"/>
          </w:tcPr>
          <w:p>
            <w:pPr>
              <w:ind w:left="240"/>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24.3**</w:t>
            </w:r>
          </w:p>
        </w:tc>
        <w:tc>
          <w:tcPr>
            <w:tcW w:w="10660" w:type="dxa"/>
            <w:vAlign w:val="bottom"/>
          </w:tcPr>
          <w:p>
            <w:pPr>
              <w:ind w:left="240"/>
              <w:spacing w:after="0"/>
              <w:rPr>
                <w:sz w:val="20"/>
                <w:szCs w:val="20"/>
                <w:color w:val="auto"/>
              </w:rPr>
            </w:pPr>
            <w:r>
              <w:rPr>
                <w:rFonts w:ascii="Arial" w:cs="Arial" w:eastAsia="Arial" w:hAnsi="Arial"/>
                <w:sz w:val="18"/>
                <w:szCs w:val="18"/>
                <w:color w:val="auto"/>
              </w:rPr>
              <w:t>Power of Attorney for officers and member of Weatherford International, LLC, a Delaware limited liability company</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25.1**</w:t>
            </w:r>
          </w:p>
        </w:tc>
        <w:tc>
          <w:tcPr>
            <w:tcW w:w="10660" w:type="dxa"/>
            <w:vAlign w:val="bottom"/>
          </w:tcPr>
          <w:p>
            <w:pPr>
              <w:ind w:left="24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r>
    </w:tbl>
    <w:p>
      <w:pPr>
        <w:spacing w:after="0" w:line="2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previously.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by amendment or as an exhibit to a document to be incorporated by reference herein in connection with the issuance of the securities.</w:t>
      </w:r>
    </w:p>
    <w:p>
      <w:pPr>
        <w:sectPr>
          <w:pgSz w:w="11900" w:h="16838" w:orient="portrait"/>
          <w:cols w:equalWidth="0" w:num="1">
            <w:col w:w="11420"/>
          </w:cols>
          <w:pgMar w:left="240" w:top="584" w:right="2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
        <w:spacing w:after="0"/>
        <w:rPr>
          <w:sz w:val="20"/>
          <w:szCs w:val="20"/>
          <w:color w:val="auto"/>
        </w:rPr>
      </w:pPr>
      <w:r>
        <w:rPr>
          <w:rFonts w:ascii="Arial" w:cs="Arial" w:eastAsia="Arial" w:hAnsi="Arial"/>
          <w:sz w:val="10"/>
          <w:szCs w:val="10"/>
          <w:b w:val="1"/>
          <w:bCs w:val="1"/>
          <w:color w:val="auto"/>
        </w:rPr>
        <w:t>Asia Pacific</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0"/>
          <w:szCs w:val="10"/>
          <w:color w:val="auto"/>
        </w:rPr>
        <w:t>Bangkok</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Beijing</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Hanoi</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Ho Chi Minh City</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Hong Kong</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Jakarta*</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Kuala Lumpur*</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Manila*</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Melbourne</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Seoul</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Shanghai</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Singapore</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Sydney</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Taipei</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Tokyo</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9"/>
          <w:szCs w:val="9"/>
          <w:b w:val="1"/>
          <w:bCs w:val="1"/>
          <w:color w:val="auto"/>
        </w:rPr>
        <w:t>Europe, Middle East</w:t>
      </w:r>
    </w:p>
    <w:p>
      <w:pPr>
        <w:spacing w:after="0" w:line="26" w:lineRule="exact"/>
        <w:rPr>
          <w:sz w:val="20"/>
          <w:szCs w:val="20"/>
          <w:color w:val="auto"/>
        </w:rPr>
      </w:pPr>
    </w:p>
    <w:p>
      <w:pPr>
        <w:ind w:left="5" w:right="472" w:hanging="5"/>
        <w:spacing w:after="0" w:line="452" w:lineRule="auto"/>
        <w:tabs>
          <w:tab w:leader="none" w:pos="104" w:val="left"/>
        </w:tabs>
        <w:numPr>
          <w:ilvl w:val="0"/>
          <w:numId w:val="15"/>
        </w:numPr>
        <w:rPr>
          <w:rFonts w:ascii="Arial" w:cs="Arial" w:eastAsia="Arial" w:hAnsi="Arial"/>
          <w:sz w:val="9"/>
          <w:szCs w:val="9"/>
          <w:b w:val="1"/>
          <w:bCs w:val="1"/>
          <w:color w:val="auto"/>
        </w:rPr>
      </w:pPr>
      <w:r>
        <w:rPr>
          <w:rFonts w:ascii="Arial" w:cs="Arial" w:eastAsia="Arial" w:hAnsi="Arial"/>
          <w:sz w:val="9"/>
          <w:szCs w:val="9"/>
          <w:b w:val="1"/>
          <w:bCs w:val="1"/>
          <w:color w:val="auto"/>
        </w:rPr>
        <w:t xml:space="preserve">Africa </w:t>
      </w:r>
      <w:r>
        <w:rPr>
          <w:rFonts w:ascii="Arial" w:cs="Arial" w:eastAsia="Arial" w:hAnsi="Arial"/>
          <w:sz w:val="9"/>
          <w:szCs w:val="9"/>
          <w:color w:val="auto"/>
        </w:rPr>
        <w:t>Abu Dhabi Almaty Amsterdam Antwerp Bahrain Baku Barcelona Berlin Brussels Budapest Cairo Casablanca Doha Dubai Dusseldorf Frankfurt/Main Geneva Istanbul Johannesburg Kyiv London Luxembourg Madrid Milan Moscow Munich Paris Prague Riyadh Rome</w:t>
      </w:r>
    </w:p>
    <w:p>
      <w:pPr>
        <w:spacing w:after="0" w:line="321" w:lineRule="exact"/>
        <w:rPr>
          <w:rFonts w:ascii="Arial" w:cs="Arial" w:eastAsia="Arial" w:hAnsi="Arial"/>
          <w:sz w:val="9"/>
          <w:szCs w:val="9"/>
          <w:b w:val="1"/>
          <w:bCs w:val="1"/>
          <w:color w:val="auto"/>
        </w:rPr>
      </w:pPr>
    </w:p>
    <w:p>
      <w:pPr>
        <w:ind w:left="5" w:right="492"/>
        <w:spacing w:after="0" w:line="360" w:lineRule="auto"/>
        <w:rPr>
          <w:rFonts w:ascii="Arial" w:cs="Arial" w:eastAsia="Arial" w:hAnsi="Arial"/>
          <w:sz w:val="9"/>
          <w:szCs w:val="9"/>
          <w:b w:val="1"/>
          <w:bCs w:val="1"/>
          <w:color w:val="auto"/>
        </w:rPr>
      </w:pPr>
      <w:r>
        <w:rPr>
          <w:rFonts w:ascii="Arial" w:cs="Arial" w:eastAsia="Arial" w:hAnsi="Arial"/>
          <w:sz w:val="9"/>
          <w:szCs w:val="9"/>
          <w:color w:val="auto"/>
        </w:rPr>
        <w:t>St. Petersburg Stockholm Vienna Warsaw Zurich</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0"/>
          <w:szCs w:val="10"/>
          <w:b w:val="1"/>
          <w:bCs w:val="1"/>
          <w:color w:val="auto"/>
        </w:rPr>
        <w:t>Latin America</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0"/>
          <w:szCs w:val="10"/>
          <w:color w:val="auto"/>
        </w:rPr>
        <w:t>Bogota</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Brasilia*</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Buenos Aires</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Caracas</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Guadalajara</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Juarez</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Lima</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Mexico City</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Monterrey</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Porto Alegre*</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Rio de Janeiro*</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Santiago</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Sao Paulo*</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Tijuana</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Valencia</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10"/>
          <w:szCs w:val="10"/>
          <w:b w:val="1"/>
          <w:bCs w:val="1"/>
          <w:color w:val="auto"/>
        </w:rPr>
        <w:t>North America</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0"/>
          <w:szCs w:val="10"/>
          <w:color w:val="auto"/>
        </w:rPr>
        <w:t>Chicago</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Dallas</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Houston</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Miami</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New York</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Palo Alto</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San Francisco</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0"/>
          <w:szCs w:val="10"/>
          <w:color w:val="auto"/>
        </w:rPr>
        <w:t>Toronto</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329" w:lineRule="exact"/>
        <w:rPr>
          <w:sz w:val="20"/>
          <w:szCs w:val="20"/>
          <w:color w:val="auto"/>
        </w:rPr>
      </w:pPr>
    </w:p>
    <w:p>
      <w:pPr>
        <w:ind w:left="5788"/>
        <w:spacing w:after="0"/>
        <w:rPr>
          <w:sz w:val="20"/>
          <w:szCs w:val="20"/>
          <w:color w:val="auto"/>
        </w:rPr>
      </w:pPr>
      <w:r>
        <w:rPr>
          <w:rFonts w:ascii="Arial" w:cs="Arial" w:eastAsia="Arial" w:hAnsi="Arial"/>
          <w:sz w:val="14"/>
          <w:szCs w:val="14"/>
          <w:b w:val="1"/>
          <w:bCs w:val="1"/>
          <w:color w:val="auto"/>
        </w:rPr>
        <w:t>Baker &amp; McKenzie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-86995</wp:posOffset>
            </wp:positionV>
            <wp:extent cx="234124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1245" cy="462915"/>
                    </a:xfrm>
                    <a:prstGeom prst="rect">
                      <a:avLst/>
                    </a:prstGeom>
                    <a:noFill/>
                  </pic:spPr>
                </pic:pic>
              </a:graphicData>
            </a:graphic>
          </wp:anchor>
        </w:drawing>
      </w:r>
    </w:p>
    <w:p>
      <w:pPr>
        <w:spacing w:after="0" w:line="120" w:lineRule="exact"/>
        <w:rPr>
          <w:sz w:val="20"/>
          <w:szCs w:val="20"/>
          <w:color w:val="auto"/>
        </w:rPr>
      </w:pPr>
    </w:p>
    <w:p>
      <w:pPr>
        <w:ind w:left="5788"/>
        <w:spacing w:after="0"/>
        <w:rPr>
          <w:sz w:val="20"/>
          <w:szCs w:val="20"/>
          <w:color w:val="auto"/>
        </w:rPr>
      </w:pPr>
      <w:r>
        <w:rPr>
          <w:rFonts w:ascii="Arial" w:cs="Arial" w:eastAsia="Arial" w:hAnsi="Arial"/>
          <w:sz w:val="14"/>
          <w:szCs w:val="14"/>
          <w:color w:val="auto"/>
        </w:rPr>
        <w:t>Bank of America Center</w:t>
      </w:r>
    </w:p>
    <w:p>
      <w:pPr>
        <w:ind w:left="5788"/>
        <w:spacing w:after="0" w:line="221" w:lineRule="auto"/>
        <w:rPr>
          <w:sz w:val="20"/>
          <w:szCs w:val="20"/>
          <w:color w:val="auto"/>
        </w:rPr>
      </w:pPr>
      <w:r>
        <w:rPr>
          <w:rFonts w:ascii="Arial" w:cs="Arial" w:eastAsia="Arial" w:hAnsi="Arial"/>
          <w:sz w:val="14"/>
          <w:szCs w:val="14"/>
          <w:color w:val="auto"/>
        </w:rPr>
        <w:t>700 Louisiana, Suite 3000</w:t>
      </w:r>
    </w:p>
    <w:p>
      <w:pPr>
        <w:ind w:left="5788"/>
        <w:spacing w:after="0" w:line="221" w:lineRule="auto"/>
        <w:rPr>
          <w:sz w:val="20"/>
          <w:szCs w:val="20"/>
          <w:color w:val="auto"/>
        </w:rPr>
      </w:pPr>
      <w:r>
        <w:rPr>
          <w:rFonts w:ascii="Arial" w:cs="Arial" w:eastAsia="Arial" w:hAnsi="Arial"/>
          <w:sz w:val="14"/>
          <w:szCs w:val="14"/>
          <w:color w:val="auto"/>
        </w:rPr>
        <w:t>Houston, TX 77002</w:t>
      </w:r>
    </w:p>
    <w:p>
      <w:pPr>
        <w:ind w:left="5788"/>
        <w:spacing w:after="0" w:line="222" w:lineRule="auto"/>
        <w:rPr>
          <w:sz w:val="20"/>
          <w:szCs w:val="20"/>
          <w:color w:val="auto"/>
        </w:rPr>
      </w:pPr>
      <w:r>
        <w:rPr>
          <w:rFonts w:ascii="Arial" w:cs="Arial" w:eastAsia="Arial" w:hAnsi="Arial"/>
          <w:sz w:val="14"/>
          <w:szCs w:val="14"/>
          <w:color w:val="auto"/>
        </w:rPr>
        <w:t>United States</w:t>
      </w:r>
    </w:p>
    <w:p>
      <w:pPr>
        <w:ind w:left="5788"/>
        <w:spacing w:after="0" w:line="221" w:lineRule="auto"/>
        <w:rPr>
          <w:sz w:val="20"/>
          <w:szCs w:val="20"/>
          <w:color w:val="auto"/>
        </w:rPr>
      </w:pPr>
      <w:r>
        <w:rPr>
          <w:rFonts w:ascii="Arial" w:cs="Arial" w:eastAsia="Arial" w:hAnsi="Arial"/>
          <w:sz w:val="14"/>
          <w:szCs w:val="14"/>
          <w:color w:val="auto"/>
        </w:rPr>
        <w:t>Tel: +1 713 427 5000</w:t>
      </w:r>
    </w:p>
    <w:p>
      <w:pPr>
        <w:ind w:left="5788"/>
        <w:spacing w:after="0" w:line="222" w:lineRule="auto"/>
        <w:rPr>
          <w:sz w:val="20"/>
          <w:szCs w:val="20"/>
          <w:color w:val="auto"/>
        </w:rPr>
      </w:pPr>
      <w:r>
        <w:rPr>
          <w:rFonts w:ascii="Arial" w:cs="Arial" w:eastAsia="Arial" w:hAnsi="Arial"/>
          <w:sz w:val="14"/>
          <w:szCs w:val="14"/>
          <w:color w:val="auto"/>
        </w:rPr>
        <w:t>Fax: +1 713 427 5099</w:t>
      </w:r>
    </w:p>
    <w:p>
      <w:pPr>
        <w:ind w:left="5788"/>
        <w:spacing w:after="0"/>
        <w:rPr>
          <w:sz w:val="20"/>
          <w:szCs w:val="20"/>
          <w:color w:val="auto"/>
        </w:rPr>
      </w:pPr>
      <w:r>
        <w:rPr>
          <w:rFonts w:ascii="Arial" w:cs="Arial" w:eastAsia="Arial" w:hAnsi="Arial"/>
          <w:sz w:val="14"/>
          <w:szCs w:val="14"/>
          <w:color w:val="auto"/>
        </w:rPr>
        <w:t>www.bakermckenzie.com</w:t>
      </w:r>
    </w:p>
    <w:p>
      <w:pPr>
        <w:spacing w:after="0" w:line="200" w:lineRule="exact"/>
        <w:rPr>
          <w:sz w:val="20"/>
          <w:szCs w:val="20"/>
          <w:color w:val="auto"/>
        </w:rPr>
      </w:pPr>
    </w:p>
    <w:p>
      <w:pPr>
        <w:spacing w:after="0" w:line="361" w:lineRule="exact"/>
        <w:rPr>
          <w:sz w:val="20"/>
          <w:szCs w:val="20"/>
          <w:color w:val="auto"/>
        </w:rPr>
      </w:pPr>
    </w:p>
    <w:p>
      <w:pPr>
        <w:ind w:left="8"/>
        <w:spacing w:after="0"/>
        <w:rPr>
          <w:sz w:val="20"/>
          <w:szCs w:val="20"/>
          <w:color w:val="auto"/>
        </w:rPr>
      </w:pPr>
      <w:r>
        <w:rPr>
          <w:rFonts w:ascii="Arial" w:cs="Arial" w:eastAsia="Arial" w:hAnsi="Arial"/>
          <w:sz w:val="18"/>
          <w:szCs w:val="18"/>
          <w:color w:val="auto"/>
        </w:rPr>
        <w:t>June 17, 2014</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Weatherford International plc</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Houston, Texas 77056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Arial" w:cs="Arial" w:eastAsia="Arial" w:hAnsi="Arial"/>
          <w:sz w:val="18"/>
          <w:szCs w:val="18"/>
          <w:color w:val="auto"/>
        </w:rPr>
        <w:t>Ladies and Gentlemen:</w:t>
      </w:r>
    </w:p>
    <w:p>
      <w:pPr>
        <w:spacing w:after="0" w:line="63" w:lineRule="exact"/>
        <w:rPr>
          <w:sz w:val="20"/>
          <w:szCs w:val="20"/>
          <w:color w:val="auto"/>
        </w:rPr>
      </w:pPr>
    </w:p>
    <w:p>
      <w:pPr>
        <w:jc w:val="both"/>
        <w:ind w:left="8" w:right="20" w:firstLine="648"/>
        <w:spacing w:after="0" w:line="283" w:lineRule="auto"/>
        <w:rPr>
          <w:sz w:val="20"/>
          <w:szCs w:val="20"/>
          <w:color w:val="auto"/>
        </w:rPr>
      </w:pPr>
      <w:r>
        <w:rPr>
          <w:rFonts w:ascii="Arial" w:cs="Arial" w:eastAsia="Arial" w:hAnsi="Arial"/>
          <w:sz w:val="16"/>
          <w:szCs w:val="16"/>
          <w:color w:val="auto"/>
        </w:rPr>
        <w:t>We have acted as securities counsel for Weatherford International plc, a public limited company incorporated under the laws of Ireland (“</w:t>
      </w:r>
      <w:r>
        <w:rPr>
          <w:rFonts w:ascii="Arial" w:cs="Arial" w:eastAsia="Arial" w:hAnsi="Arial"/>
          <w:sz w:val="16"/>
          <w:szCs w:val="16"/>
          <w:b w:val="1"/>
          <w:bCs w:val="1"/>
          <w:color w:val="auto"/>
        </w:rPr>
        <w:t>Weatherford Ireland</w:t>
      </w:r>
      <w:r>
        <w:rPr>
          <w:rFonts w:ascii="Arial" w:cs="Arial" w:eastAsia="Arial" w:hAnsi="Arial"/>
          <w:sz w:val="16"/>
          <w:szCs w:val="16"/>
          <w:color w:val="auto"/>
        </w:rPr>
        <w:t>”), Weatherford International Ltd., a Bermuda exempted company (“</w:t>
      </w:r>
      <w:r>
        <w:rPr>
          <w:rFonts w:ascii="Arial" w:cs="Arial" w:eastAsia="Arial" w:hAnsi="Arial"/>
          <w:sz w:val="16"/>
          <w:szCs w:val="16"/>
          <w:b w:val="1"/>
          <w:bCs w:val="1"/>
          <w:color w:val="auto"/>
        </w:rPr>
        <w:t>Weatherford</w:t>
      </w:r>
      <w:r>
        <w:rPr>
          <w:rFonts w:ascii="Arial" w:cs="Arial" w:eastAsia="Arial" w:hAnsi="Arial"/>
          <w:sz w:val="16"/>
          <w:szCs w:val="16"/>
          <w:color w:val="auto"/>
        </w:rPr>
        <w:t xml:space="preserve"> </w:t>
      </w:r>
      <w:r>
        <w:rPr>
          <w:rFonts w:ascii="Arial" w:cs="Arial" w:eastAsia="Arial" w:hAnsi="Arial"/>
          <w:sz w:val="16"/>
          <w:szCs w:val="16"/>
          <w:b w:val="1"/>
          <w:bCs w:val="1"/>
          <w:color w:val="auto"/>
        </w:rPr>
        <w:t>Bermuda</w:t>
      </w:r>
      <w:r>
        <w:rPr>
          <w:rFonts w:ascii="Arial" w:cs="Arial" w:eastAsia="Arial" w:hAnsi="Arial"/>
          <w:sz w:val="16"/>
          <w:szCs w:val="16"/>
          <w:color w:val="auto"/>
        </w:rPr>
        <w:t>”) and Weatherford International, LLC, a Delaware limited liability company (“</w:t>
      </w:r>
      <w:r>
        <w:rPr>
          <w:rFonts w:ascii="Arial" w:cs="Arial" w:eastAsia="Arial" w:hAnsi="Arial"/>
          <w:sz w:val="16"/>
          <w:szCs w:val="16"/>
          <w:b w:val="1"/>
          <w:bCs w:val="1"/>
          <w:color w:val="auto"/>
        </w:rPr>
        <w:t>Weatherford Delaware</w:t>
      </w:r>
      <w:r>
        <w:rPr>
          <w:rFonts w:ascii="Arial" w:cs="Arial" w:eastAsia="Arial" w:hAnsi="Arial"/>
          <w:sz w:val="16"/>
          <w:szCs w:val="16"/>
          <w:color w:val="auto"/>
        </w:rPr>
        <w:t>” and,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with Weatherford Ireland and Weatherford Bermuda, the “</w:t>
      </w:r>
      <w:r>
        <w:rPr>
          <w:rFonts w:ascii="Arial" w:cs="Arial" w:eastAsia="Arial" w:hAnsi="Arial"/>
          <w:sz w:val="16"/>
          <w:szCs w:val="16"/>
          <w:b w:val="1"/>
          <w:bCs w:val="1"/>
          <w:color w:val="auto"/>
        </w:rPr>
        <w:t>Companies</w:t>
      </w:r>
      <w:r>
        <w:rPr>
          <w:rFonts w:ascii="Arial" w:cs="Arial" w:eastAsia="Arial" w:hAnsi="Arial"/>
          <w:sz w:val="16"/>
          <w:szCs w:val="16"/>
          <w:color w:val="auto"/>
        </w:rPr>
        <w:t>”), in connection with their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of a post-effective amendment no. 1 to registration statement on Form S-3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under the U.S.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Registration Statement relates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and sale from time to time, pursuant to Rule 415 of the General Rules and Regulations promulgated under the Securities Act, of an indeterminate number of: (i) debt securities of Weatherford Bermuda (“</w:t>
      </w:r>
      <w:r>
        <w:rPr>
          <w:rFonts w:ascii="Arial" w:cs="Arial" w:eastAsia="Arial" w:hAnsi="Arial"/>
          <w:sz w:val="16"/>
          <w:szCs w:val="16"/>
          <w:b w:val="1"/>
          <w:bCs w:val="1"/>
          <w:color w:val="auto"/>
        </w:rPr>
        <w:t>Bermuda Debt Securities</w:t>
      </w:r>
      <w:r>
        <w:rPr>
          <w:rFonts w:ascii="Arial" w:cs="Arial" w:eastAsia="Arial" w:hAnsi="Arial"/>
          <w:sz w:val="16"/>
          <w:szCs w:val="16"/>
          <w:color w:val="auto"/>
        </w:rPr>
        <w:t>”); (ii) debt securities of Weatherford Delaware (“</w:t>
      </w:r>
      <w:r>
        <w:rPr>
          <w:rFonts w:ascii="Arial" w:cs="Arial" w:eastAsia="Arial" w:hAnsi="Arial"/>
          <w:sz w:val="16"/>
          <w:szCs w:val="16"/>
          <w:b w:val="1"/>
          <w:bCs w:val="1"/>
          <w:color w:val="auto"/>
        </w:rPr>
        <w:t>Delaware Debt Securities</w:t>
      </w:r>
      <w:r>
        <w:rPr>
          <w:rFonts w:ascii="Arial" w:cs="Arial" w:eastAsia="Arial" w:hAnsi="Arial"/>
          <w:sz w:val="16"/>
          <w:szCs w:val="16"/>
          <w:color w:val="auto"/>
        </w:rPr>
        <w:t>” and, together with the Bermuda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w:t>
      </w:r>
    </w:p>
    <w:p>
      <w:pPr>
        <w:spacing w:after="0" w:line="7" w:lineRule="exact"/>
        <w:rPr>
          <w:sz w:val="20"/>
          <w:szCs w:val="20"/>
          <w:color w:val="auto"/>
        </w:rPr>
      </w:pPr>
    </w:p>
    <w:p>
      <w:pPr>
        <w:jc w:val="both"/>
        <w:ind w:left="8" w:right="20" w:hanging="8"/>
        <w:spacing w:after="0" w:line="252" w:lineRule="auto"/>
        <w:tabs>
          <w:tab w:leader="none" w:pos="3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guarantees of the Debt Securities by Weatherford Ireland, Weatherford Bermuda and/or Weatherford Delaware (collectively, the “</w:t>
      </w:r>
      <w:r>
        <w:rPr>
          <w:rFonts w:ascii="Arial" w:cs="Arial" w:eastAsia="Arial" w:hAnsi="Arial"/>
          <w:sz w:val="18"/>
          <w:szCs w:val="18"/>
          <w:b w:val="1"/>
          <w:bCs w:val="1"/>
          <w:color w:val="auto"/>
        </w:rPr>
        <w:t>Guarantees</w:t>
      </w:r>
      <w:r>
        <w:rPr>
          <w:rFonts w:ascii="Arial" w:cs="Arial" w:eastAsia="Arial" w:hAnsi="Arial"/>
          <w:sz w:val="18"/>
          <w:szCs w:val="18"/>
          <w:color w:val="auto"/>
        </w:rPr>
        <w:t>”); and (iv) ordinary shares, nominal value $0.001 per share, of Weatherford Ireland (“</w:t>
      </w:r>
      <w:r>
        <w:rPr>
          <w:rFonts w:ascii="Arial" w:cs="Arial" w:eastAsia="Arial" w:hAnsi="Arial"/>
          <w:sz w:val="18"/>
          <w:szCs w:val="18"/>
          <w:b w:val="1"/>
          <w:bCs w:val="1"/>
          <w:color w:val="auto"/>
        </w:rPr>
        <w:t>Registered Shares</w:t>
      </w:r>
      <w:r>
        <w:rPr>
          <w:rFonts w:ascii="Arial" w:cs="Arial" w:eastAsia="Arial" w:hAnsi="Arial"/>
          <w:sz w:val="18"/>
          <w:szCs w:val="18"/>
          <w:color w:val="auto"/>
        </w:rPr>
        <w:t>”). The Debt Securities and Guarantees are collectively referred to herein as the “</w:t>
      </w:r>
      <w:r>
        <w:rPr>
          <w:rFonts w:ascii="Arial" w:cs="Arial" w:eastAsia="Arial" w:hAnsi="Arial"/>
          <w:sz w:val="18"/>
          <w:szCs w:val="18"/>
          <w:b w:val="1"/>
          <w:bCs w:val="1"/>
          <w:color w:val="auto"/>
        </w:rPr>
        <w:t>Offered Securities</w:t>
      </w:r>
      <w:r>
        <w:rPr>
          <w:rFonts w:ascii="Arial" w:cs="Arial" w:eastAsia="Arial" w:hAnsi="Arial"/>
          <w:sz w:val="18"/>
          <w:szCs w:val="18"/>
          <w:color w:val="auto"/>
        </w:rPr>
        <w:t>.” The Offered Securities will be issued under (i) the Indenture, dated October 1, 2003, as supplemented (the “</w:t>
      </w:r>
      <w:r>
        <w:rPr>
          <w:rFonts w:ascii="Arial" w:cs="Arial" w:eastAsia="Arial" w:hAnsi="Arial"/>
          <w:sz w:val="18"/>
          <w:szCs w:val="18"/>
          <w:b w:val="1"/>
          <w:bCs w:val="1"/>
          <w:color w:val="auto"/>
        </w:rPr>
        <w:t>2003 Indenture</w:t>
      </w:r>
      <w:r>
        <w:rPr>
          <w:rFonts w:ascii="Arial" w:cs="Arial" w:eastAsia="Arial" w:hAnsi="Arial"/>
          <w:sz w:val="18"/>
          <w:szCs w:val="18"/>
          <w:color w:val="auto"/>
        </w:rPr>
        <w:t>”), among the Companies and Deutsche Bank Trust Company Americas, trustee (the “</w:t>
      </w:r>
      <w:r>
        <w:rPr>
          <w:rFonts w:ascii="Arial" w:cs="Arial" w:eastAsia="Arial" w:hAnsi="Arial"/>
          <w:sz w:val="18"/>
          <w:szCs w:val="18"/>
          <w:b w:val="1"/>
          <w:bCs w:val="1"/>
          <w:color w:val="auto"/>
        </w:rPr>
        <w:t>Trustee</w:t>
      </w:r>
      <w:r>
        <w:rPr>
          <w:rFonts w:ascii="Arial" w:cs="Arial" w:eastAsia="Arial" w:hAnsi="Arial"/>
          <w:sz w:val="18"/>
          <w:szCs w:val="18"/>
          <w:color w:val="auto"/>
        </w:rPr>
        <w:t>”), or (ii) the Indenture, dated June 18, 2007, as supplemented (the “</w:t>
      </w:r>
      <w:r>
        <w:rPr>
          <w:rFonts w:ascii="Arial" w:cs="Arial" w:eastAsia="Arial" w:hAnsi="Arial"/>
          <w:sz w:val="18"/>
          <w:szCs w:val="18"/>
          <w:b w:val="1"/>
          <w:bCs w:val="1"/>
          <w:color w:val="auto"/>
        </w:rPr>
        <w:t>2007 Indenture</w:t>
      </w:r>
      <w:r>
        <w:rPr>
          <w:rFonts w:ascii="Arial" w:cs="Arial" w:eastAsia="Arial" w:hAnsi="Arial"/>
          <w:sz w:val="18"/>
          <w:szCs w:val="18"/>
          <w:color w:val="auto"/>
        </w:rPr>
        <w:t>” and, together with the 2003 Indenture, the “</w:t>
      </w:r>
      <w:r>
        <w:rPr>
          <w:rFonts w:ascii="Arial" w:cs="Arial" w:eastAsia="Arial" w:hAnsi="Arial"/>
          <w:sz w:val="18"/>
          <w:szCs w:val="18"/>
          <w:b w:val="1"/>
          <w:bCs w:val="1"/>
          <w:color w:val="auto"/>
        </w:rPr>
        <w:t>Indentures</w:t>
      </w:r>
      <w:r>
        <w:rPr>
          <w:rFonts w:ascii="Arial" w:cs="Arial" w:eastAsia="Arial" w:hAnsi="Arial"/>
          <w:sz w:val="18"/>
          <w:szCs w:val="18"/>
          <w:color w:val="auto"/>
        </w:rPr>
        <w:t>”), among the Companies and the Trustee, as such Indentures may hereafter be supplemented from time to time, among other things at the time of and in connection with the issuance of the Offered Securities.</w:t>
      </w:r>
    </w:p>
    <w:p>
      <w:pPr>
        <w:spacing w:after="0" w:line="151" w:lineRule="exact"/>
        <w:rPr>
          <w:sz w:val="20"/>
          <w:szCs w:val="20"/>
          <w:color w:val="auto"/>
        </w:rPr>
      </w:pPr>
    </w:p>
    <w:p>
      <w:pPr>
        <w:jc w:val="both"/>
        <w:ind w:left="8" w:right="40" w:firstLine="648"/>
        <w:spacing w:after="0" w:line="254" w:lineRule="auto"/>
        <w:rPr>
          <w:sz w:val="20"/>
          <w:szCs w:val="20"/>
          <w:color w:val="auto"/>
        </w:rPr>
      </w:pPr>
      <w:r>
        <w:rPr>
          <w:rFonts w:ascii="Arial" w:cs="Arial" w:eastAsia="Arial" w:hAnsi="Arial"/>
          <w:sz w:val="18"/>
          <w:szCs w:val="18"/>
          <w:color w:val="auto"/>
        </w:rPr>
        <w:t>We have reviewed the originals, or photostatic or certified copies, of (i) the certificate of formation and limited liability company agreement of Weatherford Delaware, as amended to the date hereof, (ii) resolutions adopted by the member of Weatherford Delaware, (iii) the Indentures, (iv) the form of Registration Statement (including the form of base prospectus which forms a part of the Registration Statement), and (v) such records of the Companies, certificates of officers of the Companies and public documents, and such other documents as we have deemed relevant and necessary as the basis of the opinions set forth below. In such examination, we have assumed the genuineness of all signatures, the authenticity of all documents submitted to us as originals, the conformity to original documents of all documents submitted to us as photostatic or certified copies and the authenticity of the originals of such copies.</w:t>
      </w:r>
    </w:p>
    <w:p>
      <w:pPr>
        <w:spacing w:after="0" w:line="152" w:lineRule="exact"/>
        <w:rPr>
          <w:sz w:val="20"/>
          <w:szCs w:val="20"/>
          <w:color w:val="auto"/>
        </w:rPr>
      </w:pPr>
    </w:p>
    <w:p>
      <w:pPr>
        <w:jc w:val="both"/>
        <w:ind w:left="8" w:right="20" w:firstLine="648"/>
        <w:spacing w:after="0" w:line="291" w:lineRule="auto"/>
        <w:rPr>
          <w:sz w:val="20"/>
          <w:szCs w:val="20"/>
          <w:color w:val="auto"/>
        </w:rPr>
      </w:pPr>
      <w:r>
        <w:rPr>
          <w:rFonts w:ascii="Arial" w:cs="Arial" w:eastAsia="Arial" w:hAnsi="Arial"/>
          <w:sz w:val="16"/>
          <w:szCs w:val="16"/>
          <w:color w:val="auto"/>
        </w:rPr>
        <w:t>In rendering the opinions set forth below, we have also assumed that (i) all information contained in all documents reviewed by us is true and correct, (ii) each natural person signing any document reviewed by us had the legal capacity to do so,</w:t>
      </w:r>
    </w:p>
    <w:p>
      <w:pPr>
        <w:jc w:val="both"/>
        <w:ind w:left="8" w:right="20" w:hanging="8"/>
        <w:spacing w:after="0" w:line="271"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person signing in a representative capacity (other than on behalf of the Companies) any document reviewed by us had authority to sign in such capacity, (iv) the Registration Statement, and any amendments thereto (including any post-effective amendments), will have become effective and comply with all applicable laws and such effectiveness shall not have been terminated or rescinded, (v) a prospectus supplement will have been prepared and timely filed with the SEC describing the Offered Securities, (vi) all Offered Securities will be issued and sold in compliance with applicable federal</w:t>
      </w:r>
    </w:p>
    <w:p>
      <w:pPr>
        <w:sectPr>
          <w:pgSz w:w="11900" w:h="16838" w:orient="portrait"/>
          <w:cols w:equalWidth="0" w:num="2">
            <w:col w:w="1117" w:space="720"/>
            <w:col w:w="9548"/>
          </w:cols>
          <w:pgMar w:left="275" w:top="283" w:right="239" w:bottom="1440" w:gutter="0" w:footer="0" w:header="0"/>
        </w:sectPr>
      </w:pPr>
    </w:p>
    <w:bookmarkStart w:id="24" w:name="page25"/>
    <w:bookmarkEnd w:id="24"/>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234124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341245" cy="462915"/>
                    </a:xfrm>
                    <a:prstGeom prst="rect">
                      <a:avLst/>
                    </a:prstGeom>
                    <a:noFill/>
                  </pic:spPr>
                </pic:pic>
              </a:graphicData>
            </a:graphic>
          </wp:anchor>
        </w:drawing>
      </w:r>
    </w:p>
    <w:p>
      <w:pPr>
        <w:jc w:val="both"/>
        <w:ind w:left="680"/>
        <w:spacing w:after="0" w:line="254" w:lineRule="auto"/>
        <w:rPr>
          <w:sz w:val="20"/>
          <w:szCs w:val="20"/>
          <w:color w:val="auto"/>
        </w:rPr>
      </w:pPr>
      <w:r>
        <w:rPr>
          <w:rFonts w:ascii="Arial" w:cs="Arial" w:eastAsia="Arial" w:hAnsi="Arial"/>
          <w:sz w:val="18"/>
          <w:szCs w:val="18"/>
          <w:color w:val="auto"/>
        </w:rPr>
        <w:t>and state securities laws and in the manner stated in the Registration Statement and the applicable prospectus supplement, (vii) any supplemental indenture (“</w:t>
      </w:r>
      <w:r>
        <w:rPr>
          <w:rFonts w:ascii="Arial" w:cs="Arial" w:eastAsia="Arial" w:hAnsi="Arial"/>
          <w:sz w:val="18"/>
          <w:szCs w:val="18"/>
          <w:b w:val="1"/>
          <w:bCs w:val="1"/>
          <w:color w:val="auto"/>
        </w:rPr>
        <w:t>Supplemental Indenture</w:t>
      </w:r>
      <w:r>
        <w:rPr>
          <w:rFonts w:ascii="Arial" w:cs="Arial" w:eastAsia="Arial" w:hAnsi="Arial"/>
          <w:sz w:val="18"/>
          <w:szCs w:val="18"/>
          <w:color w:val="auto"/>
        </w:rPr>
        <w:t>”) under the applicable Indenture relating to a series of Debt Securities to be issued under the applicable Indenture will be duly authorized, executed and delivered by the parties thereto in substantially the form reviewed by us, (viii) with respect to the Debt Securities, the applicable trustee shall have been designated and qualified under the Trust Indenture Act of 1939, as amended, and a Statement of Eligibility of the Trustee on a Form T-1 has been or will be filed with the SEC with respect to such trustee, and (ix) if in an underwritten offering, a definitive purchase, underwriting or similar agreement with respect to any Offered Securities will be duly authorized and validly executed and delivered by the Companies and the other parties thereto.</w:t>
      </w:r>
    </w:p>
    <w:p>
      <w:pPr>
        <w:spacing w:after="0" w:line="192" w:lineRule="exact"/>
        <w:rPr>
          <w:sz w:val="20"/>
          <w:szCs w:val="20"/>
          <w:color w:val="auto"/>
        </w:rPr>
      </w:pPr>
    </w:p>
    <w:p>
      <w:pPr>
        <w:jc w:val="both"/>
        <w:ind w:left="680" w:firstLine="648"/>
        <w:spacing w:after="0" w:line="267" w:lineRule="auto"/>
        <w:rPr>
          <w:sz w:val="20"/>
          <w:szCs w:val="20"/>
          <w:color w:val="auto"/>
        </w:rPr>
      </w:pPr>
      <w:r>
        <w:rPr>
          <w:rFonts w:ascii="Arial" w:cs="Arial" w:eastAsia="Arial" w:hAnsi="Arial"/>
          <w:sz w:val="17"/>
          <w:szCs w:val="17"/>
          <w:color w:val="auto"/>
        </w:rPr>
        <w:t>We have also assumed that the Companies have complied and will comply with all aspects of the laws of all relevant jurisdictions (including, as applicable, the laws of Ireland, Bermuda and the State of Delaware) in connection with the transactions contemplated by, and the performance of their obligations with respect to, the issuance of the Offered Securities. We have also assumed that the Offered Securities and the applicable Supplemental Indenture will be executed and delivered in substantially the form reviewed by us. In addition, we have assumed that the terms of the Offered Securities will have been established so as not to, and that the execution and delivery by the Companies of, and the performance of their respective obligations under, the Indentures, the applicable Supplemental Indenture and the Offered Securities will not, violate, conflict with or constitute a default under (i) the respective governing documents of Weatherford Ireland, Weatherford Bermuda and Weatherford Delaware or any agreement or other instrument to which the Companies or their properties are subject, (ii) any law, rule or regulation to which the Companies are subject, (iii) any judicial or regulatory order or decree of any governmental authority, or (iv) any consent, approval, license, authorization or validation of, or filing, recording or registration with, any governmental authority. We have also assumed that (i) prior to the issuance of any Offered Securities, the relevant board of directors or a duly authorized committee thereof or, in the case of Weatherford Delaware, its sole member will have adopted resolutions setting forth, among other things, the offering price or formula pursuant to which such offering price may be determined with respect to such Offered Securities and the applicable Supplemental Indenture, (ii) each note, instrument or other executed document evidencing Offered Securities will be duly authorized, executed and delivered by the Companies under applicable law, (iii) the choice of New York law in the Indentures and the applicable Supplemental Indenture is legal and valid under the laws of any other applicable jurisdictions, (iv) the execution and delivery by the Companies of each applicable Supplemental Indenture and each other note, instrument or executed document evidencing Offered Securities and the performance by the Companies of their obligations thereunder will not violate or conflict with any laws of Ireland or Bermuda and (v) the Companies will have otherwise complied with all aspects of the laws of Ireland and Bermuda, as applicable, in connection with the issuance of the Offered Securities as contemplated by the Registration Statement.</w:t>
      </w:r>
    </w:p>
    <w:p>
      <w:pPr>
        <w:spacing w:after="0" w:line="186" w:lineRule="exact"/>
        <w:rPr>
          <w:sz w:val="20"/>
          <w:szCs w:val="20"/>
          <w:color w:val="auto"/>
        </w:rPr>
      </w:pPr>
    </w:p>
    <w:p>
      <w:pPr>
        <w:jc w:val="both"/>
        <w:ind w:left="680" w:firstLine="648"/>
        <w:spacing w:after="0" w:line="268" w:lineRule="auto"/>
        <w:rPr>
          <w:sz w:val="20"/>
          <w:szCs w:val="20"/>
          <w:color w:val="auto"/>
        </w:rPr>
      </w:pPr>
      <w:r>
        <w:rPr>
          <w:rFonts w:ascii="Arial" w:cs="Arial" w:eastAsia="Arial" w:hAnsi="Arial"/>
          <w:sz w:val="17"/>
          <w:szCs w:val="17"/>
          <w:color w:val="auto"/>
        </w:rPr>
        <w:t>Based upon and subject to the foregoing, we are of the opinion that, with respect to any series of the Debt Securities to be offered by Weatherford Bermuda or Weatherford Delaware (the “</w:t>
      </w:r>
      <w:r>
        <w:rPr>
          <w:rFonts w:ascii="Arial" w:cs="Arial" w:eastAsia="Arial" w:hAnsi="Arial"/>
          <w:sz w:val="17"/>
          <w:szCs w:val="17"/>
          <w:b w:val="1"/>
          <w:bCs w:val="1"/>
          <w:color w:val="auto"/>
        </w:rPr>
        <w:t>Offered Debt Securities</w:t>
      </w:r>
      <w:r>
        <w:rPr>
          <w:rFonts w:ascii="Arial" w:cs="Arial" w:eastAsia="Arial" w:hAnsi="Arial"/>
          <w:sz w:val="17"/>
          <w:szCs w:val="17"/>
          <w:color w:val="auto"/>
        </w:rPr>
        <w:t>”) and any Guarantees of the Offered Debt Securities to be offered by Weatherford Ireland, Weatherford Bermuda or Weatherford Delaware (the “</w:t>
      </w:r>
      <w:r>
        <w:rPr>
          <w:rFonts w:ascii="Arial" w:cs="Arial" w:eastAsia="Arial" w:hAnsi="Arial"/>
          <w:sz w:val="17"/>
          <w:szCs w:val="17"/>
          <w:b w:val="1"/>
          <w:bCs w:val="1"/>
          <w:color w:val="auto"/>
        </w:rPr>
        <w:t>Offered Guarantees</w:t>
      </w:r>
      <w:r>
        <w:rPr>
          <w:rFonts w:ascii="Arial" w:cs="Arial" w:eastAsia="Arial" w:hAnsi="Arial"/>
          <w:sz w:val="17"/>
          <w:szCs w:val="17"/>
          <w:color w:val="auto"/>
        </w:rPr>
        <w:t>”) pursuant to the Registration Statement, when (i) the terms of the Offered Debt Securities and the Offered Guarantees and of their issuance and sale have been duly established in conformity with the applicable Indenture, (ii) the Offered Debt Securities and the Offered Guarantees have been offered and sold in accordance with the applicable Indenture, the Registration Statement, including the prospectus supplement related thereto, and, if in an underwritten offering, a valid and binding purchase, underwriting or agency agreement, and (iii) the applicable Supplemental Indenture relating to the Offered Debt Securities and the Offered Guarantees has been duly executed and delivered by each party thereto and the Offered Debt Securities and the Offered Guarantees have been duly executed and authenticated in accordance with the provisions of the applicable Indenture (including the applicable Supplemental Indenture) and duly delivered to the purchasers thereof upon payment of the agreed-upon consideration therefor, the Offered Debt Securities (including any Debt Securities or Guarantees duly issued upon conversion, exchange or exercise of any Debt Securities) and the Offered Guarantees will be binding obligations of, as applicable, Weatherford Ireland, Weatherford Bermuda and Weatherford Delaware, respectively.</w:t>
      </w:r>
    </w:p>
    <w:p>
      <w:pPr>
        <w:sectPr>
          <w:pgSz w:w="11900" w:h="16838" w:orient="portrait"/>
          <w:cols w:equalWidth="0" w:num="1">
            <w:col w:w="10200"/>
          </w:cols>
          <w:pgMar w:left="1440" w:top="1440" w:right="259" w:bottom="1440" w:gutter="0" w:footer="0" w:header="0"/>
        </w:sectPr>
      </w:pPr>
    </w:p>
    <w:bookmarkStart w:id="25" w:name="page26"/>
    <w:bookmarkEnd w:id="25"/>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234124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341245" cy="462915"/>
                    </a:xfrm>
                    <a:prstGeom prst="rect">
                      <a:avLst/>
                    </a:prstGeom>
                    <a:noFill/>
                  </pic:spPr>
                </pic:pic>
              </a:graphicData>
            </a:graphic>
          </wp:anchor>
        </w:drawing>
      </w:r>
    </w:p>
    <w:p>
      <w:pPr>
        <w:jc w:val="both"/>
        <w:ind w:left="680" w:firstLine="648"/>
        <w:spacing w:after="0" w:line="255" w:lineRule="auto"/>
        <w:rPr>
          <w:sz w:val="20"/>
          <w:szCs w:val="20"/>
          <w:color w:val="auto"/>
        </w:rPr>
      </w:pPr>
      <w:r>
        <w:rPr>
          <w:rFonts w:ascii="Arial" w:cs="Arial" w:eastAsia="Arial" w:hAnsi="Arial"/>
          <w:sz w:val="18"/>
          <w:szCs w:val="18"/>
          <w:color w:val="auto"/>
        </w:rPr>
        <w:t>The foregoing opinion is qualified to the extent that the enforceability of any document, instrument or Offered Security may be limited by or subject to (i) bankruptcy, insolvency, fraudulent transfer or conveyance, reorganization, liquidation, moratorium or other similar laws relating to or affecting creditors’ rights generally, and general principles of equity (regardless of whether considered in a proceeding in equity or at law), and (ii) with respect to any Debt Securities denominated in a currency other than United States dollars, the requirement that a claim (or a foreign currency judgment in respect of such a claim) with respect to such Debt Securities be converted to United States dollars at a rate of exchange prevailing on a date determined pursuant to applicable law or governmental authority.</w:t>
      </w:r>
    </w:p>
    <w:p>
      <w:pPr>
        <w:spacing w:after="0" w:line="189" w:lineRule="exact"/>
        <w:rPr>
          <w:sz w:val="20"/>
          <w:szCs w:val="20"/>
          <w:color w:val="auto"/>
        </w:rPr>
      </w:pPr>
    </w:p>
    <w:p>
      <w:pPr>
        <w:jc w:val="both"/>
        <w:ind w:left="680" w:firstLine="648"/>
        <w:spacing w:after="0" w:line="257" w:lineRule="auto"/>
        <w:rPr>
          <w:sz w:val="20"/>
          <w:szCs w:val="20"/>
          <w:color w:val="auto"/>
        </w:rPr>
      </w:pPr>
      <w:r>
        <w:rPr>
          <w:rFonts w:ascii="Arial" w:cs="Arial" w:eastAsia="Arial" w:hAnsi="Arial"/>
          <w:sz w:val="18"/>
          <w:szCs w:val="18"/>
          <w:color w:val="auto"/>
        </w:rPr>
        <w:t>We express no opinions concerning (i) the validity or enforceability of any provisions contained in the applicable Indenture or the applicable Supplemental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8" w:lineRule="exact"/>
        <w:rPr>
          <w:sz w:val="20"/>
          <w:szCs w:val="20"/>
          <w:color w:val="auto"/>
        </w:rPr>
      </w:pPr>
    </w:p>
    <w:p>
      <w:pPr>
        <w:jc w:val="both"/>
        <w:ind w:left="680" w:firstLine="648"/>
        <w:spacing w:after="0" w:line="291" w:lineRule="auto"/>
        <w:rPr>
          <w:sz w:val="20"/>
          <w:szCs w:val="20"/>
          <w:color w:val="auto"/>
        </w:rPr>
      </w:pPr>
      <w:r>
        <w:rPr>
          <w:rFonts w:ascii="Arial" w:cs="Arial" w:eastAsia="Arial" w:hAnsi="Arial"/>
          <w:sz w:val="16"/>
          <w:szCs w:val="16"/>
          <w:color w:val="auto"/>
        </w:rPr>
        <w:t>The opinions expressed above are limited to the laws of the State of New York, the Delaware Limited Liability Company Act (18 Del Code §et. seq.), including all relevant provisions of the Delaware Constitution, and the federal laws of the United States of America and, to the extent that judicial or regulatory orders or decrees or consents, approvals, licenses, authorizations, validations, filings, recordings or registrations with governmental authorities are relevant, to those required under such laws, and we do not express any opinions as to the laws of any other jurisdiction. The Offered Securities may be issued from time to time on a delayed or continuous basis, and this opinion is limited to the laws, including the rules and regulations, as in effect on the date hereof, which laws are subject to change with possible retroactive effect and to the facts as they presently exist.</w:t>
      </w:r>
    </w:p>
    <w:p>
      <w:pPr>
        <w:spacing w:after="0" w:line="167" w:lineRule="exact"/>
        <w:rPr>
          <w:sz w:val="20"/>
          <w:szCs w:val="20"/>
          <w:color w:val="auto"/>
        </w:rPr>
      </w:pPr>
    </w:p>
    <w:p>
      <w:pPr>
        <w:jc w:val="both"/>
        <w:ind w:left="680" w:right="20" w:firstLine="648"/>
        <w:spacing w:after="0" w:line="297" w:lineRule="auto"/>
        <w:rPr>
          <w:sz w:val="20"/>
          <w:szCs w:val="20"/>
          <w:color w:val="auto"/>
        </w:rPr>
      </w:pPr>
      <w:r>
        <w:rPr>
          <w:rFonts w:ascii="Arial" w:cs="Arial" w:eastAsia="Arial" w:hAnsi="Arial"/>
          <w:sz w:val="16"/>
          <w:szCs w:val="16"/>
          <w:color w:val="auto"/>
        </w:rPr>
        <w:t>This opinion letter is limited to the matters stated herein, and no opinion is implied or may be inferred beyond the matters expressly stated. We hereby consent to the use of our opinion as herein set forth as an exhibit to the Registration Statement and to the use of our name under the caption “Legal Matters” in the prospectus forming a part of the Registration Statement. In giving this consent, we do not hereby admit that we come within the category of persons whose consent is required under Section 7 of the Securities Act or the rules and regulations of the SEC promulgated thereunder or Item 509 of Regulation S-K.</w:t>
      </w:r>
    </w:p>
    <w:p>
      <w:pPr>
        <w:spacing w:after="0" w:line="34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/s/Baker &amp; McKenzie LLP</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BAKER &amp; McKENZIE LLP</w:t>
      </w:r>
    </w:p>
    <w:p>
      <w:pPr>
        <w:sectPr>
          <w:pgSz w:w="11900" w:h="16838" w:orient="portrait"/>
          <w:cols w:equalWidth="0" w:num="1">
            <w:col w:w="10200"/>
          </w:cols>
          <w:pgMar w:left="1440" w:top="1440"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20"/>
          <w:szCs w:val="20"/>
          <w:b w:val="1"/>
          <w:bCs w:val="1"/>
          <w:color w:val="auto"/>
        </w:rPr>
        <w:t>EXHIBIT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17 June 2014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Matter No.: 346699</w:t>
      </w:r>
    </w:p>
    <w:p>
      <w:pPr>
        <w:jc w:val="right"/>
        <w:spacing w:after="0"/>
        <w:rPr>
          <w:sz w:val="20"/>
          <w:szCs w:val="20"/>
          <w:color w:val="auto"/>
        </w:rPr>
      </w:pPr>
      <w:r>
        <w:rPr>
          <w:rFonts w:ascii="Arial" w:cs="Arial" w:eastAsia="Arial" w:hAnsi="Arial"/>
          <w:sz w:val="13"/>
          <w:szCs w:val="13"/>
          <w:color w:val="auto"/>
        </w:rPr>
        <w:t>Doc Ref: legal8116922</w:t>
      </w:r>
    </w:p>
    <w:p>
      <w:pPr>
        <w:jc w:val="right"/>
        <w:spacing w:after="0"/>
        <w:rPr>
          <w:sz w:val="20"/>
          <w:szCs w:val="20"/>
          <w:color w:val="auto"/>
        </w:rPr>
      </w:pPr>
      <w:r>
        <w:rPr>
          <w:rFonts w:ascii="Arial" w:cs="Arial" w:eastAsia="Arial" w:hAnsi="Arial"/>
          <w:sz w:val="13"/>
          <w:szCs w:val="13"/>
          <w:color w:val="auto"/>
        </w:rPr>
        <w:t>Email: ciara.brady@conyersdill.com</w:t>
      </w:r>
    </w:p>
    <w:p>
      <w:pPr>
        <w:jc w:val="right"/>
        <w:spacing w:after="0"/>
        <w:rPr>
          <w:sz w:val="20"/>
          <w:szCs w:val="20"/>
          <w:color w:val="auto"/>
        </w:rPr>
      </w:pPr>
      <w:r>
        <w:rPr>
          <w:rFonts w:ascii="Arial" w:cs="Arial" w:eastAsia="Arial" w:hAnsi="Arial"/>
          <w:sz w:val="13"/>
          <w:szCs w:val="13"/>
          <w:color w:val="auto"/>
        </w:rPr>
        <w:t>Tel: 441 278 7974</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Ltd.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2000 St James Place,</w:t>
      </w:r>
    </w:p>
    <w:p>
      <w:pPr>
        <w:spacing w:after="0"/>
        <w:rPr>
          <w:sz w:val="20"/>
          <w:szCs w:val="20"/>
          <w:color w:val="auto"/>
        </w:rPr>
      </w:pPr>
      <w:r>
        <w:rPr>
          <w:rFonts w:ascii="Arial" w:cs="Arial" w:eastAsia="Arial" w:hAnsi="Arial"/>
          <w:sz w:val="20"/>
          <w:szCs w:val="20"/>
          <w:color w:val="auto"/>
        </w:rPr>
        <w:t>Houston, Texas 77056 U.S.A.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Weatherford International Ltd. (the “Company”)</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We have acted as special legal counsel in Bermuda to the Company, a Bermuda exempted company, in connection with a post-effective amendment No. 1 to a registration statement on Form S-3 filed with the U.S. Securities and Exchange Commission (the “Commission”) on 17 June 2014 (the “Registration Statement”, which term does not include any other document or agreement whether or not specifically referred to therein or attached as an exhibit or schedule thereto) relating to the shelf registration under the U.S. Securities Act of 1933, as amended, (the “Securities Act”) of, </w:t>
      </w:r>
      <w:r>
        <w:rPr>
          <w:rFonts w:ascii="Arial" w:cs="Arial" w:eastAsia="Arial" w:hAnsi="Arial"/>
          <w:sz w:val="18"/>
          <w:szCs w:val="18"/>
          <w:i w:val="1"/>
          <w:iCs w:val="1"/>
          <w:color w:val="auto"/>
        </w:rPr>
        <w:t>inter alia</w:t>
      </w:r>
      <w:r>
        <w:rPr>
          <w:rFonts w:ascii="Arial" w:cs="Arial" w:eastAsia="Arial" w:hAnsi="Arial"/>
          <w:sz w:val="18"/>
          <w:szCs w:val="18"/>
          <w:color w:val="auto"/>
        </w:rPr>
        <w:t>, (i) senior debt securities of the Company (the “Debt Securities”) to be issued pursuant to an indenture dated October 1, 2003 (as amended) originally among the Company, as issuer, Weatherford International, Inc. (“Weatherford Delaware”), a Delaware corporation, as guarantor, and Deutsche Bank Trust Company Americas (the “Trustee”), as trustee (the “2003 Indenture”, which term does not include any other document or agreement whether or not specifically referred to therein or attached as an exhibit or schedule thereto) and (ii) the guarantee by the Company (the “Guarantees”) of senior debt securities issued by Weatherford Delaware (the “Weatherford Delaware Debt Securities”, together with the Debt Securities, the “Securities”) pursuant to an indenture dated 18 June 2007 (as amended) originally among Weatherford Delaware, as issuer, the Company, as guarantor, and the Trustee (the “2007 Indenture”, which term does not include any other document or agreement whether or not specifically referred to therein or attached as an exhibit or schedule thereto, together with the 2003 Indenture, the “Indentures” and “Indenture” means either one of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giving this opinion, we have examined a copy of the Registration Statement, the 2003 Indenture and the 2007 Indenture.</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have also reviewed the memorandum of association and the bye-laws of the Company (together, the “Constitutional Documents”) each certified by the Secretary of the Company on 28 May 2014, minutes of a meeting of the board of directors of the Company held on 3 September 2003, minutes of a meeting of the board of directors of the Company held on 30 May 2007, minutes of a meeting of the Pricing Committee of the board of directors of the Company held on 13 June 2007, written resolutions of the sole director of the Company dated 6 March 2014 and 17 June 2014 each certified by the Secretary of the Company on 17 June 2014 (together, the “Resolutions”), and such other documents</w:t>
      </w:r>
    </w:p>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and made such enquiries as to questions of law as we have deemed necessary in order to render the opinion set forth below.</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Registration Statement and other documents reviewed by us, (d) that the Resolutions were passed at one or more duly convened, constituted and quorate meetings, or by unanimous written resolutions, remain in full force and effect and have not been, and will not be, rescinded or amended, (e) that the Company will issue the Debt Securities, and that the Company has entered into the Indentures, in furtherance of its objects as set out in its memorandum of association, (f) that the Constitutional Documents will not be amended in any manner that would affect the opinions expressed herein, (g) that there is no provision of the law of any jurisdiction, other than Bermuda, which would have any implication in relation to the opinions expressed herein, (h) that the consents given by the Bermuda Monetary Authority in its Notice to the Public dated 1 June 2005 will not have been revoked or amended at the time of issuance of any Debt Securities, (i) that the form and terms of any and all Securities, the issuance and sale of Securities by the Company and Weatherford Delaware and the Company’s incurrence and performance of its obligations thereunder or in respect thereof (including, without limitation, its obligations under any related agreement, the Indentures (including, without limitation, the Guarantees) and supplements to the Indentures) in accordance with the terms thereof will not violate or will not have violated the Constitutional Documents nor any applicable law, regulation, order or decree in Bermuda, (j) that all necessary corporate action has been or will have been taken to authorise and approve the Guarantees and any issuance of Debt Securities, the terms of the offering thereof and related matters, and that the applicable definitive purchase, underwriting or similar agreement, and any applicable supplements to the Indentures has been or will have been duly approved, executed and delivered by or on behalf of the Company and all other parties thereto, (k) that the applicable purchase, underwriting or similar agreement, the Debt Securities, the Indentures (including, without limitation, the Guarantees), any supplements to the Indentures and any other agreement or other document relating to the Debt Securities and the Guarantees each are or will be valid, binding and enforceable in accordance with its terms pursuant to its governing law; (l) that the issuance, sale of and payment for the Debt Securities and the form of the Guarantees will be in accordance with the applicable purchase, underwriting or similar agreement, Indenture and supplements thereto and the Registration Statement (including the prospectus set forth therein and any applicable supplement or amendment thereto), (m) that, upon the issue of any Debt Securities, the Company will receive consideration for the full issue price thereof and where the Debt Securities have been issued to a subsidiary of the Company, such consideration shall be from sources external to the Company and/or its subsidiaries (n) that the Company will have complied, to the extent applicable, with the requirements of Part III of the Companies Act 1981, as amended, entitled “Prospectuses and Public Offers”, (o) the capacity, power and authority of each of the parties other than the Company to enter into and perform their obligations under any and all documents (including, without limitation, the Indentures and all supplements thereto) entered into by such parties in connection with the Guarantees and the issuance of the Debt Securities, and the due execution and delivery thereof by each party thereto, and (p) that none of the parties to such documents carries on business from premises in Bermuda, at which it employs staff and pays salaries and other expenses.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term “enforceable” as used in this opinion means that an obligation is of a type which the courts of Bermuda enforce. It does not mean that those obligations will be enforced in all circumstances in accordance with the terms of the Documents. In particular, the obligations of the Company in connection with any Security and any agreement or document relating thereto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as well as applicable international sanctions,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if and to the extent they constitute the payment of an amount which is in the nature of a penalty and not in the nature of liquidated damages, and (e) may not be given effect by a Bermuda court to the extent that they are to be performed in a jurisdiction outside Bermuda</w:t>
      </w:r>
    </w:p>
    <w:p>
      <w:pPr>
        <w:sectPr>
          <w:pgSz w:w="11900" w:h="16838" w:orient="portrait"/>
          <w:cols w:equalWidth="0" w:num="1">
            <w:col w:w="11420"/>
          </w:cols>
          <w:pgMar w:left="240" w:top="582" w:right="239" w:bottom="1440" w:gutter="0" w:footer="0" w:header="0"/>
        </w:sectPr>
      </w:pPr>
    </w:p>
    <w:bookmarkStart w:id="28" w:name="page29"/>
    <w:bookmarkEnd w:id="28"/>
    <w:p>
      <w:pPr>
        <w:jc w:val="both"/>
        <w:spacing w:after="0" w:line="260" w:lineRule="auto"/>
        <w:rPr>
          <w:sz w:val="20"/>
          <w:szCs w:val="20"/>
          <w:color w:val="auto"/>
        </w:rPr>
      </w:pPr>
      <w:r>
        <w:rPr>
          <w:rFonts w:ascii="Arial" w:cs="Arial" w:eastAsia="Arial" w:hAnsi="Arial"/>
          <w:sz w:val="20"/>
          <w:szCs w:val="20"/>
          <w:color w:val="auto"/>
        </w:rPr>
        <w:t>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in connection with the Guarantees and the issuance of the Debt Securities by the Company as described in the Registration Statement and is not to be relied upon in respect of any other matter.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On the basis of and subject to the foregoing we are of the opinion that:</w:t>
      </w:r>
    </w:p>
    <w:p>
      <w:pPr>
        <w:spacing w:after="0" w:line="216" w:lineRule="exact"/>
        <w:rPr>
          <w:sz w:val="20"/>
          <w:szCs w:val="20"/>
          <w:color w:val="auto"/>
        </w:rPr>
      </w:pPr>
    </w:p>
    <w:p>
      <w:pPr>
        <w:jc w:val="both"/>
        <w:ind w:firstLine="8"/>
        <w:spacing w:after="0" w:line="250" w:lineRule="auto"/>
        <w:tabs>
          <w:tab w:leader="none" w:pos="20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86" w:lineRule="exact"/>
        <w:rPr>
          <w:rFonts w:ascii="Arial" w:cs="Arial" w:eastAsia="Arial" w:hAnsi="Arial"/>
          <w:sz w:val="20"/>
          <w:szCs w:val="20"/>
          <w:color w:val="auto"/>
        </w:rPr>
      </w:pPr>
    </w:p>
    <w:p>
      <w:pPr>
        <w:ind w:firstLine="8"/>
        <w:spacing w:after="0" w:line="260" w:lineRule="auto"/>
        <w:tabs>
          <w:tab w:leader="none" w:pos="210" w:val="left"/>
        </w:tabs>
        <w:numPr>
          <w:ilvl w:val="0"/>
          <w:numId w:val="18"/>
        </w:numPr>
        <w:rPr>
          <w:rFonts w:ascii="Arial" w:cs="Arial" w:eastAsia="Arial" w:hAnsi="Arial"/>
          <w:sz w:val="20"/>
          <w:szCs w:val="20"/>
          <w:color w:val="auto"/>
        </w:rPr>
      </w:pPr>
      <w:r>
        <w:rPr>
          <w:rFonts w:ascii="Arial" w:cs="Arial" w:eastAsia="Arial" w:hAnsi="Arial"/>
          <w:sz w:val="20"/>
          <w:szCs w:val="20"/>
          <w:color w:val="auto"/>
        </w:rPr>
        <w:t>Upon the due issuance of the Debt Securities and payment of the consideration therefor, such Debt Securities will constitute valid, binding and enforceable obligations of the Company in accordance with the terms thereof.</w:t>
      </w:r>
    </w:p>
    <w:p>
      <w:pPr>
        <w:spacing w:after="0" w:line="176" w:lineRule="exact"/>
        <w:rPr>
          <w:rFonts w:ascii="Arial" w:cs="Arial" w:eastAsia="Arial" w:hAnsi="Arial"/>
          <w:sz w:val="20"/>
          <w:szCs w:val="20"/>
          <w:color w:val="auto"/>
        </w:rPr>
      </w:pPr>
    </w:p>
    <w:p>
      <w:pPr>
        <w:ind w:left="200" w:hanging="192"/>
        <w:spacing w:after="0"/>
        <w:tabs>
          <w:tab w:leader="none" w:pos="2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Guarantees will constitute valid, binding and enforceable obligations of the Company in accordance with the terms thereof.</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references to our firm under the caption “Legal Matters”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 Conyers Dill &amp; Pearman Limited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2F5F"/>
        </w:rPr>
        <w:t>Conyers Dill &amp; Pearman Limited</w:t>
      </w:r>
    </w:p>
    <w:p>
      <w:pPr>
        <w:sectPr>
          <w:pgSz w:w="11900" w:h="16838" w:orient="portrait"/>
          <w:cols w:equalWidth="0" w:num="1">
            <w:col w:w="11420"/>
          </w:cols>
          <w:pgMar w:left="240" w:top="582"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11430</wp:posOffset>
            </wp:positionV>
            <wp:extent cx="3232785" cy="1355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278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Alpenstrasse 15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6300 Zug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w:t>
      </w:r>
    </w:p>
    <w:p>
      <w:pPr>
        <w:spacing w:after="0" w:line="400" w:lineRule="exact"/>
        <w:rPr>
          <w:sz w:val="20"/>
          <w:szCs w:val="20"/>
          <w:color w:val="auto"/>
        </w:rPr>
      </w:pPr>
    </w:p>
    <w:p>
      <w:pPr>
        <w:ind w:left="40"/>
        <w:spacing w:after="0"/>
        <w:tabs>
          <w:tab w:leader="none" w:pos="4600" w:val="left"/>
          <w:tab w:leader="none" w:pos="10360" w:val="left"/>
        </w:tabs>
        <w:rPr>
          <w:sz w:val="20"/>
          <w:szCs w:val="20"/>
          <w:color w:val="auto"/>
        </w:rPr>
      </w:pPr>
      <w:r>
        <w:rPr>
          <w:rFonts w:ascii="Arial" w:cs="Arial" w:eastAsia="Arial" w:hAnsi="Arial"/>
          <w:sz w:val="14"/>
          <w:szCs w:val="14"/>
          <w:color w:val="auto"/>
        </w:rPr>
        <w:t>Our Ref</w:t>
      </w:r>
      <w:r>
        <w:rPr>
          <w:sz w:val="20"/>
          <w:szCs w:val="20"/>
          <w:color w:val="auto"/>
        </w:rPr>
        <w:tab/>
      </w:r>
      <w:r>
        <w:rPr>
          <w:rFonts w:ascii="Arial" w:cs="Arial" w:eastAsia="Arial" w:hAnsi="Arial"/>
          <w:sz w:val="14"/>
          <w:szCs w:val="14"/>
          <w:color w:val="auto"/>
        </w:rPr>
        <w:t>Your Ref</w:t>
      </w:r>
      <w:r>
        <w:rPr>
          <w:sz w:val="20"/>
          <w:szCs w:val="20"/>
          <w:color w:val="auto"/>
        </w:rPr>
        <w:tab/>
      </w:r>
      <w:r>
        <w:rPr>
          <w:rFonts w:ascii="Arial" w:cs="Arial" w:eastAsia="Arial" w:hAnsi="Arial"/>
          <w:sz w:val="15"/>
          <w:szCs w:val="15"/>
          <w:color w:val="auto"/>
        </w:rPr>
        <w:t>June 17, 2014</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FBO 661725.4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ind w:right="4620"/>
        <w:spacing w:after="0" w:line="272" w:lineRule="auto"/>
        <w:rPr>
          <w:sz w:val="20"/>
          <w:szCs w:val="20"/>
          <w:color w:val="auto"/>
        </w:rPr>
      </w:pPr>
      <w:r>
        <w:rPr>
          <w:rFonts w:ascii="Arial" w:cs="Arial" w:eastAsia="Arial" w:hAnsi="Arial"/>
          <w:sz w:val="20"/>
          <w:szCs w:val="20"/>
          <w:b w:val="1"/>
          <w:bCs w:val="1"/>
          <w:color w:val="auto"/>
        </w:rPr>
        <w:t>Weatherford International plc, an Irish public company limited by shares Registration Statement on Form S-3</w:t>
      </w:r>
    </w:p>
    <w:p>
      <w:pPr>
        <w:spacing w:after="0" w:line="235"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We have acted on behalf of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Company’s post-effective amendment No. 1 to the registration statement on Form S-3 (including the base prospectus therein,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relates to the issuance and sale from time to time, pursuant to Rule 415 of the Securities Act of:</w:t>
      </w:r>
    </w:p>
    <w:p>
      <w:pPr>
        <w:spacing w:after="0" w:line="298" w:lineRule="exact"/>
        <w:rPr>
          <w:sz w:val="20"/>
          <w:szCs w:val="20"/>
          <w:color w:val="auto"/>
        </w:rPr>
      </w:pPr>
    </w:p>
    <w:p>
      <w:pPr>
        <w:ind w:left="880" w:hanging="87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ordinary shares (nominal value of US$0.001 per share) (the “</w:t>
      </w:r>
      <w:r>
        <w:rPr>
          <w:rFonts w:ascii="Arial" w:cs="Arial" w:eastAsia="Arial" w:hAnsi="Arial"/>
          <w:sz w:val="18"/>
          <w:szCs w:val="18"/>
          <w:b w:val="1"/>
          <w:bCs w:val="1"/>
          <w:color w:val="auto"/>
        </w:rPr>
        <w:t>Registered Shares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880" w:hanging="872"/>
        <w:spacing w:after="0" w:line="360"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securities of Weatherford International, LLC, a Delaware limited liability company (“</w:t>
      </w:r>
      <w:r>
        <w:rPr>
          <w:rFonts w:ascii="Arial" w:cs="Arial" w:eastAsia="Arial" w:hAnsi="Arial"/>
          <w:sz w:val="18"/>
          <w:szCs w:val="18"/>
          <w:b w:val="1"/>
          <w:bCs w:val="1"/>
          <w:color w:val="auto"/>
        </w:rPr>
        <w:t>Weatherford Delaware</w:t>
      </w:r>
      <w:r>
        <w:rPr>
          <w:rFonts w:ascii="Arial" w:cs="Arial" w:eastAsia="Arial" w:hAnsi="Arial"/>
          <w:sz w:val="18"/>
          <w:szCs w:val="18"/>
          <w:color w:val="auto"/>
        </w:rPr>
        <w:t>”), in one or more series (the “</w:t>
      </w:r>
      <w:r>
        <w:rPr>
          <w:rFonts w:ascii="Arial" w:cs="Arial" w:eastAsia="Arial" w:hAnsi="Arial"/>
          <w:sz w:val="18"/>
          <w:szCs w:val="18"/>
          <w:b w:val="1"/>
          <w:bCs w:val="1"/>
          <w:color w:val="auto"/>
        </w:rPr>
        <w:t>Weatherford Delaware Debt Securities</w:t>
      </w:r>
      <w:r>
        <w:rPr>
          <w:rFonts w:ascii="Arial" w:cs="Arial" w:eastAsia="Arial" w:hAnsi="Arial"/>
          <w:sz w:val="18"/>
          <w:szCs w:val="18"/>
          <w:color w:val="auto"/>
        </w:rPr>
        <w:t>”), which are guaranteed by the Company under the terms of the Weatherford Delaware Debt Securities Indenture (as defined below); and</w:t>
      </w:r>
    </w:p>
    <w:p>
      <w:pPr>
        <w:jc w:val="both"/>
        <w:ind w:left="880" w:hanging="872"/>
        <w:spacing w:after="0" w:line="378"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securities of Weatherford International Ltd., a Bermuda exempted company (“</w:t>
      </w:r>
      <w:r>
        <w:rPr>
          <w:rFonts w:ascii="Arial" w:cs="Arial" w:eastAsia="Arial" w:hAnsi="Arial"/>
          <w:sz w:val="18"/>
          <w:szCs w:val="18"/>
          <w:b w:val="1"/>
          <w:bCs w:val="1"/>
          <w:color w:val="auto"/>
        </w:rPr>
        <w:t>Weatherford Bermuda</w:t>
      </w:r>
      <w:r>
        <w:rPr>
          <w:rFonts w:ascii="Arial" w:cs="Arial" w:eastAsia="Arial" w:hAnsi="Arial"/>
          <w:sz w:val="18"/>
          <w:szCs w:val="18"/>
          <w:color w:val="auto"/>
        </w:rPr>
        <w:t>”), in one or more series (the “</w:t>
      </w:r>
      <w:r>
        <w:rPr>
          <w:rFonts w:ascii="Arial" w:cs="Arial" w:eastAsia="Arial" w:hAnsi="Arial"/>
          <w:sz w:val="18"/>
          <w:szCs w:val="18"/>
          <w:b w:val="1"/>
          <w:bCs w:val="1"/>
          <w:color w:val="auto"/>
        </w:rPr>
        <w:t>Weatherford Bermuda Debt Securities</w:t>
      </w:r>
      <w:r>
        <w:rPr>
          <w:rFonts w:ascii="Arial" w:cs="Arial" w:eastAsia="Arial" w:hAnsi="Arial"/>
          <w:sz w:val="18"/>
          <w:szCs w:val="18"/>
          <w:color w:val="auto"/>
        </w:rPr>
        <w:t>”), which are guaranteed by the Company under the terms of the Weatherford Bermuda Debt Securities Indenture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242570</wp:posOffset>
            </wp:positionV>
            <wp:extent cx="5848985" cy="977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8985" cy="97790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0" w:name="page31"/>
    <w:bookmarkEnd w:id="30"/>
    <w:p>
      <w:pPr>
        <w:jc w:val="both"/>
        <w:spacing w:after="0" w:line="3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The Weatherford Bermuda Debt Securities are, or will, be issued under an indenture dated 1 October 2003, as supplemented by supplemental indentures dated 25 March 2008, 8 January 2009, 26 February 2009, 23 September 2010, 4 April 2012, 14 August 2012, 31 March 2013 and 17 June 2014 (the 17 June 2014 supplemental indenture being the “</w:t>
      </w:r>
      <w:r>
        <w:rPr>
          <w:rFonts w:ascii="Arial" w:cs="Arial" w:eastAsia="Arial" w:hAnsi="Arial"/>
          <w:sz w:val="18"/>
          <w:szCs w:val="18"/>
          <w:b w:val="1"/>
          <w:bCs w:val="1"/>
          <w:color w:val="auto"/>
        </w:rPr>
        <w:t>Eighth Supplemental Indenture</w:t>
      </w:r>
      <w:r>
        <w:rPr>
          <w:rFonts w:ascii="Arial" w:cs="Arial" w:eastAsia="Arial" w:hAnsi="Arial"/>
          <w:sz w:val="18"/>
          <w:szCs w:val="18"/>
          <w:color w:val="auto"/>
        </w:rPr>
        <w:t>”), to which Weatherford Bermuda, as issuer, the Company and Weatherford Delaware, as guarantors, and Deutsche Bank Trust Company Americas, as trustee, are party (together the “</w:t>
      </w:r>
      <w:r>
        <w:rPr>
          <w:rFonts w:ascii="Arial" w:cs="Arial" w:eastAsia="Arial" w:hAnsi="Arial"/>
          <w:sz w:val="18"/>
          <w:szCs w:val="18"/>
          <w:b w:val="1"/>
          <w:bCs w:val="1"/>
          <w:color w:val="auto"/>
        </w:rPr>
        <w:t>Weatherford Bermuda Debt Securities Indenture</w:t>
      </w:r>
      <w:r>
        <w:rPr>
          <w:rFonts w:ascii="Arial" w:cs="Arial" w:eastAsia="Arial" w:hAnsi="Arial"/>
          <w:sz w:val="18"/>
          <w:szCs w:val="18"/>
          <w:color w:val="auto"/>
        </w:rPr>
        <w:t>”).</w:t>
      </w:r>
    </w:p>
    <w:p>
      <w:pPr>
        <w:spacing w:after="0" w:line="191"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The Weatherford Delaware Debt Securities are, or will, be issued under an indenture, dated 18 June 2007, as supplemented by supplemental indentures dated 18 June 2007, 26 February 2009, 14 August 2012, 31 March 2013 and 17 June 2014 (the 17 June 2014 supplemental indenture being the “</w:t>
      </w:r>
      <w:r>
        <w:rPr>
          <w:rFonts w:ascii="Arial" w:cs="Arial" w:eastAsia="Arial" w:hAnsi="Arial"/>
          <w:sz w:val="18"/>
          <w:szCs w:val="18"/>
          <w:b w:val="1"/>
          <w:bCs w:val="1"/>
          <w:color w:val="auto"/>
        </w:rPr>
        <w:t>Fifth Supplemental Indenture</w:t>
      </w:r>
      <w:r>
        <w:rPr>
          <w:rFonts w:ascii="Arial" w:cs="Arial" w:eastAsia="Arial" w:hAnsi="Arial"/>
          <w:sz w:val="18"/>
          <w:szCs w:val="18"/>
          <w:color w:val="auto"/>
        </w:rPr>
        <w:t>”), to which Weatherford Delaware, as issuer, the Company and Weatherford Bermuda, as guarantors, and Deutsche Bank Trust Company Americas, as trustee, are party (together the “</w:t>
      </w:r>
      <w:r>
        <w:rPr>
          <w:rFonts w:ascii="Arial" w:cs="Arial" w:eastAsia="Arial" w:hAnsi="Arial"/>
          <w:sz w:val="18"/>
          <w:szCs w:val="18"/>
          <w:b w:val="1"/>
          <w:bCs w:val="1"/>
          <w:color w:val="auto"/>
        </w:rPr>
        <w:t>Weatherford Delaware Debt 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2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Weatherford Delaware Debt Securities Indenture and the Weatherford Bermuda Debt Securities Indenture are collectively referred to herein as the “</w:t>
      </w:r>
      <w:r>
        <w:rPr>
          <w:rFonts w:ascii="Arial" w:cs="Arial" w:eastAsia="Arial" w:hAnsi="Arial"/>
          <w:sz w:val="18"/>
          <w:szCs w:val="18"/>
          <w:b w:val="1"/>
          <w:bCs w:val="1"/>
          <w:color w:val="auto"/>
        </w:rPr>
        <w:t>Indentures</w:t>
      </w:r>
      <w:r>
        <w:rPr>
          <w:rFonts w:ascii="Arial" w:cs="Arial" w:eastAsia="Arial" w:hAnsi="Arial"/>
          <w:sz w:val="18"/>
          <w:szCs w:val="18"/>
          <w:color w:val="auto"/>
        </w:rPr>
        <w:t>”, the Weatherford Delaware Debt Securities and the Weatherford Bermuda Debt Securities are collectively referred to herein as the “</w:t>
      </w:r>
      <w:r>
        <w:rPr>
          <w:rFonts w:ascii="Arial" w:cs="Arial" w:eastAsia="Arial" w:hAnsi="Arial"/>
          <w:sz w:val="18"/>
          <w:szCs w:val="18"/>
          <w:b w:val="1"/>
          <w:bCs w:val="1"/>
          <w:color w:val="auto"/>
        </w:rPr>
        <w:t>Debt Securities</w:t>
      </w:r>
      <w:r>
        <w:rPr>
          <w:rFonts w:ascii="Arial" w:cs="Arial" w:eastAsia="Arial" w:hAnsi="Arial"/>
          <w:sz w:val="18"/>
          <w:szCs w:val="18"/>
          <w:color w:val="auto"/>
        </w:rPr>
        <w:t>” and the Registration Statement and the Indentures are collectively referred to herein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77"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12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We have been requested by the Company to provide this opinion.</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117" w:lineRule="exact"/>
        <w:rPr>
          <w:sz w:val="20"/>
          <w:szCs w:val="20"/>
          <w:color w:val="auto"/>
        </w:rPr>
      </w:pPr>
    </w:p>
    <w:p>
      <w:pPr>
        <w:ind w:left="1260" w:hanging="64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final form of the Registration Statement to be filed by the Company with the SEC;</w:t>
      </w:r>
    </w:p>
    <w:p>
      <w:pPr>
        <w:spacing w:after="0" w:line="103" w:lineRule="exact"/>
        <w:rPr>
          <w:rFonts w:ascii="Arial" w:cs="Arial" w:eastAsia="Arial" w:hAnsi="Arial"/>
          <w:sz w:val="18"/>
          <w:szCs w:val="18"/>
          <w:color w:val="auto"/>
        </w:rPr>
      </w:pPr>
    </w:p>
    <w:p>
      <w:pPr>
        <w:ind w:left="1260" w:right="20" w:hanging="644"/>
        <w:spacing w:after="0" w:line="352"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copies of the Indentures (including the Eight Supplemental Indenture and the Fifth Supplemental Indenture), sent to us in .pdf attachment to email;</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copy of the memorandum and articles of association of the Company, certified by the secretary of the Company as being true, complete and up-to-date;</w:t>
      </w:r>
    </w:p>
    <w:p>
      <w:pPr>
        <w:spacing w:after="0" w:line="14" w:lineRule="exact"/>
        <w:rPr>
          <w:rFonts w:ascii="Arial" w:cs="Arial" w:eastAsia="Arial" w:hAnsi="Arial"/>
          <w:sz w:val="18"/>
          <w:szCs w:val="18"/>
          <w:color w:val="auto"/>
        </w:rPr>
      </w:pPr>
    </w:p>
    <w:p>
      <w:pPr>
        <w:jc w:val="both"/>
        <w:ind w:left="1260" w:hanging="644"/>
        <w:spacing w:after="0" w:line="351"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copy minutes of meetings of the board of directors’ of the Company held on 3 March 2014, 25 March 2014, 15 May 2014, 16 May 2014 and 6 June 2014, certified by the secretary of the Company to be true and complete copies of those board minutes and that the resolutions contained therein have not since been amended or rescinded;</w:t>
      </w:r>
    </w:p>
    <w:p>
      <w:pPr>
        <w:spacing w:after="0" w:line="1" w:lineRule="exact"/>
        <w:rPr>
          <w:rFonts w:ascii="Arial" w:cs="Arial" w:eastAsia="Arial" w:hAnsi="Arial"/>
          <w:sz w:val="18"/>
          <w:szCs w:val="18"/>
          <w:color w:val="auto"/>
        </w:rPr>
      </w:pPr>
    </w:p>
    <w:p>
      <w:pPr>
        <w:jc w:val="both"/>
        <w:ind w:left="1260" w:hanging="644"/>
        <w:spacing w:after="0" w:line="363"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copy written resolutions of the shareholders of the Company dated 15 May 2014 (the “</w:t>
      </w:r>
      <w:r>
        <w:rPr>
          <w:rFonts w:ascii="Arial" w:cs="Arial" w:eastAsia="Arial" w:hAnsi="Arial"/>
          <w:sz w:val="18"/>
          <w:szCs w:val="18"/>
          <w:b w:val="1"/>
          <w:bCs w:val="1"/>
          <w:color w:val="auto"/>
        </w:rPr>
        <w:t>Section 60 Special Resolutions</w:t>
      </w:r>
      <w:r>
        <w:rPr>
          <w:rFonts w:ascii="Arial" w:cs="Arial" w:eastAsia="Arial" w:hAnsi="Arial"/>
          <w:sz w:val="18"/>
          <w:szCs w:val="18"/>
          <w:color w:val="auto"/>
        </w:rPr>
        <w:t>”), 27 May 2014 and 6 June 2014, certified by the secretary of the Company to be true and complete copies of those shareholders’ resolutions which have not since been amended or rescinded;</w:t>
      </w:r>
    </w:p>
    <w:p>
      <w:pPr>
        <w:spacing w:after="0" w:line="14" w:lineRule="exact"/>
        <w:rPr>
          <w:rFonts w:ascii="Arial" w:cs="Arial" w:eastAsia="Arial" w:hAnsi="Arial"/>
          <w:sz w:val="18"/>
          <w:szCs w:val="18"/>
          <w:color w:val="auto"/>
        </w:rPr>
      </w:pPr>
    </w:p>
    <w:p>
      <w:pPr>
        <w:ind w:left="1260" w:hanging="644"/>
        <w:spacing w:after="0" w:line="34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copy statutory declaration of the directors of the Company made on 15 May 2014 pursuant to section 60(2) of the Companies Act 1963, certified by the secretary to be a true and complete copy;</w:t>
      </w:r>
    </w:p>
    <w:p>
      <w:pPr>
        <w:ind w:left="1260" w:hanging="64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certificate of the secretary of the Company (the “</w:t>
      </w:r>
      <w:r>
        <w:rPr>
          <w:rFonts w:ascii="Arial" w:cs="Arial" w:eastAsia="Arial" w:hAnsi="Arial"/>
          <w:sz w:val="18"/>
          <w:szCs w:val="18"/>
          <w:b w:val="1"/>
          <w:bCs w:val="1"/>
          <w:color w:val="auto"/>
        </w:rPr>
        <w:t>Certificate</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left="1260" w:hanging="644"/>
        <w:spacing w:after="0" w:line="371"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power of attorney of the Company dated 15 May 2014, authorising certain persons to execute, among other things, the Eight Supplemental Indenture and Fifth Supplemental Indenture;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54" w:right="239" w:bottom="1440" w:gutter="0" w:footer="0" w:header="0"/>
        </w:sectPr>
      </w:pPr>
    </w:p>
    <w:bookmarkStart w:id="31" w:name="page32"/>
    <w:bookmarkEnd w:id="31"/>
    <w:p>
      <w:pPr>
        <w:jc w:val="both"/>
        <w:ind w:left="1260" w:hanging="644"/>
        <w:spacing w:after="0" w:line="354"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 w:lineRule="exact"/>
        <w:rPr>
          <w:sz w:val="20"/>
          <w:szCs w:val="20"/>
          <w:color w:val="auto"/>
        </w:rPr>
      </w:pP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jc w:val="both"/>
        <w:ind w:left="620" w:hanging="620"/>
        <w:spacing w:after="0" w:line="379"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any of the Documents nor have we attempted to determine whether any material facts have been omitted therefrom.</w:t>
      </w:r>
    </w:p>
    <w:p>
      <w:pPr>
        <w:spacing w:after="0" w:line="262" w:lineRule="exact"/>
        <w:rPr>
          <w:sz w:val="20"/>
          <w:szCs w:val="20"/>
          <w:color w:val="auto"/>
        </w:rPr>
      </w:pP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jc w:val="both"/>
        <w:ind w:left="620" w:hanging="620"/>
        <w:spacing w:after="0" w:line="360"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Registration Statement and is not to be use, circulated, quoted or otherwise referred to for any other purpose without our express written consent.</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We assume no obligation to update the opinions set forth in this letter.</w:t>
      </w:r>
    </w:p>
    <w:p>
      <w:pPr>
        <w:spacing w:after="0" w:line="90"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Assumptions</w:t>
      </w:r>
    </w:p>
    <w:p>
      <w:pPr>
        <w:spacing w:after="0" w:line="134"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For the purpose of giving this opinion we have assumed:</w:t>
      </w:r>
    </w:p>
    <w:p>
      <w:pPr>
        <w:spacing w:after="0" w:line="319" w:lineRule="exact"/>
        <w:rPr>
          <w:rFonts w:ascii="Arial" w:cs="Arial" w:eastAsia="Arial" w:hAnsi="Arial"/>
          <w:sz w:val="20"/>
          <w:szCs w:val="20"/>
          <w:color w:val="auto"/>
        </w:rPr>
      </w:pPr>
    </w:p>
    <w:p>
      <w:pPr>
        <w:ind w:left="1260" w:hanging="644"/>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03" w:lineRule="exact"/>
        <w:rPr>
          <w:rFonts w:ascii="Arial" w:cs="Arial" w:eastAsia="Arial" w:hAnsi="Arial"/>
          <w:sz w:val="18"/>
          <w:szCs w:val="18"/>
          <w:color w:val="auto"/>
        </w:rPr>
      </w:pPr>
    </w:p>
    <w:p>
      <w:pPr>
        <w:ind w:left="1260" w:hanging="644"/>
        <w:spacing w:after="0" w:line="352"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14" w:lineRule="exact"/>
        <w:rPr>
          <w:rFonts w:ascii="Arial" w:cs="Arial" w:eastAsia="Arial" w:hAnsi="Arial"/>
          <w:sz w:val="18"/>
          <w:szCs w:val="18"/>
          <w:color w:val="auto"/>
        </w:rPr>
      </w:pPr>
    </w:p>
    <w:p>
      <w:pPr>
        <w:ind w:left="1260" w:hanging="644"/>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68" w:right="239" w:bottom="1440" w:gutter="0" w:footer="0" w:header="0"/>
        </w:sectPr>
      </w:pPr>
    </w:p>
    <w:bookmarkStart w:id="32" w:name="page33"/>
    <w:bookmarkEnd w:id="32"/>
    <w:p>
      <w:pPr>
        <w:jc w:val="both"/>
        <w:ind w:left="1260" w:hanging="644"/>
        <w:spacing w:after="0" w:line="35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that the proceedings described in the copy minutes of the meetings of the board of directors of the Company referred to above and examined for the purposes of this opinion were conducted in the manner therein described, that the meetings were properly convened and constituted and that the resolutions referred to therein were duly passed and adopted and have not since been amended or rescinded;</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the written resolutions of the shareholders referred to above were duly passed and adopted and have not since been amended or rescinded;</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the statutory declaration referred to in paragraph 1.2 (f) as having been made pursuant to section 60(2) of the Companies Act 1963 was duly made and filed in the Companies Registration Office as therein described;</w:t>
      </w:r>
    </w:p>
    <w:p>
      <w:pPr>
        <w:spacing w:after="0" w:line="14" w:lineRule="exact"/>
        <w:rPr>
          <w:rFonts w:ascii="Arial" w:cs="Arial" w:eastAsia="Arial" w:hAnsi="Arial"/>
          <w:sz w:val="18"/>
          <w:szCs w:val="18"/>
          <w:color w:val="auto"/>
        </w:rPr>
      </w:pPr>
    </w:p>
    <w:p>
      <w:pPr>
        <w:jc w:val="both"/>
        <w:ind w:left="1260" w:hanging="644"/>
        <w:spacing w:after="0" w:line="358"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at the time of the allotment of any Registered Shares: (i) the Registration Statement will be effective and continue to be effective; (ii) the Company will have a sufficient number of authorised but unissued Registered Shares in its capital (at least equal to the number of Registered Shares to be allotted and issued); (iii)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8"/>
          <w:szCs w:val="18"/>
          <w:b w:val="1"/>
          <w:bCs w:val="1"/>
          <w:color w:val="auto"/>
        </w:rPr>
        <w:t>1983 Act</w:t>
      </w:r>
      <w:r>
        <w:rPr>
          <w:rFonts w:ascii="Arial" w:cs="Arial" w:eastAsia="Arial" w:hAnsi="Arial"/>
          <w:sz w:val="18"/>
          <w:szCs w:val="18"/>
          <w:color w:val="auto"/>
        </w:rPr>
        <w:t>”), to allot a sufficient number of Shares (at least equal to the number of Registered Shares to be allotted and issued); and (iv) if issued for cash consideration, such Registered Shares will be allotted and issued in accordance with section 23(1) of the 1983 Act or the directors will have been empowered, by special resolution of the shareholders, passed in accordance with section 23 and section 24(1) of the 1983 Act, to allot and issue such Registered Shares as if the said section 23(1) did not apply to such allotment and issue;</w:t>
      </w:r>
    </w:p>
    <w:p>
      <w:pPr>
        <w:spacing w:after="0" w:line="16" w:lineRule="exact"/>
        <w:rPr>
          <w:rFonts w:ascii="Arial" w:cs="Arial" w:eastAsia="Arial" w:hAnsi="Arial"/>
          <w:sz w:val="18"/>
          <w:szCs w:val="18"/>
          <w:color w:val="auto"/>
        </w:rPr>
      </w:pPr>
    </w:p>
    <w:p>
      <w:pPr>
        <w:jc w:val="both"/>
        <w:ind w:left="1260" w:hanging="644"/>
        <w:spacing w:after="0" w:line="357"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any Registered Shares allotted and issued in accordance with the Registration Statement will be paid-up in consideration of the receipt by the Company from the party to whom the Registered Shares are to be issued, prior to, or simultaneously with the issue of such Registered Shares, of cash and other consideration at least equal to the nominal value of such Registered Shares and, to the extent that any of the consideration for such Registered Shares is payable otherwise than in cash, that the provisions of sections 29 to 33 of the 1983 Act have been complied with;</w:t>
      </w:r>
    </w:p>
    <w:p>
      <w:pPr>
        <w:spacing w:after="0" w:line="13"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no Registered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4"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no Registered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5" w:lineRule="exact"/>
        <w:rPr>
          <w:rFonts w:ascii="Arial" w:cs="Arial" w:eastAsia="Arial" w:hAnsi="Arial"/>
          <w:sz w:val="18"/>
          <w:szCs w:val="18"/>
          <w:color w:val="auto"/>
        </w:rPr>
      </w:pPr>
    </w:p>
    <w:p>
      <w:pPr>
        <w:ind w:left="1260" w:hanging="644"/>
        <w:spacing w:after="0" w:line="371"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the Documents and all deeds, instruments, assignments, agreements and other documents in relation to the matters contemplated by the Documents and / or this opinion 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68" w:right="239" w:bottom="1440" w:gutter="0" w:footer="0" w:header="0"/>
        </w:sectPr>
      </w:pPr>
    </w:p>
    <w:bookmarkStart w:id="33" w:name="page34"/>
    <w:bookmarkEnd w:id="33"/>
    <w:p>
      <w:pPr>
        <w:ind w:left="1920" w:hanging="656"/>
        <w:spacing w:after="0" w:line="352" w:lineRule="auto"/>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within the capacity and powers of, have been validly authorised, executed and delivered by and are valid, legal, binding and enforceable obligations of the parties thereto; and</w:t>
      </w:r>
    </w:p>
    <w:p>
      <w:pPr>
        <w:spacing w:after="0" w:line="14" w:lineRule="exact"/>
        <w:rPr>
          <w:rFonts w:ascii="Arial" w:cs="Arial" w:eastAsia="Arial" w:hAnsi="Arial"/>
          <w:sz w:val="18"/>
          <w:szCs w:val="18"/>
          <w:color w:val="auto"/>
        </w:rPr>
      </w:pPr>
    </w:p>
    <w:p>
      <w:pPr>
        <w:ind w:left="1920" w:hanging="656"/>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are not subject to avoidance by any person,</w:t>
      </w:r>
    </w:p>
    <w:p>
      <w:pPr>
        <w:spacing w:after="0" w:line="104" w:lineRule="exact"/>
        <w:rPr>
          <w:sz w:val="20"/>
          <w:szCs w:val="20"/>
          <w:color w:val="auto"/>
        </w:rPr>
      </w:pPr>
    </w:p>
    <w:p>
      <w:pPr>
        <w:ind w:left="1260"/>
        <w:spacing w:after="0" w:line="371" w:lineRule="auto"/>
        <w:rPr>
          <w:sz w:val="20"/>
          <w:szCs w:val="20"/>
          <w:color w:val="auto"/>
        </w:rPr>
      </w:pPr>
      <w:r>
        <w:rPr>
          <w:rFonts w:ascii="Arial" w:cs="Arial" w:eastAsia="Arial" w:hAnsi="Arial"/>
          <w:sz w:val="18"/>
          <w:szCs w:val="18"/>
          <w:color w:val="auto"/>
        </w:rPr>
        <w:t>under all applicable laws and in all applicable jurisdictions other than (in the case of the Company) the laws of Ireland and the jurisdiction of Ireland;</w:t>
      </w:r>
    </w:p>
    <w:p>
      <w:pPr>
        <w:spacing w:after="0" w:line="197" w:lineRule="exact"/>
        <w:rPr>
          <w:sz w:val="20"/>
          <w:szCs w:val="20"/>
          <w:color w:val="auto"/>
        </w:rPr>
      </w:pPr>
    </w:p>
    <w:p>
      <w:pPr>
        <w:jc w:val="both"/>
        <w:ind w:left="1260" w:hanging="644"/>
        <w:spacing w:after="0" w:line="358"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offering or sale (including the marketing) of any Registered Shares or Debt Securities will be made, effected and conducted in accordance with and will not violate: (i) the memorandum or articles of association,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4" w:lineRule="exact"/>
        <w:rPr>
          <w:rFonts w:ascii="Arial" w:cs="Arial" w:eastAsia="Arial" w:hAnsi="Arial"/>
          <w:sz w:val="18"/>
          <w:szCs w:val="18"/>
          <w:color w:val="auto"/>
        </w:rPr>
      </w:pPr>
    </w:p>
    <w:p>
      <w:pPr>
        <w:jc w:val="both"/>
        <w:ind w:left="1260" w:hanging="644"/>
        <w:spacing w:after="0" w:line="358"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at the time of the issuance and sale of any Debt Securities: (i) the Registration Statement will be effective and continue to be effective; (ii) the sale of and payment for any Debt Securities will be in accordance with the Registration Statement (including the prospectus set forth in the Registration Statement and any applicable supplements and amendments thereto); (iii) in any underwritten offering, a definitive purchase, underwriting or similar agreement with respect to any Debt Securities will be duly authorised and validly executed and delivered by the Company and the other parties thereto; and (iv) the issuance and sale (including the marketing) of any Debt Securities will not violate the Company’s memorandum and articles of association, any applicable law or any requirement or restriction imposed by any court or governmental body having jurisdiction over the Company or result in a default under or breach of any agreement or instrument binding on the Company;</w:t>
      </w:r>
    </w:p>
    <w:p>
      <w:pPr>
        <w:spacing w:after="0" w:line="14"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other than as approved by the Section 60 Special Resolutions, the Company has not, by virtue of the Documents, given, nor shall it give, directly or indirectly, financial assistance, as contemplated by section 60 of the Companies Act 1963, for the purpose of, or in connection with the subscription for or purchase of shares in itself or any company which is its holding company;</w:t>
      </w:r>
    </w:p>
    <w:p>
      <w:pPr>
        <w:spacing w:after="0" w:line="14"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 subscription by any person of, or for, any Registered Shares save as permitted by, or pursuant to an exemption to, the said section 60;</w:t>
      </w:r>
    </w:p>
    <w:p>
      <w:pPr>
        <w:spacing w:after="0" w:line="14" w:lineRule="exact"/>
        <w:rPr>
          <w:rFonts w:ascii="Arial" w:cs="Arial" w:eastAsia="Arial" w:hAnsi="Arial"/>
          <w:sz w:val="18"/>
          <w:szCs w:val="18"/>
          <w:color w:val="auto"/>
        </w:rPr>
      </w:pPr>
    </w:p>
    <w:p>
      <w:pPr>
        <w:ind w:left="1260" w:right="20" w:hanging="644"/>
        <w:spacing w:after="0" w:line="352"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insofar as any of the Documents fall to be performed in any jurisdiction other than Ireland its performance will not be illegal or ineffective by virtue of the laws of that jurisdiction;</w:t>
      </w:r>
    </w:p>
    <w:p>
      <w:pPr>
        <w:spacing w:after="0" w:line="14" w:lineRule="exact"/>
        <w:rPr>
          <w:rFonts w:ascii="Arial" w:cs="Arial" w:eastAsia="Arial" w:hAnsi="Arial"/>
          <w:sz w:val="18"/>
          <w:szCs w:val="18"/>
          <w:color w:val="auto"/>
        </w:rPr>
      </w:pPr>
    </w:p>
    <w:p>
      <w:pPr>
        <w:ind w:left="1260" w:right="20" w:hanging="644"/>
        <w:spacing w:after="0" w:line="371"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Company, Weatherford Delaware and Weatherford Bermuda together comprise a “group” for the purposes of section 35 of the Companies Act 1990 and that any person that subsequently becomes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68" w:right="239" w:bottom="1440" w:gutter="0" w:footer="0" w:header="0"/>
        </w:sectPr>
      </w:pPr>
    </w:p>
    <w:bookmarkStart w:id="34" w:name="page35"/>
    <w:bookmarkEnd w:id="34"/>
    <w:p>
      <w:pPr>
        <w:ind w:left="1260"/>
        <w:spacing w:after="0" w:line="39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an issuer or guarantor under the Indentures or whose obligations are guaranteed thereunder by the Company will also be, and continue to be, a member of such group.</w:t>
      </w:r>
    </w:p>
    <w:p>
      <w:pPr>
        <w:spacing w:after="0" w:line="14" w:lineRule="exact"/>
        <w:rPr>
          <w:sz w:val="20"/>
          <w:szCs w:val="20"/>
          <w:color w:val="auto"/>
        </w:rPr>
      </w:pPr>
    </w:p>
    <w:p>
      <w:pPr>
        <w:ind w:left="1260" w:hanging="644"/>
        <w:spacing w:after="0" w:line="352"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there is or are no factual information or documents possessed or discoverable by persons other than ourselves of which we are not aware but of which we should be aware for the purposes of this opinion;</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accuracy and completeness as to factual matters of the representations and warranties of the Company contained in the Documents and the accuracy of the Certificate;</w:t>
      </w:r>
    </w:p>
    <w:p>
      <w:pPr>
        <w:spacing w:after="0" w:line="14" w:lineRule="exact"/>
        <w:rPr>
          <w:rFonts w:ascii="Arial" w:cs="Arial" w:eastAsia="Arial" w:hAnsi="Arial"/>
          <w:sz w:val="18"/>
          <w:szCs w:val="18"/>
          <w:color w:val="auto"/>
        </w:rPr>
      </w:pPr>
    </w:p>
    <w:p>
      <w:pPr>
        <w:ind w:left="1260" w:right="20" w:hanging="644"/>
        <w:spacing w:after="0" w:line="352"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Documents or in any way bear upon, or are inconsistent with, the contents of this opinion;</w:t>
      </w:r>
    </w:p>
    <w:p>
      <w:pPr>
        <w:spacing w:after="0" w:line="14" w:lineRule="exact"/>
        <w:rPr>
          <w:rFonts w:ascii="Arial" w:cs="Arial" w:eastAsia="Arial" w:hAnsi="Arial"/>
          <w:sz w:val="18"/>
          <w:szCs w:val="18"/>
          <w:color w:val="auto"/>
        </w:rPr>
      </w:pPr>
    </w:p>
    <w:p>
      <w:pPr>
        <w:jc w:val="both"/>
        <w:ind w:left="1260" w:hanging="644"/>
        <w:spacing w:after="0" w:line="356"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Registration Statement and the execution and delivery by the Company of the Eight Supplemental Indenture and the Fifth Supplemental Indenture,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4" w:lineRule="exact"/>
        <w:rPr>
          <w:rFonts w:ascii="Arial" w:cs="Arial" w:eastAsia="Arial" w:hAnsi="Arial"/>
          <w:sz w:val="18"/>
          <w:szCs w:val="18"/>
          <w:color w:val="auto"/>
        </w:rPr>
      </w:pPr>
    </w:p>
    <w:p>
      <w:pPr>
        <w:ind w:left="1260" w:right="20" w:hanging="644"/>
        <w:spacing w:after="0" w:line="352"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the Indentures and their respective officers, employees, agents and advisers;</w:t>
      </w:r>
    </w:p>
    <w:p>
      <w:pPr>
        <w:spacing w:after="0" w:line="14" w:lineRule="exact"/>
        <w:rPr>
          <w:rFonts w:ascii="Arial" w:cs="Arial" w:eastAsia="Arial" w:hAnsi="Arial"/>
          <w:sz w:val="18"/>
          <w:szCs w:val="18"/>
          <w:color w:val="auto"/>
        </w:rPr>
      </w:pPr>
    </w:p>
    <w:p>
      <w:pPr>
        <w:jc w:val="both"/>
        <w:ind w:left="1260" w:hanging="644"/>
        <w:spacing w:after="0" w:line="35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jc w:val="both"/>
        <w:ind w:left="1260" w:hanging="644"/>
        <w:spacing w:after="0" w:line="360"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 the Company was, or will be, fully solvent (A) at the time of, and immediately after, the filing of the Registration Statement, (B) at the time of, and immediately after, the execution and delivery of the Indenture and (C) at the date hereof; (ii) the Company would not, as a consequence of doing any act or thing which any of the Documents contemplate, permit or require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4" w:lineRule="exact"/>
        <w:rPr>
          <w:rFonts w:ascii="Arial" w:cs="Arial" w:eastAsia="Arial" w:hAnsi="Arial"/>
          <w:sz w:val="18"/>
          <w:szCs w:val="18"/>
          <w:color w:val="auto"/>
        </w:rPr>
      </w:pPr>
    </w:p>
    <w:p>
      <w:pPr>
        <w:ind w:left="1260" w:hanging="644"/>
        <w:spacing w:after="0" w:line="344"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1" w:lineRule="exact"/>
        <w:rPr>
          <w:sz w:val="20"/>
          <w:szCs w:val="20"/>
          <w:color w:val="auto"/>
        </w:rPr>
      </w:pPr>
    </w:p>
    <w:p>
      <w:pPr>
        <w:ind w:left="620" w:hanging="612"/>
        <w:spacing w:after="0"/>
        <w:tabs>
          <w:tab w:leader="none" w:pos="62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120" w:lineRule="exact"/>
        <w:rPr>
          <w:rFonts w:ascii="Arial" w:cs="Arial" w:eastAsia="Arial" w:hAnsi="Arial"/>
          <w:sz w:val="20"/>
          <w:szCs w:val="20"/>
          <w:color w:val="auto"/>
        </w:rPr>
      </w:pPr>
    </w:p>
    <w:p>
      <w:pPr>
        <w:ind w:left="620"/>
        <w:spacing w:after="0" w:line="387"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w:t>
      </w:r>
    </w:p>
    <w:p>
      <w:pPr>
        <w:spacing w:after="0" w:line="183" w:lineRule="exact"/>
        <w:rPr>
          <w:sz w:val="20"/>
          <w:szCs w:val="20"/>
          <w:color w:val="auto"/>
        </w:rPr>
      </w:pPr>
    </w:p>
    <w:p>
      <w:pPr>
        <w:ind w:left="1260" w:hanging="644"/>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existing under the laws of Ireland;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95" w:right="239" w:bottom="1440" w:gutter="0" w:footer="0" w:header="0"/>
        </w:sectPr>
      </w:pPr>
    </w:p>
    <w:bookmarkStart w:id="35" w:name="page36"/>
    <w:bookmarkEnd w:id="35"/>
    <w:p>
      <w:pPr>
        <w:jc w:val="both"/>
        <w:ind w:left="1260" w:hanging="644"/>
        <w:spacing w:after="0" w:line="356"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upon the issuance of Registered Shares as contemplated by the Registration Statement, subject to receipt by the Company of the full consideration payable in respect thereof, such Registered Shares will be legally issued, fully-paid and non-assessable (which term means that no shareholder shall be obliged to pay or contribute further amounts to the capital of the Company in connection with the issue of such shares); and</w:t>
      </w:r>
    </w:p>
    <w:p>
      <w:pPr>
        <w:spacing w:after="0" w:line="14" w:lineRule="exact"/>
        <w:rPr>
          <w:rFonts w:ascii="Arial" w:cs="Arial" w:eastAsia="Arial" w:hAnsi="Arial"/>
          <w:sz w:val="18"/>
          <w:szCs w:val="18"/>
          <w:color w:val="auto"/>
        </w:rPr>
      </w:pPr>
    </w:p>
    <w:p>
      <w:pPr>
        <w:ind w:left="1260" w:hanging="644"/>
        <w:spacing w:after="0" w:line="344"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guarantees provided for under each Indenture have been duly authorised by the Company and constitute legal, valid and binding obligations of the Company.</w:t>
      </w:r>
    </w:p>
    <w:p>
      <w:pPr>
        <w:spacing w:after="0" w:line="1" w:lineRule="exact"/>
        <w:rPr>
          <w:sz w:val="20"/>
          <w:szCs w:val="20"/>
          <w:color w:val="auto"/>
        </w:rPr>
      </w:pPr>
    </w:p>
    <w:p>
      <w:pPr>
        <w:ind w:left="620" w:hanging="612"/>
        <w:spacing w:after="0"/>
        <w:tabs>
          <w:tab w:leader="none" w:pos="620"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Qualifications</w:t>
      </w:r>
    </w:p>
    <w:p>
      <w:pPr>
        <w:spacing w:after="0" w:line="134"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18"/>
          <w:szCs w:val="18"/>
          <w:color w:val="auto"/>
        </w:rPr>
        <w:t>The opinions set forth in this opinion letter are given subject to the following qualifications:</w:t>
      </w:r>
    </w:p>
    <w:p>
      <w:pPr>
        <w:spacing w:after="0" w:line="319" w:lineRule="exact"/>
        <w:rPr>
          <w:rFonts w:ascii="Arial" w:cs="Arial" w:eastAsia="Arial" w:hAnsi="Arial"/>
          <w:sz w:val="20"/>
          <w:szCs w:val="20"/>
          <w:color w:val="auto"/>
        </w:rPr>
      </w:pPr>
    </w:p>
    <w:p>
      <w:pPr>
        <w:jc w:val="both"/>
        <w:ind w:left="1260" w:hanging="644"/>
        <w:spacing w:after="0" w:line="357"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 a search at the Registry of Winding up Petitions at the Central Office of the High Court is not capable of revealing whether or not a receiver has been appointed. 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6"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terms “valid and binding” as used in paragraph 3(c) above, means that the obligations assumed by the Company under the Indentures are of a type which the Irish courts enforce. It does not mean that those obligations will necessarily be enforced in all circumstances in accordance with their terms. In particular:</w:t>
      </w:r>
    </w:p>
    <w:p>
      <w:pPr>
        <w:spacing w:after="0" w:line="15" w:lineRule="exact"/>
        <w:rPr>
          <w:rFonts w:ascii="Arial" w:cs="Arial" w:eastAsia="Arial" w:hAnsi="Arial"/>
          <w:sz w:val="18"/>
          <w:szCs w:val="18"/>
          <w:color w:val="auto"/>
        </w:rPr>
      </w:pPr>
    </w:p>
    <w:p>
      <w:pPr>
        <w:jc w:val="both"/>
        <w:ind w:left="1920" w:hanging="656"/>
        <w:spacing w:after="0" w:line="356" w:lineRule="auto"/>
        <w:tabs>
          <w:tab w:leader="none" w:pos="19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enforcement of obligations of a party to be performed after the date hereof may be limited by bankruptcy, insolvency, liquidation, court protection, reorganisation and other laws of general application relating to or affecting the rights of creditors as such laws may be applied in the event of bankruptcy, insolvency, liquidation, court protection, reorganisation or other similar proceedings with respect to such party;</w:t>
      </w:r>
    </w:p>
    <w:p>
      <w:pPr>
        <w:spacing w:after="0" w:line="14" w:lineRule="exact"/>
        <w:rPr>
          <w:rFonts w:ascii="Arial" w:cs="Arial" w:eastAsia="Arial" w:hAnsi="Arial"/>
          <w:sz w:val="18"/>
          <w:szCs w:val="18"/>
          <w:color w:val="auto"/>
        </w:rPr>
      </w:pPr>
    </w:p>
    <w:p>
      <w:pPr>
        <w:jc w:val="both"/>
        <w:ind w:left="1920" w:hanging="656"/>
        <w:spacing w:after="0" w:line="354" w:lineRule="auto"/>
        <w:tabs>
          <w:tab w:leader="none" w:pos="19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equitable remedies (such as specific performance or injunctive relief) may not be available to persons seeking to enforce provisions of the Indentures and will not be available where damages are considered to be an adequate remedy;</w:t>
      </w:r>
    </w:p>
    <w:p>
      <w:pPr>
        <w:spacing w:after="0" w:line="15" w:lineRule="exact"/>
        <w:rPr>
          <w:rFonts w:ascii="Arial" w:cs="Arial" w:eastAsia="Arial" w:hAnsi="Arial"/>
          <w:sz w:val="18"/>
          <w:szCs w:val="18"/>
          <w:color w:val="auto"/>
        </w:rPr>
      </w:pPr>
    </w:p>
    <w:p>
      <w:pPr>
        <w:jc w:val="both"/>
        <w:ind w:left="1920" w:hanging="656"/>
        <w:spacing w:after="0" w:line="354" w:lineRule="auto"/>
        <w:tabs>
          <w:tab w:leader="none" w:pos="19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claims may become barred under the Statute of Limitations of 1957 (as amended from time to time) or under other statutes or may be or become subject to defences of set-off or counterclaim (except to the extent that any right of set-off has been waived and is not required by the provisions of the rules applicable in a liquidation to be exercised);</w:t>
      </w:r>
    </w:p>
    <w:p>
      <w:pPr>
        <w:spacing w:after="0" w:line="15" w:lineRule="exact"/>
        <w:rPr>
          <w:rFonts w:ascii="Arial" w:cs="Arial" w:eastAsia="Arial" w:hAnsi="Arial"/>
          <w:sz w:val="18"/>
          <w:szCs w:val="18"/>
          <w:color w:val="auto"/>
        </w:rPr>
      </w:pPr>
    </w:p>
    <w:p>
      <w:pPr>
        <w:ind w:left="1920" w:hanging="656"/>
        <w:spacing w:after="0" w:line="371" w:lineRule="auto"/>
        <w:tabs>
          <w:tab w:leader="none" w:pos="19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where obligations are to be performed in a jurisdiction outside Ireland, they may not be enforceable in Ireland to the extent that performance would be illegal or contrary to the public policy under the laws of the other jurisdiction;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68" w:right="239" w:bottom="1440" w:gutter="0" w:footer="0" w:header="0"/>
        </w:sectPr>
      </w:pPr>
    </w:p>
    <w:bookmarkStart w:id="36" w:name="page37"/>
    <w:bookmarkEnd w:id="36"/>
    <w:p>
      <w:pPr>
        <w:ind w:left="1920" w:hanging="656"/>
        <w:spacing w:after="0" w:line="352"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enforcement of obligations may be invalidated by reason of fraud, misrepresentation, mistake or duress or by the provisions of Irish law applicable to contracts held to have been frustrated by events happening after their execution.</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 of any of the Documents which provides for interest to be paid on overdue amounts at a rate higher than the predefault rate may amount to a penalty under the laws of Ireland and may therefore not be recoverable.</w:t>
      </w:r>
    </w:p>
    <w:p>
      <w:pPr>
        <w:spacing w:after="0" w:line="14"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opinion is expressed as to whether the courts of Ireland would give effect to any currency indemnity contained in any of the Documents.</w:t>
      </w:r>
    </w:p>
    <w:p>
      <w:pPr>
        <w:spacing w:after="0" w:line="14"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Irish court may refuse to give effect to a purported contractual obligation to pay costs imposed upon a party in respect of the costs of any unsuccessful litigation brought against that party and such a court may not award by way of costs all of the expenditure incurred by a successful litigant in proceedings brought before that court.</w:t>
      </w:r>
    </w:p>
    <w:p>
      <w:pPr>
        <w:spacing w:after="0" w:line="15"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Where any party to the Documents is vested with a discretion or may determine a matter in its opinion, Irish law may require that such discretion is exercised reasonably or that such opinion is based on reasonable grounds.</w:t>
      </w:r>
    </w:p>
    <w:p>
      <w:pPr>
        <w:spacing w:after="0" w:line="14"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 in the Documents providing that any calculation or certification is to be conclusive and binding will not be effective if such calculation or certification is fraudulent and will not necessarily prevent judicial enquiry into the merits of any claim by any party thereto.</w:t>
      </w:r>
    </w:p>
    <w:p>
      <w:pPr>
        <w:spacing w:after="0" w:line="15" w:lineRule="exact"/>
        <w:rPr>
          <w:rFonts w:ascii="Arial" w:cs="Arial" w:eastAsia="Arial" w:hAnsi="Arial"/>
          <w:sz w:val="18"/>
          <w:szCs w:val="18"/>
          <w:color w:val="auto"/>
        </w:rPr>
      </w:pPr>
    </w:p>
    <w:p>
      <w:pPr>
        <w:jc w:val="both"/>
        <w:ind w:left="1260" w:hanging="644"/>
        <w:spacing w:after="0" w:line="354"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as to severability may not be binding under the laws of Ireland as the question of whether or not any provision of any of the Documents which may be invalid on account of illegality or otherwise may be severed from the other provisions thereof in order to save such other provisions would be determined by an Irish court at its discretion.</w:t>
      </w:r>
    </w:p>
    <w:p>
      <w:pPr>
        <w:spacing w:after="0" w:line="15" w:lineRule="exact"/>
        <w:rPr>
          <w:rFonts w:ascii="Arial" w:cs="Arial" w:eastAsia="Arial" w:hAnsi="Arial"/>
          <w:sz w:val="18"/>
          <w:szCs w:val="18"/>
          <w:color w:val="auto"/>
        </w:rPr>
      </w:pPr>
    </w:p>
    <w:p>
      <w:pPr>
        <w:ind w:left="1260" w:hanging="644"/>
        <w:spacing w:after="0" w:line="352"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agreement may be varied, amended or discharged by a further agreement or affected by a collateral agreement which may be effected by an oral agreement or a course of dealing.</w:t>
      </w:r>
    </w:p>
    <w:p>
      <w:pPr>
        <w:ind w:left="1260" w:hanging="64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regards jurisdiction, the courts of Ireland may stay proceedings if concurrent proceedings are being brought elsewhere.</w:t>
      </w:r>
    </w:p>
    <w:p>
      <w:pPr>
        <w:spacing w:after="0" w:line="117" w:lineRule="exact"/>
        <w:rPr>
          <w:rFonts w:ascii="Arial" w:cs="Arial" w:eastAsia="Arial" w:hAnsi="Arial"/>
          <w:sz w:val="18"/>
          <w:szCs w:val="18"/>
          <w:color w:val="auto"/>
        </w:rPr>
      </w:pPr>
    </w:p>
    <w:p>
      <w:pPr>
        <w:jc w:val="both"/>
        <w:ind w:left="1260" w:hanging="644"/>
        <w:spacing w:after="0" w:line="357"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Whilst in the event of any proceedings being brought in the Irish courts in respect of a monetary obligation expressed to be payable in a currency other than euro, an Irish court would have power to give a judgement expressed as an order to pay a currency other than euro, it may decline to do so in its discretion and an Irish court might not enforce the benefit of any currency or conversion clause and, with respect to a bankruptcy, liquidation, insolvency, reorganisation or similar proceeding, Irish law may require that all clauses or debts are converted into euro at an exchange rate determined by the court as at a date related thereto, such as the date of commencement of a winding up.</w:t>
      </w:r>
    </w:p>
    <w:p>
      <w:pPr>
        <w:spacing w:after="0" w:line="16" w:lineRule="exact"/>
        <w:rPr>
          <w:rFonts w:ascii="Arial" w:cs="Arial" w:eastAsia="Arial" w:hAnsi="Arial"/>
          <w:sz w:val="18"/>
          <w:szCs w:val="18"/>
          <w:color w:val="auto"/>
        </w:rPr>
      </w:pPr>
    </w:p>
    <w:p>
      <w:pPr>
        <w:ind w:left="1260" w:hanging="644"/>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terms exculpating any party to the Documents from a liability or duty otherwise owed are limited by law.</w:t>
      </w:r>
    </w:p>
    <w:p>
      <w:pPr>
        <w:spacing w:after="0" w:line="103" w:lineRule="exact"/>
        <w:rPr>
          <w:rFonts w:ascii="Arial" w:cs="Arial" w:eastAsia="Arial" w:hAnsi="Arial"/>
          <w:sz w:val="18"/>
          <w:szCs w:val="18"/>
          <w:color w:val="auto"/>
        </w:rPr>
      </w:pPr>
    </w:p>
    <w:p>
      <w:pPr>
        <w:jc w:val="both"/>
        <w:ind w:left="1260" w:right="20" w:hanging="644"/>
        <w:spacing w:after="0" w:line="365"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Companies (Amendment) Act 1990 prohibits certain steps being taken except with the leave of the court against a company after the presentation of a petition for the appointment of an examiner. This prohibition continues, if an examiner is appointed, for so long as the examiner remains appointed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68" w:right="239" w:bottom="1440" w:gutter="0" w:footer="0" w:header="0"/>
        </w:sectPr>
      </w:pPr>
    </w:p>
    <w:bookmarkStart w:id="37" w:name="page38"/>
    <w:bookmarkEnd w:id="37"/>
    <w:p>
      <w:pPr>
        <w:jc w:val="both"/>
        <w:ind w:left="1260"/>
        <w:spacing w:after="0" w:line="42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5363210</wp:posOffset>
            </wp:positionH>
            <wp:positionV relativeFrom="page">
              <wp:posOffset>88900</wp:posOffset>
            </wp:positionV>
            <wp:extent cx="204089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040890" cy="274320"/>
                    </a:xfrm>
                    <a:prstGeom prst="rect">
                      <a:avLst/>
                    </a:prstGeom>
                    <a:noFill/>
                  </pic:spPr>
                </pic:pic>
              </a:graphicData>
            </a:graphic>
          </wp:anchor>
        </w:drawing>
        <w:t>(maximum period of 100 days). Prohibited steps include steps taken to enforce any guarantees or security, the commencement or continuation of proceedings or execution or other legal process or the levying of distress against the company or its property and the appointment of a receiver.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30424787.6</w:t>
      </w:r>
    </w:p>
    <w:p>
      <w:pPr>
        <w:sectPr>
          <w:pgSz w:w="11900" w:h="16838" w:orient="portrait"/>
          <w:cols w:equalWidth="0" w:num="1">
            <w:col w:w="11420"/>
          </w:cols>
          <w:pgMar w:left="240" w:top="895" w:right="239" w:bottom="1440" w:gutter="0" w:footer="0" w:header="0"/>
        </w:sectPr>
      </w:pPr>
    </w:p>
    <w:bookmarkStart w:id="38" w:name="page39"/>
    <w:bookmarkEnd w:id="38"/>
    <w:tbl>
      <w:tblPr>
        <w:tblLayout w:type="fixed"/>
        <w:tblInd w:w="192"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12.1</w:t>
            </w:r>
          </w:p>
        </w:tc>
      </w:tr>
      <w:tr>
        <w:trPr>
          <w:trHeight w:val="567"/>
        </w:trPr>
        <w:tc>
          <w:tcPr>
            <w:tcW w:w="3420" w:type="dxa"/>
            <w:vAlign w:val="bottom"/>
          </w:tcPr>
          <w:p>
            <w:pPr>
              <w:spacing w:after="0"/>
              <w:rPr>
                <w:sz w:val="24"/>
                <w:szCs w:val="24"/>
                <w:color w:val="auto"/>
              </w:rPr>
            </w:pPr>
          </w:p>
        </w:tc>
        <w:tc>
          <w:tcPr>
            <w:tcW w:w="4120" w:type="dxa"/>
            <w:vAlign w:val="bottom"/>
            <w:gridSpan w:val="10"/>
          </w:tcPr>
          <w:p>
            <w:pPr>
              <w:ind w:left="100"/>
              <w:spacing w:after="0"/>
              <w:rPr>
                <w:sz w:val="20"/>
                <w:szCs w:val="20"/>
                <w:color w:val="auto"/>
              </w:rPr>
            </w:pPr>
            <w:r>
              <w:rPr>
                <w:rFonts w:ascii="Arial" w:cs="Arial" w:eastAsia="Arial" w:hAnsi="Arial"/>
                <w:sz w:val="18"/>
                <w:szCs w:val="18"/>
                <w:b w:val="1"/>
                <w:bCs w:val="1"/>
                <w:color w:val="auto"/>
                <w:w w:val="91"/>
              </w:rPr>
              <w:t>Computation of Ratio of Earnings to Fixed Charges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2"/>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Ended</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8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1"/>
        </w:trPr>
        <w:tc>
          <w:tcPr>
            <w:tcW w:w="3420" w:type="dxa"/>
            <w:vAlign w:val="bottom"/>
          </w:tcPr>
          <w:p>
            <w:pPr>
              <w:ind w:left="20"/>
              <w:spacing w:after="0"/>
              <w:rPr>
                <w:sz w:val="20"/>
                <w:szCs w:val="20"/>
                <w:color w:val="auto"/>
              </w:rPr>
            </w:pPr>
            <w:r>
              <w:rPr>
                <w:rFonts w:ascii="Arial" w:cs="Arial" w:eastAsia="Arial" w:hAnsi="Arial"/>
                <w:sz w:val="16"/>
                <w:szCs w:val="16"/>
                <w:i w:val="1"/>
                <w:iCs w:val="1"/>
                <w:color w:val="auto"/>
              </w:rPr>
              <w:t>(Dollars in millions except ratios)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98"/>
              <w:spacing w:after="0"/>
              <w:rPr>
                <w:sz w:val="20"/>
                <w:szCs w:val="20"/>
                <w:color w:val="auto"/>
              </w:rPr>
            </w:pPr>
            <w:r>
              <w:rPr>
                <w:rFonts w:ascii="Arial" w:cs="Arial" w:eastAsia="Arial" w:hAnsi="Arial"/>
                <w:sz w:val="16"/>
                <w:szCs w:val="16"/>
                <w:b w:val="1"/>
                <w:bCs w:val="1"/>
                <w:color w:val="auto"/>
              </w:rPr>
              <w:t>2009</w:t>
            </w:r>
          </w:p>
        </w:tc>
        <w:tc>
          <w:tcPr>
            <w:tcW w:w="180" w:type="dxa"/>
            <w:vAlign w:val="bottom"/>
          </w:tcPr>
          <w:p>
            <w:pPr>
              <w:spacing w:after="0"/>
              <w:rPr>
                <w:sz w:val="20"/>
                <w:szCs w:val="20"/>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Income (Loss) from continuing operations before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(a)</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274</w:t>
            </w:r>
          </w:p>
        </w:tc>
        <w:tc>
          <w:tcPr>
            <w:tcW w:w="180" w:type="dxa"/>
            <w:vAlign w:val="bottom"/>
          </w:tcPr>
          <w:p>
            <w:pPr>
              <w:spacing w:after="0"/>
              <w:rPr>
                <w:sz w:val="19"/>
                <w:szCs w:val="19"/>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Fixed charges: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(b)</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rPr>
                <w:sz w:val="21"/>
                <w:szCs w:val="2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rPr>
              <w:t>Capitalized Interest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factor portion of rentals (c)</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23"/>
                <w:szCs w:val="23"/>
                <w:color w:val="auto"/>
              </w:rPr>
            </w:pPr>
          </w:p>
        </w:tc>
      </w:tr>
      <w:tr>
        <w:trPr>
          <w:trHeight w:val="217"/>
        </w:trPr>
        <w:tc>
          <w:tcPr>
            <w:tcW w:w="3420" w:type="dxa"/>
            <w:vAlign w:val="bottom"/>
          </w:tcPr>
          <w:p>
            <w:pPr>
              <w:ind w:left="20"/>
              <w:spacing w:after="0"/>
              <w:rPr>
                <w:sz w:val="20"/>
                <w:szCs w:val="20"/>
                <w:color w:val="auto"/>
              </w:rPr>
            </w:pPr>
            <w:r>
              <w:rPr>
                <w:rFonts w:ascii="Arial" w:cs="Arial" w:eastAsia="Arial" w:hAnsi="Arial"/>
                <w:sz w:val="16"/>
                <w:szCs w:val="16"/>
                <w:color w:val="auto"/>
              </w:rPr>
              <w:t>Total fixed charges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479</w:t>
            </w:r>
          </w:p>
        </w:tc>
        <w:tc>
          <w:tcPr>
            <w:tcW w:w="18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Capitalized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21"/>
                <w:szCs w:val="2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color w:val="auto"/>
                <w:w w:val="98"/>
              </w:rPr>
              <w:t>Earnings before income taxes and fixed charges</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721</w:t>
            </w:r>
          </w:p>
        </w:tc>
        <w:tc>
          <w:tcPr>
            <w:tcW w:w="180" w:type="dxa"/>
            <w:vAlign w:val="bottom"/>
          </w:tcPr>
          <w:p>
            <w:pPr>
              <w:spacing w:after="0"/>
              <w:rPr>
                <w:sz w:val="20"/>
                <w:szCs w:val="20"/>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1.51</w:t>
            </w:r>
          </w:p>
        </w:tc>
        <w:tc>
          <w:tcPr>
            <w:tcW w:w="180" w:type="dxa"/>
            <w:vAlign w:val="bottom"/>
          </w:tcPr>
          <w:p>
            <w:pPr>
              <w:spacing w:after="0"/>
              <w:rPr>
                <w:sz w:val="21"/>
                <w:szCs w:val="21"/>
                <w:color w:val="auto"/>
              </w:rPr>
            </w:pPr>
          </w:p>
        </w:tc>
      </w:tr>
      <w:tr>
        <w:trPr>
          <w:trHeight w:val="200"/>
        </w:trPr>
        <w:tc>
          <w:tcPr>
            <w:tcW w:w="3420" w:type="dxa"/>
            <w:vAlign w:val="bottom"/>
          </w:tcPr>
          <w:p>
            <w:pPr>
              <w:ind w:left="20"/>
              <w:spacing w:after="0"/>
              <w:rPr>
                <w:sz w:val="20"/>
                <w:szCs w:val="20"/>
                <w:color w:val="auto"/>
              </w:rPr>
            </w:pPr>
            <w:r>
              <w:rPr>
                <w:rFonts w:ascii="Arial" w:cs="Arial" w:eastAsia="Arial" w:hAnsi="Arial"/>
                <w:sz w:val="16"/>
                <w:szCs w:val="16"/>
                <w:color w:val="auto"/>
              </w:rPr>
              <w:t>Deficiency of earnings available to cover fixed</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3420" w:type="dxa"/>
            <w:vAlign w:val="bottom"/>
          </w:tcPr>
          <w:p>
            <w:pPr>
              <w:ind w:left="20"/>
              <w:spacing w:after="0"/>
              <w:rPr>
                <w:sz w:val="20"/>
                <w:szCs w:val="20"/>
                <w:color w:val="auto"/>
              </w:rPr>
            </w:pPr>
            <w:r>
              <w:rPr>
                <w:rFonts w:ascii="Arial" w:cs="Arial" w:eastAsia="Arial" w:hAnsi="Arial"/>
                <w:sz w:val="16"/>
                <w:szCs w:val="16"/>
                <w:color w:val="auto"/>
              </w:rPr>
              <w:t>charges (d)</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02" w:lineRule="exact"/>
        <w:rPr>
          <w:sz w:val="20"/>
          <w:szCs w:val="20"/>
          <w:color w:val="auto"/>
        </w:rPr>
      </w:pPr>
    </w:p>
    <w:p>
      <w:pPr>
        <w:ind w:left="332" w:hanging="332"/>
        <w:spacing w:after="0"/>
        <w:tabs>
          <w:tab w:leader="none" w:pos="3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Income from continuing operations before income taxes has been adjusted to include only distributed income of less-than-fifty-percent-owned persons.</w:t>
      </w:r>
    </w:p>
    <w:p>
      <w:pPr>
        <w:spacing w:after="0" w:line="140" w:lineRule="exact"/>
        <w:rPr>
          <w:rFonts w:ascii="Arial" w:cs="Arial" w:eastAsia="Arial" w:hAnsi="Arial"/>
          <w:sz w:val="16"/>
          <w:szCs w:val="16"/>
          <w:color w:val="auto"/>
        </w:rPr>
      </w:pPr>
    </w:p>
    <w:p>
      <w:pPr>
        <w:ind w:left="332" w:hanging="332"/>
        <w:spacing w:after="0"/>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expense consists of interest expense incurred from continuing operations and amortization of debt issuance costs.</w:t>
      </w:r>
    </w:p>
    <w:p>
      <w:pPr>
        <w:spacing w:after="0" w:line="117" w:lineRule="exact"/>
        <w:rPr>
          <w:rFonts w:ascii="Arial" w:cs="Arial" w:eastAsia="Arial" w:hAnsi="Arial"/>
          <w:sz w:val="18"/>
          <w:szCs w:val="18"/>
          <w:color w:val="auto"/>
        </w:rPr>
      </w:pPr>
    </w:p>
    <w:p>
      <w:pPr>
        <w:ind w:left="332" w:hanging="332"/>
        <w:spacing w:after="0"/>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factor portion of rentals is estimated to be one-third of rental expense.</w:t>
      </w:r>
    </w:p>
    <w:p>
      <w:pPr>
        <w:spacing w:after="0" w:line="117"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three months ended March 31, 2014, earnings, as defined, before fixed charges were inadequate to cover fixed charges by $7 million. For the years ended December 31, 2013 and 2012, earnings, as defined, before fixed charges were inadequate to cover fixed charges by $211 million and $349 million, respectively.</w:t>
      </w:r>
    </w:p>
    <w:p>
      <w:pPr>
        <w:sectPr>
          <w:pgSz w:w="11900" w:h="16838" w:orient="portrait"/>
          <w:cols w:equalWidth="0" w:num="1">
            <w:col w:w="11412"/>
          </w:cols>
          <w:pgMar w:left="248" w:top="580" w:right="239" w:bottom="1440" w:gutter="0" w:footer="0" w:header="0"/>
        </w:sectPr>
      </w:pPr>
    </w:p>
    <w:bookmarkStart w:id="39" w:name="page40"/>
    <w:bookmarkEnd w:id="39"/>
    <w:p>
      <w:pPr>
        <w:ind w:left="10280"/>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use of our reports dated February 25, 2014, with respect to the consolidated balance sheet of Weatherford International plc, successor issuer to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incorporated herein by reference and to the reference to our firm under the heading "Experts" in the prospectus, which reports appear in the December 31, 2013 annual report on Form 10-K of Weatherford International Ltd.</w:t>
      </w:r>
    </w:p>
    <w:p>
      <w:pPr>
        <w:spacing w:after="0" w:line="374" w:lineRule="exact"/>
        <w:rPr>
          <w:sz w:val="20"/>
          <w:szCs w:val="20"/>
          <w:color w:val="auto"/>
        </w:rPr>
      </w:pPr>
    </w:p>
    <w:p>
      <w:pPr>
        <w:ind w:left="71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23.4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No. 333-194431) and related Prospectus of Weatherford International plc for the registration of registered shares, debt securities and guarantees of debt securities and to the incorporation by reference therein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713"/>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9">
    <w:nsid w:val="721DA31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0">
    <w:nsid w:val="2443A858"/>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11">
    <w:nsid w:val="2D1D5AE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2">
    <w:nsid w:val="6763845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amp;"/>
      <w:numFmt w:val="bullet"/>
      <w:start w:val="1"/>
    </w:lvl>
  </w:abstractNum>
  <w:abstractNum w:abstractNumId="15">
    <w:nsid w:val="79838CB2"/>
    <w:multiLevelType w:val="hybridMultilevel"/>
    <w:lvl w:ilvl="0">
      <w:lvlJc w:val="left"/>
      <w:lvlText w:val="(%1)"/>
      <w:numFmt w:val="lowerRoman"/>
      <w:start w:val="3"/>
    </w:lvl>
  </w:abstractNum>
  <w:abstractNum w:abstractNumId="16">
    <w:nsid w:val="4353D0CD"/>
    <w:multiLevelType w:val="hybridMultilevel"/>
    <w:lvl w:ilvl="0">
      <w:lvlJc w:val="left"/>
      <w:lvlText w:val="(%1)"/>
      <w:numFmt w:val="lowerRoman"/>
      <w:start w:val="3"/>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bullet"/>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2"/>
      <w:numFmt w:val="bullet"/>
      <w:start w:val="1"/>
    </w:lvl>
    <w:lvl w:ilvl="1">
      <w:lvlJc w:val="left"/>
      <w:lvlText w:val="(%2)"/>
      <w:numFmt w:val="lowerLetter"/>
      <w:start w:val="1"/>
    </w:lvl>
  </w:abstractNum>
  <w:abstractNum w:abstractNumId="23">
    <w:nsid w:val="2901D82"/>
    <w:multiLevelType w:val="hybridMultilevel"/>
    <w:lvl w:ilvl="0">
      <w:lvlJc w:val="left"/>
      <w:lvlText w:val="(%1)"/>
      <w:numFmt w:val="lowerLetter"/>
      <w:start w:val="4"/>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lowerLetter"/>
      <w:start w:val="12"/>
    </w:lvl>
  </w:abstractNum>
  <w:abstractNum w:abstractNumId="26">
    <w:nsid w:val="1E7FF521"/>
    <w:multiLevelType w:val="hybridMultilevel"/>
    <w:lvl w:ilvl="0">
      <w:lvlJc w:val="left"/>
      <w:lvlText w:val="(%1)"/>
      <w:numFmt w:val="lowerLetter"/>
      <w:start w:val="18"/>
    </w:lvl>
  </w:abstractNum>
  <w:abstractNum w:abstractNumId="27">
    <w:nsid w:val="7C3DBD3D"/>
    <w:multiLevelType w:val="hybridMultilevel"/>
    <w:lvl w:ilvl="0">
      <w:lvlJc w:val="left"/>
      <w:lvlText w:val="3"/>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4"/>
      <w:numFmt w:val="bullet"/>
      <w:start w:val="1"/>
    </w:lvl>
    <w:lvl w:ilvl="1">
      <w:lvlJc w:val="left"/>
      <w:lvlText w:val="(%2)"/>
      <w:numFmt w:val="lowerLetter"/>
      <w:start w:val="1"/>
    </w:lvl>
    <w:lvl w:ilvl="2">
      <w:lvlJc w:val="left"/>
      <w:lvlText w:val="(%3)"/>
      <w:numFmt w:val="lowerRoman"/>
      <w:start w:val="1"/>
    </w:lvl>
  </w:abstractNum>
  <w:abstractNum w:abstractNumId="31">
    <w:nsid w:val="4516DDE9"/>
    <w:multiLevelType w:val="hybridMultilevel"/>
    <w:lvl w:ilvl="0">
      <w:lvlJc w:val="left"/>
      <w:lvlText w:val="%1"/>
      <w:numFmt w:val="lowerLetter"/>
      <w:start w:val="1"/>
    </w:lvl>
    <w:lvl w:ilvl="1">
      <w:lvlJc w:val="left"/>
      <w:lvlText w:val="(%2)"/>
      <w:numFmt w:val="lowerLetter"/>
      <w:start w:val="22"/>
    </w:lvl>
  </w:abstractNum>
  <w:abstractNum w:abstractNumId="32">
    <w:nsid w:val="3006C83E"/>
    <w:multiLevelType w:val="hybridMultilevel"/>
    <w:lvl w:ilvl="0">
      <w:lvlJc w:val="left"/>
      <w:lvlText w:val="(%1)"/>
      <w:numFmt w:val="lowerLetter"/>
      <w:start w:val="3"/>
    </w:lvl>
    <w:lvl w:ilvl="1">
      <w:lvlJc w:val="left"/>
      <w:lvlText w:val="%2"/>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2019-12-08T10:33:23Z</dcterms:created>
  <dcterms:modified xsi:type="dcterms:W3CDTF">2019-12-08T10:33:23Z</dcterms:modified>
</cp:coreProperties>
</file>