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21, 2017</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800" w:space="720"/>
            <w:col w:w="9900"/>
          </w:cols>
          <w:pgMar w:left="240" w:top="742" w:right="239" w:bottom="1440" w:gutter="0" w:footer="0" w:header="0"/>
        </w:sectPr>
      </w:pPr>
    </w:p>
    <w:p>
      <w:pPr>
        <w:jc w:val="both"/>
        <w:spacing w:after="0" w:line="277" w:lineRule="auto"/>
        <w:rPr>
          <w:sz w:val="20"/>
          <w:szCs w:val="20"/>
          <w:color w:val="auto"/>
        </w:rPr>
      </w:pPr>
      <w:r>
        <w:rPr>
          <w:rFonts w:ascii="Arial" w:cs="Arial" w:eastAsia="Arial" w:hAnsi="Arial"/>
          <w:sz w:val="18"/>
          <w:szCs w:val="18"/>
          <w:color w:val="auto"/>
        </w:rPr>
        <w:t>On August 21, 2017, Weatherford International plc (the “Company” or “Weatherford”) announced the appointment of Karl Blanchard, 57, as Executive Vice President and Chief Operating Officer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joining the Company, Mr. Blanchard served as the Chief Operating Officer of Seventy Seven Energy, Inc., a position he started in June of 2014. Mr. Blanchard served as Vice President of Production Enhancement of Halliburton Company from 2012 to June 2014 and prior to that and he was Vice President of Cementing for Halliburton from 2010 to 2012.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Blanchard has over 35 years of experience in the oilfield industry, beginning his career at Halliburton in 1981. Before serving as an executive at Halliburton, he held leadership positions in engineering, marketing, sales and operations, and has gained experience in mergers, acquisitions and divestitures. Mr. Blanchard holds a Bachelor of Science degree in engineering from Texas A&amp;M University, and is a member of the Society of Petroleum Engineers.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his appointment as Executive Vice President and Chief Operating Officer of the Company, subject to the approval of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Mr. Blanchard will receive the following compensation:</w:t>
      </w:r>
    </w:p>
    <w:p>
      <w:pPr>
        <w:spacing w:after="0" w:line="211" w:lineRule="exact"/>
        <w:rPr>
          <w:sz w:val="20"/>
          <w:szCs w:val="20"/>
          <w:color w:val="auto"/>
        </w:rPr>
      </w:pPr>
    </w:p>
    <w:p>
      <w:pPr>
        <w:ind w:left="580" w:hanging="39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$700,000;</w:t>
      </w:r>
    </w:p>
    <w:p>
      <w:pPr>
        <w:spacing w:after="0" w:line="225" w:lineRule="exact"/>
        <w:rPr>
          <w:rFonts w:ascii="Arial" w:cs="Arial" w:eastAsia="Arial" w:hAnsi="Arial"/>
          <w:sz w:val="18"/>
          <w:szCs w:val="18"/>
          <w:color w:val="auto"/>
        </w:rPr>
      </w:pPr>
    </w:p>
    <w:p>
      <w:pPr>
        <w:jc w:val="both"/>
        <w:ind w:firstLine="305"/>
        <w:spacing w:after="0" w:line="259" w:lineRule="auto"/>
        <w:tabs>
          <w:tab w:leader="none" w:pos="803" w:val="left"/>
        </w:tabs>
        <w:numPr>
          <w:ilvl w:val="2"/>
          <w:numId w:val="2"/>
        </w:numPr>
        <w:rPr>
          <w:rFonts w:ascii="Arial" w:cs="Arial" w:eastAsia="Arial" w:hAnsi="Arial"/>
          <w:sz w:val="18"/>
          <w:szCs w:val="18"/>
          <w:color w:val="auto"/>
        </w:rPr>
      </w:pPr>
      <w:r>
        <w:rPr>
          <w:rFonts w:ascii="Arial" w:cs="Arial" w:eastAsia="Arial" w:hAnsi="Arial"/>
          <w:sz w:val="18"/>
          <w:szCs w:val="18"/>
          <w:color w:val="auto"/>
        </w:rPr>
        <w:t>eligibility to participate in the Company’s Executive Non-Equity Incentive Compensation Plan, as described in the Company’s annual proxy statement filed with the Securities and Exchange Commission on April 25, 2017, with threshold, target and superior metrics (expressed as a percentage of base salary) set at 50%, 100% and 150%, with a comparative performance matrix multiplier (maxed at 1.333) for 2017, providing a potential maximum bonus, prorated for 2017, of up to 200%; and</w:t>
      </w:r>
    </w:p>
    <w:p>
      <w:pPr>
        <w:spacing w:after="0" w:line="186" w:lineRule="exact"/>
        <w:rPr>
          <w:rFonts w:ascii="Arial" w:cs="Arial" w:eastAsia="Arial" w:hAnsi="Arial"/>
          <w:sz w:val="18"/>
          <w:szCs w:val="18"/>
          <w:color w:val="auto"/>
        </w:rPr>
      </w:pPr>
    </w:p>
    <w:p>
      <w:pPr>
        <w:ind w:right="20" w:firstLine="197"/>
        <w:spacing w:after="0" w:line="277" w:lineRule="auto"/>
        <w:tabs>
          <w:tab w:leader="none" w:pos="588" w:val="left"/>
        </w:tabs>
        <w:numPr>
          <w:ilvl w:val="1"/>
          <w:numId w:val="2"/>
        </w:numPr>
        <w:rPr>
          <w:rFonts w:ascii="Arial" w:cs="Arial" w:eastAsia="Arial" w:hAnsi="Arial"/>
          <w:sz w:val="18"/>
          <w:szCs w:val="18"/>
          <w:color w:val="auto"/>
        </w:rPr>
      </w:pPr>
      <w:r>
        <w:rPr>
          <w:rFonts w:ascii="Arial" w:cs="Arial" w:eastAsia="Arial" w:hAnsi="Arial"/>
          <w:sz w:val="18"/>
          <w:szCs w:val="18"/>
          <w:color w:val="auto"/>
        </w:rPr>
        <w:t>a long term equity incentive award of $2,800,000, consisting of 75% restricted share units and 25% performance share units with share price increase metrics pursuant to the Company’s 2017 plan, vesting in equal installments over a three year period.</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will enter into a Change in Control Agreement with Mr. Blanchard (the “CIC Agreement”) that has a term of two years, automatically renewing if a change of control has not occurred, unless the Company provides notice of its intent not to renew. Under the terms of the CIC Agreement, if, during the term of the CIC Agreement, Mr. Blanchard’s employment is terminated in connection with a change in control, he is entitled to receive:</w:t>
      </w:r>
    </w:p>
    <w:p>
      <w:pPr>
        <w:spacing w:after="0" w:line="220" w:lineRule="exact"/>
        <w:rPr>
          <w:sz w:val="20"/>
          <w:szCs w:val="20"/>
          <w:color w:val="auto"/>
        </w:rPr>
      </w:pPr>
    </w:p>
    <w:p>
      <w:pPr>
        <w:ind w:left="980" w:right="20" w:hanging="324"/>
        <w:spacing w:after="0" w:line="3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 sum cash payment equal to three times the sum of the highest base salary received in the preceding three years and the annual incentive cash compensation averaged over the preceding three years;</w:t>
      </w: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accrued salary, annual target incentive cash compensation for the year of termination and vacation pay, pro-rated to the date of termination;</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continuation for three years of all dental and health benefits, provided he remains responsible for his monthly employee contribution; and</w:t>
      </w:r>
    </w:p>
    <w:p>
      <w:pPr>
        <w:spacing w:after="0" w:line="115"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outplacement services upon request for a period of up to six months beginning with the first full month after termination.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Upon a change in control, Mr. Blanchard’s equity awards will vest and any applicable forfeiture restrictions will lapse.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and one of its primary subsidiaries will enter into customary officer indemnification agreements (deeds of indemnity) with Mr. Blanchard upon joining the Company. Pursuant to the terms of the indemnification agreements, Mr. Blanchard will be indemnified against any legal action taken against him by his prior employer.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family relationships between Mr. Blanchard and any director, executive officer or person nominated or chosen by the Company to become a director or executive officer. Additionally, there have been no transactions involving Mr. Blanchard that would require disclosure under Item 404(a) of Regulation S-K.</w:t>
      </w:r>
    </w:p>
    <w:p>
      <w:pPr>
        <w:sectPr>
          <w:pgSz w:w="11900" w:h="16838" w:orient="portrait"/>
          <w:cols w:equalWidth="0" w:num="1">
            <w:col w:w="11420"/>
          </w:cols>
          <w:pgMar w:left="240" w:top="742" w:right="239" w:bottom="1440" w:gutter="0" w:footer="0" w:header="0"/>
          <w:type w:val="continuous"/>
        </w:sectPr>
      </w:pPr>
    </w:p>
    <w:bookmarkStart w:id="2" w:name="page3"/>
    <w:bookmarkEnd w:id="2"/>
    <w:p>
      <w:pPr>
        <w:ind w:left="40"/>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2017, the Company issued a press release describing the matters in the first paragraph of Item 5.02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46"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640" w:hanging="93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920" w:type="dxa"/>
            <w:vAlign w:val="bottom"/>
          </w:tcPr>
          <w:p>
            <w:pPr>
              <w:ind w:left="180"/>
              <w:spacing w:after="0"/>
              <w:rPr>
                <w:sz w:val="20"/>
                <w:szCs w:val="20"/>
                <w:color w:val="auto"/>
              </w:rPr>
            </w:pPr>
            <w:r>
              <w:rPr>
                <w:rFonts w:ascii="Arial" w:cs="Arial" w:eastAsia="Arial" w:hAnsi="Arial"/>
                <w:sz w:val="18"/>
                <w:szCs w:val="18"/>
                <w:color w:val="auto"/>
              </w:rPr>
              <w:t>Press release issued by Weatherford International plc on August 21, 2017</w:t>
            </w:r>
          </w:p>
        </w:tc>
      </w:tr>
    </w:tbl>
    <w:p>
      <w:pPr>
        <w:sectPr>
          <w:pgSz w:w="11900" w:h="16838" w:orient="portrait"/>
          <w:cols w:equalWidth="0" w:num="1">
            <w:col w:w="11420"/>
          </w:cols>
          <w:pgMar w:left="240" w:top="1175"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21, 2017</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36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Christina M. Ibrahim</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1100"/>
          </w:cols>
          <w:pgMar w:left="240" w:top="580"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920" w:type="dxa"/>
            <w:vAlign w:val="bottom"/>
          </w:tcPr>
          <w:p>
            <w:pPr>
              <w:ind w:left="180"/>
              <w:spacing w:after="0"/>
              <w:rPr>
                <w:sz w:val="20"/>
                <w:szCs w:val="20"/>
                <w:color w:val="auto"/>
              </w:rPr>
            </w:pPr>
            <w:r>
              <w:rPr>
                <w:rFonts w:ascii="Arial" w:cs="Arial" w:eastAsia="Arial" w:hAnsi="Arial"/>
                <w:sz w:val="18"/>
                <w:szCs w:val="18"/>
                <w:color w:val="auto"/>
              </w:rPr>
              <w:t>Press release issued by Weatherford International plc on August 21, 2017</w:t>
            </w:r>
          </w:p>
        </w:tc>
      </w:tr>
    </w:tbl>
    <w:p>
      <w:pPr>
        <w:sectPr>
          <w:pgSz w:w="11900" w:h="16838" w:orient="portrait"/>
          <w:cols w:equalWidth="0" w:num="1">
            <w:col w:w="11360"/>
          </w:cols>
          <w:pgMar w:left="280" w:top="58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283210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Appoints Karl Blanchard as Chief Operating Officer</w:t>
      </w: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BAAR, Switzerland, August 21, 2017 - </w:t>
      </w:r>
      <w:r>
        <w:rPr>
          <w:rFonts w:ascii="Arial" w:cs="Arial" w:eastAsia="Arial" w:hAnsi="Arial"/>
          <w:sz w:val="18"/>
          <w:szCs w:val="18"/>
          <w:color w:val="auto"/>
        </w:rPr>
        <w:t>Weatherford International plc (NYSE: WFT) today announced the appointment of Karl Blanchard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Operating Officer. In this role, he will oversee all region and product line operations; quality, health, safety, security and environment; sales; engineering, research and development; and supply chain.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Blanchard brings with him valuable insights gained through more than 35 years in the oilfield services sector. Most recently, Mr. Blanchard served as Chief Operating Officer for Seventy Seven Energy, where he oversaw drilling, pressure-pumping and rental tool operations. Previously, he spent more than 30 years at Halliburton Company where he held senior leadership positions including Vice President of Cementing, Vice President of Production Enhancement and Vice President of Testing and Subsea.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Blanchard has a long track record of bringing teams together to deliver operational excellence, strong financial performance and disciplined growth,” said Mr. Mark A. McCollum, President and Chief Executive Officer. “I have witnessed the effectiveness of his leadership first-hand, and I am very much looking forward to working with him to create a more balanced and integrated organizational structure at Weatherford.”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McCollum added, “By aligning several elements of our business under Mr. Blanchard’s direction, we will establish greater collaboration, innovation and process discipline across our organization.”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860 locations, including manufacturing, service, research and development, and training facilities and employs approximately 29,500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5540"/>
              <w:spacing w:after="0"/>
              <w:rPr>
                <w:sz w:val="20"/>
                <w:szCs w:val="20"/>
                <w:color w:val="auto"/>
              </w:rPr>
            </w:pPr>
            <w:r>
              <w:rPr>
                <w:rFonts w:ascii="Arial" w:cs="Arial" w:eastAsia="Arial" w:hAnsi="Arial"/>
                <w:sz w:val="18"/>
                <w:szCs w:val="18"/>
                <w:color w:val="auto"/>
              </w:rPr>
              <w:t># # #</w:t>
            </w:r>
          </w:p>
        </w:tc>
        <w:tc>
          <w:tcPr>
            <w:tcW w:w="2720" w:type="dxa"/>
            <w:vAlign w:val="bottom"/>
          </w:tcPr>
          <w:p>
            <w:pPr>
              <w:spacing w:after="0"/>
              <w:rPr>
                <w:sz w:val="20"/>
                <w:szCs w:val="20"/>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b w:val="1"/>
                <w:bCs w:val="1"/>
                <w:color w:val="auto"/>
              </w:rPr>
              <w:t>Weatherford Contacts:</w:t>
            </w:r>
          </w:p>
        </w:tc>
        <w:tc>
          <w:tcPr>
            <w:tcW w:w="2720" w:type="dxa"/>
            <w:vAlign w:val="bottom"/>
          </w:tcPr>
          <w:p>
            <w:pPr>
              <w:spacing w:after="0"/>
              <w:rPr>
                <w:sz w:val="24"/>
                <w:szCs w:val="24"/>
                <w:color w:val="auto"/>
              </w:rPr>
            </w:pPr>
          </w:p>
        </w:tc>
      </w:tr>
      <w:tr>
        <w:trPr>
          <w:trHeight w:val="594"/>
        </w:trPr>
        <w:tc>
          <w:tcPr>
            <w:tcW w:w="7580" w:type="dxa"/>
            <w:vAlign w:val="bottom"/>
          </w:tcPr>
          <w:p>
            <w:pPr>
              <w:ind w:left="1140"/>
              <w:spacing w:after="0"/>
              <w:rPr>
                <w:sz w:val="20"/>
                <w:szCs w:val="20"/>
                <w:color w:val="auto"/>
              </w:rPr>
            </w:pPr>
            <w:r>
              <w:rPr>
                <w:rFonts w:ascii="Arial" w:cs="Arial" w:eastAsia="Arial" w:hAnsi="Arial"/>
                <w:sz w:val="18"/>
                <w:szCs w:val="18"/>
                <w:color w:val="auto"/>
              </w:rPr>
              <w:t>Christoph Bausch</w:t>
            </w:r>
          </w:p>
        </w:tc>
        <w:tc>
          <w:tcPr>
            <w:tcW w:w="27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7580" w:type="dxa"/>
            <w:vAlign w:val="bottom"/>
          </w:tcPr>
          <w:p>
            <w:pPr>
              <w:ind w:left="1140"/>
              <w:spacing w:after="0"/>
              <w:rPr>
                <w:sz w:val="20"/>
                <w:szCs w:val="20"/>
                <w:color w:val="auto"/>
              </w:rPr>
            </w:pPr>
            <w:r>
              <w:rPr>
                <w:rFonts w:ascii="Arial" w:cs="Arial" w:eastAsia="Arial" w:hAnsi="Arial"/>
                <w:sz w:val="18"/>
                <w:szCs w:val="18"/>
                <w:color w:val="auto"/>
              </w:rPr>
              <w:t>Executive Vice President and Chief Financial Officer</w:t>
            </w:r>
          </w:p>
        </w:tc>
        <w:tc>
          <w:tcPr>
            <w:tcW w:w="2720" w:type="dxa"/>
            <w:vAlign w:val="bottom"/>
          </w:tcPr>
          <w:p>
            <w:pPr>
              <w:spacing w:after="0"/>
              <w:rPr>
                <w:sz w:val="23"/>
                <w:szCs w:val="23"/>
                <w:color w:val="auto"/>
              </w:rPr>
            </w:pPr>
          </w:p>
        </w:tc>
      </w:tr>
      <w:tr>
        <w:trPr>
          <w:trHeight w:val="540"/>
        </w:trPr>
        <w:tc>
          <w:tcPr>
            <w:tcW w:w="7580" w:type="dxa"/>
            <w:vAlign w:val="bottom"/>
          </w:tcPr>
          <w:p>
            <w:pPr>
              <w:ind w:left="1140"/>
              <w:spacing w:after="0"/>
              <w:rPr>
                <w:sz w:val="20"/>
                <w:szCs w:val="20"/>
                <w:color w:val="auto"/>
              </w:rPr>
            </w:pPr>
            <w:r>
              <w:rPr>
                <w:rFonts w:ascii="Arial" w:cs="Arial" w:eastAsia="Arial" w:hAnsi="Arial"/>
                <w:sz w:val="18"/>
                <w:szCs w:val="18"/>
                <w:color w:val="auto"/>
              </w:rPr>
              <w:t>Karen David-Green</w:t>
            </w:r>
          </w:p>
        </w:tc>
        <w:tc>
          <w:tcPr>
            <w:tcW w:w="27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7580" w:type="dxa"/>
            <w:vAlign w:val="bottom"/>
          </w:tcPr>
          <w:p>
            <w:pPr>
              <w:ind w:left="1140"/>
              <w:spacing w:after="0"/>
              <w:rPr>
                <w:sz w:val="20"/>
                <w:szCs w:val="20"/>
                <w:color w:val="auto"/>
              </w:rPr>
            </w:pPr>
            <w:r>
              <w:rPr>
                <w:rFonts w:ascii="Arial" w:cs="Arial" w:eastAsia="Arial" w:hAnsi="Arial"/>
                <w:sz w:val="18"/>
                <w:szCs w:val="18"/>
                <w:color w:val="auto"/>
              </w:rPr>
              <w:t>Vice President – Investor Relations, Marketing and Communications</w:t>
            </w:r>
          </w:p>
        </w:tc>
        <w:tc>
          <w:tcPr>
            <w:tcW w:w="27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2019-12-07T22:52:09Z</dcterms:created>
  <dcterms:modified xsi:type="dcterms:W3CDTF">2019-12-07T22:52:09Z</dcterms:modified>
</cp:coreProperties>
</file>