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95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80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GOLDMAN NEAL P</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8" w:right="620" w:hanging="8"/>
        <w:spacing w:after="0" w:line="238"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8"/>
        <w:spacing w:after="0"/>
        <w:tabs>
          <w:tab w:leader="none" w:pos="507" w:val="left"/>
          <w:tab w:leader="none" w:pos="20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220" w:space="612"/>
            <w:col w:w="3348"/>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47,506</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47,506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17,577</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27.9</w:t>
            </w: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29,929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47,506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47,506</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8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1"/>
              <w:spacing w:after="0" w:line="143" w:lineRule="exact"/>
              <w:rPr>
                <w:sz w:val="20"/>
                <w:szCs w:val="20"/>
                <w:color w:val="auto"/>
              </w:rPr>
            </w:pPr>
            <w:r>
              <w:rPr>
                <w:rFonts w:ascii="Arial" w:cs="Arial" w:eastAsia="Arial" w:hAnsi="Arial"/>
                <w:sz w:val="13"/>
                <w:szCs w:val="13"/>
                <w:color w:val="0000FF"/>
                <w:w w:val="92"/>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restricted share units ("RSUs") granted on January 4, 2021 pursuant to Issuer's Second Amended and Restated 2019 Equity Incentive Plan (the "2019 EIP"). The RSUs vest on the first anniversary of the date of grant.</w:t>
      </w:r>
    </w:p>
    <w:p>
      <w:pPr>
        <w:spacing w:after="0" w:line="24" w:lineRule="exact"/>
        <w:rPr>
          <w:rFonts w:ascii="Arial" w:cs="Arial" w:eastAsia="Arial" w:hAnsi="Arial"/>
          <w:sz w:val="13"/>
          <w:szCs w:val="13"/>
          <w:color w:val="008000"/>
        </w:rPr>
      </w:pPr>
    </w:p>
    <w:p>
      <w:pPr>
        <w:ind w:left="40" w:right="30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2774"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2022-01-06T15:31:23Z</dcterms:created>
  <dcterms:modified xsi:type="dcterms:W3CDTF">2022-01-06T15:31:23Z</dcterms:modified>
</cp:coreProperties>
</file>