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Weatherford International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par value $0.001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G48833118</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2019</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2"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215900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50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27" w:lineRule="exact"/>
        <w:rPr>
          <w:sz w:val="20"/>
          <w:szCs w:val="20"/>
          <w:color w:val="auto"/>
        </w:rPr>
      </w:pPr>
    </w:p>
    <w:p>
      <w:pPr>
        <w:ind w:left="800" w:right="3820"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800" w:right="470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3" w:lineRule="exact"/>
        <w:rPr>
          <w:rFonts w:ascii="Courier New" w:cs="Courier New" w:eastAsia="Courier New" w:hAnsi="Courier New"/>
          <w:sz w:val="18"/>
          <w:szCs w:val="18"/>
          <w:color w:val="auto"/>
        </w:rPr>
      </w:pPr>
    </w:p>
    <w:p>
      <w:pPr>
        <w:ind w:left="800" w:right="436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3" w:lineRule="exact"/>
        <w:rPr>
          <w:rFonts w:ascii="Courier New" w:cs="Courier New" w:eastAsia="Courier New" w:hAnsi="Courier New"/>
          <w:sz w:val="18"/>
          <w:szCs w:val="18"/>
          <w:color w:val="auto"/>
        </w:rPr>
      </w:pPr>
    </w:p>
    <w:p>
      <w:pPr>
        <w:ind w:left="800" w:right="416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3" w:lineRule="exact"/>
        <w:rPr>
          <w:rFonts w:ascii="Courier New" w:cs="Courier New" w:eastAsia="Courier New" w:hAnsi="Courier New"/>
          <w:sz w:val="18"/>
          <w:szCs w:val="18"/>
          <w:color w:val="auto"/>
        </w:rPr>
      </w:pPr>
    </w:p>
    <w:p>
      <w:pPr>
        <w:ind w:left="800" w:right="260"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17,436,440</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24.9%</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2 of 14</w:t>
      </w:r>
    </w:p>
    <w:p>
      <w:pPr>
        <w:sectPr>
          <w:pgSz w:w="11900" w:h="16838" w:orient="portrait"/>
          <w:cols w:equalWidth="0" w:num="2">
            <w:col w:w="7600" w:space="720"/>
            <w:col w:w="1599"/>
          </w:cols>
          <w:pgMar w:left="540" w:top="64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14" w:lineRule="exact"/>
        <w:rPr>
          <w:sz w:val="20"/>
          <w:szCs w:val="20"/>
          <w:color w:val="auto"/>
        </w:rPr>
      </w:pPr>
    </w:p>
    <w:p>
      <w:pPr>
        <w:ind w:left="800" w:right="3820" w:hanging="592"/>
        <w:spacing w:after="0" w:line="554"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54"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47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43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41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17,436,440</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24.9%</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3 of 14</w:t>
      </w:r>
    </w:p>
    <w:p>
      <w:pPr>
        <w:sectPr>
          <w:pgSz w:w="11900" w:h="16838" w:orient="portrait"/>
          <w:cols w:equalWidth="0" w:num="2">
            <w:col w:w="7600" w:space="720"/>
            <w:col w:w="1599"/>
          </w:cols>
          <w:pgMar w:left="540" w:top="636" w:right="1440" w:bottom="1440" w:gutter="0" w:footer="0" w:header="0"/>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139" w:hanging="592"/>
        <w:spacing w:after="0" w:line="554"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54"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70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5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17,436,440</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24.9%</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13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5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17,436,440</w:t>
      </w:r>
    </w:p>
    <w:p>
      <w:pPr>
        <w:spacing w:after="0" w:line="3" w:lineRule="exact"/>
        <w:rPr>
          <w:rFonts w:ascii="Courier New" w:cs="Courier New" w:eastAsia="Courier New" w:hAnsi="Courier New"/>
          <w:sz w:val="18"/>
          <w:szCs w:val="18"/>
          <w:color w:val="auto"/>
        </w:rPr>
      </w:pPr>
    </w:p>
    <w:p>
      <w:pPr>
        <w:ind w:left="800" w:right="701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679" w:hanging="592"/>
        <w:spacing w:after="0" w:line="55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17,436,440</w:t>
      </w:r>
    </w:p>
    <w:p>
      <w:pPr>
        <w:spacing w:after="0" w:line="3" w:lineRule="exact"/>
        <w:rPr>
          <w:rFonts w:ascii="Courier New" w:cs="Courier New" w:eastAsia="Courier New" w:hAnsi="Courier New"/>
          <w:sz w:val="18"/>
          <w:szCs w:val="18"/>
          <w:color w:val="auto"/>
        </w:rPr>
      </w:pPr>
    </w:p>
    <w:p>
      <w:pPr>
        <w:ind w:left="800" w:right="647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57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17,436,440</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24.9%</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Weatherford International plc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2000 St. James Place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Houston, TX 77056</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8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200" w:lineRule="exact"/>
        <w:rPr>
          <w:rFonts w:ascii="Courier New" w:cs="Courier New" w:eastAsia="Courier New" w:hAnsi="Courier New"/>
          <w:sz w:val="18"/>
          <w:szCs w:val="18"/>
          <w:color w:val="auto"/>
        </w:rPr>
      </w:pPr>
    </w:p>
    <w:p>
      <w:pPr>
        <w:spacing w:after="0" w:line="32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par value $0.001 per share</w:t>
      </w:r>
    </w:p>
    <w:p>
      <w:pPr>
        <w:spacing w:after="0" w:line="244" w:lineRule="exact"/>
        <w:rPr>
          <w:sz w:val="20"/>
          <w:szCs w:val="20"/>
          <w:color w:val="auto"/>
        </w:rPr>
      </w:pPr>
    </w:p>
    <w:p>
      <w:pPr>
        <w:ind w:left="800" w:right="7759" w:hanging="592"/>
        <w:spacing w:after="0" w:line="538" w:lineRule="auto"/>
        <w:tabs>
          <w:tab w:leader="none" w:pos="8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52705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3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84" w:lineRule="exact"/>
        <w:rPr>
          <w:sz w:val="20"/>
          <w:szCs w:val="20"/>
          <w:color w:val="auto"/>
        </w:rPr>
      </w:pPr>
    </w:p>
    <w:p>
      <w:pPr>
        <w:ind w:left="900" w:right="90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94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84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920" w:hanging="792"/>
        <w:spacing w:after="0" w:line="215"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740" w:hanging="792"/>
        <w:spacing w:after="0" w:line="267" w:lineRule="auto"/>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800" w:hanging="792"/>
        <w:spacing w:after="0" w:line="221"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96"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left="200" w:right="36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71" w:lineRule="exact"/>
        <w:rPr>
          <w:sz w:val="20"/>
          <w:szCs w:val="20"/>
          <w:color w:val="auto"/>
        </w:rPr>
      </w:pPr>
    </w:p>
    <w:p>
      <w:pPr>
        <w:ind w:left="200"/>
        <w:spacing w:after="0" w:line="222"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and Benefit Street Partners LLC (“BSP”), a 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w:t>
      </w:r>
    </w:p>
    <w:p>
      <w:pPr>
        <w:spacing w:after="0" w:line="16" w:lineRule="exact"/>
        <w:rPr>
          <w:sz w:val="20"/>
          <w:szCs w:val="20"/>
          <w:color w:val="auto"/>
        </w:rPr>
      </w:pPr>
    </w:p>
    <w:p>
      <w:pPr>
        <w:ind w:left="240" w:right="100"/>
        <w:spacing w:after="0" w:line="253" w:lineRule="auto"/>
        <w:rPr>
          <w:sz w:val="20"/>
          <w:szCs w:val="20"/>
          <w:color w:val="auto"/>
        </w:rPr>
      </w:pPr>
      <w:r>
        <w:rPr>
          <w:rFonts w:ascii="Courier New" w:cs="Courier New" w:eastAsia="Courier New" w:hAnsi="Courier New"/>
          <w:sz w:val="18"/>
          <w:szCs w:val="18"/>
          <w:color w:val="auto"/>
        </w:rPr>
        <w:t>and BSP are collectively, “FRI affiliates”). Furthermore, internal policies and procedures of FMA, BSP and FRI establish informational barriers that prevent the flow among FMA, BSP and the FRI affiliates of information that relates to the voting and investment powers over the securities owned by their respective management clients.</w:t>
      </w:r>
    </w:p>
    <w:p>
      <w:pPr>
        <w:sectPr>
          <w:pgSz w:w="11900" w:h="16838" w:orient="portrait"/>
          <w:cols w:equalWidth="0" w:num="1">
            <w:col w:w="10180"/>
          </w:cols>
          <w:pgMar w:left="540" w:top="663" w:right="1179" w:bottom="0" w:gutter="0" w:footer="0" w:header="0"/>
        </w:sectPr>
      </w:pPr>
    </w:p>
    <w:bookmarkStart w:id="7" w:name="page8"/>
    <w:bookmarkEnd w:id="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287" w:lineRule="exact"/>
        <w:rPr>
          <w:sz w:val="20"/>
          <w:szCs w:val="20"/>
          <w:color w:val="auto"/>
        </w:rPr>
      </w:pPr>
    </w:p>
    <w:p>
      <w:pPr>
        <w:ind w:left="240" w:hanging="39"/>
        <w:spacing w:after="0" w:line="252" w:lineRule="auto"/>
        <w:rPr>
          <w:sz w:val="20"/>
          <w:szCs w:val="20"/>
          <w:color w:val="auto"/>
        </w:rPr>
      </w:pPr>
      <w:r>
        <w:rPr>
          <w:rFonts w:ascii="Courier New" w:cs="Courier New" w:eastAsia="Courier New" w:hAnsi="Courier New"/>
          <w:sz w:val="18"/>
          <w:szCs w:val="18"/>
          <w:color w:val="auto"/>
        </w:rPr>
        <w:t>Consequently, FMA and BSP report the securities over which they hold investment and voting power separately from the FRI affiliates for purposes of Section 13 of the Act.</w:t>
      </w:r>
    </w:p>
    <w:p>
      <w:pPr>
        <w:spacing w:after="0" w:line="261" w:lineRule="exact"/>
        <w:rPr>
          <w:sz w:val="20"/>
          <w:szCs w:val="20"/>
          <w:color w:val="auto"/>
        </w:rPr>
      </w:pPr>
    </w:p>
    <w:p>
      <w:pPr>
        <w:jc w:val="both"/>
        <w:ind w:left="200" w:right="200"/>
        <w:spacing w:after="0" w:line="269"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3" w:lineRule="exact"/>
        <w:rPr>
          <w:sz w:val="20"/>
          <w:szCs w:val="20"/>
          <w:color w:val="auto"/>
        </w:rPr>
      </w:pPr>
    </w:p>
    <w:p>
      <w:pPr>
        <w:ind w:left="200" w:right="100"/>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304" w:lineRule="exact"/>
        <w:rPr>
          <w:sz w:val="20"/>
          <w:szCs w:val="20"/>
          <w:color w:val="auto"/>
        </w:rPr>
      </w:pPr>
    </w:p>
    <w:p>
      <w:pPr>
        <w:ind w:left="200" w:right="100"/>
        <w:spacing w:after="0" w:line="229"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7" w:lineRule="exact"/>
        <w:rPr>
          <w:sz w:val="20"/>
          <w:szCs w:val="20"/>
          <w:color w:val="auto"/>
        </w:rPr>
      </w:pPr>
    </w:p>
    <w:p>
      <w:pPr>
        <w:ind w:left="1400" w:right="5660" w:hanging="592"/>
        <w:spacing w:after="0" w:line="532" w:lineRule="auto"/>
        <w:tabs>
          <w:tab w:leader="none" w:pos="14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17,436,440</w:t>
      </w:r>
    </w:p>
    <w:p>
      <w:pPr>
        <w:ind w:left="1460" w:hanging="652"/>
        <w:spacing w:after="0"/>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24.9%</w:t>
      </w:r>
    </w:p>
    <w:p>
      <w:pPr>
        <w:spacing w:after="0" w:line="242" w:lineRule="exact"/>
        <w:rPr>
          <w:sz w:val="20"/>
          <w:szCs w:val="20"/>
          <w:color w:val="auto"/>
        </w:rPr>
      </w:pPr>
    </w:p>
    <w:p>
      <w:pPr>
        <w:ind w:left="1460" w:hanging="652"/>
        <w:spacing w:after="0"/>
        <w:tabs>
          <w:tab w:leader="none" w:pos="14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5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5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45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17,436,440</w:t>
            </w:r>
          </w:p>
        </w:tc>
      </w:tr>
    </w:tbl>
    <w:p>
      <w:pPr>
        <w:spacing w:after="0" w:line="244" w:lineRule="exact"/>
        <w:rPr>
          <w:sz w:val="20"/>
          <w:szCs w:val="20"/>
          <w:color w:val="auto"/>
        </w:rPr>
      </w:pPr>
    </w:p>
    <w:p>
      <w:pPr>
        <w:ind w:left="1700" w:right="3620" w:hanging="592"/>
        <w:spacing w:after="0" w:line="554" w:lineRule="auto"/>
        <w:tabs>
          <w:tab w:leader="none" w:pos="17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207010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20"/>
          </w:cols>
          <w:pgMar w:left="540" w:top="636" w:right="1439" w:bottom="1440" w:gutter="0" w:footer="0" w:header="0"/>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760" w:hanging="752"/>
        <w:spacing w:after="0"/>
        <w:tabs>
          <w:tab w:leader="none" w:pos="17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5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5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450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17,436,440</w:t>
            </w:r>
          </w:p>
        </w:tc>
      </w:tr>
    </w:tbl>
    <w:p>
      <w:pPr>
        <w:spacing w:after="0" w:line="282" w:lineRule="exact"/>
        <w:rPr>
          <w:sz w:val="20"/>
          <w:szCs w:val="20"/>
          <w:color w:val="auto"/>
        </w:rPr>
      </w:pPr>
    </w:p>
    <w:p>
      <w:pPr>
        <w:ind w:left="1820" w:hanging="762"/>
        <w:spacing w:after="0"/>
        <w:tabs>
          <w:tab w:leader="none" w:pos="18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4"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73"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Franklin Income Fund, a series of Franklin Custodian Funds, an</w:t>
      </w:r>
    </w:p>
    <w:p>
      <w:pPr>
        <w:spacing w:after="0" w:line="41" w:lineRule="exact"/>
        <w:rPr>
          <w:sz w:val="20"/>
          <w:szCs w:val="20"/>
          <w:color w:val="auto"/>
        </w:rPr>
      </w:pPr>
    </w:p>
    <w:p>
      <w:pPr>
        <w:ind w:left="1100" w:right="719"/>
        <w:spacing w:after="0" w:line="269" w:lineRule="auto"/>
        <w:rPr>
          <w:sz w:val="20"/>
          <w:szCs w:val="20"/>
          <w:color w:val="auto"/>
        </w:rPr>
      </w:pPr>
      <w:r>
        <w:rPr>
          <w:rFonts w:ascii="Courier New" w:cs="Courier New" w:eastAsia="Courier New" w:hAnsi="Courier New"/>
          <w:sz w:val="18"/>
          <w:szCs w:val="18"/>
          <w:color w:val="auto"/>
        </w:rPr>
        <w:t>investment company registered under the Investment Company Act of 1940, has an interest in 15,056,029 shares, or 21.5%, of the class of securities reported herein.</w:t>
      </w:r>
    </w:p>
    <w:p>
      <w:pPr>
        <w:spacing w:after="0" w:line="200" w:lineRule="exact"/>
        <w:rPr>
          <w:sz w:val="20"/>
          <w:szCs w:val="20"/>
          <w:color w:val="auto"/>
        </w:rPr>
      </w:pPr>
    </w:p>
    <w:p>
      <w:pPr>
        <w:spacing w:after="0" w:line="289" w:lineRule="exact"/>
        <w:rPr>
          <w:sz w:val="20"/>
          <w:szCs w:val="20"/>
          <w:color w:val="auto"/>
        </w:rPr>
      </w:pPr>
    </w:p>
    <w:p>
      <w:pPr>
        <w:ind w:left="1100" w:right="117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7"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36"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2"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4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8, 2020</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ind w:left="2240"/>
        <w:spacing w:after="0"/>
        <w:rPr>
          <w:sz w:val="20"/>
          <w:szCs w:val="20"/>
          <w:color w:val="auto"/>
        </w:rPr>
      </w:pPr>
      <w:r>
        <w:rPr>
          <w:rFonts w:ascii="Courier New" w:cs="Courier New" w:eastAsia="Courier New" w:hAnsi="Courier New"/>
          <w:sz w:val="18"/>
          <w:szCs w:val="18"/>
          <w:color w:val="auto"/>
        </w:rPr>
        <w:t>Franklin Income Fund</w:t>
      </w:r>
    </w:p>
    <w:p>
      <w:pPr>
        <w:spacing w:after="0" w:line="30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311"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3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49"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 WITNESS WHEREOF, the undersigned have executed this agreement on January 8, 2020.</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26" w:lineRule="exact"/>
        <w:rPr>
          <w:sz w:val="20"/>
          <w:szCs w:val="20"/>
          <w:color w:val="auto"/>
        </w:rPr>
      </w:pPr>
    </w:p>
    <w:p>
      <w:pPr>
        <w:ind w:left="2240"/>
        <w:spacing w:after="0"/>
        <w:rPr>
          <w:sz w:val="20"/>
          <w:szCs w:val="20"/>
          <w:color w:val="auto"/>
        </w:rPr>
      </w:pPr>
      <w:r>
        <w:rPr>
          <w:rFonts w:ascii="Courier New" w:cs="Courier New" w:eastAsia="Courier New" w:hAnsi="Courier New"/>
          <w:sz w:val="18"/>
          <w:szCs w:val="18"/>
          <w:color w:val="auto"/>
        </w:rPr>
        <w:t>Franklin Income Fund</w:t>
      </w:r>
    </w:p>
    <w:p>
      <w:pPr>
        <w:spacing w:after="0" w:line="30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311"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30"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231140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36" w:right="1440" w:bottom="1440" w:gutter="0" w:footer="0" w:header="0"/>
          <w:type w:val="continuous"/>
        </w:sectPr>
      </w:pPr>
    </w:p>
    <w:bookmarkStart w:id="12" w:name="page13"/>
    <w:bookmarkEnd w:id="12"/>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269"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EXHIBIT B</w:t>
      </w:r>
    </w:p>
    <w:p>
      <w:pPr>
        <w:spacing w:after="0" w:line="1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LIMITED POWER OF ATTORNEY</w:t>
      </w:r>
    </w:p>
    <w:p>
      <w:pPr>
        <w:jc w:val="center"/>
        <w:ind w:right="-79"/>
        <w:spacing w:after="0" w:line="238" w:lineRule="auto"/>
        <w:rPr>
          <w:sz w:val="20"/>
          <w:szCs w:val="20"/>
          <w:color w:val="auto"/>
        </w:rPr>
      </w:pPr>
      <w:r>
        <w:rPr>
          <w:rFonts w:ascii="Courier New" w:cs="Courier New" w:eastAsia="Courier New" w:hAnsi="Courier New"/>
          <w:sz w:val="18"/>
          <w:szCs w:val="18"/>
          <w:color w:val="auto"/>
        </w:rPr>
        <w:t>FOR SECTION 13 AND 16 REPORTING OBLIGATIONS</w:t>
      </w:r>
    </w:p>
    <w:p>
      <w:pPr>
        <w:spacing w:after="0" w:line="244"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9" w:lineRule="exact"/>
        <w:rPr>
          <w:sz w:val="20"/>
          <w:szCs w:val="20"/>
          <w:color w:val="auto"/>
        </w:rPr>
      </w:pPr>
    </w:p>
    <w:p>
      <w:pPr>
        <w:ind w:right="100"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w:t>
      </w:r>
    </w:p>
    <w:p>
      <w:pPr>
        <w:spacing w:after="0" w:line="3" w:lineRule="exact"/>
        <w:rPr>
          <w:rFonts w:ascii="Courier New" w:cs="Courier New" w:eastAsia="Courier New" w:hAnsi="Courier New"/>
          <w:sz w:val="18"/>
          <w:szCs w:val="18"/>
          <w:color w:val="auto"/>
        </w:rPr>
      </w:pPr>
    </w:p>
    <w:p>
      <w:pPr>
        <w:ind w:right="320"/>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47"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100" w:firstLine="548"/>
        <w:spacing w:after="0" w:line="252"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4" w:lineRule="exact"/>
        <w:rPr>
          <w:sz w:val="20"/>
          <w:szCs w:val="20"/>
          <w:color w:val="auto"/>
        </w:rPr>
      </w:pPr>
    </w:p>
    <w:p>
      <w:pPr>
        <w:ind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7"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8"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4" w:lineRule="exact"/>
        <w:rPr>
          <w:sz w:val="20"/>
          <w:szCs w:val="20"/>
          <w:color w:val="auto"/>
        </w:rPr>
      </w:pPr>
    </w:p>
    <w:p>
      <w:pPr>
        <w:ind w:right="200" w:firstLine="540"/>
        <w:spacing w:after="0" w:line="220"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14</w:t>
      </w:r>
      <w:r>
        <w:rPr>
          <w:rFonts w:ascii="Courier New" w:cs="Courier New" w:eastAsia="Courier New" w:hAnsi="Courier New"/>
          <w:sz w:val="30"/>
          <w:szCs w:val="30"/>
          <w:color w:val="auto"/>
          <w:vertAlign w:val="superscript"/>
        </w:rPr>
        <w:t>th</w:t>
      </w:r>
      <w:r>
        <w:rPr>
          <w:rFonts w:ascii="Courier New" w:cs="Courier New" w:eastAsia="Courier New" w:hAnsi="Courier New"/>
          <w:sz w:val="18"/>
          <w:szCs w:val="18"/>
          <w:color w:val="auto"/>
        </w:rPr>
        <w:t xml:space="preserve"> day of January, 2019.</w:t>
      </w:r>
    </w:p>
    <w:p>
      <w:pPr>
        <w:ind w:left="68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1"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36" w:right="319" w:bottom="1440" w:gutter="0" w:footer="0" w:header="0"/>
        </w:sectPr>
      </w:pPr>
    </w:p>
    <w:bookmarkStart w:id="13" w:name="page14"/>
    <w:bookmarkEnd w:id="13"/>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462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57"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9" w:lineRule="exact"/>
        <w:rPr>
          <w:sz w:val="20"/>
          <w:szCs w:val="20"/>
          <w:color w:val="auto"/>
        </w:rPr>
      </w:pPr>
    </w:p>
    <w:p>
      <w:pPr>
        <w:ind w:right="100" w:firstLine="548"/>
        <w:spacing w:after="0" w:line="253"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w:t>
      </w:r>
    </w:p>
    <w:p>
      <w:pPr>
        <w:spacing w:after="0" w:line="3" w:lineRule="exact"/>
        <w:rPr>
          <w:rFonts w:ascii="Courier New" w:cs="Courier New" w:eastAsia="Courier New" w:hAnsi="Courier New"/>
          <w:sz w:val="18"/>
          <w:szCs w:val="18"/>
          <w:color w:val="auto"/>
        </w:rPr>
      </w:pPr>
    </w:p>
    <w:p>
      <w:pPr>
        <w:ind w:right="320"/>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47"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100" w:firstLine="548"/>
        <w:spacing w:after="0" w:line="252" w:lineRule="auto"/>
        <w:tabs>
          <w:tab w:leader="none" w:pos="8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7"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8"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4" w:lineRule="exact"/>
        <w:rPr>
          <w:sz w:val="20"/>
          <w:szCs w:val="20"/>
          <w:color w:val="auto"/>
        </w:rPr>
      </w:pPr>
    </w:p>
    <w:p>
      <w:pPr>
        <w:ind w:right="200" w:firstLine="540"/>
        <w:spacing w:after="0" w:line="220"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11</w:t>
      </w:r>
      <w:r>
        <w:rPr>
          <w:rFonts w:ascii="Courier New" w:cs="Courier New" w:eastAsia="Courier New" w:hAnsi="Courier New"/>
          <w:sz w:val="30"/>
          <w:szCs w:val="30"/>
          <w:color w:val="auto"/>
          <w:vertAlign w:val="superscript"/>
        </w:rPr>
        <w:t>th</w:t>
      </w:r>
      <w:r>
        <w:rPr>
          <w:rFonts w:ascii="Courier New" w:cs="Courier New" w:eastAsia="Courier New" w:hAnsi="Courier New"/>
          <w:sz w:val="18"/>
          <w:szCs w:val="18"/>
          <w:color w:val="auto"/>
        </w:rPr>
        <w:t xml:space="preserve"> day of January, 2019.</w:t>
      </w:r>
    </w:p>
    <w:p>
      <w:pPr>
        <w:ind w:left="64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1"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36" w:right="319" w:bottom="1440" w:gutter="0" w:footer="0" w:header="0"/>
        </w:sectPr>
      </w:pPr>
    </w:p>
    <w:bookmarkStart w:id="14" w:name="page15"/>
    <w:bookmarkEnd w:id="1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63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919"/>
      </w:cols>
      <w:pgMar w:left="54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lvl w:ilvl="1">
      <w:lvlJc w:val="left"/>
      <w:lvlText w:val="(%2)"/>
      <w:numFmt w:val="lowerLetter"/>
      <w:start w:val="2"/>
    </w:lvl>
  </w:abstractNum>
  <w:abstractNum w:abstractNumId="8">
    <w:nsid w:val="8EDBDAB"/>
    <w:multiLevelType w:val="hybridMultilevel"/>
    <w:lvl w:ilvl="0">
      <w:lvlJc w:val="left"/>
      <w:lvlText w:val="%1."/>
      <w:numFmt w:val="decimal"/>
      <w:start w:val="3"/>
    </w:lvl>
    <w:lvl w:ilvl="1">
      <w:lvlJc w:val="left"/>
      <w:lvlText w:val="%2"/>
      <w:numFmt w:val="lowerLetter"/>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lvl w:ilvl="1">
      <w:lvlJc w:val="left"/>
      <w:lvlText w:val="(%2)"/>
      <w:numFmt w:val="lowerLetter"/>
      <w:start w:val="2"/>
    </w:lvl>
  </w:abstractNum>
  <w:abstractNum w:abstractNumId="13">
    <w:nsid w:val="54E49EB4"/>
    <w:multiLevelType w:val="hybridMultilevel"/>
    <w:lvl w:ilvl="0">
      <w:lvlJc w:val="left"/>
      <w:lvlText w:val="%1."/>
      <w:numFmt w:val="decimal"/>
      <w:start w:val="3"/>
    </w:lvl>
    <w:lvl w:ilvl="1">
      <w:lvlJc w:val="left"/>
      <w:lvlText w:val="%2"/>
      <w:numFmt w:val="lowerLetter"/>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lvl w:ilvl="1">
      <w:lvlJc w:val="left"/>
      <w:lvlText w:val="(%2)"/>
      <w:numFmt w:val="lowerLetter"/>
      <w:start w:val="2"/>
    </w:lvl>
  </w:abstractNum>
  <w:abstractNum w:abstractNumId="18">
    <w:nsid w:val="3A95F874"/>
    <w:multiLevelType w:val="hybridMultilevel"/>
    <w:lvl w:ilvl="0">
      <w:lvlJc w:val="left"/>
      <w:lvlText w:val="%1."/>
      <w:numFmt w:val="decimal"/>
      <w:start w:val="3"/>
    </w:lvl>
    <w:lvl w:ilvl="1">
      <w:lvlJc w:val="left"/>
      <w:lvlText w:val="%2"/>
      <w:numFmt w:val="lowerLetter"/>
      <w:start w:val="1"/>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lowerLetter"/>
      <w:start w:val="1"/>
    </w:lvl>
    <w:lvl w:ilvl="1">
      <w:lvlJc w:val="left"/>
      <w:lvlText w:val="(%2)"/>
      <w:numFmt w:val="lowerLetter"/>
      <w:start w:val="35"/>
    </w:lvl>
  </w:abstractNum>
  <w:abstractNum w:abstractNumId="27">
    <w:nsid w:val="614FD4A1"/>
    <w:multiLevelType w:val="hybridMultilevel"/>
    <w:lvl w:ilvl="0">
      <w:lvlJc w:val="left"/>
      <w:lvlText w:val="(%1)"/>
      <w:numFmt w:val="lowerLetter"/>
      <w:start w:val="4"/>
    </w:lvl>
    <w:lvl w:ilvl="1">
      <w:lvlJc w:val="left"/>
      <w:lvlText w:val="%2"/>
      <w:numFmt w:val="lowerLetter"/>
      <w:start w:val="1"/>
    </w:lvl>
  </w:abstractNum>
  <w:abstractNum w:abstractNumId="28">
    <w:nsid w:val="419AC241"/>
    <w:multiLevelType w:val="hybridMultilevel"/>
    <w:lvl w:ilvl="0">
      <w:lvlJc w:val="left"/>
      <w:lvlText w:val="(%1)"/>
      <w:numFmt w:val="lowerLetter"/>
      <w:start w:val="5"/>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7"/>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lowerRoman"/>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2020-01-09T15:37:19Z</dcterms:created>
  <dcterms:modified xsi:type="dcterms:W3CDTF">2020-01-09T15:37:19Z</dcterms:modified>
</cp:coreProperties>
</file>