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333-194431</w:t>
      </w:r>
    </w:p>
    <w:p>
      <w:pPr>
        <w:spacing w:after="0" w:line="141" w:lineRule="exact"/>
        <w:rPr>
          <w:sz w:val="24"/>
          <w:szCs w:val="24"/>
          <w:color w:val="auto"/>
        </w:rPr>
      </w:pPr>
    </w:p>
    <w:p>
      <w:pPr>
        <w:ind w:right="160"/>
        <w:spacing w:after="0" w:line="244" w:lineRule="auto"/>
        <w:rPr>
          <w:sz w:val="20"/>
          <w:szCs w:val="20"/>
          <w:color w:val="auto"/>
        </w:rPr>
      </w:pPr>
      <w:r>
        <w:rPr>
          <w:rFonts w:ascii="Arial" w:cs="Arial" w:eastAsia="Arial" w:hAnsi="Arial"/>
          <w:sz w:val="18"/>
          <w:szCs w:val="18"/>
          <w:b w:val="1"/>
          <w:bCs w:val="1"/>
          <w:color w:val="DE1A1E"/>
        </w:rPr>
        <w:t>This preliminary prospectus supplement and the accompanying prospectus relate to an effective registration statement filed with the Securities and Exchange Commission, but is not complete and may be changed. This preliminary prospectus supplement and the accompanying prospectus are not an offer to sell the securities described herein, and are not soliciting an offer to buy such securities, in any state or jurisdiction where such offer or sale is not permitted.</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DE1A1E"/>
        </w:rPr>
        <w:t>SUBJECT TO COMPLETION, DATED SEPTEMBER 21, 2015</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June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-7620</wp:posOffset>
            </wp:positionV>
            <wp:extent cx="139763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Weatherford International Ltd.</w:t>
      </w:r>
    </w:p>
    <w:p>
      <w:pPr>
        <w:spacing w:after="0" w:line="48" w:lineRule="exact"/>
        <w:rPr>
          <w:sz w:val="24"/>
          <w:szCs w:val="24"/>
          <w:color w:val="auto"/>
        </w:rPr>
      </w:pPr>
    </w:p>
    <w:p>
      <w:pPr>
        <w:ind w:left="5280"/>
        <w:spacing w:after="0"/>
        <w:rPr>
          <w:sz w:val="20"/>
          <w:szCs w:val="20"/>
          <w:color w:val="auto"/>
        </w:rPr>
      </w:pPr>
      <w:r>
        <w:rPr>
          <w:rFonts w:ascii="Arial" w:cs="Arial" w:eastAsia="Arial" w:hAnsi="Arial"/>
          <w:sz w:val="24"/>
          <w:szCs w:val="24"/>
          <w:b w:val="1"/>
          <w:bCs w:val="1"/>
          <w:color w:val="auto"/>
        </w:rPr>
        <w:t>$</w:t>
      </w:r>
    </w:p>
    <w:p>
      <w:pPr>
        <w:spacing w:after="0" w:line="8" w:lineRule="exact"/>
        <w:rPr>
          <w:sz w:val="24"/>
          <w:szCs w:val="24"/>
          <w:color w:val="auto"/>
        </w:rPr>
      </w:pPr>
    </w:p>
    <w:p>
      <w:pPr>
        <w:ind w:left="2800"/>
        <w:spacing w:after="0"/>
        <w:rPr>
          <w:sz w:val="20"/>
          <w:szCs w:val="20"/>
          <w:color w:val="auto"/>
        </w:rPr>
      </w:pPr>
      <w:r>
        <w:rPr>
          <w:rFonts w:ascii="Arial" w:cs="Arial" w:eastAsia="Arial" w:hAnsi="Arial"/>
          <w:sz w:val="24"/>
          <w:szCs w:val="24"/>
          <w:b w:val="1"/>
          <w:bCs w:val="1"/>
          <w:color w:val="auto"/>
        </w:rPr>
        <w:t>% Mandatory Exchangeable Subordinated Notes due 2018</w:t>
      </w:r>
    </w:p>
    <w:p>
      <w:pPr>
        <w:ind w:left="3820"/>
        <w:spacing w:after="0" w:line="235" w:lineRule="auto"/>
        <w:rPr>
          <w:sz w:val="20"/>
          <w:szCs w:val="20"/>
          <w:color w:val="auto"/>
        </w:rPr>
      </w:pPr>
      <w:r>
        <w:rPr>
          <w:rFonts w:ascii="Arial" w:cs="Arial" w:eastAsia="Arial" w:hAnsi="Arial"/>
          <w:sz w:val="14"/>
          <w:szCs w:val="14"/>
          <w:color w:val="auto"/>
        </w:rPr>
        <w:t xml:space="preserve">Guaranteed on an unsecured basis by </w:t>
      </w:r>
      <w:r>
        <w:rPr>
          <w:rFonts w:ascii="Arial" w:cs="Arial" w:eastAsia="Arial" w:hAnsi="Arial"/>
          <w:sz w:val="14"/>
          <w:szCs w:val="14"/>
          <w:b w:val="1"/>
          <w:bCs w:val="1"/>
          <w:color w:val="auto"/>
        </w:rPr>
        <w:t>Weatherford International plc</w:t>
      </w:r>
    </w:p>
    <w:p>
      <w:pPr>
        <w:ind w:left="3840"/>
        <w:spacing w:after="0"/>
        <w:rPr>
          <w:sz w:val="20"/>
          <w:szCs w:val="20"/>
          <w:color w:val="auto"/>
        </w:rPr>
      </w:pPr>
      <w:r>
        <w:rPr>
          <w:rFonts w:ascii="Arial" w:cs="Arial" w:eastAsia="Arial" w:hAnsi="Arial"/>
          <w:sz w:val="14"/>
          <w:szCs w:val="14"/>
          <w:color w:val="auto"/>
        </w:rPr>
        <w:t xml:space="preserve">Exchangeable for ordinary shares of </w:t>
      </w:r>
      <w:r>
        <w:rPr>
          <w:rFonts w:ascii="Arial" w:cs="Arial" w:eastAsia="Arial" w:hAnsi="Arial"/>
          <w:sz w:val="14"/>
          <w:szCs w:val="14"/>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43180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77" w:lineRule="exact"/>
        <w:rPr>
          <w:sz w:val="24"/>
          <w:szCs w:val="24"/>
          <w:color w:val="auto"/>
        </w:rPr>
      </w:pPr>
    </w:p>
    <w:p>
      <w:pPr>
        <w:ind w:left="360"/>
        <w:spacing w:after="0"/>
        <w:tabs>
          <w:tab w:leader="none" w:pos="9180" w:val="left"/>
          <w:tab w:leader="none" w:pos="11000" w:val="left"/>
        </w:tabs>
        <w:rPr>
          <w:sz w:val="20"/>
          <w:szCs w:val="20"/>
          <w:color w:val="auto"/>
        </w:rPr>
      </w:pPr>
      <w:r>
        <w:rPr>
          <w:rFonts w:ascii="Arial" w:cs="Arial" w:eastAsia="Arial" w:hAnsi="Arial"/>
          <w:sz w:val="14"/>
          <w:szCs w:val="14"/>
          <w:color w:val="auto"/>
        </w:rPr>
        <w:t>Weatherford International Ltd., a Bermuda exempted company, which, except as otherwise provided herein, we refer to as Weatherford Bermuda, is offering $</w:t>
      </w:r>
      <w:r>
        <w:rPr>
          <w:sz w:val="20"/>
          <w:szCs w:val="20"/>
          <w:color w:val="auto"/>
        </w:rPr>
        <w:tab/>
      </w:r>
      <w:r>
        <w:rPr>
          <w:rFonts w:ascii="Arial" w:cs="Arial" w:eastAsia="Arial" w:hAnsi="Arial"/>
          <w:sz w:val="14"/>
          <w:szCs w:val="14"/>
          <w:color w:val="auto"/>
        </w:rPr>
        <w:t>million principal amount of its</w:t>
      </w:r>
      <w:r>
        <w:rPr>
          <w:sz w:val="20"/>
          <w:szCs w:val="20"/>
          <w:color w:val="auto"/>
        </w:rPr>
        <w:tab/>
      </w:r>
      <w:r>
        <w:rPr>
          <w:rFonts w:ascii="Arial" w:cs="Arial" w:eastAsia="Arial" w:hAnsi="Arial"/>
          <w:sz w:val="12"/>
          <w:szCs w:val="12"/>
          <w:color w:val="auto"/>
        </w:rPr>
        <w:t>%</w:t>
      </w:r>
    </w:p>
    <w:p>
      <w:pPr>
        <w:spacing w:after="0"/>
        <w:tabs>
          <w:tab w:leader="none" w:pos="6620" w:val="left"/>
          <w:tab w:leader="none" w:pos="8200" w:val="left"/>
        </w:tabs>
        <w:rPr>
          <w:sz w:val="20"/>
          <w:szCs w:val="20"/>
          <w:color w:val="auto"/>
        </w:rPr>
      </w:pPr>
      <w:r>
        <w:rPr>
          <w:rFonts w:ascii="Arial" w:cs="Arial" w:eastAsia="Arial" w:hAnsi="Arial"/>
          <w:sz w:val="14"/>
          <w:szCs w:val="14"/>
          <w:color w:val="auto"/>
        </w:rPr>
        <w:t>Mandatory Exchangeable Subordinated Notes due 2018 (the “notes”). The notes will bear cash interest from September</w:t>
        <w:tab/>
        <w:t>, 2015 at an annual rate of</w:t>
      </w:r>
      <w:r>
        <w:rPr>
          <w:sz w:val="20"/>
          <w:szCs w:val="20"/>
          <w:color w:val="auto"/>
        </w:rPr>
        <w:tab/>
      </w:r>
      <w:r>
        <w:rPr>
          <w:rFonts w:ascii="Arial" w:cs="Arial" w:eastAsia="Arial" w:hAnsi="Arial"/>
          <w:sz w:val="12"/>
          <w:szCs w:val="12"/>
          <w:color w:val="auto"/>
        </w:rPr>
        <w:t>%, payable quarterly in arrears on</w:t>
      </w:r>
    </w:p>
    <w:p>
      <w:pPr>
        <w:spacing w:after="0" w:line="221" w:lineRule="auto"/>
        <w:rPr>
          <w:sz w:val="20"/>
          <w:szCs w:val="20"/>
          <w:color w:val="auto"/>
        </w:rPr>
      </w:pPr>
      <w:r>
        <w:rPr>
          <w:rFonts w:ascii="Arial" w:cs="Arial" w:eastAsia="Arial" w:hAnsi="Arial"/>
          <w:sz w:val="14"/>
          <w:szCs w:val="14"/>
          <w:color w:val="auto"/>
        </w:rPr>
        <w:t>January 15, April 15, July 15 and October 15 of each year, beginning on January 15, 2016, subject to our right to defer interest payments as described herein.</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2"/>
          <w:szCs w:val="12"/>
          <w:color w:val="auto"/>
        </w:rPr>
        <w:t>On October 15, 2018, which we refer to as the stated maturity date, each note, unless previously exchanged, will be automatically exchanged into ordinary shares of our parent company, Weatherford</w:t>
      </w:r>
    </w:p>
    <w:p>
      <w:pPr>
        <w:spacing w:after="0"/>
        <w:tabs>
          <w:tab w:leader="none" w:pos="10260" w:val="left"/>
        </w:tabs>
        <w:rPr>
          <w:sz w:val="20"/>
          <w:szCs w:val="20"/>
          <w:color w:val="auto"/>
        </w:rPr>
      </w:pPr>
      <w:r>
        <w:rPr>
          <w:rFonts w:ascii="Arial" w:cs="Arial" w:eastAsia="Arial" w:hAnsi="Arial"/>
          <w:sz w:val="14"/>
          <w:szCs w:val="14"/>
          <w:color w:val="auto"/>
        </w:rPr>
        <w:t>International plc, an Irish public limited company (the “ordinary shares”), which, except as otherwise provided herein, we refer to as Weatherford, at an exchange rate of not less than</w:t>
      </w:r>
      <w:r>
        <w:rPr>
          <w:sz w:val="20"/>
          <w:szCs w:val="20"/>
          <w:color w:val="auto"/>
        </w:rPr>
        <w:tab/>
      </w:r>
      <w:r>
        <w:rPr>
          <w:rFonts w:ascii="Arial" w:cs="Arial" w:eastAsia="Arial" w:hAnsi="Arial"/>
          <w:sz w:val="11"/>
          <w:szCs w:val="11"/>
          <w:color w:val="auto"/>
        </w:rPr>
        <w:t>ordinary shares per</w:t>
      </w:r>
    </w:p>
    <w:p>
      <w:pPr>
        <w:spacing w:after="0"/>
        <w:tabs>
          <w:tab w:leader="none" w:pos="4300" w:val="left"/>
          <w:tab w:leader="none" w:pos="6820" w:val="left"/>
        </w:tabs>
        <w:rPr>
          <w:sz w:val="20"/>
          <w:szCs w:val="20"/>
          <w:color w:val="auto"/>
        </w:rPr>
      </w:pPr>
      <w:r>
        <w:rPr>
          <w:rFonts w:ascii="Arial" w:cs="Arial" w:eastAsia="Arial" w:hAnsi="Arial"/>
          <w:sz w:val="14"/>
          <w:szCs w:val="14"/>
          <w:color w:val="auto"/>
        </w:rPr>
        <w:t>$25 principal amount of notes (equivalent to an initial exchange price of $</w:t>
      </w:r>
      <w:r>
        <w:rPr>
          <w:sz w:val="20"/>
          <w:szCs w:val="20"/>
          <w:color w:val="auto"/>
        </w:rPr>
        <w:tab/>
      </w:r>
      <w:r>
        <w:rPr>
          <w:rFonts w:ascii="Arial" w:cs="Arial" w:eastAsia="Arial" w:hAnsi="Arial"/>
          <w:sz w:val="14"/>
          <w:szCs w:val="14"/>
          <w:color w:val="auto"/>
        </w:rPr>
        <w:t>per ordinary share) and not more than</w:t>
      </w:r>
      <w:r>
        <w:rPr>
          <w:sz w:val="20"/>
          <w:szCs w:val="20"/>
          <w:color w:val="auto"/>
        </w:rPr>
        <w:tab/>
      </w:r>
      <w:r>
        <w:rPr>
          <w:rFonts w:ascii="Arial" w:cs="Arial" w:eastAsia="Arial" w:hAnsi="Arial"/>
          <w:sz w:val="12"/>
          <w:szCs w:val="12"/>
          <w:color w:val="auto"/>
        </w:rPr>
        <w:t>ordinary shares per $25 principal amount of notes (equivalent to an initial exchange</w:t>
      </w:r>
    </w:p>
    <w:p>
      <w:pPr>
        <w:spacing w:after="0"/>
        <w:tabs>
          <w:tab w:leader="none" w:pos="800" w:val="left"/>
        </w:tabs>
        <w:rPr>
          <w:sz w:val="20"/>
          <w:szCs w:val="20"/>
          <w:color w:val="auto"/>
        </w:rPr>
      </w:pPr>
      <w:r>
        <w:rPr>
          <w:rFonts w:ascii="Arial" w:cs="Arial" w:eastAsia="Arial" w:hAnsi="Arial"/>
          <w:sz w:val="14"/>
          <w:szCs w:val="14"/>
          <w:color w:val="auto"/>
        </w:rPr>
        <w:t>price of $</w:t>
      </w:r>
      <w:r>
        <w:rPr>
          <w:sz w:val="20"/>
          <w:szCs w:val="20"/>
          <w:color w:val="auto"/>
        </w:rPr>
        <w:tab/>
      </w:r>
      <w:r>
        <w:rPr>
          <w:rFonts w:ascii="Arial" w:cs="Arial" w:eastAsia="Arial" w:hAnsi="Arial"/>
          <w:sz w:val="12"/>
          <w:szCs w:val="12"/>
          <w:color w:val="auto"/>
        </w:rPr>
        <w:t>per ordinary share), depending on the applicable market value of the ordinary shares as described herein, subject in each case to adjustment. At any time prior to the close of business on the stated</w:t>
      </w:r>
    </w:p>
    <w:p>
      <w:pPr>
        <w:spacing w:after="0"/>
        <w:tabs>
          <w:tab w:leader="none" w:pos="6880" w:val="left"/>
        </w:tabs>
        <w:rPr>
          <w:sz w:val="20"/>
          <w:szCs w:val="20"/>
          <w:color w:val="auto"/>
        </w:rPr>
      </w:pPr>
      <w:r>
        <w:rPr>
          <w:rFonts w:ascii="Arial" w:cs="Arial" w:eastAsia="Arial" w:hAnsi="Arial"/>
          <w:sz w:val="14"/>
          <w:szCs w:val="14"/>
          <w:color w:val="auto"/>
        </w:rPr>
        <w:t>maturity date, holders may exchange the notes, in whole or in part, into ordinary shares initially at the exchange rate of</w:t>
      </w:r>
      <w:r>
        <w:rPr>
          <w:sz w:val="20"/>
          <w:szCs w:val="20"/>
          <w:color w:val="auto"/>
        </w:rPr>
        <w:tab/>
      </w:r>
      <w:r>
        <w:rPr>
          <w:rFonts w:ascii="Arial" w:cs="Arial" w:eastAsia="Arial" w:hAnsi="Arial"/>
          <w:sz w:val="12"/>
          <w:szCs w:val="12"/>
          <w:color w:val="auto"/>
        </w:rPr>
        <w:t>ordinary shares per $25 principal amount of notes (equivalent to an initial</w:t>
      </w:r>
    </w:p>
    <w:p>
      <w:pPr>
        <w:spacing w:after="0"/>
        <w:tabs>
          <w:tab w:leader="none" w:pos="1360" w:val="left"/>
        </w:tabs>
        <w:rPr>
          <w:sz w:val="20"/>
          <w:szCs w:val="20"/>
          <w:color w:val="auto"/>
        </w:rPr>
      </w:pPr>
      <w:r>
        <w:rPr>
          <w:rFonts w:ascii="Arial" w:cs="Arial" w:eastAsia="Arial" w:hAnsi="Arial"/>
          <w:sz w:val="14"/>
          <w:szCs w:val="14"/>
          <w:color w:val="auto"/>
        </w:rPr>
        <w:t>exchange price of $</w:t>
      </w:r>
      <w:r>
        <w:rPr>
          <w:sz w:val="20"/>
          <w:szCs w:val="20"/>
          <w:color w:val="auto"/>
        </w:rPr>
        <w:tab/>
      </w:r>
      <w:r>
        <w:rPr>
          <w:rFonts w:ascii="Arial" w:cs="Arial" w:eastAsia="Arial" w:hAnsi="Arial"/>
          <w:sz w:val="12"/>
          <w:szCs w:val="12"/>
          <w:color w:val="auto"/>
        </w:rPr>
        <w:t>per ordinary share), subject to adjustment. We will deliver cash in lieu of any fractional ordinary shares issuable upon exchange.</w:t>
      </w:r>
    </w:p>
    <w:p>
      <w:pPr>
        <w:ind w:right="140" w:firstLine="342"/>
        <w:spacing w:after="0" w:line="221" w:lineRule="auto"/>
        <w:rPr>
          <w:sz w:val="20"/>
          <w:szCs w:val="20"/>
          <w:color w:val="auto"/>
        </w:rPr>
      </w:pPr>
      <w:r>
        <w:rPr>
          <w:rFonts w:ascii="Arial" w:cs="Arial" w:eastAsia="Arial" w:hAnsi="Arial"/>
          <w:sz w:val="14"/>
          <w:szCs w:val="14"/>
          <w:color w:val="auto"/>
        </w:rPr>
        <w:t>The notes may not be redeemed by Weatherford Bermuda at its option. If Weatherford Bermuda undergoes a fundamental change, holders may exchange the notes into ordinary shares at the fundamental change exchange rate plus the interest make-whole amount as described herein. In addition, in the event of certain tax law changes, we may exchange all notes into ordinary shares at the fundamental change exchange rate plus the interest make-whole amount as described herein.</w:t>
      </w:r>
    </w:p>
    <w:p>
      <w:pPr>
        <w:spacing w:after="0" w:line="1" w:lineRule="exact"/>
        <w:rPr>
          <w:sz w:val="24"/>
          <w:szCs w:val="24"/>
          <w:color w:val="auto"/>
        </w:rPr>
      </w:pPr>
    </w:p>
    <w:p>
      <w:pPr>
        <w:ind w:right="140" w:firstLine="342"/>
        <w:spacing w:after="0" w:line="258" w:lineRule="auto"/>
        <w:rPr>
          <w:sz w:val="20"/>
          <w:szCs w:val="20"/>
          <w:color w:val="auto"/>
        </w:rPr>
      </w:pPr>
      <w:r>
        <w:rPr>
          <w:rFonts w:ascii="Arial" w:cs="Arial" w:eastAsia="Arial" w:hAnsi="Arial"/>
          <w:sz w:val="12"/>
          <w:szCs w:val="12"/>
          <w:color w:val="auto"/>
        </w:rPr>
        <w:t>The notes will be unsecured, subordinated obligations of Weatherford Bermuda. The notes will be fully and unconditionally guaranteed on an unsecured, subordinated basis by Weatherford. Your right to payment under the notes and the guarantee will be junior to the rights of the holders of Weatherford Bermuda’s and Weatherford’s existing and future senior indebtedness, as applicable. Your right to payment under the notes and the guarantee is also structurally subordinated to holders of indebtedness of our subsidiaries. In the event of acceleration of the notes following an event of default, including in connection with certain bankruptcy events, the notes will automatically be exchanged into ordinary shares if permitted by law, and to that extent will cease to represent a debt claim against Weatherford’s or Weatherford</w:t>
      </w:r>
    </w:p>
    <w:p>
      <w:pPr>
        <w:spacing w:after="0" w:line="222" w:lineRule="auto"/>
        <w:rPr>
          <w:sz w:val="20"/>
          <w:szCs w:val="20"/>
          <w:color w:val="auto"/>
        </w:rPr>
      </w:pPr>
      <w:r>
        <w:rPr>
          <w:rFonts w:ascii="Arial" w:cs="Arial" w:eastAsia="Arial" w:hAnsi="Arial"/>
          <w:sz w:val="14"/>
          <w:szCs w:val="14"/>
          <w:color w:val="auto"/>
        </w:rPr>
        <w:t>Bermuda’s assets.</w:t>
      </w:r>
    </w:p>
    <w:p>
      <w:pPr>
        <w:ind w:left="360"/>
        <w:spacing w:after="0"/>
        <w:tabs>
          <w:tab w:leader="none" w:pos="7680" w:val="left"/>
        </w:tabs>
        <w:rPr>
          <w:sz w:val="20"/>
          <w:szCs w:val="20"/>
          <w:color w:val="auto"/>
        </w:rPr>
      </w:pPr>
      <w:r>
        <w:rPr>
          <w:rFonts w:ascii="Arial" w:cs="Arial" w:eastAsia="Arial" w:hAnsi="Arial"/>
          <w:sz w:val="14"/>
          <w:szCs w:val="14"/>
          <w:color w:val="auto"/>
        </w:rPr>
        <w:t>We have granted the underwriters an option to purchase, on the same terms and conditions as set forth below, up to an additional $</w:t>
      </w:r>
      <w:r>
        <w:rPr>
          <w:sz w:val="20"/>
          <w:szCs w:val="20"/>
          <w:color w:val="auto"/>
        </w:rPr>
        <w:tab/>
      </w:r>
      <w:r>
        <w:rPr>
          <w:rFonts w:ascii="Arial" w:cs="Arial" w:eastAsia="Arial" w:hAnsi="Arial"/>
          <w:sz w:val="12"/>
          <w:szCs w:val="12"/>
          <w:color w:val="auto"/>
        </w:rPr>
        <w:t>million aggregate principal amount of notes within 30 days from the</w:t>
      </w:r>
    </w:p>
    <w:p>
      <w:pPr>
        <w:spacing w:after="0" w:line="221" w:lineRule="auto"/>
        <w:rPr>
          <w:sz w:val="20"/>
          <w:szCs w:val="20"/>
          <w:color w:val="auto"/>
        </w:rPr>
      </w:pPr>
      <w:r>
        <w:rPr>
          <w:rFonts w:ascii="Arial" w:cs="Arial" w:eastAsia="Arial" w:hAnsi="Arial"/>
          <w:sz w:val="14"/>
          <w:szCs w:val="14"/>
          <w:color w:val="auto"/>
        </w:rPr>
        <w:t>date of this prospectus supplement, solely to cover over-allotments.</w:t>
      </w:r>
    </w:p>
    <w:p>
      <w:pPr>
        <w:ind w:left="360"/>
        <w:spacing w:after="0"/>
        <w:rPr>
          <w:sz w:val="20"/>
          <w:szCs w:val="20"/>
          <w:color w:val="auto"/>
        </w:rPr>
      </w:pPr>
      <w:r>
        <w:rPr>
          <w:rFonts w:ascii="Arial" w:cs="Arial" w:eastAsia="Arial" w:hAnsi="Arial"/>
          <w:sz w:val="12"/>
          <w:szCs w:val="12"/>
          <w:color w:val="auto"/>
        </w:rPr>
        <w:t>The ordinary shares are listed for trading on the New York Stock Exchange (“NYSE”) under the symbol “WFT.” On September 18, 2015, the last reported sale price of the ordinary shares on the NYSE</w:t>
      </w:r>
    </w:p>
    <w:p>
      <w:pPr>
        <w:spacing w:after="0" w:line="237" w:lineRule="auto"/>
        <w:rPr>
          <w:sz w:val="20"/>
          <w:szCs w:val="20"/>
          <w:color w:val="auto"/>
        </w:rPr>
      </w:pPr>
      <w:r>
        <w:rPr>
          <w:rFonts w:ascii="Arial" w:cs="Arial" w:eastAsia="Arial" w:hAnsi="Arial"/>
          <w:sz w:val="14"/>
          <w:szCs w:val="14"/>
          <w:color w:val="auto"/>
        </w:rPr>
        <w:t>was $10.12 per share. We will apply to list the notes on the NYSE as promptly as practicable following the offering.</w:t>
      </w:r>
    </w:p>
    <w:p>
      <w:pPr>
        <w:ind w:left="360"/>
        <w:spacing w:after="0"/>
        <w:tabs>
          <w:tab w:leader="none" w:pos="6460" w:val="left"/>
          <w:tab w:leader="none" w:pos="7960" w:val="left"/>
        </w:tabs>
        <w:rPr>
          <w:sz w:val="20"/>
          <w:szCs w:val="20"/>
          <w:color w:val="auto"/>
        </w:rPr>
      </w:pPr>
      <w:r>
        <w:rPr>
          <w:rFonts w:ascii="Arial" w:cs="Arial" w:eastAsia="Arial" w:hAnsi="Arial"/>
          <w:sz w:val="14"/>
          <w:szCs w:val="14"/>
          <w:color w:val="auto"/>
        </w:rPr>
        <w:t>Concurrently with this offering of notes, under a separate prospectus supplement, Weatherford is offering</w:t>
      </w:r>
      <w:r>
        <w:rPr>
          <w:sz w:val="20"/>
          <w:szCs w:val="20"/>
          <w:color w:val="auto"/>
        </w:rPr>
        <w:tab/>
      </w:r>
      <w:r>
        <w:rPr>
          <w:rFonts w:ascii="Arial" w:cs="Arial" w:eastAsia="Arial" w:hAnsi="Arial"/>
          <w:sz w:val="14"/>
          <w:szCs w:val="14"/>
          <w:color w:val="auto"/>
        </w:rPr>
        <w:t>ordinary shares (or</w:t>
      </w:r>
      <w:r>
        <w:rPr>
          <w:sz w:val="20"/>
          <w:szCs w:val="20"/>
          <w:color w:val="auto"/>
        </w:rPr>
        <w:tab/>
      </w:r>
      <w:r>
        <w:rPr>
          <w:rFonts w:ascii="Arial" w:cs="Arial" w:eastAsia="Arial" w:hAnsi="Arial"/>
          <w:sz w:val="12"/>
          <w:szCs w:val="12"/>
          <w:color w:val="auto"/>
        </w:rPr>
        <w:t>ordinary shares if the underwriters in that offering exercise in</w:t>
      </w:r>
    </w:p>
    <w:p>
      <w:pPr>
        <w:spacing w:after="0" w:line="277" w:lineRule="auto"/>
        <w:rPr>
          <w:sz w:val="20"/>
          <w:szCs w:val="20"/>
          <w:color w:val="auto"/>
        </w:rPr>
      </w:pPr>
      <w:r>
        <w:rPr>
          <w:rFonts w:ascii="Arial" w:cs="Arial" w:eastAsia="Arial" w:hAnsi="Arial"/>
          <w:sz w:val="12"/>
          <w:szCs w:val="12"/>
          <w:color w:val="auto"/>
        </w:rPr>
        <w:t>full their option to purchase additional ordinary shares with respect to that offering). We cannot give any assurance that the concurrent ordinary share offering will be completed. This offering is not contingent on the completion of the ordinary share offering or any potential acquisition, and the ordinary share offering is not contingent on the completion of this offering. This prospectus supplement is not an offer to sell or a solicitation of an offer to buy such ordinary shares. For more information, see “Prospectus Supplement Summary—About the Ordinary Share Offering”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21590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42" w:lineRule="exact"/>
        <w:rPr>
          <w:sz w:val="24"/>
          <w:szCs w:val="24"/>
          <w:color w:val="auto"/>
        </w:rPr>
      </w:pPr>
    </w:p>
    <w:p>
      <w:pPr>
        <w:ind w:right="680" w:firstLine="456"/>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Before buying our notes, you should read the discussion of material risks described in “</w:t>
      </w:r>
      <w:hyperlink w:anchor="page12">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S-7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43180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83"/>
              </w:rPr>
              <w:t>Per Note</w:t>
            </w:r>
          </w:p>
        </w:tc>
        <w:tc>
          <w:tcPr>
            <w:tcW w:w="52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4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 (1)</w:t>
            </w:r>
          </w:p>
        </w:tc>
        <w:tc>
          <w:tcPr>
            <w:tcW w:w="73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Discount (1)</w:t>
            </w:r>
          </w:p>
        </w:tc>
        <w:tc>
          <w:tcPr>
            <w:tcW w:w="7880" w:type="dxa"/>
            <w:vAlign w:val="bottom"/>
            <w:gridSpan w:val="2"/>
          </w:tcPr>
          <w:p>
            <w:pPr>
              <w:ind w:left="73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8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9"/>
        </w:trPr>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p>
        </w:tc>
        <w:tc>
          <w:tcPr>
            <w:tcW w:w="7880" w:type="dxa"/>
            <w:vAlign w:val="bottom"/>
            <w:gridSpan w:val="2"/>
            <w:shd w:val="clear" w:color="auto" w:fill="CCEEFF"/>
          </w:tcPr>
          <w:p>
            <w:pPr>
              <w:ind w:left="73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8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8980" w:type="dxa"/>
            <w:vAlign w:val="bottom"/>
            <w:gridSpan w:val="5"/>
          </w:tcPr>
          <w:p>
            <w:pPr>
              <w:spacing w:after="0"/>
              <w:rPr>
                <w:sz w:val="9"/>
                <w:szCs w:val="9"/>
                <w:color w:val="auto"/>
              </w:rPr>
            </w:pPr>
          </w:p>
        </w:tc>
      </w:tr>
      <w:tr>
        <w:trPr>
          <w:trHeight w:val="158"/>
        </w:trPr>
        <w:tc>
          <w:tcPr>
            <w:tcW w:w="2440" w:type="dxa"/>
            <w:vAlign w:val="bottom"/>
            <w:gridSpan w:val="2"/>
          </w:tcPr>
          <w:p>
            <w:pPr>
              <w:spacing w:after="0" w:line="158" w:lineRule="exact"/>
              <w:rPr>
                <w:sz w:val="20"/>
                <w:szCs w:val="20"/>
                <w:color w:val="auto"/>
              </w:rPr>
            </w:pPr>
            <w:r>
              <w:rPr>
                <w:rFonts w:ascii="Arial" w:cs="Arial" w:eastAsia="Arial" w:hAnsi="Arial"/>
                <w:sz w:val="14"/>
                <w:szCs w:val="14"/>
                <w:color w:val="auto"/>
                <w:w w:val="91"/>
              </w:rPr>
              <w:t>(1)   Plus accrued interest from September</w:t>
            </w:r>
          </w:p>
        </w:tc>
        <w:tc>
          <w:tcPr>
            <w:tcW w:w="8980" w:type="dxa"/>
            <w:vAlign w:val="bottom"/>
            <w:gridSpan w:val="5"/>
          </w:tcPr>
          <w:p>
            <w:pPr>
              <w:ind w:left="80"/>
              <w:spacing w:after="0" w:line="158" w:lineRule="exact"/>
              <w:rPr>
                <w:sz w:val="20"/>
                <w:szCs w:val="20"/>
                <w:color w:val="auto"/>
              </w:rPr>
            </w:pPr>
            <w:r>
              <w:rPr>
                <w:rFonts w:ascii="Arial" w:cs="Arial" w:eastAsia="Arial" w:hAnsi="Arial"/>
                <w:sz w:val="14"/>
                <w:szCs w:val="14"/>
                <w:color w:val="auto"/>
                <w:w w:val="94"/>
              </w:rPr>
              <w:t>, 2015, if settlement occurs after that date. Please read “Underwriting (Conflicts of Interest)” for a description of all underwriting compensation payable in</w:t>
            </w:r>
          </w:p>
        </w:tc>
      </w:tr>
      <w:tr>
        <w:trPr>
          <w:trHeight w:val="161"/>
        </w:trPr>
        <w:tc>
          <w:tcPr>
            <w:tcW w:w="2440" w:type="dxa"/>
            <w:vAlign w:val="bottom"/>
            <w:gridSpan w:val="2"/>
          </w:tcPr>
          <w:p>
            <w:pPr>
              <w:ind w:left="340"/>
              <w:spacing w:after="0"/>
              <w:rPr>
                <w:sz w:val="20"/>
                <w:szCs w:val="20"/>
                <w:color w:val="auto"/>
              </w:rPr>
            </w:pPr>
            <w:r>
              <w:rPr>
                <w:rFonts w:ascii="Arial" w:cs="Arial" w:eastAsia="Arial" w:hAnsi="Arial"/>
                <w:sz w:val="14"/>
                <w:szCs w:val="14"/>
                <w:color w:val="auto"/>
              </w:rPr>
              <w:t>connection with this offering.</w:t>
            </w:r>
          </w:p>
        </w:tc>
        <w:tc>
          <w:tcPr>
            <w:tcW w:w="7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ind w:right="120" w:firstLine="342"/>
        <w:spacing w:after="0" w:line="22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avoidance of doubt, this document is not intended to be and is not a prospectus for the purposes of the Companies Act 2014 of Ireland (the “Irish Companies Act”), the Prospectus</w:t>
      </w:r>
    </w:p>
    <w:p>
      <w:pPr>
        <w:spacing w:after="0" w:line="11" w:lineRule="exact"/>
        <w:rPr>
          <w:sz w:val="24"/>
          <w:szCs w:val="24"/>
          <w:color w:val="auto"/>
        </w:rPr>
      </w:pPr>
    </w:p>
    <w:p>
      <w:pPr>
        <w:jc w:val="right"/>
        <w:ind w:right="240"/>
        <w:spacing w:after="0" w:line="258" w:lineRule="auto"/>
        <w:rPr>
          <w:sz w:val="20"/>
          <w:szCs w:val="20"/>
          <w:color w:val="auto"/>
        </w:rPr>
      </w:pPr>
      <w:r>
        <w:rPr>
          <w:rFonts w:ascii="Arial" w:cs="Arial" w:eastAsia="Arial" w:hAnsi="Arial"/>
          <w:sz w:val="12"/>
          <w:szCs w:val="12"/>
          <w:b w:val="1"/>
          <w:bCs w:val="1"/>
          <w:color w:val="auto"/>
        </w:rPr>
        <w:t xml:space="preserve">Directive (2003/71/EC) Regulations 2005 of Ireland (as amended) or the Prospectus Rules issued by the Central Bank of Ireland, and the Central Bank of Ireland has not approved this document. </w:t>
      </w:r>
      <w:r>
        <w:rPr>
          <w:rFonts w:ascii="Arial" w:cs="Arial" w:eastAsia="Arial" w:hAnsi="Arial"/>
          <w:sz w:val="12"/>
          <w:szCs w:val="12"/>
          <w:color w:val="auto"/>
        </w:rPr>
        <w:t>The permission of the Bermuda Monetary Authority is required, pursuant to the provisions of the Exchange Control Act 1972 and related regulations, for all issuances and transfers of securities (which</w:t>
      </w:r>
    </w:p>
    <w:p>
      <w:pPr>
        <w:ind w:right="20"/>
        <w:spacing w:after="0" w:line="258" w:lineRule="auto"/>
        <w:rPr>
          <w:sz w:val="20"/>
          <w:szCs w:val="20"/>
          <w:color w:val="auto"/>
        </w:rPr>
      </w:pPr>
      <w:r>
        <w:rPr>
          <w:rFonts w:ascii="Arial" w:cs="Arial" w:eastAsia="Arial" w:hAnsi="Arial"/>
          <w:sz w:val="12"/>
          <w:szCs w:val="12"/>
          <w:color w:val="auto"/>
        </w:rPr>
        <w:t>includes the notes)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(which includes the notes) of a Bermuda company from and/or to a non-resident of Bermuda for exchange control purposes, other than “Equity Securities” (which the notes are not) of such company. In granting the general permission, the Bermuda Monetary Authority does not accept any responsibility for our financial soundness or the correctness of any of the statements made or opinions expressed in this prospectus.</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ind w:left="360"/>
              <w:spacing w:after="0"/>
              <w:rPr>
                <w:sz w:val="20"/>
                <w:szCs w:val="20"/>
                <w:color w:val="auto"/>
              </w:rPr>
            </w:pPr>
            <w:r>
              <w:rPr>
                <w:rFonts w:ascii="Arial" w:cs="Arial" w:eastAsia="Arial" w:hAnsi="Arial"/>
                <w:sz w:val="14"/>
                <w:szCs w:val="14"/>
                <w:color w:val="auto"/>
                <w:w w:val="88"/>
              </w:rPr>
              <w:t>The underwriters expect to deliver the notes to purchasers on or about September</w:t>
            </w:r>
          </w:p>
        </w:tc>
        <w:tc>
          <w:tcPr>
            <w:tcW w:w="6560" w:type="dxa"/>
            <w:vAlign w:val="bottom"/>
            <w:gridSpan w:val="2"/>
          </w:tcPr>
          <w:p>
            <w:pPr>
              <w:ind w:left="40"/>
              <w:spacing w:after="0"/>
              <w:rPr>
                <w:sz w:val="20"/>
                <w:szCs w:val="20"/>
                <w:color w:val="auto"/>
              </w:rPr>
            </w:pPr>
            <w:r>
              <w:rPr>
                <w:rFonts w:ascii="Arial" w:cs="Arial" w:eastAsia="Arial" w:hAnsi="Arial"/>
                <w:sz w:val="14"/>
                <w:szCs w:val="14"/>
                <w:color w:val="auto"/>
              </w:rPr>
              <w:t>, 2015 through the facilities of The Depository Trust Company.</w:t>
            </w:r>
          </w:p>
        </w:tc>
        <w:tc>
          <w:tcPr>
            <w:tcW w:w="0" w:type="dxa"/>
            <w:vAlign w:val="bottom"/>
          </w:tcPr>
          <w:p>
            <w:pPr>
              <w:spacing w:after="0"/>
              <w:rPr>
                <w:sz w:val="1"/>
                <w:szCs w:val="1"/>
                <w:color w:val="auto"/>
              </w:rPr>
            </w:pPr>
          </w:p>
        </w:tc>
      </w:tr>
      <w:tr>
        <w:trPr>
          <w:trHeight w:val="43"/>
        </w:trPr>
        <w:tc>
          <w:tcPr>
            <w:tcW w:w="4860" w:type="dxa"/>
            <w:vAlign w:val="bottom"/>
            <w:vMerge w:val="restart"/>
          </w:tcPr>
          <w:p>
            <w:pPr>
              <w:spacing w:after="0"/>
              <w:rPr>
                <w:sz w:val="20"/>
                <w:szCs w:val="20"/>
                <w:color w:val="auto"/>
              </w:rPr>
            </w:pPr>
            <w:r>
              <w:rPr>
                <w:rFonts w:ascii="Arial" w:cs="Arial" w:eastAsia="Arial" w:hAnsi="Arial"/>
                <w:sz w:val="32"/>
                <w:szCs w:val="32"/>
                <w:b w:val="1"/>
                <w:bCs w:val="1"/>
                <w:color w:val="auto"/>
              </w:rPr>
              <w:t>Citigroup</w:t>
            </w:r>
          </w:p>
        </w:tc>
        <w:tc>
          <w:tcPr>
            <w:tcW w:w="1720" w:type="dxa"/>
            <w:vAlign w:val="bottom"/>
            <w:tcBorders>
              <w:bottom w:val="single" w:sz="8" w:color="auto"/>
            </w:tcBorders>
          </w:tcPr>
          <w:p>
            <w:pPr>
              <w:spacing w:after="0"/>
              <w:rPr>
                <w:sz w:val="3"/>
                <w:szCs w:val="3"/>
                <w:color w:val="auto"/>
              </w:rPr>
            </w:pPr>
          </w:p>
        </w:tc>
        <w:tc>
          <w:tcPr>
            <w:tcW w:w="4840" w:type="dxa"/>
            <w:vAlign w:val="bottom"/>
            <w:vMerge w:val="restart"/>
          </w:tcPr>
          <w:p>
            <w:pPr>
              <w:ind w:left="1740"/>
              <w:spacing w:after="0"/>
              <w:rPr>
                <w:sz w:val="20"/>
                <w:szCs w:val="20"/>
                <w:color w:val="auto"/>
              </w:rPr>
            </w:pPr>
            <w:r>
              <w:rPr>
                <w:rFonts w:ascii="Arial" w:cs="Arial" w:eastAsia="Arial" w:hAnsi="Arial"/>
                <w:sz w:val="32"/>
                <w:szCs w:val="32"/>
                <w:b w:val="1"/>
                <w:bCs w:val="1"/>
                <w:color w:val="auto"/>
                <w:w w:val="89"/>
              </w:rPr>
              <w:t>Wells Fargo Securities</w:t>
            </w:r>
          </w:p>
        </w:tc>
        <w:tc>
          <w:tcPr>
            <w:tcW w:w="0" w:type="dxa"/>
            <w:vAlign w:val="bottom"/>
          </w:tcPr>
          <w:p>
            <w:pPr>
              <w:spacing w:after="0"/>
              <w:rPr>
                <w:sz w:val="1"/>
                <w:szCs w:val="1"/>
                <w:color w:val="auto"/>
              </w:rPr>
            </w:pPr>
          </w:p>
        </w:tc>
      </w:tr>
      <w:tr>
        <w:trPr>
          <w:trHeight w:val="400"/>
        </w:trPr>
        <w:tc>
          <w:tcPr>
            <w:tcW w:w="48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4860" w:type="dxa"/>
            <w:vAlign w:val="bottom"/>
            <w:vMerge w:val="restart"/>
          </w:tcPr>
          <w:p>
            <w:pPr>
              <w:spacing w:after="0"/>
              <w:rPr>
                <w:sz w:val="20"/>
                <w:szCs w:val="20"/>
                <w:color w:val="auto"/>
              </w:rPr>
            </w:pPr>
            <w:r>
              <w:rPr>
                <w:rFonts w:ascii="Arial" w:cs="Arial" w:eastAsia="Arial" w:hAnsi="Arial"/>
                <w:sz w:val="14"/>
                <w:szCs w:val="14"/>
                <w:color w:val="auto"/>
              </w:rPr>
              <w:t>Prospectus Supplement dated September   , 2015</w:t>
            </w:r>
          </w:p>
        </w:tc>
        <w:tc>
          <w:tcPr>
            <w:tcW w:w="1720" w:type="dxa"/>
            <w:vAlign w:val="bottom"/>
            <w:tcBorders>
              <w:bottom w:val="single" w:sz="8" w:color="auto"/>
            </w:tcBorders>
          </w:tcPr>
          <w:p>
            <w:pPr>
              <w:spacing w:after="0"/>
              <w:rPr>
                <w:sz w:val="5"/>
                <w:szCs w:val="5"/>
                <w:color w:val="auto"/>
              </w:rPr>
            </w:pPr>
          </w:p>
        </w:tc>
        <w:tc>
          <w:tcPr>
            <w:tcW w:w="4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Prospectus Supplement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16"/>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7580" w:type="dxa"/>
            <w:vAlign w:val="bottom"/>
            <w:gridSpan w:val="11"/>
            <w:vMerge w:val="restart"/>
          </w:tcPr>
          <w:p>
            <w:pPr>
              <w:spacing w:after="0"/>
              <w:rPr>
                <w:sz w:val="14"/>
                <w:szCs w:val="14"/>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0000EE"/>
            </w:tcBorders>
            <w:gridSpan w:val="16"/>
            <w:vMerge w:val="continue"/>
          </w:tcPr>
          <w:p>
            <w:pPr>
              <w:spacing w:after="0"/>
              <w:rPr>
                <w:sz w:val="13"/>
                <w:szCs w:val="13"/>
                <w:color w:val="auto"/>
              </w:rPr>
            </w:pPr>
          </w:p>
        </w:tc>
        <w:tc>
          <w:tcPr>
            <w:tcW w:w="7580" w:type="dxa"/>
            <w:vAlign w:val="bottom"/>
            <w:gridSpan w:val="11"/>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CAUTIONARY STATEMENT REGARDING FORWARD-LOOKING STATEMENTS</w:t>
              </w:r>
            </w:hyperlink>
          </w:p>
        </w:tc>
        <w:tc>
          <w:tcPr>
            <w:tcW w:w="474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PROSPECTUS SUPPLEMENT SUMMARY</w:t>
              </w:r>
            </w:hyperlink>
          </w:p>
        </w:tc>
        <w:tc>
          <w:tcPr>
            <w:tcW w:w="772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400" w:type="dxa"/>
            <w:vAlign w:val="bottom"/>
            <w:gridSpan w:val="21"/>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RATIOS OF EARNINGS TO FIXED CHARGES</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MARKET PRICE OF THE ORDINARY SHARES</w:t>
              </w:r>
            </w:hyperlink>
          </w:p>
        </w:tc>
        <w:tc>
          <w:tcPr>
            <w:tcW w:w="7300" w:type="dxa"/>
            <w:vAlign w:val="bottom"/>
            <w:gridSpan w:val="6"/>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S-23</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NOTES</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WEATHERFORD’S ORDINARY SHARES</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S-52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MATERIAL UNITED STATES FEDERAL INCOME TAX CONSIDERATIONS</w:t>
              </w:r>
            </w:hyperlink>
          </w:p>
        </w:tc>
        <w:tc>
          <w:tcPr>
            <w:tcW w:w="5180" w:type="dxa"/>
            <w:vAlign w:val="bottom"/>
            <w:gridSpan w:val="2"/>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S-64</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CERTAIN BERMUDA TAX CONSIDERATIONS</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S-69</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CERTAIN IRISH TAX CONSIDERATIONS</w:t>
              </w:r>
            </w:hyperlink>
          </w:p>
        </w:tc>
        <w:tc>
          <w:tcPr>
            <w:tcW w:w="7340" w:type="dxa"/>
            <w:vAlign w:val="bottom"/>
            <w:gridSpan w:val="8"/>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S-70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SWISS TAX CONSIDERATIONS</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S-73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UNDERWRITING (CONFLICTS OF INTEREST)</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S-77</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LEGAL MATTERS</w:t>
              </w:r>
            </w:hyperlink>
          </w:p>
        </w:tc>
        <w:tc>
          <w:tcPr>
            <w:tcW w:w="7320" w:type="dxa"/>
            <w:vAlign w:val="bottom"/>
            <w:gridSpan w:val="7"/>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S-82</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9520" w:type="dxa"/>
            <w:vAlign w:val="bottom"/>
            <w:gridSpan w:val="23"/>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S-82</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WHERE YOU CAN FIND ADDITIONAL INFORMATION</w:t>
              </w:r>
            </w:hyperlink>
          </w:p>
        </w:tc>
        <w:tc>
          <w:tcPr>
            <w:tcW w:w="6620" w:type="dxa"/>
            <w:vAlign w:val="bottom"/>
            <w:gridSpan w:val="4"/>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S-82</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INCORPORATION BY REFERENCE</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S-82</w:t>
            </w:r>
          </w:p>
        </w:tc>
        <w:tc>
          <w:tcPr>
            <w:tcW w:w="0" w:type="dxa"/>
            <w:vAlign w:val="bottom"/>
          </w:tcPr>
          <w:p>
            <w:pPr>
              <w:spacing w:after="0"/>
              <w:rPr>
                <w:sz w:val="1"/>
                <w:szCs w:val="1"/>
                <w:color w:val="auto"/>
              </w:rPr>
            </w:pPr>
          </w:p>
        </w:tc>
      </w:tr>
      <w:tr>
        <w:trPr>
          <w:trHeight w:val="383"/>
        </w:trPr>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40" w:type="dxa"/>
            <w:vAlign w:val="bottom"/>
            <w:gridSpan w:val="3"/>
          </w:tcPr>
          <w:p>
            <w:pPr>
              <w:ind w:left="700"/>
              <w:spacing w:after="0"/>
              <w:rPr>
                <w:sz w:val="20"/>
                <w:szCs w:val="20"/>
                <w:color w:val="auto"/>
              </w:rPr>
            </w:pPr>
            <w:r>
              <w:rPr>
                <w:rFonts w:ascii="Arial" w:cs="Arial" w:eastAsia="Arial" w:hAnsi="Arial"/>
                <w:sz w:val="18"/>
                <w:szCs w:val="18"/>
                <w:b w:val="1"/>
                <w:bCs w:val="1"/>
                <w:color w:val="auto"/>
              </w:rPr>
              <w:t>Prospectus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0940" w:type="dxa"/>
            <w:vAlign w:val="bottom"/>
            <w:gridSpan w:val="27"/>
            <w:vMerge w:val="restart"/>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ABOUT THIS PROSPECTUS</w:t>
              </w:r>
            </w:hyperlink>
          </w:p>
        </w:tc>
        <w:tc>
          <w:tcPr>
            <w:tcW w:w="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27"/>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0000EE"/>
            </w:tcBorders>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ABOUT US</w:t>
              </w:r>
            </w:hyperlink>
          </w:p>
        </w:tc>
        <w:tc>
          <w:tcPr>
            <w:tcW w:w="8760" w:type="dxa"/>
            <w:vAlign w:val="bottom"/>
            <w:gridSpan w:val="19"/>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WHERE YOU CAN FIND MORE INFORMATION</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FORWARD LOOKING STATEMENTS</w:t>
              </w:r>
            </w:hyperlink>
          </w:p>
        </w:tc>
        <w:tc>
          <w:tcPr>
            <w:tcW w:w="860" w:type="dxa"/>
            <w:vAlign w:val="bottom"/>
            <w:tcBorders>
              <w:top w:val="single" w:sz="8" w:color="0000EE"/>
            </w:tcBorders>
            <w:gridSpan w:val="10"/>
          </w:tcPr>
          <w:p>
            <w:pPr>
              <w:spacing w:after="0"/>
              <w:rPr>
                <w:sz w:val="17"/>
                <w:szCs w:val="17"/>
                <w:color w:val="auto"/>
              </w:rPr>
            </w:pPr>
          </w:p>
        </w:tc>
        <w:tc>
          <w:tcPr>
            <w:tcW w:w="7220" w:type="dxa"/>
            <w:vAlign w:val="bottom"/>
            <w:gridSpan w:val="5"/>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RISK FACTORS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752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USE OF PROCEEDS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752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RATIO OF EARNINGS TO FIXED CHARGES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DESCRIPTION OF SECURITIES</w:t>
              </w:r>
            </w:hyperlink>
          </w:p>
        </w:tc>
        <w:tc>
          <w:tcPr>
            <w:tcW w:w="940" w:type="dxa"/>
            <w:vAlign w:val="bottom"/>
            <w:tcBorders>
              <w:top w:val="single" w:sz="8" w:color="0000EE"/>
            </w:tcBorders>
            <w:gridSpan w:val="7"/>
          </w:tcPr>
          <w:p>
            <w:pPr>
              <w:spacing w:after="0"/>
              <w:rPr>
                <w:sz w:val="17"/>
                <w:szCs w:val="17"/>
                <w:color w:val="auto"/>
              </w:rPr>
            </w:pPr>
          </w:p>
        </w:tc>
        <w:tc>
          <w:tcPr>
            <w:tcW w:w="7520" w:type="dxa"/>
            <w:vAlign w:val="bottom"/>
            <w:gridSpan w:val="10"/>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95">
              <w:r>
                <w:rPr>
                  <w:rFonts w:ascii="Arial" w:cs="Arial" w:eastAsia="Arial" w:hAnsi="Arial"/>
                  <w:sz w:val="18"/>
                  <w:szCs w:val="18"/>
                  <w:color w:val="0000EE"/>
                  <w:w w:val="94"/>
                </w:rPr>
                <w:t>SELLING SECURITYHOLDERS</w:t>
              </w:r>
            </w:hyperlink>
          </w:p>
        </w:tc>
        <w:tc>
          <w:tcPr>
            <w:tcW w:w="8480" w:type="dxa"/>
            <w:vAlign w:val="bottom"/>
            <w:gridSpan w:val="18"/>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PLAN OF DISTRIBUTION</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8920" w:type="dxa"/>
            <w:vAlign w:val="bottom"/>
            <w:gridSpan w:val="20"/>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9520" w:type="dxa"/>
            <w:vAlign w:val="bottom"/>
            <w:gridSpan w:val="23"/>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0" w:firstLine="456"/>
        <w:spacing w:after="0" w:line="313" w:lineRule="auto"/>
        <w:rPr>
          <w:sz w:val="20"/>
          <w:szCs w:val="20"/>
          <w:color w:val="auto"/>
        </w:rPr>
      </w:pPr>
      <w:r>
        <w:rPr>
          <w:rFonts w:ascii="Arial" w:cs="Arial" w:eastAsia="Arial" w:hAnsi="Arial"/>
          <w:sz w:val="15"/>
          <w:szCs w:val="15"/>
          <w:b w:val="1"/>
          <w:bCs w:val="1"/>
          <w:color w:val="auto"/>
        </w:rPr>
        <w:t>You should rely solely on the information contained in this prospectus supplement, the accompanying prospectus, or in any related free writing prospectus issued by 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contained or incorporated by reference in this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This document contains two parts. The first part consists of this prospectus supplement, which describes the specific terms of this offering. The second part, the accompanying prospectus, provides more general information, some of which may not apply to this offering. </w:t>
      </w:r>
      <w:r>
        <w:rPr>
          <w:rFonts w:ascii="Arial" w:cs="Arial" w:eastAsia="Arial" w:hAnsi="Arial"/>
          <w:sz w:val="16"/>
          <w:szCs w:val="16"/>
          <w:b w:val="1"/>
          <w:bCs w:val="1"/>
          <w:color w:val="auto"/>
        </w:rPr>
        <w:t>If the description of the offering varies</w:t>
      </w:r>
      <w:r>
        <w:rPr>
          <w:rFonts w:ascii="Arial" w:cs="Arial" w:eastAsia="Arial" w:hAnsi="Arial"/>
          <w:sz w:val="16"/>
          <w:szCs w:val="16"/>
          <w:color w:val="auto"/>
        </w:rPr>
        <w:t xml:space="preserve"> </w:t>
      </w:r>
      <w:r>
        <w:rPr>
          <w:rFonts w:ascii="Arial" w:cs="Arial" w:eastAsia="Arial" w:hAnsi="Arial"/>
          <w:sz w:val="16"/>
          <w:szCs w:val="16"/>
          <w:b w:val="1"/>
          <w:bCs w:val="1"/>
          <w:color w:val="auto"/>
        </w:rPr>
        <w:t>between this prospectus supplement and the accompanying prospectus, you should rely on the information in this prospectus supplement.</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INVESTORS</w:t>
      </w:r>
    </w:p>
    <w:p>
      <w:pPr>
        <w:spacing w:after="0" w:line="16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document is not a prospectus within the meaning of the Irish Companies Act, the Prospectus (Directive 2003/71/EC) Regulations 2005 of Ireland (as amended) or the Prospectus Rules issued by the Central Bank of Ireland. No offer of shares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Capital Instruments) Regulations 2007 of Ireland (as amended) or the Markets in Financial Instruments Directive (2004/39/EC). Weatherford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information in this prospectus supplement and the accompanying prospectus, including in the documents incorporated by reference herein and therein, contains various statements relating to future financial performance and results, including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07"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24"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126" w:lineRule="exact"/>
        <w:rPr>
          <w:rFonts w:ascii="Arial" w:cs="Arial" w:eastAsia="Arial" w:hAnsi="Arial"/>
          <w:sz w:val="16"/>
          <w:szCs w:val="16"/>
          <w:color w:val="auto"/>
        </w:rPr>
      </w:pPr>
    </w:p>
    <w:p>
      <w:pPr>
        <w:ind w:left="660" w:right="62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03" w:lineRule="exact"/>
        <w:rPr>
          <w:rFonts w:ascii="Arial" w:cs="Arial" w:eastAsia="Arial" w:hAnsi="Arial"/>
          <w:sz w:val="18"/>
          <w:szCs w:val="18"/>
          <w:color w:val="auto"/>
        </w:rPr>
      </w:pPr>
    </w:p>
    <w:p>
      <w:pPr>
        <w:ind w:left="660" w:right="84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2015 cost reduction plans;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03" w:lineRule="exact"/>
        <w:rPr>
          <w:rFonts w:ascii="Arial" w:cs="Arial" w:eastAsia="Arial" w:hAnsi="Arial"/>
          <w:sz w:val="18"/>
          <w:szCs w:val="18"/>
          <w:color w:val="auto"/>
        </w:rPr>
      </w:pPr>
    </w:p>
    <w:p>
      <w:pPr>
        <w:ind w:left="660" w:right="560" w:hanging="206"/>
        <w:spacing w:after="0" w:line="325"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potential charges arising out of the SEC’s and DOJ’s investigation into the circumstances surrounding the prior material weakness in our internal controls over financial reporting for income taxes and the restatements of our historical financial statements in 2011 and 2012;</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member-country quota compliance within Organization of Petroleum Exporting Countries;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redomestication from Switzerland to Ireland and to maintain our Swiss tax residency;</w:t>
      </w:r>
    </w:p>
    <w:p>
      <w:pPr>
        <w:spacing w:after="0" w:line="126"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20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U.S. Securities and Exchange Commission (“SEC”) under the Securities Exchange Act of 1934, as amended (the “Exchange Act”), and the Securities Act. For additional information regarding risks and uncertainties, see our other filings with the SEC.</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of Weatherford International plc incorporated by reference in this prospectus supplement and the accompanying prospectus. Please read “Risk Factors” and “Cautionary Statement Regarding Forward-Looking Statements” in this prospectus supplement and “Risk Factors” in Weatherford International plc’s Annual Report on Form 10-K for the year ended December 31, 2014 and similar sections in any subsequent Exchange Act reports that we incorporate by reference in this prospectus supplement and the accompanying prospectus for more information about important risks that you should consider before investing in the notes.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Weatherford International Ltd. is a Bermuda exempted company (“Weatherford Bermuda”) and wholly owned, indirect subsidiary of Weatherford International plc, an Irish public limited company (“Weatherford” and, together with its subsidiaries, including Weatherford Bermuda, the “Company,” “we,” “us” and “our”). Weatherford is a multinational oilfield service company and is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02"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We principally provide equipment and services to the oil and natural gas exploration and production industry, both on land and offshore, through our product service line groups: (1) Formation Evaluation and Well Construction, (2) Completion and Production, and (3) Land Drilling Rigs, which together comprise a total of 14 service lines.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the Ordinary Share Offering</w:t>
      </w:r>
    </w:p>
    <w:p>
      <w:pPr>
        <w:spacing w:after="0" w:line="164" w:lineRule="exact"/>
        <w:rPr>
          <w:sz w:val="20"/>
          <w:szCs w:val="20"/>
          <w:color w:val="auto"/>
        </w:rPr>
      </w:pPr>
    </w:p>
    <w:p>
      <w:pPr>
        <w:ind w:left="640"/>
        <w:spacing w:after="0"/>
        <w:tabs>
          <w:tab w:leader="none" w:pos="8580" w:val="left"/>
          <w:tab w:leader="none" w:pos="10480" w:val="left"/>
        </w:tabs>
        <w:rPr>
          <w:sz w:val="20"/>
          <w:szCs w:val="20"/>
          <w:color w:val="auto"/>
        </w:rPr>
      </w:pPr>
      <w:r>
        <w:rPr>
          <w:rFonts w:ascii="Arial" w:cs="Arial" w:eastAsia="Arial" w:hAnsi="Arial"/>
          <w:sz w:val="18"/>
          <w:szCs w:val="18"/>
          <w:color w:val="auto"/>
        </w:rPr>
        <w:t>Concurrently with this offering of notes, under a separate prospectus supplement, Weatherford is offering</w:t>
      </w:r>
      <w:r>
        <w:rPr>
          <w:sz w:val="20"/>
          <w:szCs w:val="20"/>
          <w:color w:val="auto"/>
        </w:rPr>
        <w:tab/>
      </w: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ordinary</w:t>
      </w:r>
    </w:p>
    <w:p>
      <w:pPr>
        <w:spacing w:after="0" w:line="15"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shares if the underwriters in that offering exercise in full their option to purchase additional ordinary shares with respect to that offering) (the “Ordinary Share Offering”).</w:t>
      </w:r>
    </w:p>
    <w:p>
      <w:pPr>
        <w:spacing w:after="0" w:line="124"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The foregoing description and any other information regarding the Ordinary Share Offering is included herein solely for informational purposes. The Ordinary Share Offering is not part of the offering to which this prospectus supplement relates. The ordinary shares will be offered in a registered offering under the Securities Act by means of a separate prospectus supplement and accompanying prospectus. This prospectus supplement is not an offer to sell or a solicitation of an offer to buy any securities in such Ordinary Share Offering.</w:t>
      </w:r>
    </w:p>
    <w:p>
      <w:pPr>
        <w:spacing w:after="0" w:line="130"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The amount and terms and conditions of the Ordinary Share Offering will be subject to market conditions. There can be no assurance that we will be able to complete the Ordinary Share Offering on terms and conditions acceptable to us. This offering is not contingent on the consummation of the Ordinary Share Offering or any potential acquisition, and the Ordinary Share Offering is not contingent upon completion of this offering.</w:t>
      </w:r>
    </w:p>
    <w:p>
      <w:pPr>
        <w:spacing w:after="0" w:line="93" w:lineRule="exact"/>
        <w:rPr>
          <w:sz w:val="20"/>
          <w:szCs w:val="20"/>
          <w:color w:val="auto"/>
        </w:rPr>
      </w:pPr>
    </w:p>
    <w:p>
      <w:pPr>
        <w:ind w:left="200" w:right="280" w:firstLine="443"/>
        <w:spacing w:after="0" w:line="268" w:lineRule="auto"/>
        <w:rPr>
          <w:sz w:val="20"/>
          <w:szCs w:val="20"/>
          <w:color w:val="auto"/>
        </w:rPr>
      </w:pPr>
      <w:r>
        <w:rPr>
          <w:rFonts w:ascii="Arial" w:cs="Arial" w:eastAsia="Arial" w:hAnsi="Arial"/>
          <w:sz w:val="18"/>
          <w:szCs w:val="18"/>
          <w:color w:val="auto"/>
        </w:rPr>
        <w:t>We cannot assure you that Weatherford or Weatherford Bermuda will complete any potential acquisition, the Ordinary Share Offering or any of the other financing transactions on the terms contemplated by this prospectus supplement or at all.</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164"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jc w:val="both"/>
        <w:ind w:left="200" w:right="520" w:firstLine="443"/>
        <w:spacing w:after="0" w:line="259" w:lineRule="auto"/>
        <w:rPr>
          <w:sz w:val="20"/>
          <w:szCs w:val="20"/>
          <w:color w:val="auto"/>
        </w:rPr>
      </w:pPr>
      <w:r>
        <w:rPr>
          <w:rFonts w:ascii="Arial" w:cs="Arial" w:eastAsia="Arial" w:hAnsi="Arial"/>
          <w:sz w:val="18"/>
          <w:szCs w:val="18"/>
          <w:color w:val="auto"/>
        </w:rPr>
        <w:t>The following summary contains basic information about the offering of the notes and is not intended to be complete. It does not contain all the information that is important to you. For a more complete understanding of the notes, please refer to the section entitled “Description of Notes” in this prospectus supplement.</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Issuer</w:t>
            </w: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rPr>
              <w:t>Weatherford International Ltd.</w:t>
            </w:r>
          </w:p>
        </w:tc>
        <w:tc>
          <w:tcPr>
            <w:tcW w:w="1680" w:type="dxa"/>
            <w:vAlign w:val="bottom"/>
          </w:tcPr>
          <w:p>
            <w:pPr>
              <w:spacing w:after="0"/>
              <w:rPr>
                <w:sz w:val="19"/>
                <w:szCs w:val="19"/>
                <w:color w:val="auto"/>
              </w:rPr>
            </w:pPr>
          </w:p>
        </w:tc>
      </w:tr>
      <w:tr>
        <w:trPr>
          <w:trHeight w:val="372"/>
        </w:trPr>
        <w:tc>
          <w:tcPr>
            <w:tcW w:w="3120" w:type="dxa"/>
            <w:vAlign w:val="bottom"/>
          </w:tcPr>
          <w:p>
            <w:pPr>
              <w:spacing w:after="0"/>
              <w:rPr>
                <w:sz w:val="20"/>
                <w:szCs w:val="20"/>
                <w:color w:val="auto"/>
              </w:rPr>
            </w:pPr>
            <w:r>
              <w:rPr>
                <w:rFonts w:ascii="Arial" w:cs="Arial" w:eastAsia="Arial" w:hAnsi="Arial"/>
                <w:sz w:val="18"/>
                <w:szCs w:val="18"/>
                <w:color w:val="auto"/>
              </w:rPr>
              <w:t>Notes offered</w:t>
            </w:r>
          </w:p>
        </w:tc>
        <w:tc>
          <w:tcPr>
            <w:tcW w:w="1920" w:type="dxa"/>
            <w:vAlign w:val="bottom"/>
          </w:tcPr>
          <w:p>
            <w:pPr>
              <w:ind w:left="1080"/>
              <w:spacing w:after="0"/>
              <w:rPr>
                <w:sz w:val="20"/>
                <w:szCs w:val="20"/>
                <w:color w:val="auto"/>
              </w:rPr>
            </w:pPr>
            <w:r>
              <w:rPr>
                <w:rFonts w:ascii="Arial" w:cs="Arial" w:eastAsia="Arial" w:hAnsi="Arial"/>
                <w:sz w:val="18"/>
                <w:szCs w:val="18"/>
                <w:color w:val="auto"/>
              </w:rPr>
              <w:t>US$</w:t>
            </w:r>
          </w:p>
        </w:tc>
        <w:tc>
          <w:tcPr>
            <w:tcW w:w="6020" w:type="dxa"/>
            <w:vAlign w:val="bottom"/>
            <w:gridSpan w:val="2"/>
          </w:tcPr>
          <w:p>
            <w:pPr>
              <w:ind w:left="40"/>
              <w:spacing w:after="0"/>
              <w:rPr>
                <w:sz w:val="20"/>
                <w:szCs w:val="20"/>
                <w:color w:val="auto"/>
              </w:rPr>
            </w:pPr>
            <w:r>
              <w:rPr>
                <w:rFonts w:ascii="Arial" w:cs="Arial" w:eastAsia="Arial" w:hAnsi="Arial"/>
                <w:sz w:val="18"/>
                <w:szCs w:val="18"/>
                <w:color w:val="auto"/>
                <w:w w:val="90"/>
              </w:rPr>
              <w:t>in principal amount of   % Mandatory Exchangeable Subordinated Notes due 2018</w:t>
            </w:r>
          </w:p>
        </w:tc>
      </w:tr>
      <w:tr>
        <w:trPr>
          <w:trHeight w:val="216"/>
        </w:trPr>
        <w:tc>
          <w:tcPr>
            <w:tcW w:w="3120" w:type="dxa"/>
            <w:vAlign w:val="bottom"/>
          </w:tcPr>
          <w:p>
            <w:pPr>
              <w:spacing w:after="0"/>
              <w:rPr>
                <w:sz w:val="18"/>
                <w:szCs w:val="18"/>
                <w:color w:val="auto"/>
              </w:rPr>
            </w:pP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w w:val="90"/>
              </w:rPr>
              <w:t>(the “notes”). We have also granted the underwriters an option, for a period of 30 days from the</w:t>
            </w:r>
          </w:p>
        </w:tc>
      </w:tr>
      <w:tr>
        <w:trPr>
          <w:trHeight w:val="216"/>
        </w:trPr>
        <w:tc>
          <w:tcPr>
            <w:tcW w:w="3120" w:type="dxa"/>
            <w:vAlign w:val="bottom"/>
          </w:tcPr>
          <w:p>
            <w:pPr>
              <w:spacing w:after="0"/>
              <w:rPr>
                <w:sz w:val="18"/>
                <w:szCs w:val="18"/>
                <w:color w:val="auto"/>
              </w:rPr>
            </w:pP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w w:val="93"/>
              </w:rPr>
              <w:t>date of this prospectus supplement, to purchase up to an additional $</w:t>
            </w:r>
          </w:p>
        </w:tc>
        <w:tc>
          <w:tcPr>
            <w:tcW w:w="1680" w:type="dxa"/>
            <w:vAlign w:val="bottom"/>
          </w:tcPr>
          <w:p>
            <w:pPr>
              <w:ind w:left="200"/>
              <w:spacing w:after="0"/>
              <w:rPr>
                <w:sz w:val="20"/>
                <w:szCs w:val="20"/>
                <w:color w:val="auto"/>
              </w:rPr>
            </w:pPr>
            <w:r>
              <w:rPr>
                <w:rFonts w:ascii="Arial" w:cs="Arial" w:eastAsia="Arial" w:hAnsi="Arial"/>
                <w:sz w:val="18"/>
                <w:szCs w:val="18"/>
                <w:color w:val="auto"/>
                <w:w w:val="95"/>
              </w:rPr>
              <w:t>aggregate principal</w:t>
            </w:r>
          </w:p>
        </w:tc>
      </w:tr>
      <w:tr>
        <w:trPr>
          <w:trHeight w:val="222"/>
        </w:trPr>
        <w:tc>
          <w:tcPr>
            <w:tcW w:w="3120" w:type="dxa"/>
            <w:vAlign w:val="bottom"/>
          </w:tcPr>
          <w:p>
            <w:pPr>
              <w:spacing w:after="0"/>
              <w:rPr>
                <w:sz w:val="19"/>
                <w:szCs w:val="19"/>
                <w:color w:val="auto"/>
              </w:rPr>
            </w:pP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rPr>
              <w:t>amount of notes, solely to cover over-allotments.</w:t>
            </w:r>
          </w:p>
        </w:tc>
        <w:tc>
          <w:tcPr>
            <w:tcW w:w="1680" w:type="dxa"/>
            <w:vAlign w:val="bottom"/>
          </w:tcPr>
          <w:p>
            <w:pPr>
              <w:spacing w:after="0"/>
              <w:rPr>
                <w:sz w:val="19"/>
                <w:szCs w:val="19"/>
                <w:color w:val="auto"/>
              </w:rPr>
            </w:pPr>
          </w:p>
        </w:tc>
      </w:tr>
      <w:tr>
        <w:trPr>
          <w:trHeight w:val="365"/>
        </w:trPr>
        <w:tc>
          <w:tcPr>
            <w:tcW w:w="3120" w:type="dxa"/>
            <w:vAlign w:val="bottom"/>
          </w:tcPr>
          <w:p>
            <w:pPr>
              <w:spacing w:after="0"/>
              <w:rPr>
                <w:sz w:val="20"/>
                <w:szCs w:val="20"/>
                <w:color w:val="auto"/>
              </w:rPr>
            </w:pPr>
            <w:r>
              <w:rPr>
                <w:rFonts w:ascii="Arial" w:cs="Arial" w:eastAsia="Arial" w:hAnsi="Arial"/>
                <w:sz w:val="18"/>
                <w:szCs w:val="18"/>
                <w:color w:val="auto"/>
              </w:rPr>
              <w:t>Guarantor</w:t>
            </w: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rPr>
              <w:t>Weatherford International plc</w:t>
            </w:r>
          </w:p>
        </w:tc>
        <w:tc>
          <w:tcPr>
            <w:tcW w:w="1680" w:type="dxa"/>
            <w:vAlign w:val="bottom"/>
          </w:tcPr>
          <w:p>
            <w:pPr>
              <w:spacing w:after="0"/>
              <w:rPr>
                <w:sz w:val="24"/>
                <w:szCs w:val="24"/>
                <w:color w:val="auto"/>
              </w:rPr>
            </w:pPr>
          </w:p>
        </w:tc>
      </w:tr>
      <w:tr>
        <w:trPr>
          <w:trHeight w:val="372"/>
        </w:trPr>
        <w:tc>
          <w:tcPr>
            <w:tcW w:w="3120" w:type="dxa"/>
            <w:vAlign w:val="bottom"/>
          </w:tcPr>
          <w:p>
            <w:pPr>
              <w:spacing w:after="0"/>
              <w:rPr>
                <w:sz w:val="20"/>
                <w:szCs w:val="20"/>
                <w:color w:val="auto"/>
              </w:rPr>
            </w:pPr>
            <w:r>
              <w:rPr>
                <w:rFonts w:ascii="Arial" w:cs="Arial" w:eastAsia="Arial" w:hAnsi="Arial"/>
                <w:sz w:val="18"/>
                <w:szCs w:val="18"/>
                <w:color w:val="auto"/>
              </w:rPr>
              <w:t>Guarantee</w:t>
            </w: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w w:val="91"/>
              </w:rPr>
              <w:t>The notes will be fully and unconditionally guaranteed on an unsecured, subordinated basis by</w:t>
            </w:r>
          </w:p>
        </w:tc>
      </w:tr>
      <w:tr>
        <w:trPr>
          <w:trHeight w:val="222"/>
        </w:trPr>
        <w:tc>
          <w:tcPr>
            <w:tcW w:w="3120" w:type="dxa"/>
            <w:vAlign w:val="bottom"/>
          </w:tcPr>
          <w:p>
            <w:pPr>
              <w:spacing w:after="0"/>
              <w:rPr>
                <w:sz w:val="19"/>
                <w:szCs w:val="19"/>
                <w:color w:val="auto"/>
              </w:rPr>
            </w:pP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rPr>
              <w:t>Weatherford.</w:t>
            </w:r>
          </w:p>
        </w:tc>
        <w:tc>
          <w:tcPr>
            <w:tcW w:w="1680" w:type="dxa"/>
            <w:vAlign w:val="bottom"/>
          </w:tcPr>
          <w:p>
            <w:pPr>
              <w:spacing w:after="0"/>
              <w:rPr>
                <w:sz w:val="19"/>
                <w:szCs w:val="19"/>
                <w:color w:val="auto"/>
              </w:rPr>
            </w:pPr>
          </w:p>
        </w:tc>
      </w:tr>
      <w:tr>
        <w:trPr>
          <w:trHeight w:val="365"/>
        </w:trPr>
        <w:tc>
          <w:tcPr>
            <w:tcW w:w="3120" w:type="dxa"/>
            <w:vAlign w:val="bottom"/>
          </w:tcPr>
          <w:p>
            <w:pPr>
              <w:spacing w:after="0"/>
              <w:rPr>
                <w:sz w:val="20"/>
                <w:szCs w:val="20"/>
                <w:color w:val="auto"/>
              </w:rPr>
            </w:pPr>
            <w:r>
              <w:rPr>
                <w:rFonts w:ascii="Arial" w:cs="Arial" w:eastAsia="Arial" w:hAnsi="Arial"/>
                <w:sz w:val="18"/>
                <w:szCs w:val="18"/>
                <w:color w:val="auto"/>
              </w:rPr>
              <w:t>Initial offering price</w:t>
            </w: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rPr>
              <w:t>$25 per note.</w:t>
            </w:r>
          </w:p>
        </w:tc>
        <w:tc>
          <w:tcPr>
            <w:tcW w:w="1680" w:type="dxa"/>
            <w:vAlign w:val="bottom"/>
          </w:tcPr>
          <w:p>
            <w:pPr>
              <w:spacing w:after="0"/>
              <w:rPr>
                <w:sz w:val="24"/>
                <w:szCs w:val="24"/>
                <w:color w:val="auto"/>
              </w:rPr>
            </w:pPr>
          </w:p>
        </w:tc>
      </w:tr>
      <w:tr>
        <w:trPr>
          <w:trHeight w:val="378"/>
        </w:trPr>
        <w:tc>
          <w:tcPr>
            <w:tcW w:w="3120" w:type="dxa"/>
            <w:vAlign w:val="bottom"/>
          </w:tcPr>
          <w:p>
            <w:pPr>
              <w:spacing w:after="0"/>
              <w:rPr>
                <w:sz w:val="20"/>
                <w:szCs w:val="20"/>
                <w:color w:val="auto"/>
              </w:rPr>
            </w:pPr>
            <w:r>
              <w:rPr>
                <w:rFonts w:ascii="Arial" w:cs="Arial" w:eastAsia="Arial" w:hAnsi="Arial"/>
                <w:sz w:val="18"/>
                <w:szCs w:val="18"/>
                <w:color w:val="auto"/>
              </w:rPr>
              <w:t>Principal amount</w:t>
            </w: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rPr>
              <w:t>$25 per note.</w:t>
            </w:r>
          </w:p>
        </w:tc>
        <w:tc>
          <w:tcPr>
            <w:tcW w:w="1680" w:type="dxa"/>
            <w:vAlign w:val="bottom"/>
          </w:tcPr>
          <w:p>
            <w:pPr>
              <w:spacing w:after="0"/>
              <w:rPr>
                <w:sz w:val="24"/>
                <w:szCs w:val="24"/>
                <w:color w:val="auto"/>
              </w:rPr>
            </w:pPr>
          </w:p>
        </w:tc>
      </w:tr>
      <w:tr>
        <w:trPr>
          <w:trHeight w:val="378"/>
        </w:trPr>
        <w:tc>
          <w:tcPr>
            <w:tcW w:w="3120" w:type="dxa"/>
            <w:vAlign w:val="bottom"/>
          </w:tcPr>
          <w:p>
            <w:pPr>
              <w:spacing w:after="0"/>
              <w:rPr>
                <w:sz w:val="20"/>
                <w:szCs w:val="20"/>
                <w:color w:val="auto"/>
              </w:rPr>
            </w:pPr>
            <w:r>
              <w:rPr>
                <w:rFonts w:ascii="Arial" w:cs="Arial" w:eastAsia="Arial" w:hAnsi="Arial"/>
                <w:sz w:val="18"/>
                <w:szCs w:val="18"/>
                <w:color w:val="auto"/>
              </w:rPr>
              <w:t>Interest rate</w:t>
            </w:r>
          </w:p>
        </w:tc>
        <w:tc>
          <w:tcPr>
            <w:tcW w:w="6260" w:type="dxa"/>
            <w:vAlign w:val="bottom"/>
            <w:gridSpan w:val="2"/>
          </w:tcPr>
          <w:p>
            <w:pPr>
              <w:ind w:left="1260"/>
              <w:spacing w:after="0"/>
              <w:rPr>
                <w:sz w:val="20"/>
                <w:szCs w:val="20"/>
                <w:color w:val="auto"/>
              </w:rPr>
            </w:pPr>
            <w:r>
              <w:rPr>
                <w:rFonts w:ascii="Arial" w:cs="Arial" w:eastAsia="Arial" w:hAnsi="Arial"/>
                <w:sz w:val="18"/>
                <w:szCs w:val="18"/>
                <w:color w:val="auto"/>
              </w:rPr>
              <w:t>% per year.</w:t>
            </w:r>
          </w:p>
        </w:tc>
        <w:tc>
          <w:tcPr>
            <w:tcW w:w="1680" w:type="dxa"/>
            <w:vAlign w:val="bottom"/>
          </w:tcPr>
          <w:p>
            <w:pPr>
              <w:spacing w:after="0"/>
              <w:rPr>
                <w:sz w:val="24"/>
                <w:szCs w:val="24"/>
                <w:color w:val="auto"/>
              </w:rPr>
            </w:pPr>
          </w:p>
        </w:tc>
      </w:tr>
      <w:tr>
        <w:trPr>
          <w:trHeight w:val="372"/>
        </w:trPr>
        <w:tc>
          <w:tcPr>
            <w:tcW w:w="31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w w:val="90"/>
              </w:rPr>
              <w:t>Interest will be payable quarterly on January 15, April 15, July 15 and October 15 of each year,</w:t>
            </w:r>
          </w:p>
        </w:tc>
      </w:tr>
      <w:tr>
        <w:trPr>
          <w:trHeight w:val="222"/>
        </w:trPr>
        <w:tc>
          <w:tcPr>
            <w:tcW w:w="3120" w:type="dxa"/>
            <w:vAlign w:val="bottom"/>
          </w:tcPr>
          <w:p>
            <w:pPr>
              <w:spacing w:after="0"/>
              <w:rPr>
                <w:sz w:val="19"/>
                <w:szCs w:val="19"/>
                <w:color w:val="auto"/>
              </w:rPr>
            </w:pP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rPr>
              <w:t>beginning on January 15, 2016.</w:t>
            </w:r>
          </w:p>
        </w:tc>
        <w:tc>
          <w:tcPr>
            <w:tcW w:w="1680" w:type="dxa"/>
            <w:vAlign w:val="bottom"/>
          </w:tcPr>
          <w:p>
            <w:pPr>
              <w:spacing w:after="0"/>
              <w:rPr>
                <w:sz w:val="19"/>
                <w:szCs w:val="19"/>
                <w:color w:val="auto"/>
              </w:rPr>
            </w:pPr>
          </w:p>
        </w:tc>
      </w:tr>
      <w:tr>
        <w:trPr>
          <w:trHeight w:val="358"/>
        </w:trPr>
        <w:tc>
          <w:tcPr>
            <w:tcW w:w="3120" w:type="dxa"/>
            <w:vAlign w:val="bottom"/>
          </w:tcPr>
          <w:p>
            <w:pPr>
              <w:spacing w:after="0"/>
              <w:rPr>
                <w:sz w:val="20"/>
                <w:szCs w:val="20"/>
                <w:color w:val="auto"/>
              </w:rPr>
            </w:pPr>
            <w:r>
              <w:rPr>
                <w:rFonts w:ascii="Arial" w:cs="Arial" w:eastAsia="Arial" w:hAnsi="Arial"/>
                <w:sz w:val="18"/>
                <w:szCs w:val="18"/>
                <w:color w:val="auto"/>
              </w:rPr>
              <w:t>Deferral of interest payments</w:t>
            </w: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w w:val="87"/>
              </w:rPr>
              <w:t>We may elect to defer interest payments, in which case the deferred interest will accrue interest at</w:t>
            </w:r>
          </w:p>
        </w:tc>
      </w:tr>
      <w:tr>
        <w:trPr>
          <w:trHeight w:val="216"/>
        </w:trPr>
        <w:tc>
          <w:tcPr>
            <w:tcW w:w="3120" w:type="dxa"/>
            <w:vAlign w:val="bottom"/>
          </w:tcPr>
          <w:p>
            <w:pPr>
              <w:spacing w:after="0"/>
              <w:rPr>
                <w:sz w:val="18"/>
                <w:szCs w:val="18"/>
                <w:color w:val="auto"/>
              </w:rPr>
            </w:pP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rPr>
              <w:t>the stated interest rate, as described under “Description of Notes—Deferral of Interest</w:t>
            </w:r>
          </w:p>
        </w:tc>
      </w:tr>
      <w:tr>
        <w:trPr>
          <w:trHeight w:val="222"/>
        </w:trPr>
        <w:tc>
          <w:tcPr>
            <w:tcW w:w="3120" w:type="dxa"/>
            <w:vAlign w:val="bottom"/>
          </w:tcPr>
          <w:p>
            <w:pPr>
              <w:spacing w:after="0"/>
              <w:rPr>
                <w:sz w:val="19"/>
                <w:szCs w:val="19"/>
                <w:color w:val="auto"/>
              </w:rPr>
            </w:pPr>
          </w:p>
        </w:tc>
        <w:tc>
          <w:tcPr>
            <w:tcW w:w="1920" w:type="dxa"/>
            <w:vAlign w:val="bottom"/>
          </w:tcPr>
          <w:p>
            <w:pPr>
              <w:ind w:left="1080"/>
              <w:spacing w:after="0"/>
              <w:rPr>
                <w:sz w:val="20"/>
                <w:szCs w:val="20"/>
                <w:color w:val="auto"/>
              </w:rPr>
            </w:pPr>
            <w:r>
              <w:rPr>
                <w:rFonts w:ascii="Arial" w:cs="Arial" w:eastAsia="Arial" w:hAnsi="Arial"/>
                <w:sz w:val="18"/>
                <w:szCs w:val="18"/>
                <w:color w:val="auto"/>
                <w:w w:val="90"/>
              </w:rPr>
              <w:t>Payments.”</w:t>
            </w:r>
          </w:p>
        </w:tc>
        <w:tc>
          <w:tcPr>
            <w:tcW w:w="43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65"/>
        </w:trPr>
        <w:tc>
          <w:tcPr>
            <w:tcW w:w="3120" w:type="dxa"/>
            <w:vAlign w:val="bottom"/>
          </w:tcPr>
          <w:p>
            <w:pPr>
              <w:spacing w:after="0"/>
              <w:rPr>
                <w:sz w:val="20"/>
                <w:szCs w:val="20"/>
                <w:color w:val="auto"/>
              </w:rPr>
            </w:pPr>
            <w:r>
              <w:rPr>
                <w:rFonts w:ascii="Arial" w:cs="Arial" w:eastAsia="Arial" w:hAnsi="Arial"/>
                <w:sz w:val="18"/>
                <w:szCs w:val="18"/>
                <w:color w:val="auto"/>
              </w:rPr>
              <w:t>Stated maturity date</w:t>
            </w: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w w:val="94"/>
              </w:rPr>
              <w:t>October 15, 2018, subject to postponement in limited circumstances.</w:t>
            </w:r>
          </w:p>
        </w:tc>
        <w:tc>
          <w:tcPr>
            <w:tcW w:w="1680" w:type="dxa"/>
            <w:vAlign w:val="bottom"/>
          </w:tcPr>
          <w:p>
            <w:pPr>
              <w:spacing w:after="0"/>
              <w:rPr>
                <w:sz w:val="24"/>
                <w:szCs w:val="24"/>
                <w:color w:val="auto"/>
              </w:rPr>
            </w:pPr>
          </w:p>
        </w:tc>
      </w:tr>
      <w:tr>
        <w:trPr>
          <w:trHeight w:val="378"/>
        </w:trPr>
        <w:tc>
          <w:tcPr>
            <w:tcW w:w="3120" w:type="dxa"/>
            <w:vAlign w:val="bottom"/>
          </w:tcPr>
          <w:p>
            <w:pPr>
              <w:spacing w:after="0"/>
              <w:rPr>
                <w:sz w:val="20"/>
                <w:szCs w:val="20"/>
                <w:color w:val="auto"/>
              </w:rPr>
            </w:pPr>
            <w:r>
              <w:rPr>
                <w:rFonts w:ascii="Arial" w:cs="Arial" w:eastAsia="Arial" w:hAnsi="Arial"/>
                <w:sz w:val="18"/>
                <w:szCs w:val="18"/>
                <w:color w:val="auto"/>
              </w:rPr>
              <w:t>No redemption</w:t>
            </w:r>
          </w:p>
        </w:tc>
        <w:tc>
          <w:tcPr>
            <w:tcW w:w="6260" w:type="dxa"/>
            <w:vAlign w:val="bottom"/>
            <w:gridSpan w:val="2"/>
          </w:tcPr>
          <w:p>
            <w:pPr>
              <w:ind w:left="1080"/>
              <w:spacing w:after="0"/>
              <w:rPr>
                <w:sz w:val="20"/>
                <w:szCs w:val="20"/>
                <w:color w:val="auto"/>
              </w:rPr>
            </w:pPr>
            <w:r>
              <w:rPr>
                <w:rFonts w:ascii="Arial" w:cs="Arial" w:eastAsia="Arial" w:hAnsi="Arial"/>
                <w:sz w:val="18"/>
                <w:szCs w:val="18"/>
                <w:color w:val="auto"/>
                <w:w w:val="90"/>
              </w:rPr>
              <w:t>The notes may not be redeemed by Weatherford Bermuda at its option.</w:t>
            </w:r>
          </w:p>
        </w:tc>
        <w:tc>
          <w:tcPr>
            <w:tcW w:w="1680" w:type="dxa"/>
            <w:vAlign w:val="bottom"/>
          </w:tcPr>
          <w:p>
            <w:pPr>
              <w:spacing w:after="0"/>
              <w:rPr>
                <w:sz w:val="24"/>
                <w:szCs w:val="24"/>
                <w:color w:val="auto"/>
              </w:rPr>
            </w:pPr>
          </w:p>
        </w:tc>
      </w:tr>
      <w:tr>
        <w:trPr>
          <w:trHeight w:val="372"/>
        </w:trPr>
        <w:tc>
          <w:tcPr>
            <w:tcW w:w="3120" w:type="dxa"/>
            <w:vAlign w:val="bottom"/>
          </w:tcPr>
          <w:p>
            <w:pPr>
              <w:spacing w:after="0"/>
              <w:rPr>
                <w:sz w:val="20"/>
                <w:szCs w:val="20"/>
                <w:color w:val="auto"/>
              </w:rPr>
            </w:pPr>
            <w:r>
              <w:rPr>
                <w:rFonts w:ascii="Arial" w:cs="Arial" w:eastAsia="Arial" w:hAnsi="Arial"/>
                <w:sz w:val="18"/>
                <w:szCs w:val="18"/>
                <w:color w:val="auto"/>
              </w:rPr>
              <w:t>Mandatory exchange</w:t>
            </w: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w w:val="95"/>
              </w:rPr>
              <w:t>On the stated maturity date, each note, unless previously exchanged, will be automatically</w:t>
            </w:r>
          </w:p>
        </w:tc>
      </w:tr>
      <w:tr>
        <w:trPr>
          <w:trHeight w:val="216"/>
        </w:trPr>
        <w:tc>
          <w:tcPr>
            <w:tcW w:w="3120" w:type="dxa"/>
            <w:vAlign w:val="bottom"/>
          </w:tcPr>
          <w:p>
            <w:pPr>
              <w:spacing w:after="0"/>
              <w:rPr>
                <w:sz w:val="18"/>
                <w:szCs w:val="18"/>
                <w:color w:val="auto"/>
              </w:rPr>
            </w:pP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w w:val="91"/>
              </w:rPr>
              <w:t>exchanged into ordinary shares of our parent company, Weatherford, based on the respective</w:t>
            </w:r>
          </w:p>
        </w:tc>
      </w:tr>
      <w:tr>
        <w:trPr>
          <w:trHeight w:val="222"/>
        </w:trPr>
        <w:tc>
          <w:tcPr>
            <w:tcW w:w="3120" w:type="dxa"/>
            <w:vAlign w:val="bottom"/>
          </w:tcPr>
          <w:p>
            <w:pPr>
              <w:spacing w:after="0"/>
              <w:rPr>
                <w:sz w:val="19"/>
                <w:szCs w:val="19"/>
                <w:color w:val="auto"/>
              </w:rPr>
            </w:pPr>
          </w:p>
        </w:tc>
        <w:tc>
          <w:tcPr>
            <w:tcW w:w="7940" w:type="dxa"/>
            <w:vAlign w:val="bottom"/>
            <w:gridSpan w:val="3"/>
          </w:tcPr>
          <w:p>
            <w:pPr>
              <w:ind w:left="1080"/>
              <w:spacing w:after="0"/>
              <w:rPr>
                <w:sz w:val="20"/>
                <w:szCs w:val="20"/>
                <w:color w:val="auto"/>
              </w:rPr>
            </w:pPr>
            <w:r>
              <w:rPr>
                <w:rFonts w:ascii="Arial" w:cs="Arial" w:eastAsia="Arial" w:hAnsi="Arial"/>
                <w:sz w:val="18"/>
                <w:szCs w:val="18"/>
                <w:color w:val="auto"/>
                <w:w w:val="90"/>
              </w:rPr>
              <w:t>exchange rates as described under “Description of Notes—Exchange of the Notes—Mandatory</w:t>
            </w:r>
          </w:p>
        </w:tc>
      </w:tr>
    </w:tbl>
    <w:p>
      <w:pPr>
        <w:ind w:left="4400" w:right="180"/>
        <w:spacing w:after="0" w:line="361" w:lineRule="auto"/>
        <w:rPr>
          <w:sz w:val="20"/>
          <w:szCs w:val="20"/>
          <w:color w:val="auto"/>
        </w:rPr>
      </w:pPr>
      <w:r>
        <w:rPr>
          <w:rFonts w:ascii="Arial" w:cs="Arial" w:eastAsia="Arial" w:hAnsi="Arial"/>
          <w:sz w:val="15"/>
          <w:szCs w:val="15"/>
          <w:color w:val="auto"/>
        </w:rPr>
        <w:t>Exchange.” Upon any such exchange, holders will be entitled to all accrued and unpaid interest (including deferred interest) on such notes up to (but excluding) the stated maturity date.</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Exchange rate at stated maturity</w:t>
            </w:r>
          </w:p>
        </w:tc>
        <w:tc>
          <w:tcPr>
            <w:tcW w:w="7020" w:type="dxa"/>
            <w:vAlign w:val="bottom"/>
            <w:gridSpan w:val="4"/>
          </w:tcPr>
          <w:p>
            <w:pPr>
              <w:ind w:left="820"/>
              <w:spacing w:after="0"/>
              <w:rPr>
                <w:sz w:val="20"/>
                <w:szCs w:val="20"/>
                <w:color w:val="auto"/>
              </w:rPr>
            </w:pPr>
            <w:r>
              <w:rPr>
                <w:rFonts w:ascii="Arial" w:cs="Arial" w:eastAsia="Arial" w:hAnsi="Arial"/>
                <w:sz w:val="18"/>
                <w:szCs w:val="18"/>
                <w:color w:val="auto"/>
                <w:w w:val="88"/>
              </w:rPr>
              <w:t>The exchange rate for the notes exchanged on the stated maturity date will not be more</w:t>
            </w:r>
          </w:p>
        </w:tc>
        <w:tc>
          <w:tcPr>
            <w:tcW w:w="64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640" w:type="dxa"/>
            <w:vAlign w:val="bottom"/>
          </w:tcPr>
          <w:p>
            <w:pPr>
              <w:ind w:left="820"/>
              <w:spacing w:after="0"/>
              <w:rPr>
                <w:sz w:val="20"/>
                <w:szCs w:val="20"/>
                <w:color w:val="auto"/>
              </w:rPr>
            </w:pPr>
            <w:r>
              <w:rPr>
                <w:rFonts w:ascii="Arial" w:cs="Arial" w:eastAsia="Arial" w:hAnsi="Arial"/>
                <w:sz w:val="18"/>
                <w:szCs w:val="18"/>
                <w:color w:val="auto"/>
              </w:rPr>
              <w:t>than</w:t>
            </w:r>
          </w:p>
        </w:tc>
        <w:tc>
          <w:tcPr>
            <w:tcW w:w="6020" w:type="dxa"/>
            <w:vAlign w:val="bottom"/>
            <w:gridSpan w:val="4"/>
          </w:tcPr>
          <w:p>
            <w:pPr>
              <w:ind w:left="60"/>
              <w:spacing w:after="0"/>
              <w:rPr>
                <w:sz w:val="20"/>
                <w:szCs w:val="20"/>
                <w:color w:val="auto"/>
              </w:rPr>
            </w:pPr>
            <w:r>
              <w:rPr>
                <w:rFonts w:ascii="Arial" w:cs="Arial" w:eastAsia="Arial" w:hAnsi="Arial"/>
                <w:sz w:val="18"/>
                <w:szCs w:val="18"/>
                <w:color w:val="auto"/>
                <w:w w:val="91"/>
              </w:rPr>
              <w:t>ordinary shares per $25 principal amount of notes (the “maximum exchange rate”)</w:t>
            </w:r>
          </w:p>
        </w:tc>
      </w:tr>
      <w:tr>
        <w:trPr>
          <w:trHeight w:val="216"/>
        </w:trPr>
        <w:tc>
          <w:tcPr>
            <w:tcW w:w="3380" w:type="dxa"/>
            <w:vAlign w:val="bottom"/>
          </w:tcPr>
          <w:p>
            <w:pPr>
              <w:spacing w:after="0"/>
              <w:rPr>
                <w:sz w:val="18"/>
                <w:szCs w:val="18"/>
                <w:color w:val="auto"/>
              </w:rPr>
            </w:pPr>
          </w:p>
        </w:tc>
        <w:tc>
          <w:tcPr>
            <w:tcW w:w="2540" w:type="dxa"/>
            <w:vAlign w:val="bottom"/>
            <w:gridSpan w:val="2"/>
          </w:tcPr>
          <w:p>
            <w:pPr>
              <w:ind w:left="820"/>
              <w:spacing w:after="0"/>
              <w:rPr>
                <w:sz w:val="20"/>
                <w:szCs w:val="20"/>
                <w:color w:val="auto"/>
              </w:rPr>
            </w:pPr>
            <w:r>
              <w:rPr>
                <w:rFonts w:ascii="Arial" w:cs="Arial" w:eastAsia="Arial" w:hAnsi="Arial"/>
                <w:sz w:val="18"/>
                <w:szCs w:val="18"/>
                <w:color w:val="auto"/>
              </w:rPr>
              <w:t>and not less than</w:t>
            </w:r>
          </w:p>
        </w:tc>
        <w:tc>
          <w:tcPr>
            <w:tcW w:w="5120" w:type="dxa"/>
            <w:vAlign w:val="bottom"/>
            <w:gridSpan w:val="3"/>
          </w:tcPr>
          <w:p>
            <w:pPr>
              <w:ind w:left="20"/>
              <w:spacing w:after="0"/>
              <w:rPr>
                <w:sz w:val="20"/>
                <w:szCs w:val="20"/>
                <w:color w:val="auto"/>
              </w:rPr>
            </w:pPr>
            <w:r>
              <w:rPr>
                <w:rFonts w:ascii="Arial" w:cs="Arial" w:eastAsia="Arial" w:hAnsi="Arial"/>
                <w:sz w:val="18"/>
                <w:szCs w:val="18"/>
                <w:color w:val="auto"/>
                <w:w w:val="98"/>
              </w:rPr>
              <w:t>ordinary shares per $25 principal amount of notes (the “minimum</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93"/>
              </w:rPr>
              <w:t>exchange rate”), subject in each case to certain anti-dilution adjustments, depending on the</w:t>
            </w:r>
          </w:p>
        </w:tc>
      </w:tr>
      <w:tr>
        <w:trPr>
          <w:trHeight w:val="216"/>
        </w:trPr>
        <w:tc>
          <w:tcPr>
            <w:tcW w:w="3380" w:type="dxa"/>
            <w:vAlign w:val="bottom"/>
          </w:tcPr>
          <w:p>
            <w:pPr>
              <w:spacing w:after="0"/>
              <w:rPr>
                <w:sz w:val="18"/>
                <w:szCs w:val="18"/>
                <w:color w:val="auto"/>
              </w:rPr>
            </w:pPr>
          </w:p>
        </w:tc>
        <w:tc>
          <w:tcPr>
            <w:tcW w:w="7020" w:type="dxa"/>
            <w:vAlign w:val="bottom"/>
            <w:gridSpan w:val="4"/>
          </w:tcPr>
          <w:p>
            <w:pPr>
              <w:ind w:left="820"/>
              <w:spacing w:after="0"/>
              <w:rPr>
                <w:sz w:val="20"/>
                <w:szCs w:val="20"/>
                <w:color w:val="auto"/>
              </w:rPr>
            </w:pPr>
            <w:r>
              <w:rPr>
                <w:rFonts w:ascii="Arial" w:cs="Arial" w:eastAsia="Arial" w:hAnsi="Arial"/>
                <w:sz w:val="18"/>
                <w:szCs w:val="18"/>
                <w:color w:val="auto"/>
                <w:w w:val="87"/>
              </w:rPr>
              <w:t>applicable market value of the ordinary shares as described herein. For this purpose, the</w:t>
            </w:r>
          </w:p>
        </w:tc>
        <w:tc>
          <w:tcPr>
            <w:tcW w:w="64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88"/>
              </w:rPr>
              <w:t>applicable market value of the ordinary shares will be the average of the last reported sale prices</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91"/>
              </w:rPr>
              <w:t>of the ordinary shares over the 20 trading day period beginning on the 23rd scheduled trading</w:t>
            </w:r>
          </w:p>
        </w:tc>
      </w:tr>
      <w:tr>
        <w:trPr>
          <w:trHeight w:val="222"/>
        </w:trPr>
        <w:tc>
          <w:tcPr>
            <w:tcW w:w="3380" w:type="dxa"/>
            <w:vAlign w:val="bottom"/>
          </w:tcPr>
          <w:p>
            <w:pPr>
              <w:spacing w:after="0"/>
              <w:rPr>
                <w:sz w:val="19"/>
                <w:szCs w:val="19"/>
                <w:color w:val="auto"/>
              </w:rPr>
            </w:pPr>
          </w:p>
        </w:tc>
        <w:tc>
          <w:tcPr>
            <w:tcW w:w="3640" w:type="dxa"/>
            <w:vAlign w:val="bottom"/>
            <w:gridSpan w:val="3"/>
          </w:tcPr>
          <w:p>
            <w:pPr>
              <w:ind w:left="820"/>
              <w:spacing w:after="0"/>
              <w:rPr>
                <w:sz w:val="20"/>
                <w:szCs w:val="20"/>
                <w:color w:val="auto"/>
              </w:rPr>
            </w:pPr>
            <w:r>
              <w:rPr>
                <w:rFonts w:ascii="Arial" w:cs="Arial" w:eastAsia="Arial" w:hAnsi="Arial"/>
                <w:sz w:val="18"/>
                <w:szCs w:val="18"/>
                <w:color w:val="auto"/>
              </w:rPr>
              <w:t>day prior to October 15, 2018.</w:t>
            </w:r>
          </w:p>
        </w:tc>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58"/>
        </w:trPr>
        <w:tc>
          <w:tcPr>
            <w:tcW w:w="3380" w:type="dxa"/>
            <w:vAlign w:val="bottom"/>
          </w:tcPr>
          <w:p>
            <w:pPr>
              <w:spacing w:after="0"/>
              <w:rPr>
                <w:sz w:val="24"/>
                <w:szCs w:val="24"/>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92"/>
              </w:rPr>
              <w:t>The following table illustrates the exchange rate per $25 principal amount of notes, subject to</w:t>
            </w:r>
          </w:p>
        </w:tc>
      </w:tr>
      <w:tr>
        <w:trPr>
          <w:trHeight w:val="222"/>
        </w:trPr>
        <w:tc>
          <w:tcPr>
            <w:tcW w:w="3380" w:type="dxa"/>
            <w:vAlign w:val="bottom"/>
          </w:tcPr>
          <w:p>
            <w:pPr>
              <w:spacing w:after="0"/>
              <w:rPr>
                <w:sz w:val="19"/>
                <w:szCs w:val="19"/>
                <w:color w:val="auto"/>
              </w:rPr>
            </w:pPr>
          </w:p>
        </w:tc>
        <w:tc>
          <w:tcPr>
            <w:tcW w:w="7020" w:type="dxa"/>
            <w:vAlign w:val="bottom"/>
            <w:gridSpan w:val="4"/>
          </w:tcPr>
          <w:p>
            <w:pPr>
              <w:ind w:left="820"/>
              <w:spacing w:after="0"/>
              <w:rPr>
                <w:sz w:val="20"/>
                <w:szCs w:val="20"/>
                <w:color w:val="auto"/>
              </w:rPr>
            </w:pPr>
            <w:r>
              <w:rPr>
                <w:rFonts w:ascii="Arial" w:cs="Arial" w:eastAsia="Arial" w:hAnsi="Arial"/>
                <w:sz w:val="18"/>
                <w:szCs w:val="18"/>
                <w:color w:val="auto"/>
              </w:rPr>
              <w:t>certain anti-dilution adjustments described in this prospectus supplement.</w:t>
            </w:r>
          </w:p>
        </w:tc>
        <w:tc>
          <w:tcPr>
            <w:tcW w:w="640" w:type="dxa"/>
            <w:vAlign w:val="bottom"/>
          </w:tcPr>
          <w:p>
            <w:pPr>
              <w:spacing w:after="0"/>
              <w:rPr>
                <w:sz w:val="19"/>
                <w:szCs w:val="19"/>
                <w:color w:val="auto"/>
              </w:rPr>
            </w:pPr>
          </w:p>
        </w:tc>
      </w:tr>
      <w:tr>
        <w:trPr>
          <w:trHeight w:val="365"/>
        </w:trPr>
        <w:tc>
          <w:tcPr>
            <w:tcW w:w="3380" w:type="dxa"/>
            <w:vAlign w:val="bottom"/>
          </w:tcPr>
          <w:p>
            <w:pPr>
              <w:spacing w:after="0"/>
              <w:rPr>
                <w:sz w:val="24"/>
                <w:szCs w:val="24"/>
                <w:color w:val="auto"/>
              </w:rPr>
            </w:pPr>
          </w:p>
        </w:tc>
        <w:tc>
          <w:tcPr>
            <w:tcW w:w="3640" w:type="dxa"/>
            <w:vAlign w:val="bottom"/>
            <w:gridSpan w:val="3"/>
          </w:tcPr>
          <w:p>
            <w:pPr>
              <w:ind w:left="820"/>
              <w:spacing w:after="0"/>
              <w:rPr>
                <w:sz w:val="20"/>
                <w:szCs w:val="20"/>
                <w:color w:val="auto"/>
              </w:rPr>
            </w:pPr>
            <w:r>
              <w:rPr>
                <w:rFonts w:ascii="Arial" w:cs="Arial" w:eastAsia="Arial" w:hAnsi="Arial"/>
                <w:sz w:val="18"/>
                <w:szCs w:val="18"/>
                <w:b w:val="1"/>
                <w:bCs w:val="1"/>
                <w:color w:val="auto"/>
              </w:rPr>
              <w:t>Applicable Market Value</w:t>
            </w:r>
          </w:p>
        </w:tc>
        <w:tc>
          <w:tcPr>
            <w:tcW w:w="3380" w:type="dxa"/>
            <w:vAlign w:val="bottom"/>
          </w:tcPr>
          <w:p>
            <w:pPr>
              <w:ind w:left="700"/>
              <w:spacing w:after="0"/>
              <w:rPr>
                <w:sz w:val="20"/>
                <w:szCs w:val="20"/>
                <w:color w:val="auto"/>
              </w:rPr>
            </w:pPr>
            <w:r>
              <w:rPr>
                <w:rFonts w:ascii="Arial" w:cs="Arial" w:eastAsia="Arial" w:hAnsi="Arial"/>
                <w:sz w:val="18"/>
                <w:szCs w:val="18"/>
                <w:b w:val="1"/>
                <w:bCs w:val="1"/>
                <w:color w:val="auto"/>
              </w:rPr>
              <w:t>Exchange Rate</w:t>
            </w:r>
          </w:p>
        </w:tc>
        <w:tc>
          <w:tcPr>
            <w:tcW w:w="64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2540" w:type="dxa"/>
            <w:vAlign w:val="bottom"/>
            <w:gridSpan w:val="2"/>
          </w:tcPr>
          <w:p>
            <w:pPr>
              <w:ind w:left="820"/>
              <w:spacing w:after="0"/>
              <w:rPr>
                <w:sz w:val="20"/>
                <w:szCs w:val="20"/>
                <w:color w:val="auto"/>
              </w:rPr>
            </w:pPr>
            <w:r>
              <w:rPr>
                <w:rFonts w:ascii="Arial" w:cs="Arial" w:eastAsia="Arial" w:hAnsi="Arial"/>
                <w:sz w:val="18"/>
                <w:szCs w:val="18"/>
                <w:color w:val="auto"/>
                <w:w w:val="92"/>
              </w:rPr>
              <w:t>Less than or equal to $</w:t>
            </w:r>
          </w:p>
        </w:tc>
        <w:tc>
          <w:tcPr>
            <w:tcW w:w="1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1640" w:type="dxa"/>
            <w:vAlign w:val="bottom"/>
          </w:tcPr>
          <w:p>
            <w:pPr>
              <w:ind w:left="820"/>
              <w:spacing w:after="0"/>
              <w:rPr>
                <w:sz w:val="20"/>
                <w:szCs w:val="20"/>
                <w:color w:val="auto"/>
              </w:rPr>
            </w:pPr>
            <w:r>
              <w:rPr>
                <w:rFonts w:ascii="Arial" w:cs="Arial" w:eastAsia="Arial" w:hAnsi="Arial"/>
                <w:sz w:val="18"/>
                <w:szCs w:val="18"/>
                <w:color w:val="auto"/>
                <w:w w:val="94"/>
              </w:rPr>
              <w:t>Between $</w:t>
            </w:r>
          </w:p>
        </w:tc>
        <w:tc>
          <w:tcPr>
            <w:tcW w:w="900" w:type="dxa"/>
            <w:vAlign w:val="bottom"/>
          </w:tcPr>
          <w:p>
            <w:pPr>
              <w:ind w:left="500"/>
              <w:spacing w:after="0"/>
              <w:rPr>
                <w:sz w:val="20"/>
                <w:szCs w:val="20"/>
                <w:color w:val="auto"/>
              </w:rPr>
            </w:pPr>
            <w:r>
              <w:rPr>
                <w:rFonts w:ascii="Arial" w:cs="Arial" w:eastAsia="Arial" w:hAnsi="Arial"/>
                <w:sz w:val="18"/>
                <w:szCs w:val="18"/>
                <w:color w:val="auto"/>
                <w:w w:val="84"/>
              </w:rPr>
              <w:t>and $</w:t>
            </w:r>
          </w:p>
        </w:tc>
        <w:tc>
          <w:tcPr>
            <w:tcW w:w="1100" w:type="dxa"/>
            <w:vAlign w:val="bottom"/>
          </w:tcPr>
          <w:p>
            <w:pPr>
              <w:spacing w:after="0"/>
              <w:rPr>
                <w:sz w:val="24"/>
                <w:szCs w:val="24"/>
                <w:color w:val="auto"/>
              </w:rPr>
            </w:pPr>
          </w:p>
        </w:tc>
        <w:tc>
          <w:tcPr>
            <w:tcW w:w="3380" w:type="dxa"/>
            <w:vAlign w:val="bottom"/>
          </w:tcPr>
          <w:p>
            <w:pPr>
              <w:ind w:left="700"/>
              <w:spacing w:after="0"/>
              <w:rPr>
                <w:sz w:val="20"/>
                <w:szCs w:val="20"/>
                <w:color w:val="auto"/>
              </w:rPr>
            </w:pPr>
            <w:r>
              <w:rPr>
                <w:rFonts w:ascii="Arial" w:cs="Arial" w:eastAsia="Arial" w:hAnsi="Arial"/>
                <w:sz w:val="18"/>
                <w:szCs w:val="18"/>
                <w:color w:val="auto"/>
              </w:rPr>
              <w:t>$25 divided by the</w:t>
            </w:r>
          </w:p>
        </w:tc>
        <w:tc>
          <w:tcPr>
            <w:tcW w:w="64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3640" w:type="dxa"/>
            <w:vAlign w:val="bottom"/>
            <w:gridSpan w:val="3"/>
          </w:tcPr>
          <w:p>
            <w:pPr>
              <w:ind w:left="820"/>
              <w:spacing w:after="0"/>
              <w:rPr>
                <w:sz w:val="20"/>
                <w:szCs w:val="20"/>
                <w:color w:val="auto"/>
              </w:rPr>
            </w:pPr>
            <w:r>
              <w:rPr>
                <w:rFonts w:ascii="Arial" w:cs="Arial" w:eastAsia="Arial" w:hAnsi="Arial"/>
                <w:sz w:val="18"/>
                <w:szCs w:val="18"/>
                <w:color w:val="auto"/>
              </w:rPr>
              <w:t>Equal to or greater than $</w:t>
            </w: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8"/>
        </w:trPr>
        <w:tc>
          <w:tcPr>
            <w:tcW w:w="3380" w:type="dxa"/>
            <w:vAlign w:val="bottom"/>
          </w:tcPr>
          <w:p>
            <w:pPr>
              <w:spacing w:after="0"/>
              <w:rPr>
                <w:sz w:val="20"/>
                <w:szCs w:val="20"/>
                <w:color w:val="auto"/>
              </w:rPr>
            </w:pPr>
            <w:r>
              <w:rPr>
                <w:rFonts w:ascii="Arial" w:cs="Arial" w:eastAsia="Arial" w:hAnsi="Arial"/>
                <w:sz w:val="18"/>
                <w:szCs w:val="18"/>
                <w:color w:val="auto"/>
              </w:rPr>
              <w:t>Exchange at the option of the holder</w:t>
            </w: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89"/>
              </w:rPr>
              <w:t>Holders of the notes have the right to exchange their notes, in whole or in part, at any time prior</w:t>
            </w:r>
          </w:p>
        </w:tc>
      </w:tr>
      <w:tr>
        <w:trPr>
          <w:trHeight w:val="216"/>
        </w:trPr>
        <w:tc>
          <w:tcPr>
            <w:tcW w:w="3380" w:type="dxa"/>
            <w:vAlign w:val="bottom"/>
          </w:tcPr>
          <w:p>
            <w:pPr>
              <w:spacing w:after="0"/>
              <w:rPr>
                <w:sz w:val="18"/>
                <w:szCs w:val="18"/>
                <w:color w:val="auto"/>
              </w:rPr>
            </w:pPr>
          </w:p>
        </w:tc>
        <w:tc>
          <w:tcPr>
            <w:tcW w:w="7020" w:type="dxa"/>
            <w:vAlign w:val="bottom"/>
            <w:gridSpan w:val="4"/>
          </w:tcPr>
          <w:p>
            <w:pPr>
              <w:ind w:left="820"/>
              <w:spacing w:after="0"/>
              <w:rPr>
                <w:sz w:val="20"/>
                <w:szCs w:val="20"/>
                <w:color w:val="auto"/>
              </w:rPr>
            </w:pPr>
            <w:r>
              <w:rPr>
                <w:rFonts w:ascii="Arial" w:cs="Arial" w:eastAsia="Arial" w:hAnsi="Arial"/>
                <w:sz w:val="18"/>
                <w:szCs w:val="18"/>
                <w:color w:val="auto"/>
                <w:w w:val="96"/>
              </w:rPr>
              <w:t>to the stated maturity date, into ordinary shares at the minimum exchange rate of</w:t>
            </w:r>
          </w:p>
        </w:tc>
        <w:tc>
          <w:tcPr>
            <w:tcW w:w="640" w:type="dxa"/>
            <w:vAlign w:val="bottom"/>
          </w:tcPr>
          <w:p>
            <w:pPr>
              <w:ind w:left="40"/>
              <w:spacing w:after="0"/>
              <w:rPr>
                <w:sz w:val="20"/>
                <w:szCs w:val="20"/>
                <w:color w:val="auto"/>
              </w:rPr>
            </w:pPr>
            <w:r>
              <w:rPr>
                <w:rFonts w:ascii="Arial" w:cs="Arial" w:eastAsia="Arial" w:hAnsi="Arial"/>
                <w:sz w:val="18"/>
                <w:szCs w:val="18"/>
                <w:color w:val="auto"/>
                <w:w w:val="89"/>
              </w:rPr>
              <w:t>ordinary</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89"/>
              </w:rPr>
              <w:t>shares per $25 principal amount of notes, subject to adjustment as described under “Description</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89"/>
              </w:rPr>
              <w:t>of Notes—Exchange Rate Adjustments.” Upon any such exchange, holders will be entitled to all</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92"/>
              </w:rPr>
              <w:t>accrued and unpaid interest (including deferred interest) from the prior date on which interest</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90"/>
              </w:rPr>
              <w:t>was paid on the notes through the interest payment date immediately preceding the applicable</w:t>
            </w:r>
          </w:p>
        </w:tc>
      </w:tr>
      <w:tr>
        <w:trPr>
          <w:trHeight w:val="222"/>
        </w:trPr>
        <w:tc>
          <w:tcPr>
            <w:tcW w:w="3380" w:type="dxa"/>
            <w:vAlign w:val="bottom"/>
          </w:tcPr>
          <w:p>
            <w:pPr>
              <w:spacing w:after="0"/>
              <w:rPr>
                <w:sz w:val="19"/>
                <w:szCs w:val="19"/>
                <w:color w:val="auto"/>
              </w:rPr>
            </w:pPr>
          </w:p>
        </w:tc>
        <w:tc>
          <w:tcPr>
            <w:tcW w:w="7020" w:type="dxa"/>
            <w:vAlign w:val="bottom"/>
            <w:gridSpan w:val="4"/>
          </w:tcPr>
          <w:p>
            <w:pPr>
              <w:ind w:left="820"/>
              <w:spacing w:after="0"/>
              <w:rPr>
                <w:sz w:val="20"/>
                <w:szCs w:val="20"/>
                <w:color w:val="auto"/>
              </w:rPr>
            </w:pPr>
            <w:r>
              <w:rPr>
                <w:rFonts w:ascii="Arial" w:cs="Arial" w:eastAsia="Arial" w:hAnsi="Arial"/>
                <w:sz w:val="18"/>
                <w:szCs w:val="18"/>
                <w:color w:val="auto"/>
                <w:w w:val="89"/>
              </w:rPr>
              <w:t>exchange date. Such amounts will be payable in cash or ordinary shares at our option.</w:t>
            </w:r>
          </w:p>
        </w:tc>
        <w:tc>
          <w:tcPr>
            <w:tcW w:w="640" w:type="dxa"/>
            <w:vAlign w:val="bottom"/>
          </w:tcPr>
          <w:p>
            <w:pPr>
              <w:spacing w:after="0"/>
              <w:rPr>
                <w:sz w:val="19"/>
                <w:szCs w:val="19"/>
                <w:color w:val="auto"/>
              </w:rPr>
            </w:pPr>
          </w:p>
        </w:tc>
      </w:tr>
      <w:tr>
        <w:trPr>
          <w:trHeight w:val="358"/>
        </w:trPr>
        <w:tc>
          <w:tcPr>
            <w:tcW w:w="3380" w:type="dxa"/>
            <w:vAlign w:val="bottom"/>
          </w:tcPr>
          <w:p>
            <w:pPr>
              <w:spacing w:after="0"/>
              <w:rPr>
                <w:sz w:val="20"/>
                <w:szCs w:val="20"/>
                <w:color w:val="auto"/>
              </w:rPr>
            </w:pPr>
            <w:r>
              <w:rPr>
                <w:rFonts w:ascii="Arial" w:cs="Arial" w:eastAsia="Arial" w:hAnsi="Arial"/>
                <w:sz w:val="18"/>
                <w:szCs w:val="18"/>
                <w:color w:val="auto"/>
              </w:rPr>
              <w:t>Exchange upon fundamental change</w:t>
            </w: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93"/>
              </w:rPr>
              <w:t>If a fundamental change (as defined under “Description of Notes—Exchange of the Notes—</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89"/>
              </w:rPr>
              <w:t>Exchange upon Fundamental Change”) occurs prior to October 15, 2018, holders will be entitled</w:t>
            </w:r>
          </w:p>
        </w:tc>
      </w:tr>
      <w:tr>
        <w:trPr>
          <w:trHeight w:val="216"/>
        </w:trPr>
        <w:tc>
          <w:tcPr>
            <w:tcW w:w="3380" w:type="dxa"/>
            <w:vAlign w:val="bottom"/>
          </w:tcPr>
          <w:p>
            <w:pPr>
              <w:spacing w:after="0"/>
              <w:rPr>
                <w:sz w:val="18"/>
                <w:szCs w:val="18"/>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95"/>
              </w:rPr>
              <w:t>to submit their notes for exchange at any time during the period (the “fundamental change</w:t>
            </w:r>
          </w:p>
        </w:tc>
      </w:tr>
      <w:tr>
        <w:trPr>
          <w:trHeight w:val="222"/>
        </w:trPr>
        <w:tc>
          <w:tcPr>
            <w:tcW w:w="3380" w:type="dxa"/>
            <w:vAlign w:val="bottom"/>
          </w:tcPr>
          <w:p>
            <w:pPr>
              <w:spacing w:after="0"/>
              <w:rPr>
                <w:sz w:val="19"/>
                <w:szCs w:val="19"/>
                <w:color w:val="auto"/>
              </w:rPr>
            </w:pPr>
          </w:p>
        </w:tc>
        <w:tc>
          <w:tcPr>
            <w:tcW w:w="7660" w:type="dxa"/>
            <w:vAlign w:val="bottom"/>
            <w:gridSpan w:val="5"/>
          </w:tcPr>
          <w:p>
            <w:pPr>
              <w:ind w:left="820"/>
              <w:spacing w:after="0"/>
              <w:rPr>
                <w:sz w:val="20"/>
                <w:szCs w:val="20"/>
                <w:color w:val="auto"/>
              </w:rPr>
            </w:pPr>
            <w:r>
              <w:rPr>
                <w:rFonts w:ascii="Arial" w:cs="Arial" w:eastAsia="Arial" w:hAnsi="Arial"/>
                <w:sz w:val="18"/>
                <w:szCs w:val="18"/>
                <w:color w:val="auto"/>
                <w:w w:val="88"/>
              </w:rPr>
              <w:t>exchange period”) beginning on the effective date of such fundamental change (the “fundamental</w:t>
            </w:r>
          </w:p>
        </w:tc>
      </w:tr>
    </w:tbl>
    <w:p>
      <w:pPr>
        <w:ind w:left="4400"/>
        <w:spacing w:after="0" w:line="290" w:lineRule="auto"/>
        <w:rPr>
          <w:sz w:val="20"/>
          <w:szCs w:val="20"/>
          <w:color w:val="auto"/>
        </w:rPr>
      </w:pPr>
      <w:r>
        <w:rPr>
          <w:rFonts w:ascii="Arial" w:cs="Arial" w:eastAsia="Arial" w:hAnsi="Arial"/>
          <w:sz w:val="16"/>
          <w:szCs w:val="16"/>
          <w:color w:val="auto"/>
        </w:rPr>
        <w:t>change effective date”) and ending on the earlier of (a) the stated maturity date and (b) the date that is 20 days after the fundamental change effective date at the exchange rate (the “fundamental change exchange rate”) specified in the table set forth under “Description of Notes—Exchange of the Notes—Exchange upon Fundamental Change.” In addition, for any notes that are exchanged during the applicable fundamental change exchange period, we will either increase the exchange rate or deliver cash in an amount equal to the fundamental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60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1"/>
              </w:rPr>
              <w:t>change interest make-whole amount as described under “Description of Notes—Exchange of the</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6"/>
              </w:rPr>
              <w:t>Notes—Exchange upon Fundamental Change—Fundamental Change Interest Make-Whole</w:t>
            </w:r>
          </w:p>
        </w:tc>
      </w:tr>
      <w:tr>
        <w:trPr>
          <w:trHeight w:val="222"/>
        </w:trPr>
        <w:tc>
          <w:tcPr>
            <w:tcW w:w="3600" w:type="dxa"/>
            <w:vAlign w:val="bottom"/>
            <w:tcBorders>
              <w:left w:val="single" w:sz="8" w:color="auto"/>
            </w:tcBorders>
          </w:tcPr>
          <w:p>
            <w:pPr>
              <w:spacing w:after="0"/>
              <w:rPr>
                <w:sz w:val="19"/>
                <w:szCs w:val="19"/>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Payment.”</w:t>
            </w:r>
          </w:p>
        </w:tc>
      </w:tr>
      <w:tr>
        <w:trPr>
          <w:trHeight w:val="358"/>
        </w:trPr>
        <w:tc>
          <w:tcPr>
            <w:tcW w:w="3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upon a change in tax law</w:t>
            </w: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1"/>
              </w:rPr>
              <w:t>If Weatherford Bermuda becomes obligated to pay additional amounts as a result of a change in</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tax law (as defined under “Description of Notes—Exchange of the Notes—Mandatory Exchange</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at Our Option upon a Change in Tax Law”), it may, at its option, cause all but not less than all of</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the notes to be exchanged into ordinary shares at the fundamental change exchange rate as</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described under “Description of Notes—Exchange of the Notes—Mandatory Exchange at Our</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Option upon a Change in Tax Law.” Upon any such exchange, we will also either increase the</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89"/>
              </w:rPr>
              <w:t>exchange rate or deliver cash in an amount equal to the interest make-whole amount as described</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under “Description of Notes—Exchange of the Notes—Mandatory Exchange at our Option upon</w:t>
            </w:r>
          </w:p>
        </w:tc>
      </w:tr>
      <w:tr>
        <w:trPr>
          <w:trHeight w:val="222"/>
        </w:trPr>
        <w:tc>
          <w:tcPr>
            <w:tcW w:w="3600" w:type="dxa"/>
            <w:vAlign w:val="bottom"/>
            <w:tcBorders>
              <w:left w:val="single" w:sz="8" w:color="auto"/>
            </w:tcBorders>
          </w:tcPr>
          <w:p>
            <w:pPr>
              <w:spacing w:after="0"/>
              <w:rPr>
                <w:sz w:val="19"/>
                <w:szCs w:val="19"/>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 Change in Tax Law.”</w:t>
            </w:r>
          </w:p>
        </w:tc>
      </w:tr>
      <w:tr>
        <w:trPr>
          <w:trHeight w:val="358"/>
        </w:trPr>
        <w:tc>
          <w:tcPr>
            <w:tcW w:w="3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upon acceleration of notes</w:t>
            </w: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0"/>
              </w:rPr>
              <w:t>If the notes are accelerated in connection with an event of default, then upon such acceleration, to</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8"/>
              </w:rPr>
              <w:t>the extent permitted by law, all outstanding notes will: (1) be exchanged automatically into</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1"/>
              </w:rPr>
              <w:t>ordinary shares at the maximum exchange rate, and (2) the holders of such notes will be entitled</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8"/>
              </w:rPr>
              <w:t>to a cash payment equal to the interest make-whole amount. See “Description of Notes—</w:t>
            </w:r>
          </w:p>
        </w:tc>
      </w:tr>
      <w:tr>
        <w:trPr>
          <w:trHeight w:val="222"/>
        </w:trPr>
        <w:tc>
          <w:tcPr>
            <w:tcW w:w="3600" w:type="dxa"/>
            <w:vAlign w:val="bottom"/>
            <w:tcBorders>
              <w:left w:val="single" w:sz="8" w:color="auto"/>
            </w:tcBorders>
          </w:tcPr>
          <w:p>
            <w:pPr>
              <w:spacing w:after="0"/>
              <w:rPr>
                <w:sz w:val="19"/>
                <w:szCs w:val="19"/>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Exchange of the Notes—Automatic Exchange upon Acceleration of the Notes.”</w:t>
            </w:r>
          </w:p>
        </w:tc>
      </w:tr>
      <w:tr>
        <w:trPr>
          <w:trHeight w:val="358"/>
        </w:trPr>
        <w:tc>
          <w:tcPr>
            <w:tcW w:w="3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6"/>
              </w:rPr>
              <w:t>The notes and the guarantee will be Weatherford Bermuda’s and Weatherford’s unsecured,</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subordinated obligations. Your right to payment under the notes and the guarantee will be junior</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6"/>
              </w:rPr>
              <w:t>to the rights of the holders of Weatherford Bermuda’s and Weatherford’s existing and future</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senior indebtedness, as applicable. Your right to payment under the notes and the guarantee is</w:t>
            </w:r>
          </w:p>
        </w:tc>
      </w:tr>
      <w:tr>
        <w:trPr>
          <w:trHeight w:val="222"/>
        </w:trPr>
        <w:tc>
          <w:tcPr>
            <w:tcW w:w="3600" w:type="dxa"/>
            <w:vAlign w:val="bottom"/>
            <w:tcBorders>
              <w:left w:val="single" w:sz="8" w:color="auto"/>
            </w:tcBorders>
          </w:tcPr>
          <w:p>
            <w:pPr>
              <w:spacing w:after="0"/>
              <w:rPr>
                <w:sz w:val="19"/>
                <w:szCs w:val="19"/>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also structurally subordinated to holders of indebtedness of our subsidiaries.</w:t>
            </w:r>
          </w:p>
        </w:tc>
      </w:tr>
      <w:tr>
        <w:trPr>
          <w:trHeight w:val="358"/>
        </w:trPr>
        <w:tc>
          <w:tcPr>
            <w:tcW w:w="360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In the event of acceleration of the notes following an event of default, including in connection</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with certain bankruptcy events, the notes will automatically be exchanged into ordinary shares if</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1"/>
              </w:rPr>
              <w:t>permitted by law, and to that extent will cease to represent a debt claim against Weatherford’s or</w:t>
            </w:r>
          </w:p>
        </w:tc>
      </w:tr>
      <w:tr>
        <w:trPr>
          <w:trHeight w:val="222"/>
        </w:trPr>
        <w:tc>
          <w:tcPr>
            <w:tcW w:w="3600" w:type="dxa"/>
            <w:vAlign w:val="bottom"/>
            <w:tcBorders>
              <w:left w:val="single" w:sz="8" w:color="auto"/>
            </w:tcBorders>
          </w:tcPr>
          <w:p>
            <w:pPr>
              <w:spacing w:after="0"/>
              <w:rPr>
                <w:sz w:val="19"/>
                <w:szCs w:val="19"/>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Weatherford Bermuda’s assets.</w:t>
            </w:r>
          </w:p>
        </w:tc>
      </w:tr>
      <w:tr>
        <w:trPr>
          <w:trHeight w:val="358"/>
        </w:trPr>
        <w:tc>
          <w:tcPr>
            <w:tcW w:w="360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As of June 30, 2015, we had total consolidated indebtedness of $7.8 billion, substantially all of</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which was unsecured indebtedness of Weatherford Bermuda or its subsidiaries guaranteed by</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1"/>
              </w:rPr>
              <w:t>Weatherford and/or Weatherford Bermuda and to which the notes would have been contractually</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0"/>
              </w:rPr>
              <w:t>subordinated. See “Risk Factors—Risks Relating to the Notes—The notes and the guarantee are</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contractually subordinated to our unsecured indebtedness and if a default occurs Weatherford</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Bermuda and Weatherford may not have sufficient funds to fulfill the obligations under the notes</w:t>
            </w:r>
          </w:p>
        </w:tc>
      </w:tr>
      <w:tr>
        <w:trPr>
          <w:trHeight w:val="222"/>
        </w:trPr>
        <w:tc>
          <w:tcPr>
            <w:tcW w:w="3600" w:type="dxa"/>
            <w:vAlign w:val="bottom"/>
            <w:tcBorders>
              <w:left w:val="single" w:sz="8" w:color="auto"/>
            </w:tcBorders>
          </w:tcPr>
          <w:p>
            <w:pPr>
              <w:spacing w:after="0"/>
              <w:rPr>
                <w:sz w:val="19"/>
                <w:szCs w:val="19"/>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and the guarantee.”</w:t>
            </w:r>
          </w:p>
        </w:tc>
      </w:tr>
      <w:tr>
        <w:trPr>
          <w:trHeight w:val="358"/>
        </w:trPr>
        <w:tc>
          <w:tcPr>
            <w:tcW w:w="3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Additional amounts</w:t>
            </w: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1"/>
              </w:rPr>
              <w:t>All payments and deliveries made by or on behalf of Weatherford Bermuda, Weatherford, or any</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successor thereto, as applicable, will be made without withholding or deduction for taxes</w:t>
            </w:r>
          </w:p>
        </w:tc>
      </w:tr>
      <w:tr>
        <w:trPr>
          <w:trHeight w:val="216"/>
        </w:trPr>
        <w:tc>
          <w:tcPr>
            <w:tcW w:w="360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imposed by a relevant jurisdiction, unless such withholding or deduction is required by law. If</w:t>
            </w:r>
          </w:p>
        </w:tc>
      </w:tr>
      <w:tr>
        <w:trPr>
          <w:trHeight w:val="222"/>
        </w:trPr>
        <w:tc>
          <w:tcPr>
            <w:tcW w:w="3600" w:type="dxa"/>
            <w:vAlign w:val="bottom"/>
            <w:tcBorders>
              <w:left w:val="single" w:sz="8" w:color="auto"/>
            </w:tcBorders>
          </w:tcPr>
          <w:p>
            <w:pPr>
              <w:spacing w:after="0"/>
              <w:rPr>
                <w:sz w:val="19"/>
                <w:szCs w:val="19"/>
                <w:color w:val="auto"/>
              </w:rPr>
            </w:pPr>
          </w:p>
        </w:tc>
        <w:tc>
          <w:tcPr>
            <w:tcW w:w="7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any such withholding or deduction is required, Weatherford</w:t>
            </w:r>
          </w:p>
        </w:tc>
      </w:tr>
      <w:tr>
        <w:trPr>
          <w:trHeight w:val="161"/>
        </w:trPr>
        <w:tc>
          <w:tcPr>
            <w:tcW w:w="3600" w:type="dxa"/>
            <w:vAlign w:val="bottom"/>
            <w:tcBorders>
              <w:left w:val="single" w:sz="8" w:color="auto"/>
              <w:bottom w:val="single" w:sz="8" w:color="auto"/>
            </w:tcBorders>
          </w:tcPr>
          <w:p>
            <w:pPr>
              <w:spacing w:after="0"/>
              <w:rPr>
                <w:sz w:val="13"/>
                <w:szCs w:val="13"/>
                <w:color w:val="auto"/>
              </w:rPr>
            </w:pPr>
          </w:p>
        </w:tc>
        <w:tc>
          <w:tcPr>
            <w:tcW w:w="7860" w:type="dxa"/>
            <w:vAlign w:val="bottom"/>
            <w:tcBorders>
              <w:bottom w:val="single" w:sz="8" w:color="auto"/>
              <w:right w:val="single" w:sz="8" w:color="auto"/>
            </w:tcBorders>
          </w:tcPr>
          <w:p>
            <w:pPr>
              <w:spacing w:after="0"/>
              <w:rPr>
                <w:sz w:val="13"/>
                <w:szCs w:val="13"/>
                <w:color w:val="auto"/>
              </w:rPr>
            </w:pPr>
          </w:p>
        </w:tc>
      </w:tr>
      <w:tr>
        <w:trPr>
          <w:trHeight w:val="359"/>
        </w:trPr>
        <w:tc>
          <w:tcPr>
            <w:tcW w:w="3600" w:type="dxa"/>
            <w:vAlign w:val="bottom"/>
          </w:tcPr>
          <w:p>
            <w:pPr>
              <w:spacing w:after="0"/>
              <w:rPr>
                <w:sz w:val="24"/>
                <w:szCs w:val="24"/>
                <w:color w:val="auto"/>
              </w:rPr>
            </w:pPr>
          </w:p>
        </w:tc>
        <w:tc>
          <w:tcPr>
            <w:tcW w:w="7860" w:type="dxa"/>
            <w:vAlign w:val="bottom"/>
          </w:tcPr>
          <w:p>
            <w:pPr>
              <w:ind w:left="20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2012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300"/>
        <w:spacing w:after="0" w:line="294" w:lineRule="auto"/>
        <w:rPr>
          <w:sz w:val="20"/>
          <w:szCs w:val="20"/>
          <w:color w:val="auto"/>
        </w:rPr>
      </w:pPr>
      <w:r>
        <w:rPr>
          <w:rFonts w:ascii="Arial" w:cs="Arial" w:eastAsia="Arial" w:hAnsi="Arial"/>
          <w:sz w:val="16"/>
          <w:szCs w:val="16"/>
          <w:color w:val="auto"/>
        </w:rPr>
        <w:t>Bermuda, Weatherford, or any successor thereto, as applicable, will, in certain cases and subject to certain exceptions, pay such additional amounts as may be necessary so that the net amount received by beneficial owners of the notes after such withholding or deduction will not be less than the amount that would have been received in the absence of such withholding or deduction. See “Description of Notes—Additional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5"/>
              </w:rPr>
              <w:t>We intend to use the net proceeds from this offering to pre-fund potential acquisitions and for</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0"/>
              </w:rPr>
              <w:t>general corporate purposes. Pending such use, we expect to use the net proceeds of this offering</w:t>
            </w:r>
          </w:p>
        </w:tc>
      </w:tr>
      <w:tr>
        <w:trPr>
          <w:trHeight w:val="216"/>
        </w:trPr>
        <w:tc>
          <w:tcPr>
            <w:tcW w:w="3520" w:type="dxa"/>
            <w:vAlign w:val="bottom"/>
          </w:tcPr>
          <w:p>
            <w:pPr>
              <w:spacing w:after="0"/>
              <w:rPr>
                <w:sz w:val="18"/>
                <w:szCs w:val="18"/>
                <w:color w:val="auto"/>
              </w:rPr>
            </w:pPr>
          </w:p>
        </w:tc>
        <w:tc>
          <w:tcPr>
            <w:tcW w:w="2940" w:type="dxa"/>
            <w:vAlign w:val="bottom"/>
            <w:gridSpan w:val="2"/>
          </w:tcPr>
          <w:p>
            <w:pPr>
              <w:ind w:left="880"/>
              <w:spacing w:after="0"/>
              <w:rPr>
                <w:sz w:val="20"/>
                <w:szCs w:val="20"/>
                <w:color w:val="auto"/>
              </w:rPr>
            </w:pPr>
            <w:r>
              <w:rPr>
                <w:rFonts w:ascii="Arial" w:cs="Arial" w:eastAsia="Arial" w:hAnsi="Arial"/>
                <w:sz w:val="18"/>
                <w:szCs w:val="18"/>
                <w:color w:val="auto"/>
              </w:rPr>
              <w:t>to temporarily reduce $</w:t>
            </w: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w w:val="99"/>
              </w:rPr>
              <w:t>million of borrowings under our revolving credit facility and to</w:t>
            </w:r>
          </w:p>
        </w:tc>
      </w:tr>
      <w:tr>
        <w:trPr>
          <w:trHeight w:val="222"/>
        </w:trPr>
        <w:tc>
          <w:tcPr>
            <w:tcW w:w="3520" w:type="dxa"/>
            <w:vAlign w:val="bottom"/>
          </w:tcPr>
          <w:p>
            <w:pPr>
              <w:spacing w:after="0"/>
              <w:rPr>
                <w:sz w:val="19"/>
                <w:szCs w:val="19"/>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rPr>
              <w:t>repay borrowings under our commercial paper program. See “Use of Proceeds.”</w:t>
            </w:r>
          </w:p>
        </w:tc>
      </w:tr>
      <w:tr>
        <w:trPr>
          <w:trHeight w:val="358"/>
        </w:trPr>
        <w:tc>
          <w:tcPr>
            <w:tcW w:w="3520" w:type="dxa"/>
            <w:vAlign w:val="bottom"/>
          </w:tcPr>
          <w:p>
            <w:pPr>
              <w:ind w:left="200"/>
              <w:spacing w:after="0"/>
              <w:rPr>
                <w:sz w:val="20"/>
                <w:szCs w:val="20"/>
                <w:color w:val="auto"/>
              </w:rPr>
            </w:pPr>
            <w:r>
              <w:rPr>
                <w:rFonts w:ascii="Arial" w:cs="Arial" w:eastAsia="Arial" w:hAnsi="Arial"/>
                <w:sz w:val="18"/>
                <w:szCs w:val="18"/>
                <w:color w:val="auto"/>
              </w:rPr>
              <w:t>Book-entry, delivery and form</w:t>
            </w: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8"/>
              </w:rPr>
              <w:t>The notes will be initially issued in the form of one or more registered notes in global form,</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5"/>
              </w:rPr>
              <w:t>without interest coupons (the “global notes”). Upon issuance, each of the global notes will be</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rPr>
              <w:t>deposited with the trustee as custodian for The Depository Trust Company, or DTC, and</w:t>
            </w:r>
          </w:p>
        </w:tc>
      </w:tr>
      <w:tr>
        <w:trPr>
          <w:trHeight w:val="222"/>
        </w:trPr>
        <w:tc>
          <w:tcPr>
            <w:tcW w:w="3520" w:type="dxa"/>
            <w:vAlign w:val="bottom"/>
          </w:tcPr>
          <w:p>
            <w:pPr>
              <w:spacing w:after="0"/>
              <w:rPr>
                <w:sz w:val="19"/>
                <w:szCs w:val="19"/>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rPr>
              <w:t>registered in the name of Cede &amp; Co., as nominee of DTC.</w:t>
            </w:r>
          </w:p>
        </w:tc>
      </w:tr>
      <w:tr>
        <w:trPr>
          <w:trHeight w:val="358"/>
        </w:trPr>
        <w:tc>
          <w:tcPr>
            <w:tcW w:w="3520" w:type="dxa"/>
            <w:vAlign w:val="bottom"/>
          </w:tcPr>
          <w:p>
            <w:pPr>
              <w:ind w:left="200"/>
              <w:spacing w:after="0"/>
              <w:rPr>
                <w:sz w:val="20"/>
                <w:szCs w:val="20"/>
                <w:color w:val="auto"/>
              </w:rPr>
            </w:pPr>
            <w:r>
              <w:rPr>
                <w:rFonts w:ascii="Arial" w:cs="Arial" w:eastAsia="Arial" w:hAnsi="Arial"/>
                <w:sz w:val="18"/>
                <w:szCs w:val="18"/>
                <w:color w:val="auto"/>
              </w:rPr>
              <w:t>Concurrent ordinary share offering</w:t>
            </w: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1"/>
              </w:rPr>
              <w:t>Concurrently with this offering of notes, under a separate prospectus supplement, Weatherford is</w:t>
            </w:r>
          </w:p>
        </w:tc>
      </w:tr>
      <w:tr>
        <w:trPr>
          <w:trHeight w:val="216"/>
        </w:trPr>
        <w:tc>
          <w:tcPr>
            <w:tcW w:w="3520" w:type="dxa"/>
            <w:vAlign w:val="bottom"/>
          </w:tcPr>
          <w:p>
            <w:pPr>
              <w:spacing w:after="0"/>
              <w:rPr>
                <w:sz w:val="18"/>
                <w:szCs w:val="18"/>
                <w:color w:val="auto"/>
              </w:rPr>
            </w:pPr>
          </w:p>
        </w:tc>
        <w:tc>
          <w:tcPr>
            <w:tcW w:w="1720" w:type="dxa"/>
            <w:vAlign w:val="bottom"/>
          </w:tcPr>
          <w:p>
            <w:pPr>
              <w:ind w:left="880"/>
              <w:spacing w:after="0"/>
              <w:rPr>
                <w:sz w:val="20"/>
                <w:szCs w:val="20"/>
                <w:color w:val="auto"/>
              </w:rPr>
            </w:pPr>
            <w:r>
              <w:rPr>
                <w:rFonts w:ascii="Arial" w:cs="Arial" w:eastAsia="Arial" w:hAnsi="Arial"/>
                <w:sz w:val="18"/>
                <w:szCs w:val="18"/>
                <w:color w:val="auto"/>
              </w:rPr>
              <w:t>offering</w:t>
            </w:r>
          </w:p>
        </w:tc>
        <w:tc>
          <w:tcPr>
            <w:tcW w:w="2180" w:type="dxa"/>
            <w:vAlign w:val="bottom"/>
            <w:gridSpan w:val="2"/>
          </w:tcPr>
          <w:p>
            <w:pPr>
              <w:ind w:left="300"/>
              <w:spacing w:after="0"/>
              <w:rPr>
                <w:sz w:val="20"/>
                <w:szCs w:val="20"/>
                <w:color w:val="auto"/>
              </w:rPr>
            </w:pPr>
            <w:r>
              <w:rPr>
                <w:rFonts w:ascii="Arial" w:cs="Arial" w:eastAsia="Arial" w:hAnsi="Arial"/>
                <w:sz w:val="18"/>
                <w:szCs w:val="18"/>
                <w:color w:val="auto"/>
              </w:rPr>
              <w:t>ordinary shares (or</w:t>
            </w:r>
          </w:p>
        </w:tc>
        <w:tc>
          <w:tcPr>
            <w:tcW w:w="4040" w:type="dxa"/>
            <w:vAlign w:val="bottom"/>
          </w:tcPr>
          <w:p>
            <w:pPr>
              <w:spacing w:after="0"/>
              <w:rPr>
                <w:sz w:val="20"/>
                <w:szCs w:val="20"/>
                <w:color w:val="auto"/>
              </w:rPr>
            </w:pPr>
            <w:r>
              <w:rPr>
                <w:rFonts w:ascii="Arial" w:cs="Arial" w:eastAsia="Arial" w:hAnsi="Arial"/>
                <w:sz w:val="18"/>
                <w:szCs w:val="18"/>
                <w:color w:val="auto"/>
              </w:rPr>
              <w:t>ordinary shares if the underwriters in that offering</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2"/>
              </w:rPr>
              <w:t>exercise in full their over-allotment option to purchase additional ordinary shares with respect to</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5"/>
              </w:rPr>
              <w:t>that offering). The Ordinary Share Offering is not part of the offering to which this prospectus</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3"/>
              </w:rPr>
              <w:t>supplement relates. This offering is not contingent on the consummation of the Ordinary Share</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6"/>
              </w:rPr>
              <w:t>Offering or any potential acquisition, and the Ordinary Share Offering is not contingent upon</w:t>
            </w:r>
          </w:p>
        </w:tc>
      </w:tr>
      <w:tr>
        <w:trPr>
          <w:trHeight w:val="222"/>
        </w:trPr>
        <w:tc>
          <w:tcPr>
            <w:tcW w:w="3520" w:type="dxa"/>
            <w:vAlign w:val="bottom"/>
          </w:tcPr>
          <w:p>
            <w:pPr>
              <w:spacing w:after="0"/>
              <w:rPr>
                <w:sz w:val="19"/>
                <w:szCs w:val="19"/>
                <w:color w:val="auto"/>
              </w:rPr>
            </w:pPr>
          </w:p>
        </w:tc>
        <w:tc>
          <w:tcPr>
            <w:tcW w:w="2940" w:type="dxa"/>
            <w:vAlign w:val="bottom"/>
            <w:gridSpan w:val="2"/>
          </w:tcPr>
          <w:p>
            <w:pPr>
              <w:ind w:left="880"/>
              <w:spacing w:after="0"/>
              <w:rPr>
                <w:sz w:val="20"/>
                <w:szCs w:val="20"/>
                <w:color w:val="auto"/>
              </w:rPr>
            </w:pPr>
            <w:r>
              <w:rPr>
                <w:rFonts w:ascii="Arial" w:cs="Arial" w:eastAsia="Arial" w:hAnsi="Arial"/>
                <w:sz w:val="18"/>
                <w:szCs w:val="18"/>
                <w:color w:val="auto"/>
                <w:w w:val="97"/>
              </w:rPr>
              <w:t>completion of this offering.</w:t>
            </w:r>
          </w:p>
        </w:tc>
        <w:tc>
          <w:tcPr>
            <w:tcW w:w="96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358"/>
        </w:trPr>
        <w:tc>
          <w:tcPr>
            <w:tcW w:w="352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2"/>
              </w:rPr>
              <w:t>Investing in our notes involves risks. Before deciding to invest in our notes, you should carefully</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7"/>
              </w:rPr>
              <w:t>read and consider the information set forth in the “Risk Factors” and “Cautionary Statement</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3"/>
              </w:rPr>
              <w:t>Regarding Forward-Looking Statements” sections of this prospectus supplement and the “Risk</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8"/>
              </w:rPr>
              <w:t>Factors” section of the Form 10-K, and all other information set forth in, or incorporated by</w:t>
            </w:r>
          </w:p>
        </w:tc>
      </w:tr>
      <w:tr>
        <w:trPr>
          <w:trHeight w:val="222"/>
        </w:trPr>
        <w:tc>
          <w:tcPr>
            <w:tcW w:w="3520" w:type="dxa"/>
            <w:vAlign w:val="bottom"/>
          </w:tcPr>
          <w:p>
            <w:pPr>
              <w:spacing w:after="0"/>
              <w:rPr>
                <w:sz w:val="19"/>
                <w:szCs w:val="19"/>
                <w:color w:val="auto"/>
              </w:rPr>
            </w:pPr>
          </w:p>
        </w:tc>
        <w:tc>
          <w:tcPr>
            <w:tcW w:w="3900" w:type="dxa"/>
            <w:vAlign w:val="bottom"/>
            <w:gridSpan w:val="3"/>
          </w:tcPr>
          <w:p>
            <w:pPr>
              <w:ind w:left="880"/>
              <w:spacing w:after="0"/>
              <w:rPr>
                <w:sz w:val="20"/>
                <w:szCs w:val="20"/>
                <w:color w:val="auto"/>
              </w:rPr>
            </w:pPr>
            <w:r>
              <w:rPr>
                <w:rFonts w:ascii="Arial" w:cs="Arial" w:eastAsia="Arial" w:hAnsi="Arial"/>
                <w:sz w:val="18"/>
                <w:szCs w:val="18"/>
                <w:color w:val="auto"/>
                <w:w w:val="87"/>
              </w:rPr>
              <w:t>reference into, this prospectus supplement.</w:t>
            </w:r>
          </w:p>
        </w:tc>
        <w:tc>
          <w:tcPr>
            <w:tcW w:w="4040" w:type="dxa"/>
            <w:vAlign w:val="bottom"/>
          </w:tcPr>
          <w:p>
            <w:pPr>
              <w:spacing w:after="0"/>
              <w:rPr>
                <w:sz w:val="19"/>
                <w:szCs w:val="19"/>
                <w:color w:val="auto"/>
              </w:rPr>
            </w:pPr>
          </w:p>
        </w:tc>
      </w:tr>
      <w:tr>
        <w:trPr>
          <w:trHeight w:val="358"/>
        </w:trPr>
        <w:tc>
          <w:tcPr>
            <w:tcW w:w="3520" w:type="dxa"/>
            <w:vAlign w:val="bottom"/>
          </w:tcPr>
          <w:p>
            <w:pPr>
              <w:ind w:left="200"/>
              <w:spacing w:after="0"/>
              <w:rPr>
                <w:sz w:val="20"/>
                <w:szCs w:val="20"/>
                <w:color w:val="auto"/>
              </w:rPr>
            </w:pPr>
            <w:r>
              <w:rPr>
                <w:rFonts w:ascii="Arial" w:cs="Arial" w:eastAsia="Arial" w:hAnsi="Arial"/>
                <w:sz w:val="18"/>
                <w:szCs w:val="18"/>
                <w:color w:val="auto"/>
              </w:rPr>
              <w:t>Listing and trading symbol</w:t>
            </w: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6"/>
              </w:rPr>
              <w:t>We will apply to list the notes on the NYSE as promptly as practicable following the offering.</w:t>
            </w:r>
          </w:p>
        </w:tc>
      </w:tr>
      <w:tr>
        <w:trPr>
          <w:trHeight w:val="222"/>
        </w:trPr>
        <w:tc>
          <w:tcPr>
            <w:tcW w:w="3520" w:type="dxa"/>
            <w:vAlign w:val="bottom"/>
          </w:tcPr>
          <w:p>
            <w:pPr>
              <w:spacing w:after="0"/>
              <w:rPr>
                <w:sz w:val="19"/>
                <w:szCs w:val="19"/>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rPr>
              <w:t>The ordinary shares are listed for trading on the NYSE under the symbol “WFT.”</w:t>
            </w:r>
          </w:p>
        </w:tc>
      </w:tr>
      <w:tr>
        <w:trPr>
          <w:trHeight w:val="358"/>
        </w:trPr>
        <w:tc>
          <w:tcPr>
            <w:tcW w:w="3520" w:type="dxa"/>
            <w:vAlign w:val="bottom"/>
          </w:tcPr>
          <w:p>
            <w:pPr>
              <w:ind w:left="200"/>
              <w:spacing w:after="0"/>
              <w:rPr>
                <w:sz w:val="20"/>
                <w:szCs w:val="20"/>
                <w:color w:val="auto"/>
              </w:rPr>
            </w:pPr>
            <w:r>
              <w:rPr>
                <w:rFonts w:ascii="Arial" w:cs="Arial" w:eastAsia="Arial" w:hAnsi="Arial"/>
                <w:sz w:val="18"/>
                <w:szCs w:val="18"/>
                <w:color w:val="auto"/>
              </w:rPr>
              <w:t>Conflicts of interest</w:t>
            </w: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5"/>
              </w:rPr>
              <w:t>Affiliates of Citigroup Global Markets Inc. and Wells Fargo Securities, LLC are lenders under</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2"/>
              </w:rPr>
              <w:t>Weatherford’s revolving credit facility. To the extent we use proceeds from this offering to repay</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4"/>
              </w:rPr>
              <w:t>indebtedness under our revolving credit facility, such affiliates may receive proceeds from this</w:t>
            </w:r>
          </w:p>
        </w:tc>
      </w:tr>
      <w:tr>
        <w:trPr>
          <w:trHeight w:val="216"/>
        </w:trPr>
        <w:tc>
          <w:tcPr>
            <w:tcW w:w="3520" w:type="dxa"/>
            <w:vAlign w:val="bottom"/>
          </w:tcPr>
          <w:p>
            <w:pPr>
              <w:spacing w:after="0"/>
              <w:rPr>
                <w:sz w:val="18"/>
                <w:szCs w:val="18"/>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w w:val="96"/>
              </w:rPr>
              <w:t>offering. See “Underwriting (Conflicts of Interest)—Conflicts of Interest.” In addition, affiliates</w:t>
            </w:r>
          </w:p>
        </w:tc>
      </w:tr>
      <w:tr>
        <w:trPr>
          <w:trHeight w:val="222"/>
        </w:trPr>
        <w:tc>
          <w:tcPr>
            <w:tcW w:w="3520" w:type="dxa"/>
            <w:vAlign w:val="bottom"/>
          </w:tcPr>
          <w:p>
            <w:pPr>
              <w:spacing w:after="0"/>
              <w:rPr>
                <w:sz w:val="19"/>
                <w:szCs w:val="19"/>
                <w:color w:val="auto"/>
              </w:rPr>
            </w:pPr>
          </w:p>
        </w:tc>
        <w:tc>
          <w:tcPr>
            <w:tcW w:w="7940" w:type="dxa"/>
            <w:vAlign w:val="bottom"/>
            <w:gridSpan w:val="4"/>
          </w:tcPr>
          <w:p>
            <w:pPr>
              <w:ind w:left="880"/>
              <w:spacing w:after="0"/>
              <w:rPr>
                <w:sz w:val="20"/>
                <w:szCs w:val="20"/>
                <w:color w:val="auto"/>
              </w:rPr>
            </w:pPr>
            <w:r>
              <w:rPr>
                <w:rFonts w:ascii="Arial" w:cs="Arial" w:eastAsia="Arial" w:hAnsi="Arial"/>
                <w:sz w:val="18"/>
                <w:szCs w:val="18"/>
                <w:color w:val="auto"/>
              </w:rPr>
              <w:t>of certain of the underwriters may hold notes under our commercial paper program.</w:t>
            </w:r>
          </w:p>
        </w:tc>
      </w:tr>
      <w:tr>
        <w:trPr>
          <w:trHeight w:val="161"/>
        </w:trPr>
        <w:tc>
          <w:tcPr>
            <w:tcW w:w="35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40" w:type="dxa"/>
            <w:vAlign w:val="bottom"/>
            <w:tcBorders>
              <w:bottom w:val="single" w:sz="8" w:color="auto"/>
            </w:tcBorders>
          </w:tcPr>
          <w:p>
            <w:pPr>
              <w:spacing w:after="0"/>
              <w:rPr>
                <w:sz w:val="13"/>
                <w:szCs w:val="13"/>
                <w:color w:val="auto"/>
              </w:rPr>
            </w:pPr>
          </w:p>
        </w:tc>
      </w:tr>
      <w:tr>
        <w:trPr>
          <w:trHeight w:val="359"/>
        </w:trPr>
        <w:tc>
          <w:tcPr>
            <w:tcW w:w="3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ind w:left="360"/>
              <w:spacing w:after="0"/>
              <w:rPr>
                <w:sz w:val="20"/>
                <w:szCs w:val="20"/>
                <w:color w:val="auto"/>
              </w:rPr>
            </w:pPr>
            <w:r>
              <w:rPr>
                <w:rFonts w:ascii="Arial" w:cs="Arial" w:eastAsia="Arial" w:hAnsi="Arial"/>
                <w:sz w:val="18"/>
                <w:szCs w:val="18"/>
                <w:color w:val="auto"/>
              </w:rPr>
              <w:t>S-5</w:t>
            </w:r>
          </w:p>
        </w:tc>
        <w:tc>
          <w:tcPr>
            <w:tcW w:w="96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470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we specifically state otherwise, all information in this prospectus supplement assumes no exercise by the underwriters of their over-allotment</w:t>
      </w:r>
    </w:p>
    <w:p>
      <w:pPr>
        <w:spacing w:after="0" w:line="38"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option to purchase up to an additional $ million aggregate principal amount of notes in this offering or by the underwriters in the concurrent Ordinary Share Offering of their option to purchase additional ordinary shares.</w:t>
      </w: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Investing in our notes involves a high degree of risk. Before deciding whether to purchase our notes, you should carefully consider the risks and uncertainties described below as well as those described under “Risk Factors” in the Form 10-K and in our subsequent Quarterly Reports on Form 10-Q,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r>
        <w:rPr>
          <w:rFonts w:ascii="Arial" w:cs="Arial" w:eastAsia="Arial" w:hAnsi="Arial"/>
          <w:sz w:val="16"/>
          <w:szCs w:val="16"/>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Notes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have only limited debt holder’s rights.</w:t>
      </w:r>
    </w:p>
    <w:p>
      <w:pPr>
        <w:spacing w:after="0" w:line="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Holder of notes will have only the limited rights described in this prospectus supplement and the accompanying prospectus. In particular, holders will not have the right to the repayment of the principal amount of the notes under any circumstances and instead, on the stated maturity date, each note will be automatically exchanged for the ordinary shares at the exchange rate described herein. Furthermore, upon acceleration of the notes, including in the event of Weatherford Bermuda’s or Weatherford’s bankruptcy or upon our failure to make interest payments on the notes, the notes will be automatically exchanged into ordinary shares and the payment of the interest make-whole amount (as defined in “Description of Notes—Exchange of the Notes”) to the extent permitted by law.</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such event, to the extent that the notes are exchanged into ordinary shares, holders of such ordinary shares will have claims against Weatherford’s assets only after all of Weatherford’s liabilities have been paid in full, and following the satisfaction of any claims of any of the preferred stock of Weatherford, if any. In addition, the notes will effectively rank junior to all existing and future liabilities of our subsidiaries and the capital stock (other than ordinary shares) of our subsidiaries held by third parties. The rights of holders of the notes to participate in the assets of our subsidiaries upon any liquidation or reorganization of any subsidiary will rank junior to the prior claims of that subsidiary’s creditors and holders of preferred stock, if any.</w:t>
      </w:r>
    </w:p>
    <w:p>
      <w:pPr>
        <w:spacing w:after="0" w:line="102" w:lineRule="exact"/>
        <w:rPr>
          <w:sz w:val="20"/>
          <w:szCs w:val="20"/>
          <w:color w:val="auto"/>
        </w:rPr>
      </w:pPr>
    </w:p>
    <w:p>
      <w:pPr>
        <w:ind w:left="240" w:right="860"/>
        <w:spacing w:after="0" w:line="325" w:lineRule="auto"/>
        <w:rPr>
          <w:sz w:val="20"/>
          <w:szCs w:val="20"/>
          <w:color w:val="auto"/>
        </w:rPr>
      </w:pPr>
      <w:r>
        <w:rPr>
          <w:rFonts w:ascii="Arial" w:cs="Arial" w:eastAsia="Arial" w:hAnsi="Arial"/>
          <w:sz w:val="16"/>
          <w:szCs w:val="16"/>
          <w:b w:val="1"/>
          <w:bCs w:val="1"/>
          <w:i w:val="1"/>
          <w:iCs w:val="1"/>
          <w:color w:val="auto"/>
        </w:rPr>
        <w:t>The notes and the guarantee are contractually subordinated to our unsecured indebtedness and, if a default occurs, Weatherford Bermuda and Weatherford may not have sufficient funds to fulfill the obligations under the notes and the guarantee.</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notes and the guarantee will be Weatherford Bermuda’s and Weatherford’s unsecured obligations and will rank contractually junior in right of payment to any of our existing unsecured indebtedness. In the event of Weatherford Bermuda’s and Weatherford’s bankruptcy, liquidation, reorganization or other winding up, Weatherford Bermuda’s and Weatherford’s assets will be available to pay obligations on the notes and the guarantee only after all indebtedness under such unsecured debt has been repaid in full from such assets. There may not be sufficient assets remaining to pay amounts due on any or all the notes then outstanding or under the guarantee.</w:t>
      </w:r>
    </w:p>
    <w:p>
      <w:pPr>
        <w:spacing w:after="0" w:line="129"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As of June 30, 2015, we had total consolidated indebtedness of $7.8 billion, substantially all of which was unsecured indebtedness of Weatherford Bermuda guaranteed by Weatherford and/or Weatherford Bermuda and to which the notes would have been contractually subordinated. After giving effect to the issuance</w:t>
      </w:r>
    </w:p>
    <w:p>
      <w:pPr>
        <w:ind w:right="180"/>
        <w:spacing w:after="0" w:line="261" w:lineRule="auto"/>
        <w:rPr>
          <w:sz w:val="20"/>
          <w:szCs w:val="20"/>
          <w:color w:val="auto"/>
        </w:rPr>
      </w:pPr>
      <w:r>
        <w:rPr>
          <w:rFonts w:ascii="Arial" w:cs="Arial" w:eastAsia="Arial" w:hAnsi="Arial"/>
          <w:sz w:val="18"/>
          <w:szCs w:val="18"/>
          <w:color w:val="auto"/>
        </w:rPr>
        <w:t>of the notes, our total indebtedness would have been $ billion as of June 30, 2015, substantially all of which would have been unsecured indebtedness of Weatherford Bermuda or its subsidiaries guaranteed by Weatherford and/or Weatherford Bermuda.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The guarantee is Weatherford’s obligation only and Weatherford’s operations are conducted through, and substantially all of Weatherford’s consolidated assets are held by, its subsidiaries.</w:t>
      </w:r>
    </w:p>
    <w:p>
      <w:pPr>
        <w:spacing w:after="0" w:line="3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Weatherford is a holding company that conducts all of its operations through its subsidiaries. Accordingly, Weatherford’s ability to pay the cash obligations, if any, that become due under the guarantee will depend on the results of operations of its subsidiaries and upon the ability of such subsidiaries to provide Weatherford with cash, whether in the form of dividends, loans or otherwise, to pay amounts due under the guarantee. Weatherford’s subsidiaries are separate and distinct legal entities and have no obligation, contingent or otherwise, to make payments in respect of the guarantee or the notes or to make any funds available for that purpose. In addition, dividends, loans or other distributions to Weatherford from such subsidiaries may be subject to contractual and other restrictions and are subject to other business considerations. As a result, Weatherford may not be able to pay the cash obligations, if any, that become due under the guarantee.</w:t>
      </w:r>
    </w:p>
    <w:p>
      <w:pPr>
        <w:spacing w:after="0" w:line="91"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The guarantee of the notes by Weatherford may be voidable, subordinated or limited in scope under laws governing fraudulent transfers and insolvency or under laws governing corporate authority.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U.S. federal and foreign bankruptcy laws and comparable provisions of state and foreign fraudulent transfer laws, the guarantee of the notes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Weatherford could be voided if, among other things, at the time Weatherford issued its guarantee, Weatherford:</w:t>
      </w:r>
    </w:p>
    <w:p>
      <w:pPr>
        <w:spacing w:after="0" w:line="70"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3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1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cannot be certain as to the standards a court would use to determine whether or not Weatherford was solvent at the relevant time. If the guarantee was legally challenged, the guarantee could also be subject to the claim that, since the guarantee was incurred for our benefit, and only indirectly for the benefit of Weatherford, the obligations of Weatherford were incurred for less than reasonably equivalent value or fair consideration. A court could thus void the obligations under the guarantee, subordinate them to Weatherford’s other indebtedness or take other action detrimental to the holders of the notes.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of the notes by Weatherford may be subject to review under Irish law in certain circumstances, including the following:</w:t>
      </w:r>
    </w:p>
    <w:p>
      <w:pPr>
        <w:spacing w:after="0" w:line="77" w:lineRule="exact"/>
        <w:rPr>
          <w:sz w:val="20"/>
          <w:szCs w:val="20"/>
          <w:color w:val="auto"/>
        </w:rPr>
      </w:pPr>
    </w:p>
    <w:p>
      <w:pPr>
        <w:ind w:left="660" w:right="14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having become the subject of liquidation proceedings within six months (or two years if the guarantee is given in favor of anyone who is, in relation to Weatherford, a connected person) of issuing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60"/>
        <w:spacing w:after="0" w:line="325" w:lineRule="auto"/>
        <w:rPr>
          <w:sz w:val="20"/>
          <w:szCs w:val="20"/>
          <w:color w:val="auto"/>
        </w:rPr>
      </w:pPr>
      <w:r>
        <w:rPr>
          <w:rFonts w:ascii="Arial" w:cs="Arial" w:eastAsia="Arial" w:hAnsi="Arial"/>
          <w:sz w:val="16"/>
          <w:szCs w:val="16"/>
          <w:color w:val="auto"/>
        </w:rPr>
        <w:t>the guarantee, is made the subject of an application by the liquidator, on behalf of Weatherford, to the Irish courts to void the guarantee on the grounds that the issuance of the guarantee constituted a preference over other creditors at a time when Weatherford was insolvent;</w:t>
      </w:r>
    </w:p>
    <w:p>
      <w:pPr>
        <w:spacing w:after="0" w:line="1" w:lineRule="exact"/>
        <w:rPr>
          <w:sz w:val="20"/>
          <w:szCs w:val="20"/>
          <w:color w:val="auto"/>
        </w:rPr>
      </w:pPr>
    </w:p>
    <w:p>
      <w:pPr>
        <w:ind w:left="660" w:right="10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Weatherford were wound up, the Irish courts, on the application of a liquidator or creditor, may, if it can be shown that the guarantee or any payments made thereunder constituted a fraud on Weatherford, order a return of any payments made by Weatherford under the guarantee and declare that any ordinary shares issued thereunder are void;</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guarantee is challenged on the grounds that there was no corporate benefit to Weatherford in entering into the guarantee; or</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Weatherford having become insolvent, or deemed likely to become insolvent, is made the subject of court protection under the examinership procedure (see further below) and the court approves a scheme for the compromise of debts of Weatherford.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has passed a resolution that the entry into the guarantee is in Weatherford’s best interests and for its corporate benefit. However, no assurance can be given that a court would agree with its conclusion in this regard. In addition, in an insolvency of an Irish company, the claims of certain preferential creditors (including the Irish Revenue Commissioners for certain unpaid taxes) will rank in priority to claims of unsecured creditors. If Weatherford becomes subject to an insolvency proceeding and Weatherford has obligations to creditors that are treated under Irish law as creditors that are senior relative to the holders of the notes, the holders of the notes may suffer losses as a result of their subordinated status during such insolvency proceeding.</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 court voided the guarantee or any payment under the guarantee of the notes as a result of a fraudulent transfer or held it unenforceable for any other reason, the rights of holders of the notes under the guarantee would be seriously undermined and such holders could cease to have any claim against Weatherford under its guarantee of the notes. In addition, if the guarantee is voided, we would be required to cash settle any exchanges of the notes unless a registration statement covering the ordinary shares deliverable upon exchange, if any, was effective. Weatherford Bermuda may not have sufficient resources to settle any such exchanges in cash since Weatherford Bermuda is a holding company with very limited assets (other than shares of its subsidiaries), revenue and cash flows. See “—Our holding company structure may impact our ability to meet our obligations under the notes.”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substantial number of subsidiaries of Weatherford operate or are incorporated in jurisdictions other than Ireland and the United States and may be subject to the insolvency, bankruptcy and corporation laws of such other jurisdictions. The insolvency, bankruptcy and corporation laws of these jurisdictions may differ materially from those of Ireland and those of the United States. In addition, there can be no assurance as to how the insolvency, bankruptcy or corporation laws of the various jurisdictions in which Weatherford and its subsidiaries operate will be applied in relation to one another.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Weatherford is unable to pay its debts, an examiner may be appointed under Irish law to oversee Weatherford’s operations.</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If Weatherford is unable, or likely to be unable, to pay its debts, an examiner may be appointed to oversee Weatherford’s operations and to facilitate its survival and the whole or any part of its business by formulating proposals for a compromise or scheme of arrangement. An examiner may be appointed even if Weatherford is not insolvent. If an examiner has been appointed to Weatherford or any of its subsidiaries, the examinership may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 extended to Weatherford and any of its related companies, including Weatherford Bermuda, even if Weatherford Bermuda or Weatherford are not themselves insolvent. There can be no assurance that we would be exempt from an extension of the examinership.</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an examiner is appointed to Weatherford, a protection period, not exceeding 100 days, will be imposed so that the examiner can formulate and implement his proposals for a compromise or scheme of arrangement. During the protection period, any enforcement action by a creditor is prohibited. In addition, Weatherford would be prohibited from paying any debts existing at the time of the presentation of the petition to appoint an examiner. The appointment of an examiner may restrict the ability of Weatherford to make timely payments under its guarantee and holders may be unable to enforce their rights under the guarantee. During the course of examinership, holders’ rights under the guarantee may be affected by the examiner’s exercise of his powers to, for example, repudiate a restriction or prohibition on further borrowings or the creation of a security interest.</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Further, a scheme of arrangement may be approved involving the writing down of the debt due by Weatherford to the holders of the notes irrespective of their views. In the event that a scheme of arrangement is not approved and Weatherford subsequently goes into liquidation, the examiner’s remuneration and expenses (including certain borrowings incurred by the examiner on behalf of Weatherford and approved by the Irish High Court) and the claims of certain other creditors referred to above (including the Irish Revenue Commissioners for certain unpaid taxes) will take priority over the amounts due by Weatherford to the holders of the notes.</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 becoming insolvent, the guarantee of the notes or any payment by it pursuant to such guarantee will not be challenged by a liquidator or examiner or that a court would uphold such guarantee or payment.</w:t>
      </w:r>
    </w:p>
    <w:p>
      <w:pPr>
        <w:spacing w:after="0" w:line="130"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service or repay this indebtedness.</w:t>
      </w:r>
    </w:p>
    <w:p>
      <w:pPr>
        <w:spacing w:after="0" w:line="3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Our ability to make scheduled payments of the principal and to pay interest on or to refinance our indebtedness,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and its other subsidiaries and make necessary capital expenditures. If Weatherford and its subsidiaries are unable to generate such cash flow, Weatherford and its subsidiaries may be required to adopt one or more alternatives, such as selling assets, restructuring debt, reducing or delaying capital expenditures or obtaining additional equity capital of Weatherford on terms that may be onerous or highly dilutive. The ability to refinance the indebtedness of Weatherford and its subsidiaries will depend on the capital markets and the financial condition of Weatherford and its subsidiaries at such time. Weatherford and its subsidiaries may not be able to engage in any of these activities or engage in these activities on desirable terms, which could result in a default on our debt obligations or the debt obligations of Weatherford and its other subsidiaries.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meet our obligations under the notes.</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Weatherford Bermuda is a holding company subsidiary of Weatherford with no material assets (other than shares of its subsidiaries), operations, revenues or cash flows other than those related to the issuance, administration and repayment of debt, including the notes being offered hereby. As a result, Weatherford Bermuda’s ability to meet its obligations under the notes is dependent on the generation of cash flow by its subsidiaries and their ability to make such cash available to it, by dividend, loan, debt repayment or otherwise. Weatherford Bermuda’s subsidiaries do not have any obligation to make funds available to it to repay 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indebtedness or pay dividends. Dividends from subsidiaries that are not wholly owned are shared with other equity owners. In addition, cash at Weatherford Bermuda’s international operations is also subject to foreign withholding taxes upon repatriation.</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addition, Weatherford Bermuda’s subsidiaries may not be able to, or be permitted to, make distributions to enable it to repay its indebtedness or pay dividends. Each of Weatherford Bermuda’s subsidiaries is a distinct legal entity and, under certain circumstances, legal restrictions, as well as the financial condition and operating requirements of its subsidiaries, may limit its ability to obtain cash from its subsidiaries. Weatherford Bermuda’s rights to participate in any distribution of its subsidiaries’ assets upon their liquidation, reorganization or insolvency would generally be subject to the prior claims of the subsidiaries’ creditors, including any trade creditors.</w:t>
      </w:r>
    </w:p>
    <w:p>
      <w:pPr>
        <w:spacing w:after="0" w:line="129"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There may be future sales or other dilution of the equity of Weatherford, which may adversely affect the market price of the ordinary shares and the value of the notes.</w:t>
      </w:r>
    </w:p>
    <w:p>
      <w:pPr>
        <w:spacing w:after="0" w:line="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as described under the heading “Underwriting (Conflicts of Interest),” Weatherford is not restricted from issuing additional ordinary shares, including securities that are convertible into or exchangeable for, or that represent the right to receive, ordinary shares. The issuance of additional ordinary shares will dilute the ownership interest of existing shareholders.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Sales of a substantial number of ordinary shares or other equity-related securities in the public market could depress the market price of the notes, the ordinary shares, or both, and impair our ability to raise capital through the sale of additional equity securities. We cannot predict the effect that future sales of the ordinary shares or other equity-related securities would have on the market price of the ordinary shares or the value of the notes. The price of the ordinary shares could be affected by possible sales of the ordinary shares by investors who view the notes as a more attractive means of equity participation in Weatherford and by hedging or arbitrage trading activity. The hedging or arbitrage could, in turn, affect the market price of the notes.</w:t>
      </w:r>
    </w:p>
    <w:p>
      <w:pPr>
        <w:spacing w:after="0" w:line="102"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The market price of the notes is expected to be significantly affected by the market price of the ordinary shares, which may be volatile and will be affected by factors beyond our control.</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that the market price of the notes will be significantly affected by the market price of the ordinary shares. This may result in greater volatility in the market price of the notes than would be expected for nonexchangeable debt securities. The market price of the ordinary shares will likely continue to fluctuate in response to the factors discussed elsewhere in “Risk Factors,” including under the subheading, “—Risks Relating to the Ordinary Shares,” and in “Cautionary Statement Regarding Forward-Looking Statements,” among others, many of which are beyond our control.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Purchasers of the notes may not realize any or all of the benefit of an increase in the market price of the ordinary shares.</w:t>
      </w:r>
    </w:p>
    <w:p>
      <w:pPr>
        <w:sectPr>
          <w:pgSz w:w="11900" w:h="16838" w:orient="portrait"/>
          <w:cols w:equalWidth="0" w:num="1">
            <w:col w:w="11380"/>
          </w:cols>
          <w:pgMar w:left="240" w:top="459" w:right="279" w:bottom="1440" w:gutter="0" w:footer="0" w:header="0"/>
        </w:sectPr>
      </w:pPr>
    </w:p>
    <w:p>
      <w:pPr>
        <w:spacing w:after="0" w:line="7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market value of the ordinary shares that you will receive upon mandatory exchange of the notes on the stated maturity date will exceed $ note, the principal amount per such note, only if the applicable market value, which is the average of the closing prices of the ordinary shares over the 20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per</w:t>
      </w:r>
    </w:p>
    <w:p>
      <w:pPr>
        <w:spacing w:after="0" w:line="266" w:lineRule="exact"/>
        <w:rPr>
          <w:sz w:val="20"/>
          <w:szCs w:val="20"/>
          <w:color w:val="auto"/>
        </w:rPr>
      </w:pPr>
    </w:p>
    <w:p>
      <w:pPr>
        <w:sectPr>
          <w:pgSz w:w="11900" w:h="16838" w:orient="portrait"/>
          <w:cols w:equalWidth="0" w:num="2">
            <w:col w:w="10760" w:space="200"/>
            <w:col w:w="42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consecutive trading day period ending on the third trading day immediately preceding the mandatory exchange date, equals or exceeds the threshold appreciation</w:t>
      </w:r>
    </w:p>
    <w:p>
      <w:pPr>
        <w:spacing w:after="0" w:line="44" w:lineRule="exact"/>
        <w:rPr>
          <w:sz w:val="20"/>
          <w:szCs w:val="20"/>
          <w:color w:val="auto"/>
        </w:rPr>
      </w:pPr>
    </w:p>
    <w:p>
      <w:pPr>
        <w:jc w:val="both"/>
        <w:ind w:right="480"/>
        <w:spacing w:after="0" w:line="323" w:lineRule="auto"/>
        <w:rPr>
          <w:sz w:val="20"/>
          <w:szCs w:val="20"/>
          <w:color w:val="auto"/>
        </w:rPr>
      </w:pPr>
      <w:r>
        <w:rPr>
          <w:rFonts w:ascii="Arial" w:cs="Arial" w:eastAsia="Arial" w:hAnsi="Arial"/>
          <w:sz w:val="16"/>
          <w:szCs w:val="16"/>
          <w:color w:val="auto"/>
        </w:rPr>
        <w:t>price of $ . The threshold appreciation price for the notes represents an appreciation of approximately % over the initial price. This means that the opportunity for equity appreciation provided by an investment in the notes is more limited than that provided by a direct investment in the ordinary shares.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applicable market value of the ordinary shares exceeds the initial price but is less than the threshold appreciation price, a holder of the notes will realize no equity appreciation on the ordinary shares. Furthermore, if the applicable market value of the ordinary shares exceeds the threshold appreciation price, the value of the ordinary shares received upon exchange will be approximately % of the value of the ordinary shares that could have been purchased with $25 at the time of this offering.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will bear the full risk of a decline in the market price of the ordinary shares.</w:t>
      </w:r>
    </w:p>
    <w:p>
      <w:pPr>
        <w:spacing w:after="0" w:line="7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number of ordinary shares that you will receive upon exchange at maturity is not fixed, but instead will depend on the applicable market value of the ordinary shares (or, in the event you elect to exchange your notes in connection with a fundamental change, will depend on the share price (as described under “Description of Notes—Exchange of the Notes—Exchange upon Fundamental Change”)). If you elect to exchange prior to maturity, you will receive a fixed number of ordinary shares equal to the minimum exchange rate. The aggregate market value of the ordinary shares you receive upon exchange may be less than</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principal amount of your notes. Specifically, if the applicable market value of the ordinary shares is less than $ , which is the initial price, the market value of each share of the ordinary shares you receive upon mandatory exchange will be less than $ , and your investment in the notes will result in a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Accordingly, you will bear the full risk of a decline in the market price of the ordinary shares. Any such decline could be substantial.</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rates for notes may not be adjusted for all dilutive events.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fixed exchange rates of the notes are subject to adjustment for certain events, including, but not limited to, the issuance of stock dividends on the ordinary shares, the issuance of certain rights or warrants, subdivisions, combinations, distributions of capital stock, indebtedness or assets, certain cash dividends and certain issuer tender or exchange offers as described under “Description of Notes—Exchange Rate Adjustments.” Such exchange rates will not be adjusted, however, for other events, such as a third-party tender or exchange offer or an issuance of ordinary shares for cash that may adversely affect the trading price of the notes or the ordinary shares. In addition, an event that adversely affects the value of the notes may occur, and that event may not result in an adjustment to such exchange rates.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and future regulatory actions and other events may adversely affect the trading price and liquidity of the notes.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that many investors in, and potential purchasers of, the notes will employ, or seek to employ, an exchangeable arbitrage strategy with respect to the notes. Investors would typically implement such a strategy by selling short the ordinary shares underlying the notes and dynamically adjusting their short position while they hold the notes. Investors may also implement this type of strategy by entering into swaps on ordinary shares in lieu of or in addition to short selling ordinary shares.</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ordinary shares).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notes to effect short sales of ordinary shares, borrow ordinary shares or enter into swaps on ordinary shares could adversely affect the trading price and the liquidity of the notes.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in the market price and trading volume of ordinary shares could adversely impact the trading price of the notes.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stock market in recent years has experienced significant price and volume fluctuations that have often been unrelated to the operating performance of companies. The market price of ordinary shares could fluctuate significantly for many reasons, including in response to the risks described in this section and elsewhere in this prospectus supplement, or for reasons unrelated to Weatherford’s consolidated operations, such as reports by industry analysts, investor perceptions, as well as industry conditions and general financial, economic and political instability. A decrease in the market price of ordinary shares would likely adversely impact the trading price of the notes. The market price of ordinary shares could also be affected by possible sales of ordinary shares by investors who view the notes as a more attractive means of equity participation in Weatherford and by hedging or arbitrage trading activity that we expect to develop involving ordinary shares. This trading activity could, in turn, affect the trading price of the notes.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Weatherford’s credit ratings may not reflect all risks of your investment in the notes.</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Weatherford’s credit ratings are an assessment by rating agencies of its ability to pay its debts when due. Consequently, real or anticipated changes in Weatherford’s credit ratings will generally affect the market value of the notes. These credit ratings may not reflect the potential impact of risks relating to the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spacing w:after="0" w:line="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Holders of notes will not be entitled to any rights with respect to ordinary shares, but they will be subject to all changes made with respect to them to the extent our exchange obligation includes ordinary shares.</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Holders of notes will not be entitled to any rights with respect to ordinary shares (including, without limitation, voting rights and rights to receive any dividends or other distributions on ordinary shares) prior to the exchange date relating to such notes, but holders of notes will be subject to all changes affecting ordinary shares. Instead, holders will be entitled to rights on such ordinary shares only from the date on which such holders are deemed to be record holders of such ordinary shares. For example, if an amendment is proposed to Weatherford’s memorandum and articles of association requiring shareholder approval and the record date for determining the shareholders of record entitled to vote on the amendment occurs prior to the exchange date related to a holder’s exchange of its notes, such holder will not be entitled to vote on the amendment, although such holder will nevertheless be subject to any changes affecting ordinary shares.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are not protected by financially restrictive covenants.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governing the notes does not contain any financial covenants or restrictions on the payments of dividends, the incurrence of indebtedness or the issuance or repurchase of securities by Weatherford Bermuda, Weatherford or Weatherford Bermuda’s and Weatherford’s respective subsidiaries. The indenture contains no covenants or other provisions to afford protection to holders of the notes in the event of a fundamental change or other corporate transaction involving Weatherford Bermuda, Weatherford or Weatherford Bermuda’s and Weatherford’s respective subsidiaries except to the extent described under “Description of Notes—Exchange of the Notes—Exchange upon Fundamental Change,” “Description of Notes—Exchange Rate Adjustments” and “Description of Notes—Consolidation, Merger, Amalgamation and Sale of Assets.”</w:t>
      </w:r>
    </w:p>
    <w:p>
      <w:pPr>
        <w:spacing w:after="0" w:line="107"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Some significant restructuring transactions and significant changes in the composition of the board of Weatherford may not constitute a fundamental change.</w:t>
      </w:r>
    </w:p>
    <w:p>
      <w:pPr>
        <w:spacing w:after="0" w:line="3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Upon the occurrence of a fundamental change relating to Weatherford, holders may exchange the notes into ordinary shares at the fundamental change exchange rate plus the interest make-whole amount as described 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“Description of Notes—Exchange of the Notes—Exchange upon Fundamental Change.”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or Weatherford may not constitute a fundamental change. In the event of any such transaction, the holders would not have the right to exchange the notes at the fundamental change exchange rate plus the interest make-whole amount, even though each of these transactions could increase the amount of indebtedness of Weatherford and its subsidiaries, including us, or otherwise adversely affect our or Weatherford’s capital structure or any credit ratings, thereby adversely affecting the holders of notes.</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significant changes in the composition of Weatherford’s board will not give holders any entitlement to the fundamental change exchange rate plus an increase in the exchange rate upon exchange unless they constitute a fundamental change as described under “Description of Notes—Exchange of the Notes—Exchange upon Fundamental Change—Fundamental Change Exchange Rate.”</w:t>
      </w:r>
    </w:p>
    <w:p>
      <w:pPr>
        <w:spacing w:after="0" w:line="127"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The change in the exchange rate and interest make-whole for notes exchanged in connection with a fundamental change may not adequately compensate you for any lost value of your notes as a result of such transaction or redemption.</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 fundamental change occurs prior to the stated maturity date, under certain circumstances, we will provide for a special fundamental change exchange rate for notes exchanged in connection with such fundamental change. Such exchange rate will be determined based on the date on which the specified corporate transaction becomes effective and the price paid (or deemed to be paid) per ordinary share in such transaction as described below under “Description of Notes— Exchange of the Notes—Exchange upon Fundamental Change—Fundamental Change Exchange Rate.” The fundamental change exchange rate and the interest make-whole amount paid in cash or in ordinary shares in connection with an exchange upon fundamental change may not adequately compensate you for any lost value of your notes as a result of such transaction.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cannot assure you that an active trading market will develop for the notes.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there has been no trading market for the notes, however, we will apply to list the notes on the NYSE as promptly as practicable following the offering although we can give no assurances that such application will be approved. We have been informed by the underwriters that they intend to make a market in the notes after the offering is completed. However, the underwriters may cease their market-making at any time without notice. In addition, the liquidity of the trading market in the notes, and the market price quoted for the notes, may be adversely affected by changes in the overall market for this type of security, by any credit ratings assigned to the notes or by any downgrade or withdrawal of such credit ratings or the credit ratings of Weatherford, by changes in our financial performance or prospects or in the prospects for companies in our industry generally and by changes in the interest rate environment. As a result, we cannot assure you that an active trading market will develop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U.S. tax treatment of the notes could differ from what we expect in ways that could adversely affect us and our U.S. investors.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described in more detail under “Material United States Federal Income Tax Considerations” below, we believe it is reasonable to treat the purchase, ownership and exchange of the notes as producing U.S. federal income tax consequences that are comparable to a prepaid forward purchase of an equity interest in the ordinary shares. Except where specifically indicated otherwise, the discussion under “Material United States Federal Income Tax Considerations” assumes such treatment. The applicable law is undeveloped and ambiguous and, therefore, the U.S. Internal Revenue Service (the “IRS”), could assert that the notes should be treated differently for U.S. federal income tax purposes. For example, the IRS might seek to treat the notes as an equity interest 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Weatherford Bermuda or Weatherford. There are also other possible characterizations of the notes. Any such alternative characterization of the notes could affect the timing and character of income, gain and loss recognized by a U.S. investor. Such treatment could result in adverse tax consequences and thus could adversely affect the value of the notes.</w:t>
      </w:r>
    </w:p>
    <w:p>
      <w:pPr>
        <w:spacing w:after="0" w:line="12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In addition, the notes may be counted for purposes of determining the ownership of Weatherford by a U.S. investor. If a U.S. investor holds (or is deemed to hold) 10% or more of the equity of Weatherford, directly, indirectly, constructively or by attribution, there could be other adverse consequences as further described in “—Risks Relating to the Ordinary Shares—U.S. persons that own, or are deemed to own, 10% or more of our shares may be subject to U.S. federal income taxation under the CFC rules and may also subject us to increased taxation. The potential for shareholders to be taxed under the CFC rules may impact demand for our shares.” </w:t>
      </w:r>
      <w:r>
        <w:rPr>
          <w:rFonts w:ascii="Arial" w:cs="Arial" w:eastAsia="Arial" w:hAnsi="Arial"/>
          <w:sz w:val="18"/>
          <w:szCs w:val="18"/>
          <w:b w:val="1"/>
          <w:bCs w:val="1"/>
          <w:color w:val="auto"/>
        </w:rPr>
        <w:t>U.S. investors are urged to consult their own tax advisors regarding possible alternative characterizations of the notes and the</w:t>
      </w:r>
      <w:r>
        <w:rPr>
          <w:rFonts w:ascii="Arial" w:cs="Arial" w:eastAsia="Arial" w:hAnsi="Arial"/>
          <w:sz w:val="18"/>
          <w:szCs w:val="18"/>
          <w:color w:val="auto"/>
        </w:rPr>
        <w:t xml:space="preserve"> </w:t>
      </w:r>
      <w:r>
        <w:rPr>
          <w:rFonts w:ascii="Arial" w:cs="Arial" w:eastAsia="Arial" w:hAnsi="Arial"/>
          <w:sz w:val="18"/>
          <w:szCs w:val="18"/>
          <w:b w:val="1"/>
          <w:bCs w:val="1"/>
          <w:color w:val="auto"/>
        </w:rPr>
        <w:t>resulting tax consequences.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payments in relation to the mandatory exchangeable notes could be subject to Swiss withholding tax.</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mandatory exchangeable note issued by a non-Swiss subsidiary of a Swiss tax resident company, for which such Swiss tax resident company, in the case at hand Weatherford, grants a downstream guarantee, will qualify as a Swiss bond for Swiss tax purposes if there is a harmful flow back of the funds to Switzerland (either to the guarantee issuing company or any other related Swiss tax resident company). In such case, the interest payments to the note holders will become subject to Swiss withholding tax of 35%. We have obtained an advance ruling from the relevant Swiss tax authorities confirming that, based upon the intended use of proceeds and other Swiss attributes, there should not be a harmful flow back of the funds to Switzerland, and as such, the notes should not constitute Swiss bonds or bond like instruments subject to Swiss withholding tax. In the unlikely case the notes would nevertheless be subject to Swiss withholding tax, and subject to certain exceptions, we will pay additional amounts such that the note holders receive the agreed interest payment without reduction for any Swiss withholding tax.</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notes may be subject to Swiss stamp taxes.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certain circumstances, the transfer of the notes subsequent to initial issuance may be subject to Swiss stamp taxes irrespective of the place of residency of the purchaser or seller if (i) the transaction takes place through or with a Swiss bank or other Swiss securities dealer, as those terms are defined in the Swiss Federal Stamp Tax Act, and (ii) no exemption applies in the specific case. The applicable stamp tax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then no Swiss stamp tax will be due.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Ordinary Shares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trading price of the ordinary shares has historically fluctuated significantly. For example, since the beginning of 2014, the high sale price per ordinary share on the NYSE was $24.88 and the low sale price per share was $7.21, and on September 18, 2015, the last reported sale price of the ordinary shares on the NYSE was $10.12 per share. The price of the ordinary shares could be subject to wide fluctuations in the future in response to many events or factors, including those discussed in this risk factors section, as well as:</w:t>
      </w:r>
    </w:p>
    <w:p>
      <w:pPr>
        <w:spacing w:after="0" w:line="49"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ordinary shares.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3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an Irish company, Weatherford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Weatherford has never declared or paid cash dividends on its share capital and it does not expect to pay any cash dividends in the near future.</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Weatherford has never declared or paid cash dividends on its share capital and does not expect to pay any cash dividends in the near future. If Weatherford proposes to pay dividends in the future, it must do so in accordance with Irish law, which provides that distributions including dividend payments, share repurchases and redemptions be funded from “distributable reserves.” See “Description of Weatherford’s Ordinary Shares—Dividends.” Any future determination as to the payment of dividends will, subject to Irish legal requirements, be at the sole discretion of Weatherford’s board of directors and will depend on Weatherford’s consolidated financial condition, results of operations, capital requirements, compliance with existing and future borrowing arrangements, and other factors Weatherford’s board of directors deems relevant. Accordingly, holders of ordinary shares must rely on increases in the trading price of their shares for returns on their investment in the foreseeable future.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certain circumstances, the transfer of shares in an Irish incorporated company will be subject to Irish stamp duty, which is a legal obligation of the buyer. This duty is currently charged at the rate of 1.0% of the price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paid or the market value of the shares acquired, if higher. Because Weatherford’s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 its absolute discretion and insofar as the Irish Companies Act or any other applicable law permit, may, or may provide that a subsidiary of Weatherford will, pay Irish stamp duty arising on a transfer of ordinary shares on behalf of the transferee of such ordinary shares. If stamp duty resulting from the transfer of ordinary shares which would otherwise be payable by the transferee is paid by Weatherford or any of its subsidiaries on behalf of the transferee, then in those circumstances, Weatherford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or its subsidiary for the amount of stamp duty paid. Weatherford’s lien shall extend to all dividends paid on those ordinary shares. Parties to a share transfer may assume that any Irish stamp duty arising in respect of a transaction in Weatherford’s shares has been paid unless one or both of such parties is otherwise notified by Weatherford.</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Swiss stamp taxes.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certain circumstances, the transfer of shares in an Irish incorporated, but Swiss tax resident company, will be subject to Swiss stamp taxes irrespective of the place of residency of the purchaser or seller if (i) the transaction takes place through or with a Swiss bank or other Swiss securities dealer, as those terms are defined in the Swiss Federal Stamp Tax Act, and (ii) no exemption applies in the specific case. The applicable stamp tax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then no Swiss stamp tax will be due.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paid by Weatherford may be subject to Swiss dividend withholding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certain circumstances, as a Swiss tax resident company, Weatherford will be required to deduct Swiss dividend withholding tax (currently at the rate of</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35%) from dividends paid to Weatherford’s shareholders. Such Swiss withholding tax is due regardless of the place of residency of the shareholder. Shareholders that are resident in the United States, EU countries and other countries with which Switzerland has signed a tax treaty may be entitled to a partial or full refund of the Swiss withholding tax. Swiss withholding tax could adversely affect the price of ordinary shares and the value of the 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September 15, 2015, Weatherford had 776,885,410 ordinary shares issued and outstanding. As of September 15, 2015, 4,456,520 ordinary shares were authorized for issuance upon exercise of stock options (of which 2,989,310 were exercisable), 8,818,456 ordinary shares were authorized for issuance upon the vesting of restricted stock units and 2,857,025 ordinary shares were authorized for issuance upon the vesting of performance share units. The issuance of the notes offered hereby, the ordinary shares offered pursuant to the Ordinary Shares Offering, and the sale of additional shares that may become eligible for sale in the public market from time to time could have the effect of depressing the market price for our ordinary shares.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80"/>
        <w:spacing w:after="0" w:line="347" w:lineRule="auto"/>
        <w:rPr>
          <w:sz w:val="20"/>
          <w:szCs w:val="20"/>
          <w:color w:val="auto"/>
        </w:rPr>
      </w:pPr>
      <w:r>
        <w:rPr>
          <w:rFonts w:ascii="Arial" w:cs="Arial" w:eastAsia="Arial" w:hAnsi="Arial"/>
          <w:sz w:val="15"/>
          <w:szCs w:val="15"/>
          <w:b w:val="1"/>
          <w:bCs w:val="1"/>
          <w:i w:val="1"/>
          <w:iCs w:val="1"/>
          <w:color w:val="auto"/>
        </w:rPr>
        <w:t>U.S. persons that own, or are deemed to own, 10% or more of our shares may be subject to U.S. federal income taxation under the CFC rules and may also subject us to increased taxation. The potential for shareholders to be taxed under the CFC rules may impact demand for our shares.</w:t>
      </w:r>
    </w:p>
    <w:p>
      <w:pPr>
        <w:spacing w:after="0" w:line="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Currently, certain of our subsidiary corporations are not considered controlled foreign corporations (“CFCs”) because they are less than 50% owned by our U.S. group of subsidiaries and other 10% or greater U.S. shareholders. However, there is a risk that if a U.S. shareholder holds 10% or more of our shares, directly, indirectly, constructively or by attribution, that some of our subsidiaries could be classified as CFCs for U.S. federal income tax purposes. If one or more of our subsidiaries is classified as a CFC, we and any shareholder that is a U.S. person that owns, directly or indirectly, constructively or by attribution, 10% or more of our outstanding shares may be subject to U.S. income taxation at ordinary income tax rates on all or a portion of the CFC’s undistributed earnings and profits attributable to “subpart F income.” The CFC rules are complex and U.S. persons that hold our shares are urged to consult their own tax advisors regarding the possible application of the CFC rules to them in their particular circumstances. The risk of being subject to increased taxation may deter our current shareholders from acquiring additional ordinary shares or new shareholders from establishing a position in our ordinary shares. Either of these scenarios could impact the demand for, and value of, our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risks in connection with future acquisitions and the integration of significant acquisitions may be difficult.</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periodically evaluate potential acquisitions that appear to fit within our overall business strategy. The integration of businesses that we may acquire is likely to be a complex, time-consuming and expensive process and we may not realize the anticipated revenues or other benefits associated with our acquisitions. If we fail in any acquisition integration efforts and are unable to efficiently operate as a combined organization utilizing common information and communication systems, operating procedures, financial controls and human resources practices, our business, financial condition and results of operations may be adversely affected.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acquisitions and other strategic transactions may involve other risks, including:</w:t>
      </w:r>
    </w:p>
    <w:p>
      <w:pPr>
        <w:spacing w:after="0" w:line="77"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mistaken assumptions regarding revenues and costs, including synergies and potential growth;</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unknown liabilities for which we are not indemnified or for which indemnity is inadequate;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mistaken assumptions regarding overall financing costs;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our management’s attention to evaluating, negotiating and integrating significant acquisitions and strategic transactions;</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challenge and cost of integrating acquired operations, information management and other technology systems and business cultures with those of ours while carrying on our ongoing business;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associated with coordinating geographically separate assets;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challenge of attracting and retaining personnel associated with acquired operations.</w:t>
      </w:r>
    </w:p>
    <w:p>
      <w:pPr>
        <w:spacing w:after="0" w:line="18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process of integrating operations could cause an interruption of, or loss of momentum in, the activities of our business. Members of our senior management and other staff may be required to devote considerable amounts of time to this integration process, which will decrease the time they will have to manage our business. If our senior management and staff are not able to effectively manage the integration process, or if any significant business activities are interrupted as a result of the integration process, our business could suffer.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Despite our current debt levels, we may incur substantially more debt or take other actions which would intensify the risks discussed above as well as those incorporated by reference in this prospectus supplement relating to our indebtedness.</w:t>
      </w:r>
    </w:p>
    <w:p>
      <w:pPr>
        <w:spacing w:after="0" w:line="3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As of June 30, 2015, we had total consolidated indebtedness of $7.8 billion, substantially all of which was unsecured indebtedness of Weatherford Bermuda or its subsidiaries guaranteed by Weatherford and/or Weatherford Bermuda. After giving effect to the issuance of the notes, our total indebtedness would</w:t>
      </w:r>
    </w:p>
    <w:p>
      <w:pPr>
        <w:ind w:right="120"/>
        <w:spacing w:after="0" w:line="288" w:lineRule="auto"/>
        <w:rPr>
          <w:sz w:val="20"/>
          <w:szCs w:val="20"/>
          <w:color w:val="auto"/>
        </w:rPr>
      </w:pPr>
      <w:r>
        <w:rPr>
          <w:rFonts w:ascii="Arial" w:cs="Arial" w:eastAsia="Arial" w:hAnsi="Arial"/>
          <w:sz w:val="16"/>
          <w:szCs w:val="16"/>
          <w:color w:val="auto"/>
        </w:rPr>
        <w:t>have been $ billion as of June 30, 2015, substantially all of which would have been unsecured indebtedness. Despite our current consolidated debt levels, we may be able to incur substantial additional debt in the future, including secured debt, subject to the restrictions contained in our debt instruments and credit facilities. Weatherford Bermuda and Weatherford will not be restricted under the terms of the indenture governing the notes from incurring additional debt, securing existing or future debt, recapitalizing debt or taking a number of other actions that are not limited by the terms of the indenture governing the notes that could have the effect of diminishing our ability to make payments on the notes when due. Our level of indebtedness could affect our operations in several ways, including requiring us to direct a significant portion of our cash flows to service our indebtedness. In addition, high levels of debt increase our vulnerability to general adverse economic and industry conditions and increase the risk that we may default on our debt obligations.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We intend to use the net proceeds from this offering to pre-fund potential acquisitions and for general corporate purposes. Pending such use, we expect to</w:t>
      </w:r>
    </w:p>
    <w:p>
      <w:pPr>
        <w:spacing w:after="0" w:line="3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use the net proceeds of this offering to temporarily reduce $ million of borrowings under our revolving credit facility and to repay borrowings under our commercial paper program.</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September 14, 2015, we had approximately $680 million of borrowings outstanding under our $2.25 billion revolving credit facility, which is due on July 13, 2017. Interest on our revolving credit facility currently accrues at the London Interbank Offered Rate plus 1.475%. The weighted average interest rate on the amounts outstanding under our revolving credit facility as of September 14, 2015 was 1.682%. As of September 14, 2015, we had approximately $735.8 million of borrowings outstanding under our commercial paper program at a weighted average interest rate of 1.093%. The proceeds from these borrowings were used for working capital and general corporate purposes.</w:t>
      </w:r>
    </w:p>
    <w:p>
      <w:pPr>
        <w:spacing w:after="0" w:line="12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Affiliates of Citigroup Global Markets Inc. and Wells Fargo Securities, LLC are lenders under Weatherford’s revolving credit facility. To the extent we use proceeds from this offering to repay indebtedness under our revolving credit facility, such affiliates may receive proceeds from this offering. In addition, affiliates of certain of the underwriters may hold notes under our commercial paper program. See “Underwriting (Conflicts of Interest).”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2015:</w:t>
      </w:r>
    </w:p>
    <w:p>
      <w:pPr>
        <w:spacing w:after="0" w:line="77"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adjusted to give effect to this offering as if it had occurred on June 30, 2015; and</w:t>
      </w:r>
    </w:p>
    <w:p>
      <w:pPr>
        <w:spacing w:after="0" w:line="103"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further adjusted to also give effect to the anticipated issuance of ordinary shares of Weatherford pursuant to the Ordinary Share Offering as if it had occurred on June 30, 2015.</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and in our Quarterly Reports on Form 10-Q, which are incorporated by reference in this prospectus supplement.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2"/>
              </w:rPr>
              <w:t>June 30, 2015</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8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As Further</w:t>
            </w:r>
          </w:p>
        </w:tc>
        <w:tc>
          <w:tcPr>
            <w:tcW w:w="80" w:type="dxa"/>
            <w:vAlign w:val="bottom"/>
          </w:tcPr>
          <w:p>
            <w:pPr>
              <w:spacing w:after="0"/>
              <w:rPr>
                <w:sz w:val="11"/>
                <w:szCs w:val="11"/>
                <w:color w:val="auto"/>
              </w:rPr>
            </w:pPr>
          </w:p>
        </w:tc>
      </w:tr>
      <w:tr>
        <w:trPr>
          <w:trHeight w:val="161"/>
        </w:trPr>
        <w:tc>
          <w:tcPr>
            <w:tcW w:w="8240" w:type="dxa"/>
            <w:vAlign w:val="bottom"/>
          </w:tcPr>
          <w:p>
            <w:pPr>
              <w:spacing w:after="0"/>
              <w:rPr>
                <w:sz w:val="14"/>
                <w:szCs w:val="14"/>
                <w:color w:val="auto"/>
              </w:rPr>
            </w:pPr>
          </w:p>
        </w:tc>
        <w:tc>
          <w:tcPr>
            <w:tcW w:w="108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w w:val="88"/>
              </w:rPr>
              <w:t>Actual</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Adjusted</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Adjusted</w:t>
            </w:r>
          </w:p>
        </w:tc>
      </w:tr>
      <w:tr>
        <w:trPr>
          <w:trHeight w:val="142"/>
        </w:trPr>
        <w:tc>
          <w:tcPr>
            <w:tcW w:w="8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jc w:val="right"/>
              <w:ind w:right="372"/>
              <w:spacing w:after="0" w:line="142" w:lineRule="exact"/>
              <w:rPr>
                <w:sz w:val="20"/>
                <w:szCs w:val="20"/>
                <w:color w:val="auto"/>
              </w:rPr>
            </w:pPr>
            <w:r>
              <w:rPr>
                <w:rFonts w:ascii="Arial" w:cs="Arial" w:eastAsia="Arial" w:hAnsi="Arial"/>
                <w:sz w:val="14"/>
                <w:szCs w:val="14"/>
                <w:b w:val="1"/>
                <w:bCs w:val="1"/>
                <w:color w:val="auto"/>
                <w:w w:val="87"/>
              </w:rPr>
              <w:t>(In millions, except number par value)</w:t>
            </w: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611</w:t>
            </w:r>
          </w:p>
        </w:tc>
        <w:tc>
          <w:tcPr>
            <w:tcW w:w="660" w:type="dxa"/>
            <w:vAlign w:val="bottom"/>
            <w:shd w:val="clear" w:color="auto" w:fill="CCEEFF"/>
          </w:tcPr>
          <w:p>
            <w:pPr>
              <w:jc w:val="right"/>
              <w:ind w:right="53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spacing w:after="0" w:line="149" w:lineRule="exact"/>
              <w:rPr>
                <w:sz w:val="20"/>
                <w:szCs w:val="20"/>
                <w:color w:val="auto"/>
              </w:rPr>
            </w:pPr>
            <w:r>
              <w:rPr>
                <w:rFonts w:ascii="Arial" w:cs="Arial" w:eastAsia="Arial" w:hAnsi="Arial"/>
                <w:sz w:val="14"/>
                <w:szCs w:val="14"/>
                <w:color w:val="auto"/>
              </w:rPr>
              <w:t>Long-term debt, including current maturities: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Commercial paper</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198</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Revolving credit facility (1)</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730</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short-term bank loans</w:t>
            </w: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6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2"/>
                <w:szCs w:val="12"/>
                <w:color w:val="auto"/>
              </w:rPr>
            </w:pPr>
          </w:p>
        </w:tc>
      </w:tr>
      <w:tr>
        <w:trPr>
          <w:trHeight w:val="163"/>
        </w:trPr>
        <w:tc>
          <w:tcPr>
            <w:tcW w:w="8240" w:type="dxa"/>
            <w:vAlign w:val="bottom"/>
          </w:tcPr>
          <w:p>
            <w:pPr>
              <w:ind w:left="880"/>
              <w:spacing w:after="0" w:line="155" w:lineRule="exact"/>
              <w:rPr>
                <w:sz w:val="20"/>
                <w:szCs w:val="20"/>
                <w:color w:val="auto"/>
              </w:rPr>
            </w:pPr>
            <w:r>
              <w:rPr>
                <w:rFonts w:ascii="Arial" w:cs="Arial" w:eastAsia="Arial" w:hAnsi="Arial"/>
                <w:sz w:val="14"/>
                <w:szCs w:val="14"/>
                <w:color w:val="auto"/>
              </w:rPr>
              <w:t>Total short-term borrowings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w:t>
            </w:r>
          </w:p>
        </w:tc>
        <w:tc>
          <w:tcPr>
            <w:tcW w:w="640" w:type="dxa"/>
            <w:vAlign w:val="bottom"/>
          </w:tcPr>
          <w:p>
            <w:pPr>
              <w:spacing w:after="0"/>
              <w:rPr>
                <w:sz w:val="14"/>
                <w:szCs w:val="14"/>
                <w:color w:val="auto"/>
              </w:rPr>
            </w:pPr>
          </w:p>
        </w:tc>
        <w:tc>
          <w:tcPr>
            <w:tcW w:w="660" w:type="dxa"/>
            <w:vAlign w:val="bottom"/>
            <w:tcBorders>
              <w:bottom w:val="single" w:sz="8" w:color="auto"/>
            </w:tcBorders>
          </w:tcPr>
          <w:p>
            <w:pPr>
              <w:jc w:val="right"/>
              <w:ind w:right="536"/>
              <w:spacing w:after="0"/>
              <w:rPr>
                <w:sz w:val="20"/>
                <w:szCs w:val="20"/>
                <w:color w:val="auto"/>
              </w:rPr>
            </w:pPr>
            <w:r>
              <w:rPr>
                <w:rFonts w:ascii="Arial" w:cs="Arial" w:eastAsia="Arial" w:hAnsi="Arial"/>
                <w:sz w:val="10"/>
                <w:szCs w:val="10"/>
                <w:color w:val="auto"/>
                <w:w w:val="71"/>
              </w:rPr>
              <w:t>$</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5.50% Senior Notes due 2016</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351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351</w:t>
            </w: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6.35% Senior Notes due 2017</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606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606</w:t>
            </w:r>
          </w:p>
        </w:tc>
        <w:tc>
          <w:tcPr>
            <w:tcW w:w="4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606</w:t>
            </w: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6.00% Senior Notes due 2018</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499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499</w:t>
            </w: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9.625% Senior Notes due 2019</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1,016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1,016</w:t>
            </w:r>
          </w:p>
        </w:tc>
        <w:tc>
          <w:tcPr>
            <w:tcW w:w="4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1,016</w:t>
            </w: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5.125% Senior Notes due 2020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798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798</w:t>
            </w: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4.50% Senior Notes due 2022</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683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4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683</w:t>
            </w: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6.50% Senior Notes due 2036</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495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w:t>
            </w: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6.80% Senior Notes due 2037</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298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4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298</w:t>
            </w: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7.00% Senior Notes due 2038</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497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w:t>
            </w: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9.875% Senior Notes due 2039</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247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4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247</w:t>
            </w: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6.75% Senior Notes due 2040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566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566</w:t>
            </w: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5.95% Senior Notes due 2042</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441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441</w:t>
            </w:r>
          </w:p>
        </w:tc>
        <w:tc>
          <w:tcPr>
            <w:tcW w:w="4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441</w:t>
            </w:r>
          </w:p>
        </w:tc>
      </w:tr>
      <w:tr>
        <w:trPr>
          <w:trHeight w:val="149"/>
        </w:trPr>
        <w:tc>
          <w:tcPr>
            <w:tcW w:w="82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 Mandatory Exchangeable Subordinated Notes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Other long-term debt</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w:t>
            </w:r>
          </w:p>
        </w:tc>
        <w:tc>
          <w:tcPr>
            <w:tcW w:w="6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r>
      <w:tr>
        <w:trPr>
          <w:trHeight w:val="149"/>
        </w:trPr>
        <w:tc>
          <w:tcPr>
            <w:tcW w:w="82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Long-term debt</w:t>
            </w: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6,676</w:t>
            </w:r>
          </w:p>
        </w:tc>
        <w:tc>
          <w:tcPr>
            <w:tcW w:w="6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8240" w:type="dxa"/>
            <w:vAlign w:val="bottom"/>
          </w:tcPr>
          <w:p>
            <w:pPr>
              <w:spacing w:after="0" w:line="155" w:lineRule="exact"/>
              <w:rPr>
                <w:sz w:val="20"/>
                <w:szCs w:val="20"/>
                <w:color w:val="auto"/>
              </w:rPr>
            </w:pPr>
            <w:r>
              <w:rPr>
                <w:rFonts w:ascii="Arial" w:cs="Arial" w:eastAsia="Arial" w:hAnsi="Arial"/>
                <w:sz w:val="14"/>
                <w:szCs w:val="14"/>
                <w:color w:val="auto"/>
              </w:rPr>
              <w:t>Total indebtedness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572"/>
              <w:spacing w:after="0" w:line="155" w:lineRule="exact"/>
              <w:rPr>
                <w:sz w:val="20"/>
                <w:szCs w:val="20"/>
                <w:color w:val="auto"/>
              </w:rPr>
            </w:pPr>
            <w:r>
              <w:rPr>
                <w:rFonts w:ascii="Arial" w:cs="Arial" w:eastAsia="Arial" w:hAnsi="Arial"/>
                <w:sz w:val="14"/>
                <w:szCs w:val="14"/>
                <w:color w:val="auto"/>
              </w:rPr>
              <w:t>7,824</w:t>
            </w:r>
          </w:p>
        </w:tc>
        <w:tc>
          <w:tcPr>
            <w:tcW w:w="660" w:type="dxa"/>
            <w:vAlign w:val="bottom"/>
          </w:tcPr>
          <w:p>
            <w:pPr>
              <w:jc w:val="right"/>
              <w:ind w:right="536"/>
              <w:spacing w:after="0"/>
              <w:rPr>
                <w:sz w:val="20"/>
                <w:szCs w:val="20"/>
                <w:color w:val="auto"/>
              </w:rPr>
            </w:pPr>
            <w:r>
              <w:rPr>
                <w:rFonts w:ascii="Arial" w:cs="Arial" w:eastAsia="Arial" w:hAnsi="Arial"/>
                <w:sz w:val="10"/>
                <w:szCs w:val="10"/>
                <w:color w:val="auto"/>
                <w:w w:val="71"/>
              </w:rPr>
              <w:t>$</w:t>
            </w:r>
          </w:p>
        </w:tc>
        <w:tc>
          <w:tcPr>
            <w:tcW w:w="420" w:type="dxa"/>
            <w:vAlign w:val="bottom"/>
          </w:tcPr>
          <w:p>
            <w:pPr>
              <w:spacing w:after="0"/>
              <w:rPr>
                <w:sz w:val="13"/>
                <w:szCs w:val="13"/>
                <w:color w:val="auto"/>
              </w:rPr>
            </w:pPr>
          </w:p>
        </w:tc>
        <w:tc>
          <w:tcPr>
            <w:tcW w:w="940" w:type="dxa"/>
            <w:vAlign w:val="bottom"/>
            <w:gridSpan w:val="2"/>
          </w:tcPr>
          <w:p>
            <w:pPr>
              <w:jc w:val="right"/>
              <w:ind w:right="592"/>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20"/>
        </w:trPr>
        <w:tc>
          <w:tcPr>
            <w:tcW w:w="8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8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Shareholders’ Equity:</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8"/>
        </w:trPr>
        <w:tc>
          <w:tcPr>
            <w:tcW w:w="8240" w:type="dxa"/>
            <w:vAlign w:val="bottom"/>
          </w:tcPr>
          <w:p>
            <w:pPr>
              <w:ind w:left="440"/>
              <w:spacing w:after="0" w:line="138" w:lineRule="exact"/>
              <w:rPr>
                <w:sz w:val="20"/>
                <w:szCs w:val="20"/>
                <w:color w:val="auto"/>
              </w:rPr>
            </w:pPr>
            <w:r>
              <w:rPr>
                <w:rFonts w:ascii="Arial" w:cs="Arial" w:eastAsia="Arial" w:hAnsi="Arial"/>
                <w:sz w:val="14"/>
                <w:szCs w:val="14"/>
                <w:color w:val="auto"/>
                <w:w w:val="94"/>
              </w:rPr>
              <w:t>Ordinary Shares—$0.001 par value; Authorized 1,356, Issued and Outstanding 777, actual and as adjusted; Issued and Outstanding</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8240" w:type="dxa"/>
            <w:vAlign w:val="bottom"/>
          </w:tcPr>
          <w:p>
            <w:pPr>
              <w:ind w:left="1060"/>
              <w:spacing w:after="0" w:line="159" w:lineRule="exact"/>
              <w:rPr>
                <w:sz w:val="20"/>
                <w:szCs w:val="20"/>
                <w:color w:val="auto"/>
              </w:rPr>
            </w:pPr>
            <w:r>
              <w:rPr>
                <w:rFonts w:ascii="Arial" w:cs="Arial" w:eastAsia="Arial" w:hAnsi="Arial"/>
                <w:sz w:val="14"/>
                <w:szCs w:val="14"/>
                <w:color w:val="auto"/>
              </w:rPr>
              <w:t>, as further adjusted</w:t>
            </w:r>
          </w:p>
        </w:tc>
        <w:tc>
          <w:tcPr>
            <w:tcW w:w="60" w:type="dxa"/>
            <w:vAlign w:val="bottom"/>
          </w:tcPr>
          <w:p>
            <w:pPr>
              <w:spacing w:after="0"/>
              <w:rPr>
                <w:sz w:val="13"/>
                <w:szCs w:val="13"/>
                <w:color w:val="auto"/>
              </w:rPr>
            </w:pPr>
          </w:p>
        </w:tc>
        <w:tc>
          <w:tcPr>
            <w:tcW w:w="1020" w:type="dxa"/>
            <w:vAlign w:val="bottom"/>
            <w:gridSpan w:val="2"/>
          </w:tcPr>
          <w:p>
            <w:pPr>
              <w:jc w:val="right"/>
              <w:ind w:right="572"/>
              <w:spacing w:after="0" w:line="159" w:lineRule="exact"/>
              <w:rPr>
                <w:sz w:val="20"/>
                <w:szCs w:val="20"/>
                <w:color w:val="auto"/>
              </w:rPr>
            </w:pPr>
            <w:r>
              <w:rPr>
                <w:rFonts w:ascii="Arial" w:cs="Arial" w:eastAsia="Arial" w:hAnsi="Arial"/>
                <w:sz w:val="14"/>
                <w:szCs w:val="14"/>
                <w:color w:val="auto"/>
              </w:rPr>
              <w:t>1</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in Excess of Par Value</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5,441</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60" w:type="dxa"/>
            <w:vAlign w:val="bottom"/>
          </w:tcPr>
          <w:p>
            <w:pPr>
              <w:spacing w:after="0"/>
              <w:rPr>
                <w:sz w:val="12"/>
                <w:szCs w:val="12"/>
                <w:color w:val="auto"/>
              </w:rPr>
            </w:pPr>
          </w:p>
        </w:tc>
        <w:tc>
          <w:tcPr>
            <w:tcW w:w="1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1,820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1,820</w:t>
            </w:r>
          </w:p>
        </w:tc>
        <w:tc>
          <w:tcPr>
            <w:tcW w:w="4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1,820</w:t>
            </w: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Accumulated Other Comprehensive Loss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w w:val="90"/>
              </w:rPr>
              <w:t>(1,090)</w:t>
            </w: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(1,090)</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(1,090)</w:t>
            </w:r>
          </w:p>
        </w:tc>
      </w:tr>
      <w:tr>
        <w:trPr>
          <w:trHeight w:val="156"/>
        </w:trPr>
        <w:tc>
          <w:tcPr>
            <w:tcW w:w="8240" w:type="dxa"/>
            <w:vAlign w:val="bottom"/>
          </w:tcPr>
          <w:p>
            <w:pPr>
              <w:ind w:left="440"/>
              <w:spacing w:after="0" w:line="155" w:lineRule="exact"/>
              <w:rPr>
                <w:sz w:val="20"/>
                <w:szCs w:val="20"/>
                <w:color w:val="auto"/>
              </w:rPr>
            </w:pPr>
            <w:r>
              <w:rPr>
                <w:rFonts w:ascii="Arial" w:cs="Arial" w:eastAsia="Arial" w:hAnsi="Arial"/>
                <w:sz w:val="14"/>
                <w:szCs w:val="14"/>
                <w:color w:val="auto"/>
              </w:rPr>
              <w:t>Weatherford Shareholders’ Equity</w:t>
            </w: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6,172</w:t>
            </w:r>
          </w:p>
        </w:tc>
        <w:tc>
          <w:tcPr>
            <w:tcW w:w="6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8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Noncontrolling Interests</w:t>
            </w: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6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r>
      <w:tr>
        <w:trPr>
          <w:trHeight w:val="156"/>
        </w:trPr>
        <w:tc>
          <w:tcPr>
            <w:tcW w:w="8240" w:type="dxa"/>
            <w:vAlign w:val="bottom"/>
          </w:tcPr>
          <w:p>
            <w:pPr>
              <w:ind w:left="880"/>
              <w:spacing w:after="0" w:line="155" w:lineRule="exact"/>
              <w:rPr>
                <w:sz w:val="20"/>
                <w:szCs w:val="20"/>
                <w:color w:val="auto"/>
              </w:rPr>
            </w:pPr>
            <w:r>
              <w:rPr>
                <w:rFonts w:ascii="Arial" w:cs="Arial" w:eastAsia="Arial" w:hAnsi="Arial"/>
                <w:sz w:val="14"/>
                <w:szCs w:val="14"/>
                <w:color w:val="auto"/>
              </w:rPr>
              <w:t>Total Shareholders’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572"/>
              <w:spacing w:after="0" w:line="155" w:lineRule="exact"/>
              <w:rPr>
                <w:sz w:val="20"/>
                <w:szCs w:val="20"/>
                <w:color w:val="auto"/>
              </w:rPr>
            </w:pPr>
            <w:r>
              <w:rPr>
                <w:rFonts w:ascii="Arial" w:cs="Arial" w:eastAsia="Arial" w:hAnsi="Arial"/>
                <w:sz w:val="14"/>
                <w:szCs w:val="14"/>
                <w:color w:val="auto"/>
              </w:rPr>
              <w:t>6,247</w:t>
            </w:r>
          </w:p>
        </w:tc>
        <w:tc>
          <w:tcPr>
            <w:tcW w:w="660" w:type="dxa"/>
            <w:vAlign w:val="bottom"/>
          </w:tcPr>
          <w:p>
            <w:pPr>
              <w:jc w:val="right"/>
              <w:ind w:right="536"/>
              <w:spacing w:after="0"/>
              <w:rPr>
                <w:sz w:val="20"/>
                <w:szCs w:val="20"/>
                <w:color w:val="auto"/>
              </w:rPr>
            </w:pPr>
            <w:r>
              <w:rPr>
                <w:rFonts w:ascii="Arial" w:cs="Arial" w:eastAsia="Arial" w:hAnsi="Arial"/>
                <w:sz w:val="10"/>
                <w:szCs w:val="10"/>
                <w:color w:val="auto"/>
                <w:w w:val="71"/>
              </w:rPr>
              <w:t>$</w:t>
            </w:r>
          </w:p>
        </w:tc>
        <w:tc>
          <w:tcPr>
            <w:tcW w:w="420" w:type="dxa"/>
            <w:vAlign w:val="bottom"/>
          </w:tcPr>
          <w:p>
            <w:pPr>
              <w:spacing w:after="0"/>
              <w:rPr>
                <w:sz w:val="13"/>
                <w:szCs w:val="13"/>
                <w:color w:val="auto"/>
              </w:rPr>
            </w:pPr>
          </w:p>
        </w:tc>
        <w:tc>
          <w:tcPr>
            <w:tcW w:w="940" w:type="dxa"/>
            <w:vAlign w:val="bottom"/>
            <w:gridSpan w:val="2"/>
          </w:tcPr>
          <w:p>
            <w:pPr>
              <w:jc w:val="right"/>
              <w:ind w:right="592"/>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20"/>
        </w:trPr>
        <w:tc>
          <w:tcPr>
            <w:tcW w:w="8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8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capitalization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20" w:type="dxa"/>
            <w:vAlign w:val="bottom"/>
            <w:gridSpan w:val="2"/>
            <w:shd w:val="clear" w:color="auto" w:fill="CCEEFF"/>
          </w:tcPr>
          <w:p>
            <w:pPr>
              <w:jc w:val="right"/>
              <w:ind w:right="572"/>
              <w:spacing w:after="0" w:line="143" w:lineRule="exact"/>
              <w:rPr>
                <w:sz w:val="20"/>
                <w:szCs w:val="20"/>
                <w:color w:val="auto"/>
              </w:rPr>
            </w:pPr>
            <w:r>
              <w:rPr>
                <w:rFonts w:ascii="Arial" w:cs="Arial" w:eastAsia="Arial" w:hAnsi="Arial"/>
                <w:sz w:val="14"/>
                <w:szCs w:val="14"/>
                <w:color w:val="auto"/>
                <w:w w:val="83"/>
              </w:rPr>
              <w:t>14,071</w:t>
            </w:r>
          </w:p>
        </w:tc>
        <w:tc>
          <w:tcPr>
            <w:tcW w:w="660" w:type="dxa"/>
            <w:vAlign w:val="bottom"/>
            <w:shd w:val="clear" w:color="auto" w:fill="CCEEFF"/>
          </w:tcPr>
          <w:p>
            <w:pPr>
              <w:jc w:val="right"/>
              <w:ind w:right="53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2"/>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20"/>
        </w:trPr>
        <w:tc>
          <w:tcPr>
            <w:tcW w:w="8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20" w:hanging="332"/>
        <w:spacing w:after="0" w:line="23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maintain a $2.25 billion unsecured, revolving credit agreement that matures on July 13, 2017. The revolving credit agreement can be used for a combination of borrowings, support for our $2.25 billion commercial paper program and issuances of letters of credit. This agreement requires that we maintain a debt-to-total capitalization ratio of less than 60%. At June 30, 2015, we had $1.3 billion available under the Credit Agreement, and there were $16 million in outstanding letters of credit under the revolving credit facility.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Six Months Ended</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(1)</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(1)</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1.34x</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six months ended June 30, 2015 and for the years ended December 31, 2014, 2013 and 2012, earnings before fixed charges were inadequate to cover fixed charges by $725 million, $266 million, $211 million and $349 million, respectively.</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THE ORDINARY SHARES</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Weatherford’s ordinary shares are traded under the symbol “WFT” on the NYSE. As of September 11, 2015, there were 1,966 shareholders of record. The following table sets forth, for the periods indicated, the range of high and low sales prices per share for the ordinary shares as reported on the NYSE.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3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$13.12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$14.91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Third Quarter (through September 18, 2015)</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3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13.07</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$23.25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$24.88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$20.89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10.07</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$13.70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$14.65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11.66</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$15.80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13.60</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14.44</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18, 2015, the closing price of the ordinary shares was $10.12 per share.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will issue the notes under a base indenture, dated as of October 1, 2003, among Weatherford International Ltd., Weatherford International, Inc., as guarantor, and Deutsche Bank Trust Company Americas, as trustee (the “base indenture”), as supplemented by the ninth supplemental indenture, dated as of September , 2015, among Weatherford International Ltd., Weatherford International plc, as guarantor, and Deutsche Bank Trust Company Americas, as trustee (the base indenture, as so supplemented, the “indenture”). You may request a copy of the indenture from us as described under “Where You Can Find Additional Information.”</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notes and the indenture and does not purport to be complete. This summary is subject to, and is qualified by reference to, all of the provisions of the notes and the indenture, including the definitions of certain terms used in the indenture. We urge you to read those documents because they, and not this description, define your rights as a holder of the notes. The terms of the notes include those expressly set forth in the indenture and those made part of the indenture by reference to the Trust Indenture Act of 1939, as amended (the “Trust Indenture Act”).</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purposes of this description, references to “we,” “our” and “us” refer only to Weatherford International Ltd. and not to its parent company Weatherford International plc or any of Weatherford International plc’s other subsidiaries, the “Parent” refers only to Weatherford International plc and not to any of its subsidiaries and, unless the context requires otherwise, references to “ordinary shares” refer to the ordinary shares of the Parent.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w:t>
      </w:r>
    </w:p>
    <w:p>
      <w:pPr>
        <w:spacing w:after="0" w:line="77"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be our unsecured, subordinated obligations;</w:t>
      </w:r>
    </w:p>
    <w:p>
      <w:pPr>
        <w:sectPr>
          <w:pgSz w:w="11900" w:h="16838" w:orient="portrait"/>
          <w:cols w:equalWidth="0" w:num="1">
            <w:col w:w="11400"/>
          </w:cols>
          <w:pgMar w:left="240" w:top="459" w:right="259" w:bottom="1440" w:gutter="0" w:footer="0" w:header="0"/>
        </w:sectPr>
      </w:pPr>
    </w:p>
    <w:p>
      <w:pPr>
        <w:spacing w:after="0" w:line="104"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initially be limited to an aggregate principal amount of $</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million (or $</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million if the underwriters exercise their over-allotment option in</w:t>
      </w:r>
    </w:p>
    <w:p>
      <w:pPr>
        <w:spacing w:after="0" w:line="37" w:lineRule="exact"/>
        <w:rPr>
          <w:sz w:val="20"/>
          <w:szCs w:val="20"/>
          <w:color w:val="auto"/>
        </w:rPr>
      </w:pPr>
    </w:p>
    <w:p>
      <w:pPr>
        <w:sectPr>
          <w:pgSz w:w="11900" w:h="16838" w:orient="portrait"/>
          <w:cols w:equalWidth="0" w:num="3">
            <w:col w:w="4640" w:space="540"/>
            <w:col w:w="880" w:space="520"/>
            <w:col w:w="4820"/>
          </w:cols>
          <w:pgMar w:left="240" w:top="459" w:right="25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full);</w:t>
      </w:r>
    </w:p>
    <w:p>
      <w:pPr>
        <w:spacing w:after="0" w:line="70" w:lineRule="exact"/>
        <w:rPr>
          <w:sz w:val="20"/>
          <w:szCs w:val="20"/>
          <w:color w:val="auto"/>
        </w:rPr>
      </w:pPr>
    </w:p>
    <w:p>
      <w:pPr>
        <w:ind w:left="460"/>
        <w:spacing w:after="0"/>
        <w:tabs>
          <w:tab w:leader="none" w:pos="640" w:val="left"/>
          <w:tab w:leader="none" w:pos="3260" w:val="left"/>
          <w:tab w:leader="none" w:pos="5320" w:val="left"/>
        </w:tabs>
        <w:rPr>
          <w:sz w:val="20"/>
          <w:szCs w:val="20"/>
          <w:color w:val="auto"/>
        </w:rPr>
      </w:pPr>
      <w:r>
        <w:rPr>
          <w:rFonts w:ascii="Arial" w:cs="Arial" w:eastAsia="Arial" w:hAnsi="Arial"/>
          <w:sz w:val="18"/>
          <w:szCs w:val="18"/>
          <w:color w:val="auto"/>
        </w:rPr>
        <w:t>•</w:t>
        <w:tab/>
        <w:t>bear cash interest from September</w:t>
        <w:tab/>
        <w:t>, 2015 at an annual rate of</w:t>
      </w:r>
      <w:r>
        <w:rPr>
          <w:sz w:val="20"/>
          <w:szCs w:val="20"/>
          <w:color w:val="auto"/>
        </w:rPr>
        <w:tab/>
      </w:r>
      <w:r>
        <w:rPr>
          <w:rFonts w:ascii="Arial" w:cs="Arial" w:eastAsia="Arial" w:hAnsi="Arial"/>
          <w:sz w:val="15"/>
          <w:szCs w:val="15"/>
          <w:color w:val="auto"/>
        </w:rPr>
        <w:t>%, payable quarterly in arrears on January 15, April 15, July 15 and October 15 of</w:t>
      </w:r>
    </w:p>
    <w:p>
      <w:pPr>
        <w:sectPr>
          <w:pgSz w:w="11900" w:h="16838" w:orient="portrait"/>
          <w:cols w:equalWidth="0" w:num="1">
            <w:col w:w="11400"/>
          </w:cols>
          <w:pgMar w:left="240" w:top="459" w:right="259" w:bottom="1440" w:gutter="0" w:footer="0" w:header="0"/>
          <w:type w:val="continuous"/>
        </w:sectPr>
      </w:pP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year, beginning on January 15, 2016, subject to our right to defer payments of interest as described under “—Deferral of Interest Payments;”</w:t>
      </w:r>
    </w:p>
    <w:p>
      <w:pPr>
        <w:spacing w:after="0" w:line="93" w:lineRule="exact"/>
        <w:rPr>
          <w:sz w:val="20"/>
          <w:szCs w:val="20"/>
          <w:color w:val="auto"/>
        </w:rPr>
      </w:pPr>
    </w:p>
    <w:p>
      <w:pPr>
        <w:ind w:left="660" w:right="8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previously exchanged, be automatically exchanged on the stated maturity date (which is expected to be October 15, 2018, subject to extension in limited circumstances) into ordinary shares at the exchange rate described herein;</w:t>
      </w:r>
    </w:p>
    <w:p>
      <w:pPr>
        <w:spacing w:after="0" w:line="37"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exchangeable into ordinary shares at the option of the holder at any time prior to the maturity date as described under “—Exchange of the Notes— Exchange at the Option of the Holder;”</w:t>
      </w:r>
    </w:p>
    <w:p>
      <w:pPr>
        <w:spacing w:after="0" w:line="37"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exchangeable into ordinary shares at the option of the holder following a fundamental change (as defined herein) as described under “—Exchange of the Notes—Exchange upon Fundamental Change;”</w:t>
      </w:r>
    </w:p>
    <w:p>
      <w:pPr>
        <w:spacing w:after="0" w:line="37"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exchanged into ordinary shares at our option upon a change in tax law as described under “Exchange of the Notes—Mandatory Exchange at our Option upon a Change in Tax Law;”</w:t>
      </w:r>
    </w:p>
    <w:p>
      <w:pPr>
        <w:spacing w:after="0" w:line="37"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permitted by law, be automatically exchanged into ordinary shares upon acceleration of the notes following an event of default, including in connection with certain bankruptcy events, as described under “—Exchange of the Notes—Automatic Exchange upon Acceleration of the Notes” and under “—Events of Default;”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issued in denominations of $25 and integral multiples of $25 in excess thereof;</w:t>
      </w:r>
    </w:p>
    <w:p>
      <w:pPr>
        <w:spacing w:after="0" w:line="103"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initially be represented by one or more registered notes in global form, but in certain limited circumstances may be represented by notes in definitive form, as described under “—Book-Entry, Settlement and Clearance;”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fully and unconditionally guaranteed on an unsecured, subordinated basis by the Parent.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settle any exchange of notes by delivering a number of ordinary shares per $25 principal amount of notes equal to the applicable exchange rate (together with a cash payment in lieu of any fractional share), as described under “—Exchange of the Notes.” The fixed exchange rates are subject to adjustment if certain events described in “—Exchange Rate Adjustments” occur.</w:t>
      </w:r>
    </w:p>
    <w:p>
      <w:pPr>
        <w:spacing w:after="0" w:line="12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The indenture does not limit the amount of debt that may be issued by us, the Parent or any of the Parent’s other subsidiaries under the indenture or otherwise. The indenture does not contain any financial covenants and, except as described under “—Deferral of Interest Payments,” does not restrict us or the Parent from paying dividends or from issuing or repurchasing our or its other securities. Other than the restrictions described under “—Consolidation, Merger, Amalgamation and Sale of Assets” below and except for the provisions set forth under “—Exchange of the Notes—Exchange upon Fundamental Change,” the indenture does not contain any covenants or other provisions designed to afford holders of the notes protection in the event of a highly leveraged transaction involving us or the Parent or in the event of a decline in our or the Parent’s credit rating as the result of a takeover, recapitalization, highly leveraged transaction or similar restructuring involving us or the Parent that could adversely affect such holders. See “Risk Factors—Risks Relating to the Notes—Some significant restructuring transactions and significant changes in the composition of the board of Weatherford may not constitute a fundamental change.”</w:t>
      </w:r>
    </w:p>
    <w:p>
      <w:pPr>
        <w:spacing w:after="0" w:line="9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without the consent of the holders, issue additional notes under the indenture with the same terms and with the same CUSIP numbers as the notes offered hereby (other than differences in the issue price and the date from which interest will accrue) in an unlimited aggregate principal amount. Subject to the provisions described in “—Subordination” below, we and the Parent may also from time to time repurchase notes in open market purchases or negotiated transactions without giving prior notice to holders. Any notes repurchased by us or the Parent will be retired and no longer outstanding under the indenture.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list the notes on the New York Stock Exchange as promptly as practicable following this offering.</w:t>
      </w:r>
    </w:p>
    <w:p>
      <w:pPr>
        <w:spacing w:after="0" w:line="15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Except to the extent the context otherwise requires, we use the term “notes” in this prospectus supplement to refer to each $25 principal amount of notes. References in this prospectus supplement to a “holder” or “holders” of notes that are held through The Depository Trust Company (“DTC”) are references to the owners of beneficial interests in such notes, unless the context otherwise requires. However, we and the trustee will treat the person in whose name the notes are registered (Cede &amp; Co., in the case of notes held through DTC) as the owner of such notes for all purposes under the indenture.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will pay, or cause to be paid through the paying agent, any amounts due on notes in global form registered in the name of or held by DTC or its nominee in immediately available funds to DTC or its nominee, as the case may be, as the registered holder of such global note. The transfer or exchange of a beneficial interest in a note in global form may be effectuated in accordance with the indenture and the applicable procedures of the depositary. See “—Book-Entry, Settlement and Clearance.”</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or cause to be paid through the paying agent, any amounts due on certificated notes at the office or agency designated by us for that purpose. We have initially designated the office of the trustee in New York, New York as our paying agent and registrar as a place where notes may be presented for payment or for registration of transfer. We may, however, change the paying agent or registrar without prior notice to the holders of the notes, and we may act as paying agent or registrar. We will maintain a paying agent and registrar in a jurisdiction that is not obliged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Interest on certificated notes will be payable to holders of certificated notes by check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mailed to the holders of those notes. A holder of certificated notes may transfer or exchange such notes at the office of the registrar in accordance with the indenture. The registrar and the trustee may require a holder, among other things, to furnish appropriate endorsements and transfer documents.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service charge will be imposed by us, the trustee or the registrar for any registration of transfer or exchange of notes, but we may require a holder to pay a sum sufficient to cover any transfer tax, stamp duty or other similar governmental charge required by law or permitted by the indenture. We are not required to transfer or exchange any note surrendered for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notes will bear cash interest at a rate of % per year until maturity. Interest on the notes will accrue from the most recent date on which interest has been paid or duly provided for or, if no interest has been paid or duly provided for, from September , 2015. Interest will be payable quarterly in arrears on January 15, April 15, July 15 and October 15 of each year, beginning January 15, 2016, except as described under “—Deferral of Interest Payments.”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will be paid to the person in whose name a note is registered at the close of business on the January 1, April 1, July 1 or October 1, as the case may be, immediately preceding the relevant interest payment date. Interest on the notes (including deferred interest described under “—Deferral of Interest Payments”) will be computed on the basis of a 360-day year composed of twelve 30-day months and, for partial months, on the basis of the number of days actually elapsed in a 30-day month. If any interest payment date falls on a day that is not a business day, the required payment will be made on the next succeeding business day and no interest on such payment will accrue in respect of the delay.</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 “business day” means any day other than a Saturday, a Sunday or a day on which the Federal Reserve Bank of New York is authorized or required by law or executive order to close or be closed.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of Interest Payments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will have the right to defer the payment of interest and to extend any deferral period on the notes at any time or from time to time, so long as we are not in default in payment of interest at the time we elect deferral and we give notice as described below. We may not defer interest payments beyond the stated maturity date of the notes, and any deferral period must end on an interest payment date. Interest will continue to accrue during any deferral period. At the end of a deferral period we must pay all deferred interest then accrued and unpaid, together with interest on the deferred interest, to the extent permitted by applicable law, at a rate per annum equal to the interest rate borne on the notes. Such payment will be made to such holders and at such times as non-deferred interest on the applicable note would be payable on the interest payment date or stated maturity date on which the deferral period ends.</w:t>
      </w:r>
    </w:p>
    <w:p>
      <w:pPr>
        <w:spacing w:after="0" w:line="10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To initiate or extend an interest deferral period, we must give the trustee notice of our election to begin or extend a deferral period at least 10 business days prior to the date on which interest on the notes would have otherwise been payable, and the notice must indicate the interest payment date or stated maturity date on which the deferral period will end. Prior to the termination of any deferral period, we may extend such deferral period to an interest payment date or the stated maturity of the notes. Upon the termination of any deferral period and the payment of all amounts then due, we may begin a new deferral period, subject to the limitations described above. Subject to the foregoing limitations, there is no limitation on the number of times that we may begin or extend a deferral period.</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trustee on our behalf) will give notice of our election to begin or extend a deferral period to the holders of the notes.</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any such deferral period, subject to certain exceptions, the Parent will be restricted from making certain payments, including declaring or paying dividends, or making any distributions on (including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distributions in the form of interest on shareholders’ equity under Irish law), or redeeming, purchasing, acquiring or making a liquidation payment with respect to, equity securities of the Parent, as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All payments and deliveries made by or on behalf of us or the Parent, or any successor to us or the Parent, under or with respect to the notes, including, but not limited to payments of interest and deliveries of ordinary shares (together with payments of cash for any fractional ordinary shares) upon exchange and any payments under the guarantee described under “—Guarantee,” will be made without withholding or deduction for, or on account of, any present or future taxes, duties, imposts, assessments or governmental charges of whatever nature imposed or levied (including any penalties and interest related thereto) (“applicable taxes”) by or within (1) Ireland (meaning Ireland exclusive of Northern Ireland) or Bermuda (or any political subdivision or taxing authority thereof or therein),</w:t>
      </w:r>
    </w:p>
    <w:p>
      <w:pPr>
        <w:spacing w:after="0" w:line="2" w:lineRule="exact"/>
        <w:rPr>
          <w:sz w:val="20"/>
          <w:szCs w:val="20"/>
          <w:color w:val="auto"/>
        </w:rPr>
      </w:pPr>
    </w:p>
    <w:p>
      <w:pPr>
        <w:ind w:right="40" w:firstLine="8"/>
        <w:spacing w:after="0" w:line="300" w:lineRule="auto"/>
        <w:tabs>
          <w:tab w:leader="none" w:pos="2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jurisdiction in which we are or the Parent or any of our or its successors is, for tax purposes, incorporated, organized or resident, or as a result of activities carried on by us, the Parent or any successor, has otherwise created a taxable presence (or any political subdivision or taxing authority thereof or therein) or</w:t>
      </w:r>
    </w:p>
    <w:p>
      <w:pPr>
        <w:ind w:right="40" w:firstLine="8"/>
        <w:spacing w:after="0" w:line="290"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any jurisdiction (or any political subdivision or taxing authority thereof or therein) from or through which payment is made by or on behalf of us or the Parent (including the jurisdiction of any paying agent) (each jurisdiction described in (1), (2) or (3), as applicable, a “relevant taxing jurisdiction”), unless such withholding or deduction is required by law or by the interpretation or administration thereof. In the event that any such withholding or deduction is so required, we or the Parent, as appropriate,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additional amounts will be payable:</w:t>
      </w:r>
    </w:p>
    <w:p>
      <w:pPr>
        <w:spacing w:after="0" w:line="23" w:lineRule="exact"/>
        <w:rPr>
          <w:rFonts w:ascii="Arial" w:cs="Arial" w:eastAsia="Arial" w:hAnsi="Arial"/>
          <w:sz w:val="16"/>
          <w:szCs w:val="16"/>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76" w:lineRule="exact"/>
        <w:rPr>
          <w:rFonts w:ascii="Arial" w:cs="Arial" w:eastAsia="Arial" w:hAnsi="Arial"/>
          <w:sz w:val="18"/>
          <w:szCs w:val="18"/>
          <w:color w:val="auto"/>
        </w:rPr>
      </w:pPr>
    </w:p>
    <w:p>
      <w:pPr>
        <w:ind w:left="1920" w:right="20" w:hanging="440"/>
        <w:spacing w:after="0" w:line="290" w:lineRule="auto"/>
        <w:tabs>
          <w:tab w:leader="none" w:pos="1920" w:val="left"/>
        </w:tabs>
        <w:numPr>
          <w:ilvl w:val="3"/>
          <w:numId w:val="14"/>
        </w:numPr>
        <w:rPr>
          <w:rFonts w:ascii="Arial" w:cs="Arial" w:eastAsia="Arial" w:hAnsi="Arial"/>
          <w:sz w:val="16"/>
          <w:szCs w:val="16"/>
          <w:color w:val="auto"/>
        </w:rPr>
      </w:pPr>
      <w:r>
        <w:rPr>
          <w:rFonts w:ascii="Arial" w:cs="Arial" w:eastAsia="Arial" w:hAnsi="Arial"/>
          <w:sz w:val="16"/>
          <w:szCs w:val="16"/>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23" w:lineRule="exact"/>
        <w:rPr>
          <w:rFonts w:ascii="Arial" w:cs="Arial" w:eastAsia="Arial" w:hAnsi="Arial"/>
          <w:sz w:val="16"/>
          <w:szCs w:val="16"/>
          <w:color w:val="auto"/>
        </w:rPr>
      </w:pPr>
    </w:p>
    <w:p>
      <w:pPr>
        <w:ind w:left="1920" w:hanging="440"/>
        <w:spacing w:after="0" w:line="256" w:lineRule="auto"/>
        <w:tabs>
          <w:tab w:leader="none" w:pos="1920" w:val="left"/>
        </w:tabs>
        <w:numPr>
          <w:ilvl w:val="3"/>
          <w:numId w:val="14"/>
        </w:numPr>
        <w:rPr>
          <w:rFonts w:ascii="Arial" w:cs="Arial" w:eastAsia="Arial" w:hAnsi="Arial"/>
          <w:sz w:val="18"/>
          <w:szCs w:val="18"/>
          <w:color w:val="auto"/>
        </w:rPr>
      </w:pPr>
      <w:r>
        <w:rPr>
          <w:rFonts w:ascii="Arial" w:cs="Arial" w:eastAsia="Arial" w:hAnsi="Arial"/>
          <w:sz w:val="18"/>
          <w:szCs w:val="18"/>
          <w:color w:val="auto"/>
        </w:rPr>
        <w:t>the presentation of such note (in cases in which presentation is required) more than 30 days after the later of the date on which the payment on, or deliveries of ordinary shares upon exchange of, such note became due and payable pursuant to the terms thereof or was made or duly provided for (except to the extent that the holder or beneficial owner would have been entitled to additional amounts had the note been presented on the last day of such 30-day period); or</w:t>
      </w:r>
    </w:p>
    <w:p>
      <w:pPr>
        <w:spacing w:after="0" w:line="48" w:lineRule="exact"/>
        <w:rPr>
          <w:rFonts w:ascii="Arial" w:cs="Arial" w:eastAsia="Arial" w:hAnsi="Arial"/>
          <w:sz w:val="18"/>
          <w:szCs w:val="18"/>
          <w:color w:val="auto"/>
        </w:rPr>
      </w:pPr>
    </w:p>
    <w:p>
      <w:pPr>
        <w:ind w:left="1920" w:right="20" w:hanging="440"/>
        <w:spacing w:after="0" w:line="291" w:lineRule="auto"/>
        <w:tabs>
          <w:tab w:leader="none" w:pos="1920" w:val="left"/>
        </w:tabs>
        <w:numPr>
          <w:ilvl w:val="3"/>
          <w:numId w:val="14"/>
        </w:numPr>
        <w:rPr>
          <w:rFonts w:ascii="Arial" w:cs="Arial" w:eastAsia="Arial" w:hAnsi="Arial"/>
          <w:sz w:val="16"/>
          <w:szCs w:val="16"/>
          <w:color w:val="auto"/>
        </w:rPr>
      </w:pPr>
      <w:r>
        <w:rPr>
          <w:rFonts w:ascii="Arial" w:cs="Arial" w:eastAsia="Arial" w:hAnsi="Arial"/>
          <w:sz w:val="16"/>
          <w:szCs w:val="16"/>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timely and reasonable written request from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76" w:lineRule="exact"/>
        <w:rPr>
          <w:rFonts w:ascii="Arial" w:cs="Arial" w:eastAsia="Arial" w:hAnsi="Arial"/>
          <w:sz w:val="18"/>
          <w:szCs w:val="18"/>
          <w:color w:val="auto"/>
        </w:rPr>
      </w:pPr>
    </w:p>
    <w:p>
      <w:pPr>
        <w:ind w:left="1460" w:right="300" w:hanging="547"/>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w:t>
      </w:r>
    </w:p>
    <w:p>
      <w:pPr>
        <w:spacing w:after="0" w:line="37" w:lineRule="exact"/>
        <w:rPr>
          <w:rFonts w:ascii="Arial" w:cs="Arial" w:eastAsia="Arial" w:hAnsi="Arial"/>
          <w:sz w:val="18"/>
          <w:szCs w:val="18"/>
          <w:color w:val="auto"/>
        </w:rPr>
      </w:pPr>
    </w:p>
    <w:p>
      <w:pPr>
        <w:ind w:left="1460" w:right="80" w:hanging="547"/>
        <w:spacing w:after="0" w:line="325" w:lineRule="auto"/>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tax imposed on a payment to an individual and required to be made pursuant to European Council Directive 2003/48/EC on the taxation of savings income or any law implementing or complying with, or introduced in order to conform to, such directive;</w:t>
      </w:r>
    </w:p>
    <w:p>
      <w:pPr>
        <w:spacing w:after="0" w:line="1" w:lineRule="exact"/>
        <w:rPr>
          <w:rFonts w:ascii="Arial" w:cs="Arial" w:eastAsia="Arial" w:hAnsi="Arial"/>
          <w:sz w:val="16"/>
          <w:szCs w:val="16"/>
          <w:color w:val="auto"/>
        </w:rPr>
      </w:pPr>
    </w:p>
    <w:p>
      <w:pPr>
        <w:ind w:left="1460" w:right="200" w:hanging="547"/>
        <w:spacing w:after="0" w:line="325" w:lineRule="auto"/>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taxes payable by or on behalf of a holder who would have been able to avoid such withholding or deduction by presenting the notes or request for payment under the guarantee to another paying agent designated by us pursuant to the indenture; and</w:t>
      </w:r>
    </w:p>
    <w:p>
      <w:pPr>
        <w:spacing w:after="0" w:line="1" w:lineRule="exact"/>
        <w:rPr>
          <w:rFonts w:ascii="Arial" w:cs="Arial" w:eastAsia="Arial" w:hAnsi="Arial"/>
          <w:sz w:val="16"/>
          <w:szCs w:val="16"/>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(d) and (e); and</w:t>
      </w:r>
    </w:p>
    <w:p>
      <w:pPr>
        <w:spacing w:after="0" w:line="76" w:lineRule="exact"/>
        <w:rPr>
          <w:rFonts w:ascii="Arial" w:cs="Arial" w:eastAsia="Arial" w:hAnsi="Arial"/>
          <w:sz w:val="18"/>
          <w:szCs w:val="18"/>
          <w:color w:val="auto"/>
        </w:rPr>
      </w:pPr>
    </w:p>
    <w:p>
      <w:pPr>
        <w:jc w:val="both"/>
        <w:ind w:left="900" w:right="14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48"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certain disclosure that would otherwise be required under a bilateral tax cooperation agreement between Switzerland and the country in which the holder is tax resident, and</w:t>
      </w:r>
    </w:p>
    <w:p>
      <w:pPr>
        <w:spacing w:after="0" w:line="18"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foregoing, we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(other than the ordinary shares) referred to therein or the receipt of payments with respect thereto (subject to the exclusions described above, other than the exclusion described in paragraph 1(c)). For the avoidance of doubt, the indemnification provided in this paragraph shall not include any transfer taxes or stamp duty arising from the transfer of notes between holders or in the ordinary course after the issue date (other than a transfer of notes in exchange for ordinary shares).</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become or the Parent becomes after the date of this prospectus supplement obligated to pay additional amounts with respect to any payment under or with respect to the notes, we will deliver to the trustee on a date that is at least 30 days prior to the date of that payment (unless the obligation to pay additional amounts arises after the 30th day prior to that payment date, in which case we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or the exchange agent, as the case may be, to pay additional amounts to holders on the relevant payment date. The trustee shall be entitled to rely solely on such officer’s certificate as conclusive proof that such payments are necessary. We will provide the trustee with documentation reasonably satisfactory to the trustee evidencing the payment of additional amounts.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or the Parent, as appropriate, will make all withholdings and deductions required by law and will remit the full amount deducted or withheld to the relevant tax authority in accordance with applicable law. Upon request, we will provide to the trustee an official receipt or, if official receipts are not obtainable, other documentation reasonably satisfactory to the trustee evidencing the payment of any applicable taxes so deducted or withheld. Upon written request, copies of those receipts or other documentation, as the case may be, will be made available by the trustee to the holders of the notes.</w:t>
      </w:r>
    </w:p>
    <w:p>
      <w:pPr>
        <w:spacing w:after="0" w:line="99"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Whenever there is mentioned in any context the delivery of ordinary shares (together with payments of cash for any fractional ordinary shares) upon exchange of the notes or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Redemption; 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“sinking fund” is provided for the notes and we are not required to redeem or repurchase the notes. The notes may not be redeemed by us at our option.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and the guarantee will be our and the Parent’s unsecured, subordinated obligations. Your right to payments under the notes and the guarantee will be junior to the rights of the holders of our and the Parent’s existing and future senior indebtedness, as applicable. Your right to payments under the notes and the guarantee is also structurally subordinated to holders of indebtedness of our subsidiaries. Moreover, if the notes are accelerated, including in connection with a bankruptcy of us or the Parent, the notes will, to the extent permitted by law, be automatically exchanged into ordinary shares and, to that extent, will therefore cease to represent a debt claim against the assets of us or the Parent. See “Risk Factors—The notes have only limited debt holder’s rights.”</w:t>
      </w:r>
    </w:p>
    <w:p>
      <w:pPr>
        <w:spacing w:after="0" w:line="10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of June 30, 2015, we had total consolidated indebtedness of $7.8 billion, substantially all of which was unsecured indebtedness of Weatherford Bermuda or its subsidiaries guaranteed by Weatherford and/or Weatherford Bermuda and to which the notes would have been contractually subordinated. See “Risk Factors—Risks Relating to the Notes—The notes and the guarantee are contractually subordinated to our unsecured indebtedness and if a default occurs Weatherford Bermuda and Weatherford may not have sufficient funds to fulfill the obligations under the notes and the guarantee.” The indenture governing the notes does not limit the amount of debt, including senior or secured debt that we, the Parent or our respective subsidiaries may incur.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and our obligations under the indenture will be fully and unconditionally guaranteed, on an unsecured, subordinated basis, by the Parent.</w:t>
      </w:r>
    </w:p>
    <w:p>
      <w:pPr>
        <w:spacing w:after="0" w:line="18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Your rights under the guarantee will be junior to the rights of secured creditors of the Parent to the extent of their interest in the Parent’s assets and effectively subordinated to the rights of any creditor of a subsidiary of the Parent over the assets of that subsidiary.</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guarantee will be limited to an amount not to exceed the maximum amount that can be guaranteed without rendering the guarantee voidable under applicable law relating to fraudulent conveyance or fraudulent transfer or similar laws affecting the rights of creditors generally. The guarantee will not cover our obligation to pay-up or procure the payment-up of the ordinary shares to at least their nominal value upon exchange.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not permitted to make any payments on the notes and may not purchase or otherwise retire any notes (in each case except in exchange for equity securities, including ordinary shares) if either of the following defaults occurs:</w:t>
      </w:r>
    </w:p>
    <w:p>
      <w:pPr>
        <w:spacing w:after="0" w:line="3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 our designated senior debt (as defined below) is not paid in full in cash when due;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default on our designated senior debt occurs and the maturity of such designated senior debt is accelerated in accordance with its terms;</w:t>
      </w:r>
    </w:p>
    <w:p>
      <w:pPr>
        <w:spacing w:after="0" w:line="18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unless, in either case, such default has been cured or waived and any such acceleration has been rescinded or such designated senior debt has been paid in full in cash. Regardless of the foregoing, we may be permitted to pay the notes if we and the trustee receive written notice approving such payment from the representatives of all designated senior debt with respect to which such default has occurred and is continuing.</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the continuance of any default (other than the defaults described under (1) and (2) above) with respect to any designated senior debt pursuant to which the maturity thereof may be accelerated without further notice (except such notice as may be required to effect such acceleration) or the expiration of any applicable grace periods, we are not permitted to make payments on the notes for a period commencing upon the receipt by the trustee (with a copy to us) of written notice of such default from the representative of such holders of such designated senior debt specifying an election to effect such period and ending 179 days thereafter. Such period will end earlier if it is terminated:</w:t>
      </w:r>
    </w:p>
    <w:p>
      <w:pPr>
        <w:spacing w:after="0" w:line="2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written notice to us and the trustee from the person or persons who gave such notice;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the default giving rise to such notice is cured, waived or otherwise no longer continuing;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such designated senior debt has been discharged or repaid in full in cash.</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provisions described above, unless the holders of such designated senior debt or the representative of such designated senior debt have accelerated the maturity of such designated senior debt, we are permitted to resume making payments on the notes after the end of such period. The notes shall not be subject to more than one such period in any consecutive 360-day period irrespective of the number of defaults with respect to designated senior debt during such period, except that if any such notice is delivered to the trustee by or on behalf of holders of designated senior debt (other than the representative under our senior credit facility), a representative under the senior credit facility may give another notice within such period. However, in no event may the total number of days during which any such period or periods is in effect exceed 179 days in the aggregate during any 360-day consecutive period, and there must be 181 days during any 360-day consecutive period during which no such period is in effect. Upon any payment or distribution of our assets upon a total or partial liquidation or dissolution or reorganization of or similar proceeding relating to us or our property:</w:t>
      </w:r>
    </w:p>
    <w:p>
      <w:pPr>
        <w:spacing w:after="0" w:line="24" w:lineRule="exact"/>
        <w:rPr>
          <w:sz w:val="20"/>
          <w:szCs w:val="20"/>
          <w:color w:val="auto"/>
        </w:rPr>
      </w:pPr>
    </w:p>
    <w:p>
      <w:pPr>
        <w:ind w:left="900" w:right="4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our senior debt will be entitled to receive payment in full in cash of such senior debt before the holders of the notes are entitled to receive any payment;</w:t>
      </w:r>
    </w:p>
    <w:p>
      <w:pPr>
        <w:spacing w:after="0" w:line="37" w:lineRule="exact"/>
        <w:rPr>
          <w:rFonts w:ascii="Arial" w:cs="Arial" w:eastAsia="Arial" w:hAnsi="Arial"/>
          <w:sz w:val="18"/>
          <w:szCs w:val="18"/>
          <w:color w:val="auto"/>
        </w:rPr>
      </w:pPr>
    </w:p>
    <w:p>
      <w:pPr>
        <w:ind w:left="900" w:right="420" w:hanging="446"/>
        <w:spacing w:after="0" w:line="325"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until our senior debt is paid in full in cash, any payment or distribution to which holders of the notes would be entitled but for the subordination provisions of the indenture will be made to holders of such senior debt as their interests may appear and not to the holders of the notes; and</w:t>
      </w:r>
    </w:p>
    <w:p>
      <w:pPr>
        <w:spacing w:after="0" w:line="1" w:lineRule="exact"/>
        <w:rPr>
          <w:rFonts w:ascii="Arial" w:cs="Arial" w:eastAsia="Arial" w:hAnsi="Arial"/>
          <w:sz w:val="16"/>
          <w:szCs w:val="16"/>
          <w:color w:val="auto"/>
        </w:rPr>
      </w:pPr>
    </w:p>
    <w:p>
      <w:pPr>
        <w:ind w:left="900" w:right="56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 distribution is made to holders of the notes that, due to the subordination provisions, should not have been made to them, such holders are required to hold it in trust for the holders of our senior debt and pay it over to them as their interests may appear.</w:t>
      </w:r>
    </w:p>
    <w:p>
      <w:pPr>
        <w:spacing w:after="0" w:line="7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obligations of the Parent under its guarantee of the notes are subordinated obligations. As such, the rights of the holders of the notes to receive payment by the Parent pursuant to its guarantee will be subordinated in right of payment to the rights of holders of senior debt of ours or the Parent, as the case may be. The terms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subordination provisions described above with respect to our obligations under the notes apply equally to the Parent and the obligations of the Parent under its guarantee.</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By reason of the subordination provisions contained in the indenture, in the event of a liquidation or insolvency proceeding, our creditors or creditors of the Parent who are holders of senior debt of ours or the Parent, as the case may be, may recover more, ratably, than the holders of the notes, and our creditors who are not holders of senior debt may recover less, ratably, than holders of senior debt and may recover more, ratably, than the holders of the notes.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used in this section, “senior debt” means any indebtedness of us or the Parent except to the extent that the instrument establishing such indebtedness expressly provides that such indebtedness will rank junior to or on parity with the notes and the guarantee, and “designated senior debt” means indebtedness under the senior credit facility, our senior notes and guarantees by the Parent of our senior notes or senior notes of its subsidiaries outstanding at the time the notes were issued and any other indebtedness constituting senior debt which, at the time of determination is specifically designated by us in the instrument evidencing such senior debt as “designated senior debt.”</w:t>
      </w:r>
    </w:p>
    <w:p>
      <w:pPr>
        <w:spacing w:after="0" w:line="129"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As used in this section, “senior credit facility” means the Credit Agreement, dated as of October 15, 2010, among Weatherford Bermuda, Weatherford, other Borrowers party thereto, Wells Fargo Bank, National Association, as a swingline lender, JPMorgan Chase Bank, N.A., as administrative agent and a swingline lender and the other parties thereto, as amended, restated, supplemented or modified from time to time.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the Notes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Mandatory Exchange</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note, unless previously exchanged, will be automatically exchanged into ordinary shares, at the exchange rate described herein, on the “stated maturity date,” which will be October 15, 2018, provided, however, that if a market disruption event (as defined herein) occurs during the observation period described below, the stated maturity date will be postponed by the number of scheduled trading days (as defined herein) during such period on which a market disruption event occurred. In addition to the ordinary shares issuable upon exchange of each note on the stated maturity date, holders will have the right to receive an amount in cash equal to all accrued and unpaid interest (including deferred interest) on such notes up to (but excluding) the stated maturity date.</w:t>
      </w:r>
    </w:p>
    <w:p>
      <w:pPr>
        <w:spacing w:after="0" w:line="10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exchange rate, which is the number of ordinary shares deliverable upon exchange of each note on the stated maturity date, will be as set forth below, subject to adjustment as described under “—Exchange Rate Adjustments”:</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60"/>
              <w:spacing w:after="0"/>
              <w:rPr>
                <w:sz w:val="20"/>
                <w:szCs w:val="20"/>
                <w:color w:val="auto"/>
              </w:rPr>
            </w:pPr>
            <w:r>
              <w:rPr>
                <w:rFonts w:ascii="Arial" w:cs="Arial" w:eastAsia="Arial" w:hAnsi="Arial"/>
                <w:sz w:val="18"/>
                <w:szCs w:val="18"/>
                <w:color w:val="auto"/>
                <w:w w:val="91"/>
              </w:rPr>
              <w:t>if the applicable market value (as defined below) of the ordinary shares is equal to or greater than $</w:t>
            </w:r>
          </w:p>
        </w:tc>
        <w:tc>
          <w:tcPr>
            <w:tcW w:w="3280" w:type="dxa"/>
            <w:vAlign w:val="bottom"/>
            <w:gridSpan w:val="3"/>
          </w:tcPr>
          <w:p>
            <w:pPr>
              <w:ind w:left="260"/>
              <w:spacing w:after="0"/>
              <w:rPr>
                <w:sz w:val="20"/>
                <w:szCs w:val="20"/>
                <w:color w:val="auto"/>
              </w:rPr>
            </w:pPr>
            <w:r>
              <w:rPr>
                <w:rFonts w:ascii="Arial" w:cs="Arial" w:eastAsia="Arial" w:hAnsi="Arial"/>
                <w:sz w:val="18"/>
                <w:szCs w:val="18"/>
                <w:color w:val="auto"/>
                <w:w w:val="89"/>
              </w:rPr>
              <w:t>, which we call the “threshold appreciation</w:t>
            </w:r>
          </w:p>
        </w:tc>
      </w:tr>
      <w:tr>
        <w:trPr>
          <w:trHeight w:val="216"/>
        </w:trPr>
        <w:tc>
          <w:tcPr>
            <w:tcW w:w="14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w w:val="98"/>
              </w:rPr>
              <w:t>price,” then the exchange rate will be</w:t>
            </w:r>
          </w:p>
        </w:tc>
        <w:tc>
          <w:tcPr>
            <w:tcW w:w="7600" w:type="dxa"/>
            <w:vAlign w:val="bottom"/>
            <w:gridSpan w:val="4"/>
          </w:tcPr>
          <w:p>
            <w:pPr>
              <w:ind w:left="280"/>
              <w:spacing w:after="0"/>
              <w:rPr>
                <w:sz w:val="20"/>
                <w:szCs w:val="20"/>
                <w:color w:val="auto"/>
              </w:rPr>
            </w:pPr>
            <w:r>
              <w:rPr>
                <w:rFonts w:ascii="Arial" w:cs="Arial" w:eastAsia="Arial" w:hAnsi="Arial"/>
                <w:sz w:val="18"/>
                <w:szCs w:val="18"/>
                <w:color w:val="auto"/>
                <w:w w:val="89"/>
              </w:rPr>
              <w:t>ordinary shares per note (the “minimum exchange rate”), which is equal to $25 divided by the threshold</w:t>
            </w:r>
          </w:p>
        </w:tc>
      </w:tr>
      <w:tr>
        <w:trPr>
          <w:trHeight w:val="222"/>
        </w:trPr>
        <w:tc>
          <w:tcPr>
            <w:tcW w:w="140" w:type="dxa"/>
            <w:vAlign w:val="bottom"/>
          </w:tcPr>
          <w:p>
            <w:pPr>
              <w:spacing w:after="0"/>
              <w:rPr>
                <w:sz w:val="19"/>
                <w:szCs w:val="19"/>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appreciation price;</w:t>
            </w:r>
          </w:p>
        </w:tc>
        <w:tc>
          <w:tcPr>
            <w:tcW w:w="4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340" w:type="dxa"/>
            <w:vAlign w:val="bottom"/>
            <w:gridSpan w:val="3"/>
          </w:tcPr>
          <w:p>
            <w:pPr>
              <w:ind w:left="60"/>
              <w:spacing w:after="0"/>
              <w:rPr>
                <w:sz w:val="20"/>
                <w:szCs w:val="20"/>
                <w:color w:val="auto"/>
              </w:rPr>
            </w:pPr>
            <w:r>
              <w:rPr>
                <w:rFonts w:ascii="Arial" w:cs="Arial" w:eastAsia="Arial" w:hAnsi="Arial"/>
                <w:sz w:val="18"/>
                <w:szCs w:val="18"/>
                <w:color w:val="auto"/>
                <w:w w:val="90"/>
              </w:rPr>
              <w:t>if the applicable market value of the ordinary shares is less than the threshold appreciation price but greater than $</w:t>
            </w:r>
          </w:p>
        </w:tc>
        <w:tc>
          <w:tcPr>
            <w:tcW w:w="2240" w:type="dxa"/>
            <w:vAlign w:val="bottom"/>
            <w:gridSpan w:val="2"/>
          </w:tcPr>
          <w:p>
            <w:pPr>
              <w:ind w:left="260"/>
              <w:spacing w:after="0"/>
              <w:rPr>
                <w:sz w:val="20"/>
                <w:szCs w:val="20"/>
                <w:color w:val="auto"/>
              </w:rPr>
            </w:pPr>
            <w:r>
              <w:rPr>
                <w:rFonts w:ascii="Arial" w:cs="Arial" w:eastAsia="Arial" w:hAnsi="Arial"/>
                <w:sz w:val="18"/>
                <w:szCs w:val="18"/>
                <w:color w:val="auto"/>
                <w:w w:val="98"/>
              </w:rPr>
              <w:t>, which we call the “initial</w:t>
            </w:r>
          </w:p>
        </w:tc>
      </w:tr>
      <w:tr>
        <w:trPr>
          <w:trHeight w:val="222"/>
        </w:trPr>
        <w:tc>
          <w:tcPr>
            <w:tcW w:w="140" w:type="dxa"/>
            <w:vAlign w:val="bottom"/>
          </w:tcPr>
          <w:p>
            <w:pPr>
              <w:spacing w:after="0"/>
              <w:rPr>
                <w:sz w:val="19"/>
                <w:szCs w:val="19"/>
                <w:color w:val="auto"/>
              </w:rPr>
            </w:pPr>
          </w:p>
        </w:tc>
        <w:tc>
          <w:tcPr>
            <w:tcW w:w="9000" w:type="dxa"/>
            <w:vAlign w:val="bottom"/>
            <w:gridSpan w:val="4"/>
          </w:tcPr>
          <w:p>
            <w:pPr>
              <w:ind w:left="60"/>
              <w:spacing w:after="0"/>
              <w:rPr>
                <w:sz w:val="20"/>
                <w:szCs w:val="20"/>
                <w:color w:val="auto"/>
              </w:rPr>
            </w:pPr>
            <w:r>
              <w:rPr>
                <w:rFonts w:ascii="Arial" w:cs="Arial" w:eastAsia="Arial" w:hAnsi="Arial"/>
                <w:sz w:val="18"/>
                <w:szCs w:val="18"/>
                <w:color w:val="auto"/>
                <w:w w:val="90"/>
              </w:rPr>
              <w:t>price,” then the exchange rate per note will be equal to $25 divided by the applicable market value of the ordinary shares; or</w:t>
            </w:r>
          </w:p>
        </w:tc>
        <w:tc>
          <w:tcPr>
            <w:tcW w:w="1580" w:type="dxa"/>
            <w:vAlign w:val="bottom"/>
          </w:tcPr>
          <w:p>
            <w:pPr>
              <w:spacing w:after="0"/>
              <w:rPr>
                <w:sz w:val="19"/>
                <w:szCs w:val="19"/>
                <w:color w:val="auto"/>
              </w:rPr>
            </w:pPr>
          </w:p>
        </w:tc>
      </w:tr>
      <w:tr>
        <w:trPr>
          <w:trHeight w:val="27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0" w:type="dxa"/>
            <w:vAlign w:val="bottom"/>
            <w:gridSpan w:val="4"/>
          </w:tcPr>
          <w:p>
            <w:pPr>
              <w:ind w:left="60"/>
              <w:spacing w:after="0"/>
              <w:rPr>
                <w:sz w:val="20"/>
                <w:szCs w:val="20"/>
                <w:color w:val="auto"/>
              </w:rPr>
            </w:pPr>
            <w:r>
              <w:rPr>
                <w:rFonts w:ascii="Arial" w:cs="Arial" w:eastAsia="Arial" w:hAnsi="Arial"/>
                <w:sz w:val="18"/>
                <w:szCs w:val="18"/>
                <w:color w:val="auto"/>
                <w:w w:val="92"/>
              </w:rPr>
              <w:t>if the applicable market value of the ordinary shares is less than or equal to the initial price, then the exchange rate will be</w:t>
            </w:r>
          </w:p>
        </w:tc>
        <w:tc>
          <w:tcPr>
            <w:tcW w:w="1580" w:type="dxa"/>
            <w:vAlign w:val="bottom"/>
          </w:tcPr>
          <w:p>
            <w:pPr>
              <w:ind w:left="200"/>
              <w:spacing w:after="0"/>
              <w:rPr>
                <w:sz w:val="20"/>
                <w:szCs w:val="20"/>
                <w:color w:val="auto"/>
              </w:rPr>
            </w:pPr>
            <w:r>
              <w:rPr>
                <w:rFonts w:ascii="Arial" w:cs="Arial" w:eastAsia="Arial" w:hAnsi="Arial"/>
                <w:sz w:val="18"/>
                <w:szCs w:val="18"/>
                <w:color w:val="auto"/>
                <w:w w:val="87"/>
              </w:rPr>
              <w:t>ordinary shares per</w:t>
            </w:r>
          </w:p>
        </w:tc>
      </w:tr>
      <w:tr>
        <w:trPr>
          <w:trHeight w:val="222"/>
        </w:trPr>
        <w:tc>
          <w:tcPr>
            <w:tcW w:w="140" w:type="dxa"/>
            <w:vAlign w:val="bottom"/>
          </w:tcPr>
          <w:p>
            <w:pPr>
              <w:spacing w:after="0"/>
              <w:rPr>
                <w:sz w:val="19"/>
                <w:szCs w:val="19"/>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note (the “maximum exchange rate”), which is equal to $25 divided by such initial price.</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142" w:lineRule="exact"/>
        <w:rPr>
          <w:sz w:val="20"/>
          <w:szCs w:val="20"/>
          <w:color w:val="auto"/>
        </w:rPr>
      </w:pPr>
    </w:p>
    <w:p>
      <w:pPr>
        <w:ind w:left="460"/>
        <w:spacing w:after="0"/>
        <w:tabs>
          <w:tab w:leader="none" w:pos="6660" w:val="left"/>
        </w:tabs>
        <w:rPr>
          <w:sz w:val="20"/>
          <w:szCs w:val="20"/>
          <w:color w:val="auto"/>
        </w:rPr>
      </w:pPr>
      <w:r>
        <w:rPr>
          <w:rFonts w:ascii="Arial" w:cs="Arial" w:eastAsia="Arial" w:hAnsi="Arial"/>
          <w:sz w:val="18"/>
          <w:szCs w:val="18"/>
          <w:color w:val="auto"/>
        </w:rPr>
        <w:t>The “threshold appreciation price” with respect to the notes represents approximately</w:t>
      </w:r>
      <w:r>
        <w:rPr>
          <w:sz w:val="20"/>
          <w:szCs w:val="20"/>
          <w:color w:val="auto"/>
        </w:rPr>
        <w:tab/>
      </w:r>
      <w:r>
        <w:rPr>
          <w:rFonts w:ascii="Arial" w:cs="Arial" w:eastAsia="Arial" w:hAnsi="Arial"/>
          <w:sz w:val="16"/>
          <w:szCs w:val="16"/>
          <w:color w:val="auto"/>
        </w:rPr>
        <w:t>% appreciation over the initial price.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refer to the minimum exchange rate and the maximum exchange rate for the notes collectively as the “fixed exchange rates.” The fixed exchange rates, the initial price and the threshold appreciation price for the notes are each subject to adjustment as described under “—Exchange Rate Adjustments.” When we refer to a note (or an amount per such note), we mean per $25 principal amount of such note.</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Assuming the actual market value of the ordinary shares we deliver to you on the stated maturity date is equal to the applicable market value of the ordinary shares, the aggregate value you receive upon exchange will be:</w:t>
      </w:r>
    </w:p>
    <w:p>
      <w:pPr>
        <w:spacing w:after="0" w:line="3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the principal amount per such note, if the applicable market value is greater than the threshold appreciation price;</w:t>
      </w:r>
    </w:p>
    <w:p>
      <w:pPr>
        <w:spacing w:after="0" w:line="103"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 to the principal amount per such note, if the applicable market value is less than or equal to the threshold appreciation price and greater than or equal to the initial price;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the principal amount per such note, if the applicable market value is less than the initial price.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Accordingly, the market price of the ordinary shares we deliver to you on the stated maturity date may be less than the principal amount of your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“Applicable market value” means the average of the last reported sale prices of the ordinary shares over the 20 consecutive trading day period beginning on, and including, the 23</w:t>
      </w:r>
      <w:r>
        <w:rPr>
          <w:rFonts w:ascii="Arial" w:cs="Arial" w:eastAsia="Arial" w:hAnsi="Arial"/>
          <w:sz w:val="10"/>
          <w:szCs w:val="10"/>
          <w:color w:val="auto"/>
        </w:rPr>
        <w:t>rd</w:t>
      </w:r>
      <w:r>
        <w:rPr>
          <w:rFonts w:ascii="Arial" w:cs="Arial" w:eastAsia="Arial" w:hAnsi="Arial"/>
          <w:sz w:val="16"/>
          <w:szCs w:val="16"/>
          <w:color w:val="auto"/>
        </w:rPr>
        <w:t xml:space="preserve"> scheduled trading day immediately preceding October 15, 2018 (such period, the “observation period”).</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“last reported sale price” of the ordinary shares on any trading day means the closing sale price per share (or if no closing sale price is reported, the average of the last bid and last ask prices or, if more than one in either case, the average of the average last bid and the average last ask prices) on that trading day as reported in composite transactions for the principal U.S. national or regional securities exchange on which the ordinary shares are traded. If the ordinary shares are not listed for trading on a U.S. national or regional securities exchange on the relevant trading day, the “last reported sale price” will be the last quoted bid price for the ordinary shares in the over-the-counter market on the relevant date as reported by OTC Markets Group Inc. or a similar organization. If the ordinary shares are not so quoted, the “last reported sale price” will be the average of the mid-point of the last bid and last ask prices for the ordinary shares on the relevant trading day from a nationally recognized independent investment banking firm selected by us for this purpose, which may include one of the underwriters. Any such determination will be conclusive absent manifest error.</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“Trading day” means a day on which (i) trading in the ordinary shares generally occurs on the NYSE or, if the ordinary shares are not then listed on the NYSE, on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and (ii) there is no market disruption event. If the ordinary shares are not so listed or traded, “trading day” means a “business day.”</w:t>
      </w:r>
    </w:p>
    <w:p>
      <w:pPr>
        <w:spacing w:after="0" w:line="99"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“Scheduled trading day” means a day on which trading is scheduled to occur on the principal U.S. national or regional securities exchange on which the ordinary shares are then listed. If the ordinary shares are not so listed, “scheduled trading day” means a “business day.”</w:t>
      </w:r>
    </w:p>
    <w:p>
      <w:pPr>
        <w:spacing w:after="0" w:line="7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“Market disruption event” means, if the ordinary shares are listed for trading on the NYSE, or listed on another U.S. national or regional securities exchange, the occurrence or existence during the one-half hour period ending on the scheduled close of trading on any trading day of any material suspension or limitation imposed on trading (by reason of movements in price exceeding limits permitted by the stock exchange or otherwise) in the ordinary shares or in any options, contracts or futures contracts relating to the ordinary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Hypothetical Exchange Values upon Mandatory Exchange at Stated Maturity</w:t>
      </w:r>
    </w:p>
    <w:p>
      <w:pPr>
        <w:spacing w:after="0" w:line="77"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For illustrative purposes only, the following table shows the number of ordinary shares that a holder of the notes would receive upon mandatory exchange of each note on the stated maturity date at various applicable market values for the ordinary shares. The table assumes that there will be no exchange adjustments as described below under “—Exchange Rate Adjustments.” The actual applicable market value of the ordinary shares may differ from those set forth in the table</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below. Given an initial price of $ and a threshold appreciation price of $ , a holder of the notes would receive on the stated maturity date the number of ordinary shares per note, with a corresponding exchange value, set forth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20" w:type="dxa"/>
            <w:vAlign w:val="bottom"/>
          </w:tcPr>
          <w:p>
            <w:pPr>
              <w:jc w:val="center"/>
              <w:ind w:left="192"/>
              <w:spacing w:after="0"/>
              <w:rPr>
                <w:sz w:val="20"/>
                <w:szCs w:val="20"/>
                <w:color w:val="auto"/>
              </w:rPr>
            </w:pPr>
            <w:r>
              <w:rPr>
                <w:rFonts w:ascii="Arial" w:cs="Arial" w:eastAsia="Arial" w:hAnsi="Arial"/>
                <w:sz w:val="14"/>
                <w:szCs w:val="14"/>
                <w:b w:val="1"/>
                <w:bCs w:val="1"/>
                <w:color w:val="auto"/>
                <w:w w:val="85"/>
              </w:rPr>
              <w:t>Exchange Value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93"/>
              </w:rPr>
              <w:t>(Applicable Market</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91"/>
              </w:rPr>
              <w:t>Value Multiplied by</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180" w:type="dxa"/>
            <w:vAlign w:val="bottom"/>
          </w:tcPr>
          <w:p>
            <w:pPr>
              <w:jc w:val="center"/>
              <w:ind w:left="5352"/>
              <w:spacing w:after="0" w:line="149" w:lineRule="exact"/>
              <w:rPr>
                <w:sz w:val="20"/>
                <w:szCs w:val="20"/>
                <w:color w:val="auto"/>
              </w:rPr>
            </w:pPr>
            <w:r>
              <w:rPr>
                <w:rFonts w:ascii="Arial" w:cs="Arial" w:eastAsia="Arial" w:hAnsi="Arial"/>
                <w:sz w:val="14"/>
                <w:szCs w:val="14"/>
                <w:b w:val="1"/>
                <w:bCs w:val="1"/>
                <w:color w:val="auto"/>
                <w:w w:val="90"/>
              </w:rPr>
              <w:t>Number of Ordinary</w:t>
            </w:r>
          </w:p>
        </w:tc>
        <w:tc>
          <w:tcPr>
            <w:tcW w:w="14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the Number of</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180" w:type="dxa"/>
            <w:vAlign w:val="bottom"/>
          </w:tcPr>
          <w:p>
            <w:pPr>
              <w:jc w:val="center"/>
              <w:ind w:left="5372"/>
              <w:spacing w:after="0" w:line="149" w:lineRule="exact"/>
              <w:rPr>
                <w:sz w:val="20"/>
                <w:szCs w:val="20"/>
                <w:color w:val="auto"/>
              </w:rPr>
            </w:pPr>
            <w:r>
              <w:rPr>
                <w:rFonts w:ascii="Arial" w:cs="Arial" w:eastAsia="Arial" w:hAnsi="Arial"/>
                <w:sz w:val="14"/>
                <w:szCs w:val="14"/>
                <w:b w:val="1"/>
                <w:bCs w:val="1"/>
                <w:color w:val="auto"/>
                <w:w w:val="84"/>
              </w:rPr>
              <w:t>Shares to</w:t>
            </w:r>
          </w:p>
        </w:tc>
        <w:tc>
          <w:tcPr>
            <w:tcW w:w="14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Ordinary Shares</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w w:val="94"/>
              </w:rPr>
              <w:t>Applicable Market Value of Ordinary Shares</w:t>
            </w:r>
          </w:p>
        </w:tc>
        <w:tc>
          <w:tcPr>
            <w:tcW w:w="7180" w:type="dxa"/>
            <w:vAlign w:val="bottom"/>
          </w:tcPr>
          <w:p>
            <w:pPr>
              <w:jc w:val="center"/>
              <w:ind w:left="5352"/>
              <w:spacing w:after="0" w:line="149" w:lineRule="exact"/>
              <w:rPr>
                <w:sz w:val="20"/>
                <w:szCs w:val="20"/>
                <w:color w:val="auto"/>
              </w:rPr>
            </w:pPr>
            <w:r>
              <w:rPr>
                <w:rFonts w:ascii="Arial" w:cs="Arial" w:eastAsia="Arial" w:hAnsi="Arial"/>
                <w:sz w:val="14"/>
                <w:szCs w:val="14"/>
                <w:b w:val="1"/>
                <w:bCs w:val="1"/>
                <w:color w:val="auto"/>
                <w:w w:val="85"/>
              </w:rPr>
              <w:t>be Received Upon</w:t>
            </w:r>
          </w:p>
        </w:tc>
        <w:tc>
          <w:tcPr>
            <w:tcW w:w="14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4"/>
              </w:rPr>
              <w:t>to be Received</w:t>
            </w:r>
          </w:p>
        </w:tc>
        <w:tc>
          <w:tcPr>
            <w:tcW w:w="0" w:type="dxa"/>
            <w:vAlign w:val="bottom"/>
          </w:tcPr>
          <w:p>
            <w:pPr>
              <w:spacing w:after="0"/>
              <w:rPr>
                <w:sz w:val="1"/>
                <w:szCs w:val="1"/>
                <w:color w:val="auto"/>
              </w:rPr>
            </w:pPr>
          </w:p>
        </w:tc>
      </w:tr>
      <w:tr>
        <w:trPr>
          <w:trHeight w:val="153"/>
        </w:trPr>
        <w:tc>
          <w:tcPr>
            <w:tcW w:w="2780" w:type="dxa"/>
            <w:vAlign w:val="bottom"/>
            <w:tcBorders>
              <w:bottom w:val="single" w:sz="8" w:color="auto"/>
            </w:tcBorders>
            <w:vMerge w:val="continue"/>
          </w:tcPr>
          <w:p>
            <w:pPr>
              <w:spacing w:after="0"/>
              <w:rPr>
                <w:sz w:val="12"/>
                <w:szCs w:val="12"/>
                <w:color w:val="auto"/>
              </w:rPr>
            </w:pPr>
          </w:p>
        </w:tc>
        <w:tc>
          <w:tcPr>
            <w:tcW w:w="7180" w:type="dxa"/>
            <w:vAlign w:val="bottom"/>
          </w:tcPr>
          <w:p>
            <w:pPr>
              <w:jc w:val="center"/>
              <w:ind w:left="5352"/>
              <w:spacing w:after="0" w:line="148" w:lineRule="exact"/>
              <w:rPr>
                <w:sz w:val="20"/>
                <w:szCs w:val="20"/>
                <w:color w:val="auto"/>
              </w:rPr>
            </w:pPr>
            <w:r>
              <w:rPr>
                <w:rFonts w:ascii="Arial" w:cs="Arial" w:eastAsia="Arial" w:hAnsi="Arial"/>
                <w:sz w:val="14"/>
                <w:szCs w:val="14"/>
                <w:b w:val="1"/>
                <w:bCs w:val="1"/>
                <w:color w:val="auto"/>
                <w:w w:val="84"/>
              </w:rPr>
              <w:t>Exchange</w:t>
            </w:r>
          </w:p>
        </w:tc>
        <w:tc>
          <w:tcPr>
            <w:tcW w:w="1420" w:type="dxa"/>
            <w:vAlign w:val="bottom"/>
          </w:tcPr>
          <w:p>
            <w:pPr>
              <w:jc w:val="center"/>
              <w:ind w:left="192"/>
              <w:spacing w:after="0" w:line="148" w:lineRule="exact"/>
              <w:rPr>
                <w:sz w:val="20"/>
                <w:szCs w:val="20"/>
                <w:color w:val="auto"/>
              </w:rPr>
            </w:pPr>
            <w:r>
              <w:rPr>
                <w:rFonts w:ascii="Arial" w:cs="Arial" w:eastAsia="Arial" w:hAnsi="Arial"/>
                <w:sz w:val="14"/>
                <w:szCs w:val="14"/>
                <w:b w:val="1"/>
                <w:bCs w:val="1"/>
                <w:color w:val="auto"/>
                <w:w w:val="86"/>
              </w:rPr>
              <w:t>Upon Exchange)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As the above chart illustrates,</w:t>
            </w:r>
          </w:p>
        </w:tc>
        <w:tc>
          <w:tcPr>
            <w:tcW w:w="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60"/>
              <w:spacing w:after="0"/>
              <w:rPr>
                <w:sz w:val="20"/>
                <w:szCs w:val="20"/>
                <w:color w:val="auto"/>
              </w:rPr>
            </w:pPr>
            <w:r>
              <w:rPr>
                <w:rFonts w:ascii="Arial" w:cs="Arial" w:eastAsia="Arial" w:hAnsi="Arial"/>
                <w:sz w:val="18"/>
                <w:szCs w:val="18"/>
                <w:color w:val="auto"/>
                <w:w w:val="92"/>
              </w:rPr>
              <w:t>if the applicable market value is greater than or equal to $</w:t>
            </w:r>
          </w:p>
        </w:tc>
        <w:tc>
          <w:tcPr>
            <w:tcW w:w="5200" w:type="dxa"/>
            <w:vAlign w:val="bottom"/>
            <w:gridSpan w:val="3"/>
          </w:tcPr>
          <w:p>
            <w:pPr>
              <w:ind w:left="400"/>
              <w:spacing w:after="0"/>
              <w:rPr>
                <w:sz w:val="20"/>
                <w:szCs w:val="20"/>
                <w:color w:val="auto"/>
              </w:rPr>
            </w:pPr>
            <w:r>
              <w:rPr>
                <w:rFonts w:ascii="Arial" w:cs="Arial" w:eastAsia="Arial" w:hAnsi="Arial"/>
                <w:sz w:val="18"/>
                <w:szCs w:val="18"/>
                <w:color w:val="auto"/>
                <w:w w:val="95"/>
              </w:rPr>
              <w:t>(the threshold appreciation price),we will be obligated to deliver</w:t>
            </w:r>
          </w:p>
        </w:tc>
        <w:tc>
          <w:tcPr>
            <w:tcW w:w="1320" w:type="dxa"/>
            <w:vAlign w:val="bottom"/>
          </w:tcPr>
          <w:p>
            <w:pPr>
              <w:ind w:left="280"/>
              <w:spacing w:after="0"/>
              <w:rPr>
                <w:sz w:val="20"/>
                <w:szCs w:val="20"/>
                <w:color w:val="auto"/>
              </w:rPr>
            </w:pPr>
            <w:r>
              <w:rPr>
                <w:rFonts w:ascii="Arial" w:cs="Arial" w:eastAsia="Arial" w:hAnsi="Arial"/>
                <w:sz w:val="18"/>
                <w:szCs w:val="18"/>
                <w:color w:val="auto"/>
              </w:rPr>
              <w:t>ordinary</w:t>
            </w:r>
          </w:p>
        </w:tc>
      </w:tr>
      <w:tr>
        <w:trPr>
          <w:trHeight w:val="216"/>
        </w:trPr>
        <w:tc>
          <w:tcPr>
            <w:tcW w:w="140" w:type="dxa"/>
            <w:vAlign w:val="bottom"/>
          </w:tcPr>
          <w:p>
            <w:pPr>
              <w:spacing w:after="0"/>
              <w:rPr>
                <w:sz w:val="18"/>
                <w:szCs w:val="18"/>
                <w:color w:val="auto"/>
              </w:rPr>
            </w:pPr>
          </w:p>
        </w:tc>
        <w:tc>
          <w:tcPr>
            <w:tcW w:w="10820" w:type="dxa"/>
            <w:vAlign w:val="bottom"/>
            <w:gridSpan w:val="6"/>
          </w:tcPr>
          <w:p>
            <w:pPr>
              <w:ind w:left="60"/>
              <w:spacing w:after="0"/>
              <w:rPr>
                <w:sz w:val="20"/>
                <w:szCs w:val="20"/>
                <w:color w:val="auto"/>
              </w:rPr>
            </w:pPr>
            <w:r>
              <w:rPr>
                <w:rFonts w:ascii="Arial" w:cs="Arial" w:eastAsia="Arial" w:hAnsi="Arial"/>
                <w:sz w:val="18"/>
                <w:szCs w:val="18"/>
                <w:color w:val="auto"/>
                <w:w w:val="88"/>
              </w:rPr>
              <w:t>shares for each note. As a consequence, we would receive the benefit of all of the appreciation in market price of the ordinary shares up to the threshold</w:t>
            </w:r>
          </w:p>
        </w:tc>
      </w:tr>
      <w:tr>
        <w:trPr>
          <w:trHeight w:val="216"/>
        </w:trPr>
        <w:tc>
          <w:tcPr>
            <w:tcW w:w="140" w:type="dxa"/>
            <w:vAlign w:val="bottom"/>
          </w:tcPr>
          <w:p>
            <w:pPr>
              <w:spacing w:after="0"/>
              <w:rPr>
                <w:sz w:val="18"/>
                <w:szCs w:val="18"/>
                <w:color w:val="auto"/>
              </w:rPr>
            </w:pPr>
          </w:p>
        </w:tc>
        <w:tc>
          <w:tcPr>
            <w:tcW w:w="10820" w:type="dxa"/>
            <w:vAlign w:val="bottom"/>
            <w:gridSpan w:val="6"/>
          </w:tcPr>
          <w:p>
            <w:pPr>
              <w:ind w:left="60"/>
              <w:spacing w:after="0"/>
              <w:rPr>
                <w:sz w:val="20"/>
                <w:szCs w:val="20"/>
                <w:color w:val="auto"/>
              </w:rPr>
            </w:pPr>
            <w:r>
              <w:rPr>
                <w:rFonts w:ascii="Arial" w:cs="Arial" w:eastAsia="Arial" w:hAnsi="Arial"/>
                <w:sz w:val="18"/>
                <w:szCs w:val="18"/>
                <w:color w:val="auto"/>
                <w:w w:val="93"/>
              </w:rPr>
              <w:t>appreciation price and the benefit of the   % of the appreciation in market price above the threshold appreciation price and you would receive the</w:t>
            </w:r>
          </w:p>
        </w:tc>
      </w:tr>
      <w:tr>
        <w:trPr>
          <w:trHeight w:val="216"/>
        </w:trPr>
        <w:tc>
          <w:tcPr>
            <w:tcW w:w="140" w:type="dxa"/>
            <w:vAlign w:val="bottom"/>
          </w:tcPr>
          <w:p>
            <w:pPr>
              <w:spacing w:after="0"/>
              <w:rPr>
                <w:sz w:val="18"/>
                <w:szCs w:val="18"/>
                <w:color w:val="auto"/>
              </w:rPr>
            </w:pPr>
          </w:p>
        </w:tc>
        <w:tc>
          <w:tcPr>
            <w:tcW w:w="6640" w:type="dxa"/>
            <w:vAlign w:val="bottom"/>
            <w:gridSpan w:val="3"/>
          </w:tcPr>
          <w:p>
            <w:pPr>
              <w:ind w:left="60"/>
              <w:spacing w:after="0"/>
              <w:rPr>
                <w:sz w:val="20"/>
                <w:szCs w:val="20"/>
                <w:color w:val="auto"/>
              </w:rPr>
            </w:pPr>
            <w:r>
              <w:rPr>
                <w:rFonts w:ascii="Arial" w:cs="Arial" w:eastAsia="Arial" w:hAnsi="Arial"/>
                <w:sz w:val="18"/>
                <w:szCs w:val="18"/>
                <w:color w:val="auto"/>
                <w:w w:val="89"/>
              </w:rPr>
              <w:t>benefit of none of the appreciation in market price up to the threshold appreciation price and</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w w:val="88"/>
              </w:rPr>
              <w:t>% of the appreciation in market price above the threshold</w:t>
            </w:r>
          </w:p>
        </w:tc>
      </w:tr>
      <w:tr>
        <w:trPr>
          <w:trHeight w:val="222"/>
        </w:trPr>
        <w:tc>
          <w:tcPr>
            <w:tcW w:w="140" w:type="dxa"/>
            <w:vAlign w:val="bottom"/>
          </w:tcPr>
          <w:p>
            <w:pPr>
              <w:spacing w:after="0"/>
              <w:rPr>
                <w:sz w:val="19"/>
                <w:szCs w:val="19"/>
                <w:color w:val="auto"/>
              </w:rPr>
            </w:pPr>
          </w:p>
        </w:tc>
        <w:tc>
          <w:tcPr>
            <w:tcW w:w="3900" w:type="dxa"/>
            <w:vAlign w:val="bottom"/>
          </w:tcPr>
          <w:p>
            <w:pPr>
              <w:ind w:left="60"/>
              <w:spacing w:after="0"/>
              <w:rPr>
                <w:sz w:val="20"/>
                <w:szCs w:val="20"/>
                <w:color w:val="auto"/>
              </w:rPr>
            </w:pPr>
            <w:r>
              <w:rPr>
                <w:rFonts w:ascii="Arial" w:cs="Arial" w:eastAsia="Arial" w:hAnsi="Arial"/>
                <w:sz w:val="18"/>
                <w:szCs w:val="18"/>
                <w:color w:val="auto"/>
              </w:rPr>
              <w:t>appreciation price;</w:t>
            </w:r>
          </w:p>
        </w:tc>
        <w:tc>
          <w:tcPr>
            <w:tcW w:w="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60"/>
              <w:spacing w:after="0"/>
              <w:rPr>
                <w:sz w:val="20"/>
                <w:szCs w:val="20"/>
                <w:color w:val="auto"/>
              </w:rPr>
            </w:pPr>
            <w:r>
              <w:rPr>
                <w:rFonts w:ascii="Arial" w:cs="Arial" w:eastAsia="Arial" w:hAnsi="Arial"/>
                <w:sz w:val="18"/>
                <w:szCs w:val="18"/>
                <w:color w:val="auto"/>
              </w:rPr>
              <w:t>if the applicable market value is greater than $</w:t>
            </w:r>
          </w:p>
        </w:tc>
        <w:tc>
          <w:tcPr>
            <w:tcW w:w="2740" w:type="dxa"/>
            <w:vAlign w:val="bottom"/>
            <w:gridSpan w:val="2"/>
          </w:tcPr>
          <w:p>
            <w:pPr>
              <w:spacing w:after="0"/>
              <w:rPr>
                <w:sz w:val="20"/>
                <w:szCs w:val="20"/>
                <w:color w:val="auto"/>
              </w:rPr>
            </w:pPr>
            <w:r>
              <w:rPr>
                <w:rFonts w:ascii="Arial" w:cs="Arial" w:eastAsia="Arial" w:hAnsi="Arial"/>
                <w:sz w:val="18"/>
                <w:szCs w:val="18"/>
                <w:color w:val="auto"/>
              </w:rPr>
              <w:t>(the initial price) and less than $</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w w:val="90"/>
              </w:rPr>
              <w:t>(the threshold appreciation price), we will be obligated to</w:t>
            </w:r>
          </w:p>
        </w:tc>
      </w:tr>
      <w:tr>
        <w:trPr>
          <w:trHeight w:val="216"/>
        </w:trPr>
        <w:tc>
          <w:tcPr>
            <w:tcW w:w="140" w:type="dxa"/>
            <w:vAlign w:val="bottom"/>
          </w:tcPr>
          <w:p>
            <w:pPr>
              <w:spacing w:after="0"/>
              <w:rPr>
                <w:sz w:val="18"/>
                <w:szCs w:val="18"/>
                <w:color w:val="auto"/>
              </w:rPr>
            </w:pPr>
          </w:p>
        </w:tc>
        <w:tc>
          <w:tcPr>
            <w:tcW w:w="10820" w:type="dxa"/>
            <w:vAlign w:val="bottom"/>
            <w:gridSpan w:val="6"/>
          </w:tcPr>
          <w:p>
            <w:pPr>
              <w:ind w:left="60"/>
              <w:spacing w:after="0"/>
              <w:rPr>
                <w:sz w:val="20"/>
                <w:szCs w:val="20"/>
                <w:color w:val="auto"/>
              </w:rPr>
            </w:pPr>
            <w:r>
              <w:rPr>
                <w:rFonts w:ascii="Arial" w:cs="Arial" w:eastAsia="Arial" w:hAnsi="Arial"/>
                <w:sz w:val="18"/>
                <w:szCs w:val="18"/>
                <w:color w:val="auto"/>
                <w:w w:val="88"/>
              </w:rPr>
              <w:t>deliver a number of ordinary shares having an applicable market value equal to $25 (the principal amount of a note). As a consequence, we would retain</w:t>
            </w:r>
          </w:p>
        </w:tc>
      </w:tr>
      <w:tr>
        <w:trPr>
          <w:trHeight w:val="222"/>
        </w:trPr>
        <w:tc>
          <w:tcPr>
            <w:tcW w:w="140" w:type="dxa"/>
            <w:vAlign w:val="bottom"/>
          </w:tcPr>
          <w:p>
            <w:pPr>
              <w:spacing w:after="0"/>
              <w:rPr>
                <w:sz w:val="19"/>
                <w:szCs w:val="19"/>
                <w:color w:val="auto"/>
              </w:rPr>
            </w:pPr>
          </w:p>
        </w:tc>
        <w:tc>
          <w:tcPr>
            <w:tcW w:w="6640" w:type="dxa"/>
            <w:vAlign w:val="bottom"/>
            <w:gridSpan w:val="3"/>
          </w:tcPr>
          <w:p>
            <w:pPr>
              <w:ind w:left="60"/>
              <w:spacing w:after="0"/>
              <w:rPr>
                <w:sz w:val="20"/>
                <w:szCs w:val="20"/>
                <w:color w:val="auto"/>
              </w:rPr>
            </w:pPr>
            <w:r>
              <w:rPr>
                <w:rFonts w:ascii="Arial" w:cs="Arial" w:eastAsia="Arial" w:hAnsi="Arial"/>
                <w:sz w:val="18"/>
                <w:szCs w:val="18"/>
                <w:color w:val="auto"/>
              </w:rPr>
              <w:t>all of the benefit of the appreciation in the market price of the ordinary shares; and</w:t>
            </w:r>
          </w:p>
        </w:tc>
        <w:tc>
          <w:tcPr>
            <w:tcW w:w="1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60"/>
              <w:spacing w:after="0"/>
              <w:rPr>
                <w:sz w:val="20"/>
                <w:szCs w:val="20"/>
                <w:color w:val="auto"/>
              </w:rPr>
            </w:pPr>
            <w:r>
              <w:rPr>
                <w:rFonts w:ascii="Arial" w:cs="Arial" w:eastAsia="Arial" w:hAnsi="Arial"/>
                <w:sz w:val="18"/>
                <w:szCs w:val="18"/>
                <w:color w:val="auto"/>
                <w:w w:val="88"/>
              </w:rPr>
              <w:t>if the applicable market value is less than or equal to $</w:t>
            </w:r>
          </w:p>
        </w:tc>
        <w:tc>
          <w:tcPr>
            <w:tcW w:w="400" w:type="dxa"/>
            <w:vAlign w:val="bottom"/>
          </w:tcPr>
          <w:p>
            <w:pPr>
              <w:spacing w:after="0"/>
              <w:rPr>
                <w:sz w:val="24"/>
                <w:szCs w:val="24"/>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w w:val="99"/>
              </w:rPr>
              <w:t>(the initial price), we will be obligated to deliver</w:t>
            </w:r>
          </w:p>
        </w:tc>
        <w:tc>
          <w:tcPr>
            <w:tcW w:w="2660" w:type="dxa"/>
            <w:vAlign w:val="bottom"/>
            <w:gridSpan w:val="2"/>
          </w:tcPr>
          <w:p>
            <w:pPr>
              <w:ind w:left="280"/>
              <w:spacing w:after="0"/>
              <w:rPr>
                <w:sz w:val="20"/>
                <w:szCs w:val="20"/>
                <w:color w:val="auto"/>
              </w:rPr>
            </w:pPr>
            <w:r>
              <w:rPr>
                <w:rFonts w:ascii="Arial" w:cs="Arial" w:eastAsia="Arial" w:hAnsi="Arial"/>
                <w:sz w:val="18"/>
                <w:szCs w:val="18"/>
                <w:color w:val="auto"/>
              </w:rPr>
              <w:t>ordinary shares per note,</w:t>
            </w:r>
          </w:p>
        </w:tc>
      </w:tr>
    </w:tbl>
    <w:p>
      <w:pPr>
        <w:ind w:left="660"/>
        <w:spacing w:after="0"/>
        <w:rPr>
          <w:sz w:val="20"/>
          <w:szCs w:val="20"/>
          <w:color w:val="auto"/>
        </w:rPr>
      </w:pPr>
      <w:r>
        <w:rPr>
          <w:rFonts w:ascii="Arial" w:cs="Arial" w:eastAsia="Arial" w:hAnsi="Arial"/>
          <w:sz w:val="16"/>
          <w:szCs w:val="16"/>
          <w:color w:val="auto"/>
        </w:rPr>
        <w:t>regardless of the market price of the ordinary shares. As a consequence, you will bear the full risk of a decline in market price of the ordinary shares.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at the Option of the Holder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than during a fundamental change exchange period (as defined below), holders of the notes will have the right to exchange their notes, in whole or in</w:t>
      </w:r>
    </w:p>
    <w:p>
      <w:pPr>
        <w:spacing w:after="0" w:line="5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part, at any time prior to the close of business on the stated maturity date, into ordinary shares at the minimum exchange rate of ordinary shares per note, subject in each case to adjustment as described under “—Exchange Rate Adjustments.”</w:t>
      </w:r>
    </w:p>
    <w:p>
      <w:pPr>
        <w:spacing w:after="0" w:line="124"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In connection with any such exchange at the option of a holder, the holder will also receive a cash payment of all accrued and unpaid interest (including deferred interest) from the prior date on which interest was paid on the notes through the interest payment date immediately preceding the applicable exchange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may elect, and if we are prevented from making such payment due to limitations described under “—Subordination,” we will be deemed to have so elected, to satisfy such obligation to pay accrued and unpaid interest by delivering a number of additional ordinary shares equal to the interest amount divided by the average of the last reported sale prices of the ordinary shares over the 10 consecutive trading day period ending on the trading day preceding the</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applicable exchange date (but in no event less than $ (the “floor price”); if an adjustment is made to the fixed exchange rates, an inversely proportional adjustment will also be made to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floor price). Accrued and unpaid interest from the interest payment date immediately preceding such exchange date to the exchange date will not be paid in cash or additional ordinary shares, but rather will be deemed to be paid in full by delivery of the ordinary shares deliverable pursuant to the immediately preceding paragraph rather than cancelled, extinguished or forfeited.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upon Fundamental Change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fundamental change (as defined below) occurs prior to October 15, 2018, holders of the notes will be entitled to:</w:t>
      </w:r>
    </w:p>
    <w:p>
      <w:pPr>
        <w:spacing w:after="0" w:line="77" w:lineRule="exact"/>
        <w:rPr>
          <w:sz w:val="20"/>
          <w:szCs w:val="20"/>
          <w:color w:val="auto"/>
        </w:rPr>
      </w:pPr>
    </w:p>
    <w:p>
      <w:pPr>
        <w:ind w:left="660" w:right="20" w:hanging="206"/>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 their notes for exchange at any time during the period (the “fundamental change exchange period”) beginning on the effective date of such fundamental change (the “fundamental change effective date”) and ending on the earlier of (i) the stated maturity date and (ii) the business day that is 20 business days after the fundamental change effective date, in either case, at the exchange rate (the “fundamental change exchange rate”) specified in the table below; and</w:t>
      </w:r>
    </w:p>
    <w:p>
      <w:pPr>
        <w:spacing w:after="0" w:line="48" w:lineRule="exact"/>
        <w:rPr>
          <w:rFonts w:ascii="Arial" w:cs="Arial" w:eastAsia="Arial" w:hAnsi="Arial"/>
          <w:sz w:val="18"/>
          <w:szCs w:val="18"/>
          <w:color w:val="auto"/>
        </w:rPr>
      </w:pPr>
    </w:p>
    <w:p>
      <w:pPr>
        <w:ind w:left="660" w:right="500" w:hanging="206"/>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respect to notes submitted for exchange during the fundamental exchange period, at our option, either an interest make-whole payment or an increase in the exchange rate in lieu thereof as described below under “—Fundamental Change Interest Make-Whole Payment.”</w:t>
      </w:r>
    </w:p>
    <w:p>
      <w:pPr>
        <w:spacing w:after="0" w:line="7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will notify holders of the effective date of such fundamental change no later than two business days following such effective date. In addition, if we elect to deliver the interest make-whole amount in ordinary shares (as described below), such notice will indicate such election.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“fundamental change” will be deemed to have occurred at any time after the notes are originally issued upon the occurrence of any of the following:</w:t>
      </w:r>
    </w:p>
    <w:p>
      <w:pPr>
        <w:spacing w:after="0" w:line="100" w:lineRule="exact"/>
        <w:rPr>
          <w:sz w:val="20"/>
          <w:szCs w:val="20"/>
          <w:color w:val="auto"/>
        </w:rPr>
      </w:pPr>
    </w:p>
    <w:p>
      <w:pPr>
        <w:ind w:left="900" w:right="2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ordinary shares or other common equity securities into which the notes are exchangeable at such time are neither listed for trading on a United States national securities exchange; or</w:t>
      </w:r>
    </w:p>
    <w:p>
      <w:pPr>
        <w:spacing w:after="0" w:line="37"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“person” or “group” (within the meaning of Section 13(d) of the Securities Exchange Act of 1934, as amended, which we refer to as the Exchange Act), other than the Parent or any of its wholly-owned subsidiaries, files a Schedule TO or any schedule, form or report under the Exchange Act disclosing that such person or group has become the direct or indirect ultimate “beneficial owner,” as defined in Rule 13d-3 under the Exchange Act, of the Parent’s common equity representing more than 50% of the voting power of the Parent’s common equity; or</w:t>
      </w:r>
    </w:p>
    <w:p>
      <w:pPr>
        <w:spacing w:after="0" w:line="18"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consummation of any acquisition of the Parent (whether by means of a liquidation, share exchange, tender offer, consolidation, recapitalization, reclassification, amalgamation or merger of us or any sale, lease or other transfer of the consolidated assets of Parent’s and Parent’s subsidiaries) or a series of related transactions or events pursuant to which:</w:t>
      </w:r>
    </w:p>
    <w:p>
      <w:pPr>
        <w:spacing w:after="0" w:line="45" w:lineRule="exact"/>
        <w:rPr>
          <w:rFonts w:ascii="Arial" w:cs="Arial" w:eastAsia="Arial" w:hAnsi="Arial"/>
          <w:sz w:val="18"/>
          <w:szCs w:val="18"/>
          <w:color w:val="auto"/>
        </w:rPr>
      </w:pPr>
    </w:p>
    <w:p>
      <w:pPr>
        <w:ind w:left="1460" w:right="600" w:hanging="547"/>
        <w:spacing w:after="0" w:line="268"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50% or more of the ordinary shares are exchanged for, converted into or constitute solely the right to receive cash, securities or other property; and</w:t>
      </w:r>
    </w:p>
    <w:p>
      <w:pPr>
        <w:spacing w:after="0" w:line="37"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than 10% of such cash, securities or other property consists of cash, securities or other property that are not, or upon issuance will not be, traded on a United States national securities exchange.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purposes of this definition of “fundamental change,” an event that would be a fundamental change under clause (3) above but for clause (b) thereof will not be a fundamental change because that event could also be described under clause (2)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Fundamental Change Exchange Rate</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sets forth the fundamental change exchange rate per note for each hypothetical stock price and fundamental change effective date set forth below:</w:t>
      </w:r>
    </w:p>
    <w:p>
      <w:pPr>
        <w:spacing w:after="0" w:line="11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Ordinary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0</wp:posOffset>
            </wp:positionV>
            <wp:extent cx="3919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0</wp:posOffset>
            </wp:positionV>
            <wp:extent cx="3919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8"/>
          <w:szCs w:val="18"/>
          <w:color w:val="auto"/>
        </w:rPr>
        <w:t>September</w:t>
        <w:tab/>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15, 2018</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“fundamental change exchange rate” will be determined by reference to the table above, based on the fundamental change effective date and the “stock price” in the fundamental change, which will be:</w:t>
      </w:r>
    </w:p>
    <w:p>
      <w:pPr>
        <w:spacing w:after="0" w:line="37" w:lineRule="exact"/>
        <w:rPr>
          <w:sz w:val="20"/>
          <w:szCs w:val="20"/>
          <w:color w:val="auto"/>
        </w:rPr>
      </w:pPr>
    </w:p>
    <w:p>
      <w:pPr>
        <w:ind w:left="660" w:right="24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 fundamental change described in clause (3) of the definition of “fundamental change” (i.e., constituting an “acquisition”) in which the holders of the ordinary shares receive only cash in the fundamental change, the stock price shall be the cash amount paid per share of the ordinary shares; and</w:t>
      </w:r>
    </w:p>
    <w:p>
      <w:pPr>
        <w:spacing w:after="0" w:line="45"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the average of the last reported sale prices of the ordinary shares over the 10 consecutive trading day period ending on the trading day preceding the fundamental change effective date.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stock prices set forth in the first row of the table above (i.e., the column headers) will be adjusted as of any date on which the fixed exchange rates of the notes are adjusted. The adjusted stock prices will equal the stock prices applicable immediately prior to such adjustment multiplied by a fraction, the numerator of which is the minimum exchange rate immediately prior to the adjustment giving rise to the stock price adjustment and the denominator of which is the minimum exchange rate as so adjusted. Each of the exchange rates in the table will be subject to adjustment in the same manner as each fixed exchange rate as set forth under “—Exchange Rate Adjustments.”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exact stock price and fundamental change effective dates may not be set forth on the table, in which case:</w:t>
      </w:r>
    </w:p>
    <w:p>
      <w:pPr>
        <w:spacing w:after="0" w:line="77" w:lineRule="exact"/>
        <w:rPr>
          <w:sz w:val="20"/>
          <w:szCs w:val="20"/>
          <w:color w:val="auto"/>
        </w:rPr>
      </w:pPr>
    </w:p>
    <w:p>
      <w:pPr>
        <w:jc w:val="both"/>
        <w:ind w:left="660" w:right="80" w:hanging="206"/>
        <w:spacing w:after="0" w:line="30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applicable stock price is between two stock price amounts on the table or the fundamental change effective date is between two dates on the table, the fundamental change exchange rate will be determined by straight-line interpolation between the fundamental change exchange rates set forth for the higher and lower stock price amounts and the two dates, as applicable, based on a 365-day or 366-day year;</w:t>
      </w:r>
    </w:p>
    <w:p>
      <w:pPr>
        <w:spacing w:after="0" w:line="12" w:lineRule="exact"/>
        <w:rPr>
          <w:sz w:val="20"/>
          <w:szCs w:val="20"/>
          <w:color w:val="auto"/>
        </w:rPr>
      </w:pPr>
    </w:p>
    <w:p>
      <w:pPr>
        <w:ind w:left="660" w:right="280" w:hanging="199"/>
        <w:spacing w:after="0" w:line="268" w:lineRule="auto"/>
        <w:tabs>
          <w:tab w:leader="none" w:pos="640" w:val="left"/>
        </w:tabs>
        <w:rPr>
          <w:sz w:val="20"/>
          <w:szCs w:val="20"/>
          <w:color w:val="auto"/>
        </w:rPr>
      </w:pPr>
      <w:r>
        <w:rPr>
          <w:rFonts w:ascii="Arial" w:cs="Arial" w:eastAsia="Arial" w:hAnsi="Arial"/>
          <w:sz w:val="18"/>
          <w:szCs w:val="18"/>
          <w:color w:val="auto"/>
        </w:rPr>
        <w:t>•</w:t>
        <w:tab/>
        <w:t>if the applicable stock price is in excess of $ per share (subject to adjustment as described above), then the fundamental change exchange rate will be the applicable minimum exchange rate, subject to adjustment; and</w:t>
      </w:r>
    </w:p>
    <w:p>
      <w:pPr>
        <w:spacing w:after="0" w:line="37" w:lineRule="exact"/>
        <w:rPr>
          <w:sz w:val="20"/>
          <w:szCs w:val="20"/>
          <w:color w:val="auto"/>
        </w:rPr>
      </w:pPr>
    </w:p>
    <w:p>
      <w:pPr>
        <w:ind w:left="660" w:right="180" w:hanging="199"/>
        <w:spacing w:after="0" w:line="268" w:lineRule="auto"/>
        <w:tabs>
          <w:tab w:leader="none" w:pos="640" w:val="left"/>
        </w:tabs>
        <w:rPr>
          <w:sz w:val="20"/>
          <w:szCs w:val="20"/>
          <w:color w:val="auto"/>
        </w:rPr>
      </w:pPr>
      <w:r>
        <w:rPr>
          <w:rFonts w:ascii="Arial" w:cs="Arial" w:eastAsia="Arial" w:hAnsi="Arial"/>
          <w:sz w:val="18"/>
          <w:szCs w:val="18"/>
          <w:color w:val="auto"/>
        </w:rPr>
        <w:t>•</w:t>
        <w:tab/>
        <w:t>if the applicable stock price is less than $ per share (subject to adjustment as described above), then the fundamental change exchange rate will be the applicable maximum exchange rate, subject to adjustment.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obligation to deliver shares at the fundamental change exchange rate and the interest make-whole amount could be considered a penalty, in which case the enforceability thereof would be subject to general principles of reasonableness of economic remedies.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Fundamental Change Interest Make-Whole Payment</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any notes that are exchanged during the applicable fundamental change exchange period, in addition to the ordinary shares delivered upon exchange, we will, at our option, either:</w:t>
      </w:r>
    </w:p>
    <w:p>
      <w:pPr>
        <w:spacing w:after="0" w:line="3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the holders of such notes, in cash, the interest make-whole amounts (as defined below); or</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the number of ordinary shares to be issued upon exchange by a number of ordinary shares equal to the interest make-whole amount divided by the stock price (as defined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we are prevented from making cash payment of the interest make-whole amount pursuant to the first bullet point above by reason of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described under “—Subordination,” we will be deemed to have elected to deliver ordinary shares under the second bullet point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for purposes of determining the number of ordinary shares to be issued pursuant to the second bullet above, the stock price shall in no event be less than the floor price.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make-whole amount” means an amount equal to the sum of (a) any accrued and unpaid interest (including deferred interest) on the notes, and</w:t>
      </w:r>
    </w:p>
    <w:p>
      <w:pPr>
        <w:spacing w:after="0" w:line="38" w:lineRule="exact"/>
        <w:rPr>
          <w:sz w:val="20"/>
          <w:szCs w:val="20"/>
          <w:color w:val="auto"/>
        </w:rPr>
      </w:pPr>
    </w:p>
    <w:p>
      <w:pPr>
        <w:ind w:firstLine="8"/>
        <w:spacing w:after="0" w:line="288"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present value of all remaining interest payments on the notes (excluding accrued and unpaid interest) through and including the stated maturity date. The “present value” of the remaining interest payments for purposes of calculating the interest make-whole amount will be computed using a discount rate equal to the treasury yield plus 50 basis points. “Treasury yield” means the weekly average yield at the time of computation for United States Treasury securities at constant maturity (as compiled and published in the most recent Federal Reserve Statistical Release H.15 (519) which has become publicly available at least two business days prior to the exchange date (or, if such Statistical Release is no longer published, any publicly available source for similar market data) most nearly equal to the then-remaining term to October 15, 2018;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then-remaining term to October 15, 2018 is not equal to the constant maturity of a United States Treasury security for which a weekly average yield is given, the treasury rate will be obtained by straight-line interpolation).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Mandatory Exchange at Our Option upon a Change in Tax Law</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October 15, 2018, if we have, or on the next interest payment date would, become obligated to pay to the holder of any note additional amounts as a result of any change or amendment on or after the date of this prospectus supplement in the laws or any rules or regulations of a relevant taxing jurisdiction or any change on or after the date of this prospectus supplement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“change in tax law”), we may, at our option by notice to the holders of the notes, cause all but not less than all of the notes to be exchanged into ordinary shares at the fundamental change exchange rate. For purposes of determining such rate, the “effective date” shall be deemed to be the trading day immediately preceding the date we provide such notice. Upon any such mandatory exchange (a “tax exchange”), we will, at our option, either:</w:t>
      </w:r>
    </w:p>
    <w:p>
      <w:pPr>
        <w:spacing w:after="0" w:line="24"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the holders of the notes subject to such exchange, in cash, the interest make-whole amount; or</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the number of ordinary shares to be issued upon exchange by a number of ordinary shares equal to the interest make-whole amount divided by the stock price (as defined above);</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if we are prevented from making cash payment of the interest make-whole amount pursuant to the first bullet point above by reason of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described under “—Subordination,” we will be deemed to have elected to deliver ordinary shares under the second bullet point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for purposes of determining the number of ordinary shares to be issued pursuant to the second bullet above, the stock price shall in no event be less than the floor price.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Automatic Exchange upon Acceleration of the Notes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notes are accelerated in connection with an Event of Default as described below under “—Events of Default,” then upon such acceleration, to the extent permitted by law, all outstanding notes will: (1) be exchanged automatically into ordinary shares at the maximum exchange rate, and (2) the holders of such notes will be entitled to a cash payment equal to the interest make-whole amount.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Upon any mandatory exchange. </w:t>
      </w:r>
      <w:r>
        <w:rPr>
          <w:rFonts w:ascii="Arial" w:cs="Arial" w:eastAsia="Arial" w:hAnsi="Arial"/>
          <w:sz w:val="18"/>
          <w:szCs w:val="18"/>
          <w:color w:val="auto"/>
        </w:rPr>
        <w:t>The persons entitled to receive the ordinary shares issuable upon any mandatory exchange of the notes (either at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or as a result of an event of default) will be treated as the record holder(s) of such shares as of the close of business on the mandatory exchange date (which will be the stated maturity date, the date of acceleration of the notes or a tax exchange date, as applicable). Prior to the close of business on the mandatory exchange date, the ordinary shares issuable upon exchange of the notes will not be deemed to be outstanding for any purpose and noteholders will have no rights with respect to such ordinary shares by virtue of holding the notes, including voting rights, rights to respond to tender offers and rights to receive any dividends or other distributions on the ordinary shares.</w:t>
      </w:r>
    </w:p>
    <w:p>
      <w:pPr>
        <w:spacing w:after="0" w:line="13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Upon optional exchange. </w:t>
      </w:r>
      <w:r>
        <w:rPr>
          <w:rFonts w:ascii="Arial" w:cs="Arial" w:eastAsia="Arial" w:hAnsi="Arial"/>
          <w:sz w:val="18"/>
          <w:szCs w:val="18"/>
          <w:color w:val="auto"/>
        </w:rPr>
        <w:t>If you elect to exchange your notes prior to the stated maturity date, in the manner described in “—Exchange at the Option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 or “—Exchange upon Fundamental Change,” you must observe the following exchange procedures.</w:t>
      </w:r>
    </w:p>
    <w:p>
      <w:pPr>
        <w:spacing w:after="0" w:line="118"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If you hold a beneficial interest in a global note, to exchange you must comply with DTC’s procedures for exchanging a beneficial interest in a global note and, if required, pay funds equal to interest payable on the next interest payment date to which you are not entitled and, if required, pay all taxes or duties, if any.</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hold a certificated note, to exchange you must:</w:t>
      </w:r>
    </w:p>
    <w:p>
      <w:pPr>
        <w:spacing w:after="0" w:line="77"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 and manually sign the exchange notice on the back of the note, or a facsimile of the exchange notice;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 the completed exchange notice, which is irrevocable, and the note to the exchange agent;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required, pay all applicable transfer or similar taxes, if any;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 to which you are not entitled.</w:t>
      </w:r>
    </w:p>
    <w:p>
      <w:pPr>
        <w:spacing w:after="0" w:line="1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refer to the date you comply with the relevant procedures for exchange described above and any other procedures for exchange set forth in the indenture as the “exchange date.”</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person or persons entitled to receive the ordinary shares issuable upon optional exchange of the notes will be treated as the record holder(s) of such shares as of close of business on the applicable exchange date. Prior to the close of business on the applicable exchange date, the ordinary shares issuable upon exchange of the notes will not be deemed to be outstanding for any purpose and you will have no rights with respect to such ordinary shares by virtue of holding the notes, including voting rights, rights to respond to tender offers and rights to receive any dividends or other distributions on the ordinary shares.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Settlement upon Exchange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exchange, on the third business day after the relevant exchange date, we will deliver to the exchanging holder in respect of each $25 principal amount of notes being exchanged a number of ordinary shares equal to the applicable exchange rate together with cash in lieu of any fractional share and the notes shall thereby be settled and extinguished.</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will cause the Parent to issue and deliver such ordinary shares due upon settlement. At no point will we hold ordinary shares. We will pay-up the ordinary shares, or procure that the ordinary shares are paid-up by another non-Irish subsidiary of the Parent, in full in cash (so as to be validly issued for the purposes of the requirements of the Irish Companies Act). If, for any reason we are legally prohibited from paying-up the ordinary shares in full to at least their nominal value (for example, upon certain events of bankruptcy, insolvency or examinership), exchanging noteholders shall be entitled to pay the nominal value per share ($0.001) in cash, and, in such circumstances, subject to receipt of such payment, the Parent shall issue the ordinary shares fully-paid to that amount and exchanging noteholders shall receive validly issued ordinary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number of ordinary shares issuable to any holder upon exchange shall be computed on the basis of the aggregate principal amount of notes so surrendered by such holder.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77"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No fractional ordinary shares will be issued to holders of the notes upon exchange. In lieu of any fractional ordinary shares otherwise issuable in respect of the aggregate principal amount of notes of any holder that are exchanged, that holder will be entitled to receive an amount in cash (computed to the nearest cent) equal to the same fraction of the last reported sale price per share of the ordinary shares on the second trading day immediately preceding the exchange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Interest upon Exchanges Following an Interest Record Date</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notes are exchanged after the close of business on a regular record date for the payment of interest and prior to the open of business on the immediately following interest payment date, any references to accrued and unpaid interest owed to holders in connection with such exchange to holders will not include interest that will be paid to holders on such interest payment date.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With respect to exchanges at the option of holders pursuant to the provisions described above under “—Exchange at the Option of the Holder” after the close of business on a regular record date for the payment of interest and prior to the open of business on the immediately following interest payment date, holders of such notes at the close of business on such regular record date will receive the interest payable on such notes (subject to our deferral rights) on the corresponding interest payment date notwithstanding the exchange and any such interest will not be paid to the exchanging holder, and any surrender for exchange at the option of the holder under such provisions during the period from the close of business on any regular record date to the open of business on the immediately following interest payment date, must be accompanied by funds equal to the amount of interest payable on such interest payment date on the notes so exchanged;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need be made to the extent of any overdue interest or deferred interest, if any overdue interest or deferred interest exists at the time of exchange with respect to such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Adjustments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fixed exchange rates will be adjusted as described below, except that we will not make any adjustments to the fixed exchange rates for any transaction described below (other than in the case of (x) a share subdivision or share consolidation or (y) a tender or exchange offer) if each holder of the notes participates in such transaction at the same time and upon the same terms as holders of ordinary shares and solely as a result of holding the notes, without having to exchange its notes and as if it held a number of ordinary shares equal to the maximum exchange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notes held by such holder.</w:t>
      </w:r>
    </w:p>
    <w:p>
      <w:pPr>
        <w:spacing w:after="0" w:line="48" w:lineRule="exact"/>
        <w:rPr>
          <w:sz w:val="20"/>
          <w:szCs w:val="20"/>
          <w:color w:val="auto"/>
        </w:rPr>
      </w:pPr>
    </w:p>
    <w:p>
      <w:pPr>
        <w:ind w:left="900" w:right="260" w:hanging="446"/>
        <w:spacing w:after="0" w:line="28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Parent exclusively issues ordinary shares as a dividend or distribution on all or substantially all of ordinary shares, or if the Parent effects an ordinary share subdivision or ordinary share consolidation, each fixed exchange rate will be adjusted based on the following formula:</w:t>
      </w:r>
    </w:p>
    <w:p>
      <w:pPr>
        <w:ind w:left="1840"/>
        <w:spacing w:after="0"/>
        <w:tabs>
          <w:tab w:leader="none" w:pos="314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r>
        <w:rPr>
          <w:sz w:val="20"/>
          <w:szCs w:val="20"/>
          <w:color w:val="auto"/>
        </w:rPr>
        <w:tab/>
      </w:r>
      <w:r>
        <w:rPr>
          <w:rFonts w:ascii="Arial" w:cs="Arial" w:eastAsia="Arial" w:hAnsi="Arial"/>
          <w:sz w:val="14"/>
          <w:szCs w:val="14"/>
          <w:color w:val="auto"/>
        </w:rPr>
        <w:t>OS</w:t>
      </w:r>
      <w:r>
        <w:rPr>
          <w:rFonts w:ascii="Arial" w:cs="Arial" w:eastAsia="Arial" w:hAnsi="Arial"/>
          <w:sz w:val="17"/>
          <w:szCs w:val="17"/>
          <w:color w:val="auto"/>
          <w:vertAlign w:val="sub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20955</wp:posOffset>
            </wp:positionV>
            <wp:extent cx="2489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15" w:lineRule="exact"/>
        <w:rPr>
          <w:sz w:val="20"/>
          <w:szCs w:val="20"/>
          <w:color w:val="auto"/>
        </w:rPr>
      </w:pPr>
    </w:p>
    <w:p>
      <w:pPr>
        <w:ind w:left="1120" w:right="880" w:hanging="674"/>
        <w:spacing w:after="0" w:line="332" w:lineRule="auto"/>
        <w:tabs>
          <w:tab w:leader="none" w:pos="110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fixed exchange rate in effect immediately prior to the open of business on the ex-dividend date of such dividend or distribution, or immediately prior to the open of business on the effective date of such share subdivision or consolidation, as applicable;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fixed exchange rate in effect immediately after the open of business on such ex-dividend date or effective date;</w:t>
      </w:r>
    </w:p>
    <w:p>
      <w:pPr>
        <w:spacing w:after="0" w:line="4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number of ordinary shares outstanding immediately prior to the open of business on such ex-dividend date or effective date; and</w:t>
      </w:r>
    </w:p>
    <w:p>
      <w:pPr>
        <w:spacing w:after="0" w:line="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ordinary shares outstanding immediately after giving effect to such dividend, distribution, share subdivision or share consolidation.</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adjustment made under this clause (1) shall become effective immediately after the open of business on the ex-dividend date for such dividend or distribution, or immediately after the open of business on the effective date for such share subdivision or share consolidation. If any dividend or distribution of the type described in this clause (1) is declared but not so paid or made, each fixed exchange rate shall be immediately readjusted, effective as of the date the Parent determines not to pay such dividend or distribution to the applicable fixed exchange rate that would then be in effect if such dividend or distribution had not been declared.</w:t>
      </w:r>
    </w:p>
    <w:p>
      <w:pPr>
        <w:spacing w:after="0" w:line="48" w:lineRule="exact"/>
        <w:rPr>
          <w:sz w:val="20"/>
          <w:szCs w:val="20"/>
          <w:color w:val="auto"/>
        </w:rPr>
      </w:pPr>
    </w:p>
    <w:p>
      <w:pPr>
        <w:ind w:left="900" w:right="20" w:hanging="446"/>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Parent issues to all or substantially all holders of ordinary shares any rights, options or warrants (other than pursuant to a shareholder rights plan) entitling them for a period of not more than 45 calendar days after the date of such issuance to subscribe for or purchase ordinary shares, at a price per ordinary share less than the average of the last reported sale prices of ordinary shares over the 10 consecutive trading day period ending on, and including, the trading day immediately preceding the date of announcement for such issuance, the fixed exchange rate will be increased based on the following formula:</w:t>
      </w:r>
    </w:p>
    <w:p>
      <w:pPr>
        <w:spacing w:after="0" w:line="66" w:lineRule="exact"/>
        <w:rPr>
          <w:sz w:val="20"/>
          <w:szCs w:val="20"/>
          <w:color w:val="auto"/>
        </w:rPr>
      </w:pPr>
    </w:p>
    <w:p>
      <w:pPr>
        <w:ind w:left="1840"/>
        <w:spacing w:after="0"/>
        <w:tabs>
          <w:tab w:leader="none" w:pos="314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r>
        <w:rPr>
          <w:sz w:val="20"/>
          <w:szCs w:val="20"/>
          <w:color w:val="auto"/>
        </w:rPr>
        <w:tab/>
      </w:r>
      <w:r>
        <w:rPr>
          <w:rFonts w:ascii="Arial" w:cs="Arial" w:eastAsia="Arial" w:hAnsi="Arial"/>
          <w:sz w:val="16"/>
          <w:szCs w:val="16"/>
          <w:color w:val="auto"/>
        </w:rPr>
        <w:t>OS</w:t>
      </w:r>
      <w:r>
        <w:rPr>
          <w:rFonts w:ascii="Arial" w:cs="Arial" w:eastAsia="Arial" w:hAnsi="Arial"/>
          <w:sz w:val="20"/>
          <w:szCs w:val="20"/>
          <w:color w:val="auto"/>
          <w:vertAlign w:val="subscript"/>
        </w:rPr>
        <w:t>0</w:t>
      </w:r>
      <w:r>
        <w:rPr>
          <w:rFonts w:ascii="Arial" w:cs="Arial" w:eastAsia="Arial" w:hAnsi="Arial"/>
          <w:sz w:val="16"/>
          <w:szCs w:val="16"/>
          <w:color w:val="auto"/>
        </w:rPr>
        <w:t xml:space="preserve"> +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22225</wp:posOffset>
            </wp:positionV>
            <wp:extent cx="5486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 Y</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15" w:lineRule="exact"/>
        <w:rPr>
          <w:sz w:val="20"/>
          <w:szCs w:val="20"/>
          <w:color w:val="auto"/>
        </w:rPr>
      </w:pPr>
    </w:p>
    <w:p>
      <w:pPr>
        <w:ind w:left="460" w:right="2060"/>
        <w:spacing w:after="0" w:line="285" w:lineRule="auto"/>
        <w:rPr>
          <w:sz w:val="20"/>
          <w:szCs w:val="20"/>
          <w:color w:val="auto"/>
        </w:rPr>
      </w:pPr>
      <w:r>
        <w:rPr>
          <w:rFonts w:ascii="Arial" w:cs="Arial" w:eastAsia="Arial" w:hAnsi="Arial"/>
          <w:sz w:val="17"/>
          <w:szCs w:val="17"/>
          <w:color w:val="auto"/>
        </w:rPr>
        <w:t>ER</w:t>
      </w:r>
      <w:r>
        <w:rPr>
          <w:rFonts w:ascii="Arial" w:cs="Arial" w:eastAsia="Arial" w:hAnsi="Arial"/>
          <w:sz w:val="21"/>
          <w:szCs w:val="21"/>
          <w:color w:val="auto"/>
          <w:vertAlign w:val="subscript"/>
        </w:rPr>
        <w:t>0</w:t>
      </w:r>
      <w:r>
        <w:rPr>
          <w:rFonts w:ascii="Arial" w:cs="Arial" w:eastAsia="Arial" w:hAnsi="Arial"/>
          <w:sz w:val="17"/>
          <w:szCs w:val="17"/>
          <w:color w:val="auto"/>
        </w:rPr>
        <w:t xml:space="preserve"> = the fixed exchange rate in effect immediately prior to the open of business on the ex-dividend date for such issuance; ER</w:t>
      </w:r>
      <w:r>
        <w:rPr>
          <w:rFonts w:ascii="Arial" w:cs="Arial" w:eastAsia="Arial" w:hAnsi="Arial"/>
          <w:sz w:val="21"/>
          <w:szCs w:val="21"/>
          <w:color w:val="auto"/>
          <w:vertAlign w:val="subscript"/>
        </w:rPr>
        <w:t>1</w:t>
      </w:r>
      <w:r>
        <w:rPr>
          <w:rFonts w:ascii="Arial" w:cs="Arial" w:eastAsia="Arial" w:hAnsi="Arial"/>
          <w:sz w:val="17"/>
          <w:szCs w:val="17"/>
          <w:color w:val="auto"/>
        </w:rPr>
        <w:t xml:space="preserve"> = the fixed exchange rate in effect immediately after the open of business on such ex-dividend date;</w:t>
      </w:r>
    </w:p>
    <w:p>
      <w:pPr>
        <w:spacing w:after="0" w:line="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number of ordinary shares outstanding immediately prior to the open of business on such ex-dividend date;</w:t>
      </w:r>
    </w:p>
    <w:p>
      <w:pPr>
        <w:spacing w:after="0" w:line="8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5"/>
          <w:szCs w:val="15"/>
          <w:color w:val="auto"/>
        </w:rPr>
        <w:t>the total number of ordinary shares issuable pursuant to such rights, options or warrants; and</w:t>
      </w:r>
    </w:p>
    <w:p>
      <w:pPr>
        <w:spacing w:after="0" w:line="77" w:lineRule="exact"/>
        <w:rPr>
          <w:sz w:val="20"/>
          <w:szCs w:val="20"/>
          <w:color w:val="auto"/>
        </w:rPr>
      </w:pPr>
    </w:p>
    <w:p>
      <w:pPr>
        <w:ind w:left="1120" w:right="140" w:hanging="674"/>
        <w:spacing w:after="0" w:line="259" w:lineRule="auto"/>
        <w:tabs>
          <w:tab w:leader="none" w:pos="110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 xml:space="preserve">the number of ordinary shares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last reported sale prices of ordinary shares over the 10 consecutive trading day period ending on, and including, the trading day immediately preceding the date of announcement for such issuance.</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adjustment made under this clause (2) will be made successively whenever any such rights, options or warrants are issued and shall become effective immediately after the open of business on the ex-dividend date for such issuance. To the extent that ordinary shares are not delivered after the expiration of such rights, options or warrants, each fixed exchange rate shall be readjusted to the exchange rate that would then be in effect had the increase with respect to the issuance of such rights, options or warrants been made on the basis of delivery of only the number of ordinary shares actually delivered. If such rights, options or warrants are not so issued, or if no such rights, options or warrants are exercised prior to their expiration, each fixed exchange rate shall be readjusted to be the applicable fixed exchange rate that would then be in effect if such ex-dividend date for such issuance had not occurred.</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purposes of this clause (2), in determining whether any rights, options or warrants entitle the holders to subscribe for or purchase ordinary shares at a price per ordinary share less than such average of the last reported sale prices for ordinary shares over the 10 consecutive trading day period ending on, and including, the trading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day immediately preceding the declaration date for such issuance, and in determining the aggregate offering price of such ordinary shares, there shall be taken into account any consideration received by the Parent for such rights, options or warrants and any amount payable on exercise or exchange thereof, the value of such consideration, if other than cash, to be determined by the Parent in good faith.</w:t>
      </w:r>
    </w:p>
    <w:p>
      <w:pPr>
        <w:spacing w:after="0" w:line="46" w:lineRule="exact"/>
        <w:rPr>
          <w:sz w:val="20"/>
          <w:szCs w:val="20"/>
          <w:color w:val="auto"/>
        </w:rPr>
      </w:pPr>
    </w:p>
    <w:p>
      <w:pPr>
        <w:ind w:left="900" w:right="28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Parent distributes shares of the Parent’s share capital, evidences of the Parent’s indebtedness, other assets or property of the Parent or rights, options or warrants to acquire the Parent’s share capital or other securities, to all or substantially all holders of ordinary shares, excluding:</w:t>
      </w:r>
    </w:p>
    <w:p>
      <w:pPr>
        <w:spacing w:after="0" w:line="1" w:lineRule="exact"/>
        <w:rPr>
          <w:rFonts w:ascii="Arial" w:cs="Arial" w:eastAsia="Arial" w:hAnsi="Arial"/>
          <w:sz w:val="16"/>
          <w:szCs w:val="16"/>
          <w:color w:val="auto"/>
        </w:rPr>
      </w:pPr>
    </w:p>
    <w:p>
      <w:pPr>
        <w:ind w:left="1120" w:hanging="207"/>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dividends, distributions, rights, options or warrants described in clause (1) or (2) above;</w:t>
      </w:r>
    </w:p>
    <w:p>
      <w:pPr>
        <w:spacing w:after="0" w:line="103" w:lineRule="exact"/>
        <w:rPr>
          <w:rFonts w:ascii="Arial" w:cs="Arial" w:eastAsia="Arial" w:hAnsi="Arial"/>
          <w:sz w:val="18"/>
          <w:szCs w:val="18"/>
          <w:color w:val="auto"/>
        </w:rPr>
      </w:pPr>
    </w:p>
    <w:p>
      <w:pPr>
        <w:ind w:left="1120" w:hanging="207"/>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described in clause (4) below;</w:t>
      </w:r>
    </w:p>
    <w:p>
      <w:pPr>
        <w:spacing w:after="0" w:line="103" w:lineRule="exact"/>
        <w:rPr>
          <w:rFonts w:ascii="Arial" w:cs="Arial" w:eastAsia="Arial" w:hAnsi="Arial"/>
          <w:sz w:val="18"/>
          <w:szCs w:val="18"/>
          <w:color w:val="auto"/>
        </w:rPr>
      </w:pPr>
    </w:p>
    <w:p>
      <w:pPr>
        <w:ind w:left="1120" w:hanging="207"/>
        <w:spacing w:after="0" w:line="259"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dividends and distributions in connection with a reclassification, change, consolidation, merger, conveyance, transfer, sale, lease or other disposition resulting in the change in the exchange consideration as described below under “—Recapitalizations, Reclassifications and Changes of Ordinary Shares;”</w:t>
      </w:r>
    </w:p>
    <w:p>
      <w:pPr>
        <w:spacing w:after="0" w:line="45" w:lineRule="exact"/>
        <w:rPr>
          <w:rFonts w:ascii="Arial" w:cs="Arial" w:eastAsia="Arial" w:hAnsi="Arial"/>
          <w:sz w:val="18"/>
          <w:szCs w:val="18"/>
          <w:color w:val="auto"/>
        </w:rPr>
      </w:pPr>
    </w:p>
    <w:p>
      <w:pPr>
        <w:ind w:left="1120" w:right="580" w:hanging="207"/>
        <w:spacing w:after="0" w:line="268"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except as otherwise described above and below under “—Exchange Rate Adjustments,” rights issued pursuant to a shareholder rights plan adopted by the Parent; and</w:t>
      </w:r>
    </w:p>
    <w:p>
      <w:pPr>
        <w:spacing w:after="0" w:line="37" w:lineRule="exact"/>
        <w:rPr>
          <w:rFonts w:ascii="Arial" w:cs="Arial" w:eastAsia="Arial" w:hAnsi="Arial"/>
          <w:sz w:val="18"/>
          <w:szCs w:val="18"/>
          <w:color w:val="auto"/>
        </w:rPr>
      </w:pPr>
    </w:p>
    <w:p>
      <w:pPr>
        <w:ind w:left="1120" w:hanging="207"/>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clause (3) shall apply;</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then each fixed exchange rate will be increased based on the following formula:</w:t>
      </w:r>
    </w:p>
    <w:p>
      <w:pPr>
        <w:spacing w:after="0" w:line="95" w:lineRule="exact"/>
        <w:rPr>
          <w:sz w:val="20"/>
          <w:szCs w:val="20"/>
          <w:color w:val="auto"/>
        </w:rPr>
      </w:pPr>
    </w:p>
    <w:p>
      <w:pPr>
        <w:ind w:left="1840"/>
        <w:spacing w:after="0"/>
        <w:tabs>
          <w:tab w:leader="none" w:pos="360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r>
        <w:rPr>
          <w:sz w:val="20"/>
          <w:szCs w:val="20"/>
          <w:color w:val="auto"/>
        </w:rPr>
        <w:tab/>
      </w:r>
      <w:r>
        <w:rPr>
          <w:rFonts w:ascii="Arial" w:cs="Arial" w:eastAsia="Arial" w:hAnsi="Arial"/>
          <w:sz w:val="14"/>
          <w:szCs w:val="14"/>
          <w:color w:val="auto"/>
        </w:rPr>
        <w:t>SP</w:t>
      </w:r>
      <w:r>
        <w:rPr>
          <w:rFonts w:ascii="Arial" w:cs="Arial" w:eastAsia="Arial" w:hAnsi="Arial"/>
          <w:sz w:val="17"/>
          <w:szCs w:val="17"/>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22225</wp:posOffset>
            </wp:positionV>
            <wp:extent cx="746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r>
        <w:rPr>
          <w:rFonts w:ascii="Arial" w:cs="Arial" w:eastAsia="Arial" w:hAnsi="Arial"/>
          <w:sz w:val="18"/>
          <w:szCs w:val="18"/>
          <w:color w:val="auto"/>
        </w:rPr>
        <w:t xml:space="preserve"> – FMV</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15" w:lineRule="exact"/>
        <w:rPr>
          <w:sz w:val="20"/>
          <w:szCs w:val="20"/>
          <w:color w:val="auto"/>
        </w:rPr>
      </w:pPr>
    </w:p>
    <w:p>
      <w:pPr>
        <w:ind w:left="460" w:right="1860"/>
        <w:spacing w:after="0" w:line="285" w:lineRule="auto"/>
        <w:rPr>
          <w:sz w:val="20"/>
          <w:szCs w:val="20"/>
          <w:color w:val="auto"/>
        </w:rPr>
      </w:pPr>
      <w:r>
        <w:rPr>
          <w:rFonts w:ascii="Arial" w:cs="Arial" w:eastAsia="Arial" w:hAnsi="Arial"/>
          <w:sz w:val="17"/>
          <w:szCs w:val="17"/>
          <w:color w:val="auto"/>
        </w:rPr>
        <w:t>ER</w:t>
      </w:r>
      <w:r>
        <w:rPr>
          <w:rFonts w:ascii="Arial" w:cs="Arial" w:eastAsia="Arial" w:hAnsi="Arial"/>
          <w:sz w:val="21"/>
          <w:szCs w:val="21"/>
          <w:color w:val="auto"/>
          <w:vertAlign w:val="subscript"/>
        </w:rPr>
        <w:t>0</w:t>
      </w:r>
      <w:r>
        <w:rPr>
          <w:rFonts w:ascii="Arial" w:cs="Arial" w:eastAsia="Arial" w:hAnsi="Arial"/>
          <w:sz w:val="17"/>
          <w:szCs w:val="17"/>
          <w:color w:val="auto"/>
        </w:rPr>
        <w:t xml:space="preserve"> = the fixed exchange rate in effect immediately prior to the open of business on the ex-dividend date for such distribution; ER</w:t>
      </w:r>
      <w:r>
        <w:rPr>
          <w:rFonts w:ascii="Arial" w:cs="Arial" w:eastAsia="Arial" w:hAnsi="Arial"/>
          <w:sz w:val="21"/>
          <w:szCs w:val="21"/>
          <w:color w:val="auto"/>
          <w:vertAlign w:val="subscript"/>
        </w:rPr>
        <w:t>1</w:t>
      </w:r>
      <w:r>
        <w:rPr>
          <w:rFonts w:ascii="Arial" w:cs="Arial" w:eastAsia="Arial" w:hAnsi="Arial"/>
          <w:sz w:val="17"/>
          <w:szCs w:val="17"/>
          <w:color w:val="auto"/>
        </w:rPr>
        <w:t xml:space="preserve"> = the fixed exchange rate in effect immediately after the open of business on such ex-dividend date;</w:t>
      </w:r>
    </w:p>
    <w:p>
      <w:pPr>
        <w:spacing w:after="0" w:line="1" w:lineRule="exact"/>
        <w:rPr>
          <w:sz w:val="20"/>
          <w:szCs w:val="20"/>
          <w:color w:val="auto"/>
        </w:rPr>
      </w:pPr>
    </w:p>
    <w:p>
      <w:pPr>
        <w:ind w:left="1120" w:right="60" w:hanging="674"/>
        <w:spacing w:after="0" w:line="268" w:lineRule="auto"/>
        <w:tabs>
          <w:tab w:leader="none" w:pos="1100" w:val="left"/>
        </w:tabs>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last reported sale prices of ordinary shares over the 10 consecutive trading day period ending on, and including, the trading day immediately preceding the ex-dividend date for such distribution; and</w:t>
      </w:r>
    </w:p>
    <w:p>
      <w:pPr>
        <w:spacing w:after="0" w:line="92" w:lineRule="exact"/>
        <w:rPr>
          <w:sz w:val="20"/>
          <w:szCs w:val="20"/>
          <w:color w:val="auto"/>
        </w:rPr>
      </w:pPr>
    </w:p>
    <w:p>
      <w:pPr>
        <w:ind w:left="1120" w:right="80" w:hanging="674"/>
        <w:spacing w:after="0" w:line="259" w:lineRule="auto"/>
        <w:tabs>
          <w:tab w:leader="none" w:pos="1100" w:val="left"/>
        </w:tabs>
        <w:rPr>
          <w:sz w:val="20"/>
          <w:szCs w:val="20"/>
          <w:color w:val="auto"/>
        </w:rPr>
      </w:pPr>
      <w:r>
        <w:rPr>
          <w:rFonts w:ascii="Arial" w:cs="Arial" w:eastAsia="Arial" w:hAnsi="Arial"/>
          <w:sz w:val="18"/>
          <w:szCs w:val="18"/>
          <w:color w:val="auto"/>
        </w:rPr>
        <w:t>FMV =</w:t>
        <w:tab/>
        <w:t>the fair market value (as determined by the Parent in good faith) of the shares of share capital, evidences of indebtedness, other assets or property of the Parent or rights, options or warrants to acquire the Parent’s share capital or other securities distributed with respect to each ordinary share outstanding on the ex-dividend date for such distribution.</w:t>
      </w:r>
    </w:p>
    <w:p>
      <w:pPr>
        <w:spacing w:after="0" w:line="6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“FMV” (as defined above) is equal to or greater than the “SP</w:t>
      </w:r>
      <w:r>
        <w:rPr>
          <w:rFonts w:ascii="Arial" w:cs="Arial" w:eastAsia="Arial" w:hAnsi="Arial"/>
          <w:sz w:val="21"/>
          <w:szCs w:val="21"/>
          <w:color w:val="auto"/>
          <w:vertAlign w:val="subscript"/>
        </w:rPr>
        <w:t>0</w:t>
      </w:r>
      <w:r>
        <w:rPr>
          <w:rFonts w:ascii="Arial" w:cs="Arial" w:eastAsia="Arial" w:hAnsi="Arial"/>
          <w:sz w:val="17"/>
          <w:szCs w:val="17"/>
          <w:color w:val="auto"/>
        </w:rPr>
        <w:t>” (as defined above), in lieu of the foregoing increase, provision will be made such that each holder of a note shall receive, in respect of each $25 principal amount of notes it holds, upon exchange, the amount and kind of shares of share capital, evidences of the Parent’s indebtedness, other assets or property of the Parent or rights, options or warrants to acquire the Parent’s share capital or other securities that such holder would have received if such holder owned a number of ordinary shares equal to the maximum exchange rate in effect on the ex-dividend date for the distribution. Any increase made under the portion of this clause (3) above will become effective immediately after the open of business on the ex-dividend date for such distribution. If such distribution is not so paid or made, each fixed exchange rate shall be readjusted to be the applicable fixed exchange rate that would then be in effect if such dividend or distribution had not been declared.</w:t>
      </w:r>
    </w:p>
    <w:p>
      <w:pPr>
        <w:spacing w:after="0" w:line="11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With respect to an adjustment pursuant to this clause (3) where there has been a payment of a dividend or other distribution on ordinary shares of shares or share capital of any class or series, or similar equity interest, of or relating to a subsidiary or other business unit, and such share capital or similar equity interest is listed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60" w:lineRule="auto"/>
        <w:rPr>
          <w:sz w:val="20"/>
          <w:szCs w:val="20"/>
          <w:color w:val="auto"/>
        </w:rPr>
      </w:pPr>
      <w:r>
        <w:rPr>
          <w:rFonts w:ascii="Arial" w:cs="Arial" w:eastAsia="Arial" w:hAnsi="Arial"/>
          <w:sz w:val="15"/>
          <w:szCs w:val="15"/>
          <w:color w:val="auto"/>
        </w:rPr>
        <w:t>quoted (or will be listed or quoted upon the consummation of such dividend or other distribution) on a U.S. national securities exchange or a reasonably comparable non-U.S. equivalent, which we refer to as a “spin-off,” each fixed exchange rate will be increased based on the following formula:</w:t>
      </w:r>
    </w:p>
    <w:tbl>
      <w:tblPr>
        <w:tblLayout w:type="fixed"/>
        <w:tblInd w:w="460" w:type="dxa"/>
        <w:tblCellMar>
          <w:top w:w="0" w:type="dxa"/>
          <w:left w:w="0" w:type="dxa"/>
          <w:bottom w:w="0" w:type="dxa"/>
          <w:right w:w="0" w:type="dxa"/>
        </w:tblCellMar>
      </w:tblPr>
      <w:tr>
        <w:trPr>
          <w:trHeight w:val="288"/>
        </w:trPr>
        <w:tc>
          <w:tcPr>
            <w:tcW w:w="780" w:type="dxa"/>
            <w:vAlign w:val="bottom"/>
          </w:tcPr>
          <w:p>
            <w:pPr>
              <w:spacing w:after="0"/>
              <w:rPr>
                <w:sz w:val="24"/>
                <w:szCs w:val="24"/>
                <w:color w:val="auto"/>
              </w:rPr>
            </w:pPr>
          </w:p>
        </w:tc>
        <w:tc>
          <w:tcPr>
            <w:tcW w:w="2000" w:type="dxa"/>
            <w:vAlign w:val="bottom"/>
          </w:tcPr>
          <w:p>
            <w:pPr>
              <w:ind w:left="600"/>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FMV</w:t>
            </w:r>
            <w:r>
              <w:rPr>
                <w:rFonts w:ascii="Arial" w:cs="Arial" w:eastAsia="Arial" w:hAnsi="Arial"/>
                <w:sz w:val="22"/>
                <w:szCs w:val="22"/>
                <w:color w:val="auto"/>
                <w:w w:val="92"/>
                <w:vertAlign w:val="subscript"/>
              </w:rPr>
              <w:t>0</w:t>
            </w:r>
            <w:r>
              <w:rPr>
                <w:rFonts w:ascii="Arial" w:cs="Arial" w:eastAsia="Arial" w:hAnsi="Arial"/>
                <w:sz w:val="18"/>
                <w:szCs w:val="18"/>
                <w:color w:val="auto"/>
                <w:w w:val="92"/>
              </w:rPr>
              <w:t xml:space="preserve"> + MP</w:t>
            </w:r>
            <w:r>
              <w:rPr>
                <w:rFonts w:ascii="Arial" w:cs="Arial" w:eastAsia="Arial" w:hAnsi="Arial"/>
                <w:sz w:val="22"/>
                <w:szCs w:val="22"/>
                <w:color w:val="auto"/>
                <w:w w:val="92"/>
                <w:vertAlign w:val="subscript"/>
              </w:rPr>
              <w:t>0</w:t>
            </w:r>
          </w:p>
        </w:tc>
        <w:tc>
          <w:tcPr>
            <w:tcW w:w="6780" w:type="dxa"/>
            <w:vAlign w:val="bottom"/>
          </w:tcPr>
          <w:p>
            <w:pPr>
              <w:spacing w:after="0"/>
              <w:rPr>
                <w:sz w:val="24"/>
                <w:szCs w:val="24"/>
                <w:color w:val="auto"/>
              </w:rPr>
            </w:pPr>
          </w:p>
        </w:tc>
      </w:tr>
      <w:tr>
        <w:trPr>
          <w:trHeight w:val="286"/>
        </w:trPr>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120" w:type="dxa"/>
            <w:vAlign w:val="bottom"/>
            <w:gridSpan w:val="2"/>
          </w:tcPr>
          <w:p>
            <w:pPr>
              <w:jc w:val="center"/>
              <w:ind w:right="6800"/>
              <w:spacing w:after="0"/>
              <w:rPr>
                <w:sz w:val="20"/>
                <w:szCs w:val="20"/>
                <w:color w:val="auto"/>
              </w:rPr>
            </w:pPr>
            <w:r>
              <w:rPr>
                <w:rFonts w:ascii="Arial" w:cs="Arial" w:eastAsia="Arial" w:hAnsi="Arial"/>
                <w:sz w:val="18"/>
                <w:szCs w:val="18"/>
                <w:color w:val="auto"/>
                <w:w w:val="90"/>
              </w:rPr>
              <w:t>MP</w:t>
            </w:r>
            <w:r>
              <w:rPr>
                <w:rFonts w:ascii="Arial" w:cs="Arial" w:eastAsia="Arial" w:hAnsi="Arial"/>
                <w:sz w:val="22"/>
                <w:szCs w:val="22"/>
                <w:color w:val="auto"/>
                <w:w w:val="90"/>
                <w:vertAlign w:val="subscript"/>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where,</w:t>
            </w:r>
          </w:p>
        </w:tc>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93"/>
        </w:trPr>
        <w:tc>
          <w:tcPr>
            <w:tcW w:w="78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the fixed exchange rate in effect immediately prior to the open of business on the ex-dividend date for such spin-off;</w:t>
            </w:r>
          </w:p>
        </w:tc>
      </w:tr>
      <w:tr>
        <w:trPr>
          <w:trHeight w:val="293"/>
        </w:trPr>
        <w:tc>
          <w:tcPr>
            <w:tcW w:w="78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the fixed exchange rate in effect immediately after the open of business on the ex-dividend date for such spin-off;</w:t>
            </w:r>
          </w:p>
        </w:tc>
      </w:tr>
      <w:tr>
        <w:trPr>
          <w:trHeight w:val="259"/>
        </w:trPr>
        <w:tc>
          <w:tcPr>
            <w:tcW w:w="78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w w:val="88"/>
              </w:rPr>
              <w:t>the average of the last reported sale prices of the share capital or similar equity interest distributed to holders of ordinary shares applicable to</w:t>
            </w:r>
          </w:p>
        </w:tc>
      </w:tr>
      <w:tr>
        <w:trPr>
          <w:trHeight w:val="216"/>
        </w:trPr>
        <w:tc>
          <w:tcPr>
            <w:tcW w:w="780" w:type="dxa"/>
            <w:vAlign w:val="bottom"/>
          </w:tcPr>
          <w:p>
            <w:pPr>
              <w:spacing w:after="0"/>
              <w:rPr>
                <w:sz w:val="18"/>
                <w:szCs w:val="18"/>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w w:val="94"/>
              </w:rPr>
              <w:t>one ordinary share (determined by reference to the definition of last reported sale price set forth under “—Exchange of the Notes—</w:t>
            </w:r>
          </w:p>
        </w:tc>
      </w:tr>
      <w:tr>
        <w:trPr>
          <w:trHeight w:val="216"/>
        </w:trPr>
        <w:tc>
          <w:tcPr>
            <w:tcW w:w="780" w:type="dxa"/>
            <w:vAlign w:val="bottom"/>
          </w:tcPr>
          <w:p>
            <w:pPr>
              <w:spacing w:after="0"/>
              <w:rPr>
                <w:sz w:val="18"/>
                <w:szCs w:val="18"/>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w w:val="93"/>
              </w:rPr>
              <w:t>Mandatory Exchange” as if references therein to ordinary shares were to such share capital or similar equity interest) over the first 10</w:t>
            </w:r>
          </w:p>
        </w:tc>
      </w:tr>
      <w:tr>
        <w:trPr>
          <w:trHeight w:val="222"/>
        </w:trPr>
        <w:tc>
          <w:tcPr>
            <w:tcW w:w="780" w:type="dxa"/>
            <w:vAlign w:val="bottom"/>
          </w:tcPr>
          <w:p>
            <w:pPr>
              <w:spacing w:after="0"/>
              <w:rPr>
                <w:sz w:val="19"/>
                <w:szCs w:val="19"/>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consecutive trading day period after, and including, the ex-dividend date of the spin-off (the “valuation period”); and</w:t>
            </w:r>
          </w:p>
        </w:tc>
      </w:tr>
      <w:tr>
        <w:trPr>
          <w:trHeight w:val="293"/>
        </w:trPr>
        <w:tc>
          <w:tcPr>
            <w:tcW w:w="78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the average of the last reported sale prices of ordinary shares over the valuation period.</w:t>
            </w:r>
          </w:p>
        </w:tc>
      </w:tr>
    </w:tbl>
    <w:p>
      <w:pPr>
        <w:spacing w:after="0" w:line="13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adjustment to each fixed exchange rate under the preceding paragraph will be determined on the last trading day of the valuation period, but given effect as of the ex-dividend date for the spin-off;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exchange of notes during the valuation period, references in the preceding paragraph with respect to 10 trading days shall be deemed to be replaced with such lesser number of trading days as have elapsed between the ex-dividend date of such spin-off and the exchange date in determining the fixed exchange rate. If the ex-dividend date of the spin-off is after the 10th trading day immediately preceding, and including, the end of any observation period in respect of an exchange of notes, references in the preceding paragraph to 10 trading days will be deemed to be replaced, solely in respect of that exchange, with such lesser number of trading days as have elapsed from, and including, the ex-dividend date for the spin-off to, and including, the last trading day of such observation period. If any dividend or distribution that constitutes a spin-off is not so paid, each fixed exchange rate shall be decreased, effective as of the date the Parent determines not to pay such dividends or distributions, to the applicable fixed exchange rate that would then be in effect if such dividend or distribution had not been declared.</w:t>
      </w:r>
    </w:p>
    <w:p>
      <w:pPr>
        <w:spacing w:after="0" w:line="25" w:lineRule="exact"/>
        <w:rPr>
          <w:sz w:val="20"/>
          <w:szCs w:val="20"/>
          <w:color w:val="auto"/>
        </w:rPr>
      </w:pPr>
    </w:p>
    <w:p>
      <w:pPr>
        <w:ind w:left="900" w:right="1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ordinary shares, each fixed exchange rate will be adjusted based on the following formula:</w:t>
      </w:r>
    </w:p>
    <w:p>
      <w:pPr>
        <w:spacing w:after="0" w:line="55" w:lineRule="exact"/>
        <w:rPr>
          <w:sz w:val="20"/>
          <w:szCs w:val="20"/>
          <w:color w:val="auto"/>
        </w:rPr>
      </w:pPr>
    </w:p>
    <w:p>
      <w:pPr>
        <w:ind w:left="1840"/>
        <w:spacing w:after="0"/>
        <w:tabs>
          <w:tab w:leader="none" w:pos="340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r>
        <w:rPr>
          <w:sz w:val="20"/>
          <w:szCs w:val="20"/>
          <w:color w:val="auto"/>
        </w:rPr>
        <w:tab/>
      </w:r>
      <w:r>
        <w:rPr>
          <w:rFonts w:ascii="Arial" w:cs="Arial" w:eastAsia="Arial" w:hAnsi="Arial"/>
          <w:sz w:val="14"/>
          <w:szCs w:val="14"/>
          <w:color w:val="auto"/>
        </w:rPr>
        <w:t>SP</w:t>
      </w:r>
      <w:r>
        <w:rPr>
          <w:rFonts w:ascii="Arial" w:cs="Arial" w:eastAsia="Arial" w:hAnsi="Arial"/>
          <w:sz w:val="17"/>
          <w:szCs w:val="17"/>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22225</wp:posOffset>
            </wp:positionV>
            <wp:extent cx="4972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r>
        <w:rPr>
          <w:rFonts w:ascii="Arial" w:cs="Arial" w:eastAsia="Arial" w:hAnsi="Arial"/>
          <w:sz w:val="18"/>
          <w:szCs w:val="18"/>
          <w:color w:val="auto"/>
        </w:rPr>
        <w:t xml:space="preserve"> – C</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15" w:lineRule="exact"/>
        <w:rPr>
          <w:sz w:val="20"/>
          <w:szCs w:val="20"/>
          <w:color w:val="auto"/>
        </w:rPr>
      </w:pPr>
    </w:p>
    <w:p>
      <w:pPr>
        <w:ind w:left="460" w:right="1000"/>
        <w:spacing w:after="0" w:line="299" w:lineRule="auto"/>
        <w:rPr>
          <w:sz w:val="20"/>
          <w:szCs w:val="20"/>
          <w:color w:val="auto"/>
        </w:rPr>
      </w:pPr>
      <w:r>
        <w:rPr>
          <w:rFonts w:ascii="Arial" w:cs="Arial" w:eastAsia="Arial" w:hAnsi="Arial"/>
          <w:sz w:val="16"/>
          <w:szCs w:val="16"/>
          <w:color w:val="auto"/>
        </w:rPr>
        <w:t>ER</w:t>
      </w:r>
      <w:r>
        <w:rPr>
          <w:rFonts w:ascii="Arial" w:cs="Arial" w:eastAsia="Arial" w:hAnsi="Arial"/>
          <w:sz w:val="20"/>
          <w:szCs w:val="20"/>
          <w:color w:val="auto"/>
          <w:vertAlign w:val="subscript"/>
        </w:rPr>
        <w:t>0</w:t>
      </w:r>
      <w:r>
        <w:rPr>
          <w:rFonts w:ascii="Arial" w:cs="Arial" w:eastAsia="Arial" w:hAnsi="Arial"/>
          <w:sz w:val="16"/>
          <w:szCs w:val="16"/>
          <w:color w:val="auto"/>
        </w:rPr>
        <w:t xml:space="preserve"> = the fixed exchange rate in effect immediately prior to the open of business on the ex-dividend date for such dividend or distribution; ER</w:t>
      </w:r>
      <w:r>
        <w:rPr>
          <w:rFonts w:ascii="Arial" w:cs="Arial" w:eastAsia="Arial" w:hAnsi="Arial"/>
          <w:sz w:val="20"/>
          <w:szCs w:val="20"/>
          <w:color w:val="auto"/>
          <w:vertAlign w:val="subscript"/>
        </w:rPr>
        <w:t>1</w:t>
      </w:r>
      <w:r>
        <w:rPr>
          <w:rFonts w:ascii="Arial" w:cs="Arial" w:eastAsia="Arial" w:hAnsi="Arial"/>
          <w:sz w:val="16"/>
          <w:szCs w:val="16"/>
          <w:color w:val="auto"/>
        </w:rPr>
        <w:t xml:space="preserve"> = the fixed exchange rate in effect immediately after the open of business on the ex-dividend date for such dividend or distribution;</w:t>
      </w:r>
    </w:p>
    <w:p>
      <w:pPr>
        <w:spacing w:after="0" w:line="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last reported sale price of ordinary shares on the trading day immediately preceding the ex-dividend date for such dividend or distribution; and</w:t>
      </w:r>
    </w:p>
    <w:p>
      <w:pPr>
        <w:spacing w:after="0" w:line="8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5"/>
          <w:szCs w:val="15"/>
          <w:color w:val="auto"/>
        </w:rPr>
        <w:t>the amount in cash per ordinary share that the Parent distributes to all or substantially all holders of ordinary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“C” (as defined above) is equal to or greater than “SP</w:t>
      </w:r>
      <w:r>
        <w:rPr>
          <w:rFonts w:ascii="Arial" w:cs="Arial" w:eastAsia="Arial" w:hAnsi="Arial"/>
          <w:sz w:val="22"/>
          <w:szCs w:val="22"/>
          <w:color w:val="auto"/>
          <w:vertAlign w:val="subscript"/>
        </w:rPr>
        <w:t>0</w:t>
      </w:r>
      <w:r>
        <w:rPr>
          <w:rFonts w:ascii="Arial" w:cs="Arial" w:eastAsia="Arial" w:hAnsi="Arial"/>
          <w:sz w:val="18"/>
          <w:szCs w:val="18"/>
          <w:color w:val="auto"/>
        </w:rPr>
        <w:t>” (as defined above), in lieu of the foregoing increase, provision will be made such that each holder of a note shall receive, for each $25 principal amount of notes it holds, upon exchange, the amount of cash that such holder would have received if such holder owned a number of ordinary shares equal to the maximum exchange rate on the ex-dividend date for such cash dividend or distribution. Such increase shall become effective immediately after the open of business on the ex-dividend date for such dividend or distribution. If such dividend or distribution is not so paid, each fixed exchange rate shall be decreased to be the applicable fixed exchange rate that would then be in effect if such dividend or distribution had not been declared.</w:t>
      </w:r>
    </w:p>
    <w:p>
      <w:pPr>
        <w:spacing w:after="0" w:line="48" w:lineRule="exact"/>
        <w:rPr>
          <w:sz w:val="20"/>
          <w:szCs w:val="20"/>
          <w:color w:val="auto"/>
        </w:rPr>
      </w:pPr>
    </w:p>
    <w:p>
      <w:pPr>
        <w:ind w:left="900" w:right="20" w:hanging="446"/>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Parent or any of its subsidiaries makes a payment in respect of a tender offer or exchange offer for ordinary shares, other than odd lot tender offers, to the extent that the cash and value of any other consideration included in the payment per ordinary share exceeds the average of the last reported sale prices of ordinary shares over the 10 consecutive trading day period commencing on, and including, the trading day next succeeding the last date on which tenders or exchanges may be made pursuant to such tender or exchange offer, each fixed exchange rate will be increased based on the following formula:</w:t>
      </w:r>
    </w:p>
    <w:p>
      <w:pPr>
        <w:spacing w:after="0" w:line="66" w:lineRule="exact"/>
        <w:rPr>
          <w:sz w:val="20"/>
          <w:szCs w:val="20"/>
          <w:color w:val="auto"/>
        </w:rPr>
      </w:pPr>
    </w:p>
    <w:p>
      <w:pPr>
        <w:ind w:left="1840"/>
        <w:spacing w:after="0"/>
        <w:tabs>
          <w:tab w:leader="none" w:pos="344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r>
        <w:rPr>
          <w:sz w:val="20"/>
          <w:szCs w:val="20"/>
          <w:color w:val="auto"/>
        </w:rPr>
        <w:tab/>
      </w:r>
      <w:r>
        <w:rPr>
          <w:rFonts w:ascii="Arial" w:cs="Arial" w:eastAsia="Arial" w:hAnsi="Arial"/>
          <w:sz w:val="15"/>
          <w:szCs w:val="15"/>
          <w:color w:val="auto"/>
        </w:rPr>
        <w:t>AC + (SP</w:t>
      </w:r>
      <w:r>
        <w:rPr>
          <w:rFonts w:ascii="Arial" w:cs="Arial" w:eastAsia="Arial" w:hAnsi="Arial"/>
          <w:sz w:val="19"/>
          <w:szCs w:val="19"/>
          <w:color w:val="auto"/>
          <w:vertAlign w:val="subscript"/>
        </w:rPr>
        <w:t>1</w:t>
      </w:r>
      <w:r>
        <w:rPr>
          <w:rFonts w:ascii="Arial" w:cs="Arial" w:eastAsia="Arial" w:hAnsi="Arial"/>
          <w:sz w:val="15"/>
          <w:szCs w:val="15"/>
          <w:color w:val="auto"/>
        </w:rPr>
        <w:t xml:space="preserve"> x OS</w:t>
      </w:r>
      <w:r>
        <w:rPr>
          <w:rFonts w:ascii="Arial" w:cs="Arial" w:eastAsia="Arial" w:hAnsi="Arial"/>
          <w:sz w:val="19"/>
          <w:szCs w:val="19"/>
          <w:color w:val="auto"/>
          <w:vertAlign w:val="subscript"/>
        </w:rPr>
        <w:t>1</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22225</wp:posOffset>
            </wp:positionV>
            <wp:extent cx="11836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x SP</w:t>
      </w:r>
      <w:r>
        <w:rPr>
          <w:rFonts w:ascii="Arial" w:cs="Arial" w:eastAsia="Arial" w:hAnsi="Arial"/>
          <w:sz w:val="22"/>
          <w:szCs w:val="22"/>
          <w:color w:val="auto"/>
          <w:vertAlign w:val="subscript"/>
        </w:rPr>
        <w:t>1</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15" w:lineRule="exact"/>
        <w:rPr>
          <w:sz w:val="20"/>
          <w:szCs w:val="20"/>
          <w:color w:val="auto"/>
        </w:rPr>
      </w:pPr>
    </w:p>
    <w:p>
      <w:pPr>
        <w:ind w:left="1120" w:right="380" w:hanging="674"/>
        <w:spacing w:after="0" w:line="268" w:lineRule="auto"/>
        <w:tabs>
          <w:tab w:leader="none" w:pos="110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tab/>
        <w:t>the fixed exchange rate in effect immediately prior to the close of business on the 10th trading day immediately following, and including, the trading day next succeeding the date such tender or exchange offer expires;</w:t>
      </w:r>
    </w:p>
    <w:p>
      <w:pPr>
        <w:spacing w:after="0" w:line="37" w:lineRule="exact"/>
        <w:rPr>
          <w:sz w:val="20"/>
          <w:szCs w:val="20"/>
          <w:color w:val="auto"/>
        </w:rPr>
      </w:pPr>
    </w:p>
    <w:p>
      <w:pPr>
        <w:ind w:left="1120" w:right="40" w:hanging="674"/>
        <w:spacing w:after="0" w:line="268" w:lineRule="auto"/>
        <w:tabs>
          <w:tab w:leader="none" w:pos="1100" w:val="left"/>
        </w:tabs>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tab/>
        <w:t>the fixed exchange rate in effect immediately after the close of business on the 10th trading day immediately following, and including, the trading day next succeeding the date such tender or exchange offer expires;</w:t>
      </w:r>
    </w:p>
    <w:p>
      <w:pPr>
        <w:spacing w:after="0" w:line="99" w:lineRule="exact"/>
        <w:rPr>
          <w:sz w:val="20"/>
          <w:szCs w:val="20"/>
          <w:color w:val="auto"/>
        </w:rPr>
      </w:pPr>
    </w:p>
    <w:p>
      <w:pPr>
        <w:ind w:left="1120" w:right="140" w:hanging="674"/>
        <w:spacing w:after="0" w:line="254" w:lineRule="auto"/>
        <w:tabs>
          <w:tab w:leader="none" w:pos="1100" w:val="left"/>
        </w:tabs>
        <w:rPr>
          <w:sz w:val="20"/>
          <w:szCs w:val="20"/>
          <w:color w:val="auto"/>
        </w:rPr>
      </w:pPr>
      <w:r>
        <w:rPr>
          <w:rFonts w:ascii="Arial" w:cs="Arial" w:eastAsia="Arial" w:hAnsi="Arial"/>
          <w:sz w:val="18"/>
          <w:szCs w:val="18"/>
          <w:color w:val="auto"/>
        </w:rPr>
        <w:t>AC =</w:t>
      </w:r>
      <w:r>
        <w:rPr>
          <w:sz w:val="20"/>
          <w:szCs w:val="20"/>
          <w:color w:val="auto"/>
        </w:rPr>
        <w:tab/>
      </w:r>
      <w:r>
        <w:rPr>
          <w:rFonts w:ascii="Arial" w:cs="Arial" w:eastAsia="Arial" w:hAnsi="Arial"/>
          <w:sz w:val="18"/>
          <w:szCs w:val="18"/>
          <w:color w:val="auto"/>
        </w:rPr>
        <w:t>the aggregate value, on the date such tender or exchange offer expires, of all cash and any other consideration (as determined by the Parent) paid or payable for ordinary shares purchased in such tender or exchange offer;</w:t>
      </w:r>
    </w:p>
    <w:p>
      <w:pPr>
        <w:ind w:left="1120" w:right="220" w:hanging="674"/>
        <w:spacing w:after="0" w:line="325" w:lineRule="auto"/>
        <w:tabs>
          <w:tab w:leader="none" w:pos="110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ordinary shares outstanding immediately prior to the close of business on the date such tender or exchange offer expires (prior to giving effect to the purchase of all ordinary shares accepted for purchase or exchange in such tender or exchange offer);</w:t>
      </w:r>
    </w:p>
    <w:p>
      <w:pPr>
        <w:spacing w:after="0" w:line="1" w:lineRule="exact"/>
        <w:rPr>
          <w:sz w:val="20"/>
          <w:szCs w:val="20"/>
          <w:color w:val="auto"/>
        </w:rPr>
      </w:pPr>
    </w:p>
    <w:p>
      <w:pPr>
        <w:ind w:left="1120" w:right="140" w:hanging="674"/>
        <w:spacing w:after="0" w:line="325" w:lineRule="auto"/>
        <w:tabs>
          <w:tab w:leader="none" w:pos="110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ordinary shares outstanding immediately after the close of business on the date such tender or exchange offer expires (after giving effect to the purchase of all ordinary shares accepted for purchase or exchange in such tender or exchange offer); and</w:t>
      </w:r>
    </w:p>
    <w:p>
      <w:pPr>
        <w:spacing w:after="0" w:line="1" w:lineRule="exact"/>
        <w:rPr>
          <w:sz w:val="20"/>
          <w:szCs w:val="20"/>
          <w:color w:val="auto"/>
        </w:rPr>
      </w:pPr>
    </w:p>
    <w:p>
      <w:pPr>
        <w:ind w:left="1120" w:right="480" w:hanging="674"/>
        <w:spacing w:after="0" w:line="268" w:lineRule="auto"/>
        <w:tabs>
          <w:tab w:leader="none" w:pos="1100" w:val="left"/>
        </w:tabs>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last reported sale prices of ordinary shares over the 10 consecutive trading day period commencing on, and including, the trading day next succeeding the date such tender or exchange offer expires.</w:t>
      </w:r>
    </w:p>
    <w:p>
      <w:pPr>
        <w:spacing w:after="0" w:line="18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The adjustment to the fixed exchange rates under the preceding paragraph will occur at the close of business on the 10th trading day immediately following, and including, the trading day next succeeding the date such tender or exchange offer expires;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respect of any exchange of notes within the 10 trading days immediately following, and including, the trading day next succeeding the expiration date of any tender or exchange offer, references with respect to 10 trading days shall be deemed replaced with such lesser number of trading days as have elapsed between the expiration date of such tender or exchange offer and the exchange date in determining the fixed exchange rates. In addition, if the trading day next succeeding the date such tender or exchange offer expires is after the 10th trading day immediately preceding, and including, the end of any observation period in respect of an exchange of notes, references in the preceding paragraph to 10 trading days shall be deemed to be replaced, solely in respect of that exchange, with such lesser number of trading days as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have elapsed from, and including, the trading day next succeeding the date such tender or exchange offer expires to, and including, the last trading day of such observation period.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Parent or one of its subsidiaries is obligated to purchase ordinary shares pursuant to any such tender or exchange offer described in this clause (5) but is permanently prevented by applicable law from effecting any such purchase or all such purchases are rescinded, each fixed exchange rate will be readjusted to be the applicable fixed exchange rate that would then be in effect if such tender or exchange offer had not been made or had been made only in respect of the purchases that have been effected.</w:t>
      </w:r>
    </w:p>
    <w:p>
      <w:pPr>
        <w:spacing w:after="0" w:line="13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Notwithstanding the foregoing, if an exchange rate adjustment becomes effective on any ex-dividend date as described above, and a holder that has exchanged its notes on or after such ex-dividend date and on or prior to the related record date would be treated as the record holder of ordinary shares as of the related exchange date as described under “—Exchange of the Notes” based on an adjusted exchange rate for such ex-dividend date, then, notwithstanding the foregoing exchange rate adjustment provisions, the exchange rate adjustment relating to such ex-dividend date will not be made for such exchanging holder. Instead, such holder will be treated as if such holder were the record owner of ordinary shares on an unadjusted basis and participate in the related dividend, distribution or other event giving rise to such adjustment.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“ex-dividend date” means the first date on which ordinary shares trade on the applicable exchange or in the applicable market, regular way, without the right to receive the issuance, dividend or distribution in question, from the Parent or, if applicable, from the seller of ordinary shares on such exchange or market (in the form of due bills or otherwise) as determined by such exchange or market.</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“effective date” means the first date on which ordinary shares trade on the applicable exchange or in the applicable market, regular way, reflecting the relevant share subdivision or share consolidation, as applicable.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permitted by applicable law and subject to the applicable stock exchange rules, we are permitted to increase the fixed exchange rates by any amount for a period of at least 20 business days if we determine that such increase would be in our best interest. We may also (but are not required to) increase the fixed exchange rates to avoid or diminish income tax to holders of ordinary shares or rights to purchase ordinary shares in connection with a dividend or distribution of ordinary shares (or rights to acquire ordinary shares) or similar event.</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the extent that the Parent has a rights plan applicable to ordinary shares in effect upon exchange of your note, you will receive, in addition to any ordinary shares received in connection with such exchange, the rights under the rights plan. However, if prior to any exchange, the rights have separated from the ordinary shares in accordance with the provisions of the applicable rights plan, the exchange rate will be adjusted at the time of separation as if the Parent distributed to all or substantially all holders of ordinary shares, shares of the Parent’s share capital, evidences of indebtedness, other assets or property of the Parent or rights, options or warrants to acquire the Parent’s share capital or other securities as described in clause (3) above, subject to readjustment in the event of the expiration, termination or redemption of such rights.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Except as stated herein, we will not adjust the fixed exchange rates for the issuance of ordinary shares or any securities exchangeable into or exchangeable for ordinary shares or the right to purchase ordinary shares or such exchangeable or exchangeable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of the foregoing, the fixed exchange rates will not be adjusted:</w:t>
      </w:r>
    </w:p>
    <w:p>
      <w:pPr>
        <w:spacing w:after="0" w:line="77" w:lineRule="exact"/>
        <w:rPr>
          <w:sz w:val="20"/>
          <w:szCs w:val="20"/>
          <w:color w:val="auto"/>
        </w:rPr>
      </w:pPr>
    </w:p>
    <w:p>
      <w:pPr>
        <w:ind w:left="660" w:right="30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present or future plan providing for the reinvestment of dividends or interest payable on the Parent’s securities and the investment of additional optional amounts in ordinary shares under any plan;</w:t>
      </w:r>
    </w:p>
    <w:p>
      <w:pPr>
        <w:spacing w:after="0" w:line="37"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issuance of any ordinary shares or options or rights to purchase those ordinary shares pursuant to any present or future employee, director or consultant benefit plan or program of or assumed by the Parent or any of its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option, warrant, right or exercisable or exchangeable security not described in the preceding bullet and outstanding as of the date the notes were first issued;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 third-party tender offer other than as described under clause (5) above;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 change solely in the par value of ordinary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accrued and unpaid interest (including deferred interest), if any;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 event otherwise requiring an adjustment as described herein if such event is not consummated.</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Adjustments to the fixed exchange rates will be calculated to the nearest 1/10,000th of an ordinary share. Prior to any mandatory exchange date or exchange date, no adjustment in the exchange rate will be required unless the adjustment would require an increase or decrease of at least one percent in the exchange rate. If any adjustment is not required to be made because it would not change the exchange rate by at least one percent, then the adjustment will be carried forward and taken into account in any subsequent adjustment regardless of whether such subsequent increase or decrease would change the exchange rate by at least one percent. On the earlier of any mandatory exchange date or exchange date or the effective date of a fundamental change, adjustments to the exchange rate will be made with respect to any such adjustment carried forward and which has not been taken into account before such date.</w:t>
      </w:r>
    </w:p>
    <w:p>
      <w:pPr>
        <w:spacing w:after="0" w:line="10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If an adjustment is made to the fixed exchange rates, an inversely proportional adjustment also will be made to the threshold appreciation price and the initial price solely for the purposes of determining which clauses of the definition of the exchange rate will apply on the stated maturity date. Because the applicable market value is an average of the last reported sale prices of the ordinary shares over a 20 consecutive trading day period, we will make appropriate adjustments to the last reported sale prices prior to the relevant ex-date, effective date or expiration date, as the case may be, used to calculate the applicable market value to account for any adjustments to the initial price, the threshold appreciation price and the fixed exchange rates that become effective during the period in which the applicable market value is being calculated.</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the avoidance of doubt, the adjustments made pursuant to the foregoing paragraph will be made, solely to the extent we determine in our good faith judgment that any such adjustment is necessary, without duplication of any adjustment made pursuant to the provision set forth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Recapitalizations, Reclassifications and Changes of Ordinary Shares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w:t>
      </w:r>
    </w:p>
    <w:p>
      <w:pPr>
        <w:spacing w:after="0" w:line="77" w:lineRule="exact"/>
        <w:rPr>
          <w:sz w:val="20"/>
          <w:szCs w:val="20"/>
          <w:color w:val="auto"/>
        </w:rPr>
      </w:pPr>
    </w:p>
    <w:p>
      <w:pPr>
        <w:ind w:left="660" w:right="30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ordinary shares (other than changes resulting from a subdivision or consolidation or change in par value),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consolidation, merger, amalgamation, scheme of arrangement or offer or combination involving the Parent,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sale, lease or other transfer to a third party of the consolidated assets of the Parent and its subsidiaries substantially as an entirety, or</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each case as a result of which the ordinary shares would be converted into, or exchanged for, stock, other securities, other property or assets (including cash or any combination thereof), then, at and after the effective time of the transaction, in lieu of being exchangeable into ordinary shares, each note will be exchangeable into the kind and amount of shares of stock, other securities or other property or assets (including cash or any combination thereof) that a holder of ordinary shares would have received in such transaction (the “reference property,” and the amount and kind of reference property that a holder of one ordinary share would have received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such transaction, a “unit of reference property”). In particular, at and after the effective time of the transaction, any ordinary shares that we would have been required to deliver upon exchange of the notes as set forth under “—Exchange of the Notes” will instead be deliverable in units of reference property. If the transaction causes ordinary shares to be exchanged into, or exchanged for, the right to receive more than a single type of consideration (determined based in part upon any form of shareholder election), the composition of a unit of reference property will be deemed to be (i) the weighted average per ordinary share of the types and amounts of consideration received by the holders of ordinary shares that affirmatively make such an election or (ii) if no shareholders affirmatively make such election, the types and amounts of consideration actually received by shareholders. Following any such transaction, the applicable exchange rate shall be determined using the applicable market value of the exchange property, and such value will be determined with respect to any publicly traded securities that compose all or part of the exchange property, based on the last reported sale price of such securities; in the case of any cash that composes all or part of the exchange property, based on the amount of such cash; and in the case of any other property that composes all or part of the exchange property, based on the value of such property, as determined by a nationally recognized independent investment banking firm retained by us for this purpose. We will notify holders and the trustee in writing of the weighted average as soon as practicable after such determination is made.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Amalgamation and Sale of Assets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indenture will provide with respect to the notes that neither we nor the Parent shall consolidate with or merge or amalgamate into any person or enter into a scheme of arrangement (unless we are or the Parent is, as applicable, the surviving person) or sell, lease or otherwise transfer our respective consolidated properties and assets, substantially as an entirety, to another person (other than for the Parent to sell, lease or otherwise transfer such assets or properties to one or more of its direct or indirect wholly owned subsidiaries), unless:</w:t>
      </w:r>
    </w:p>
    <w:p>
      <w:pPr>
        <w:spacing w:after="0" w:line="49" w:lineRule="exact"/>
        <w:rPr>
          <w:sz w:val="20"/>
          <w:szCs w:val="20"/>
          <w:color w:val="auto"/>
        </w:rPr>
      </w:pPr>
    </w:p>
    <w:p>
      <w:pPr>
        <w:ind w:left="900" w:hanging="446"/>
        <w:spacing w:after="0" w:line="28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person (if other than us or the Parent, as applicable) formed by such consolidation or into which we are or the Parent is, as applicable, merged, amalgamated or of which we or the Parent becomes pursuant to a scheme of arrangement or the person which acquires by sale, lease or other transfer the consolidated properties and assets of us or the Parent, substantially as an entirety, shall (i) be a corporation, limited liability company, partnership, trust or other entity organized and existing under the laws of the United States of America, any State thereof, the District of Columbia, Ireland (meaning Ireland exclusive of Northern Ireland), the United Kingdom, The Kingdom of the Netherlands, another member country of the European Union or Bermuda or the laws of any other jurisdiction and (ii) expressly assumes, by an indenture supplemental to the indenture governing the notes, executed and delivered to the trustee, in form satisfactory to the trustee, the obligations of us or the Parent, as the case may be, under the notes and the indenture (including, for the avoidance of doubt, the obligation to pay additional amounts as described above under “—Additional Amounts”);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giving effect to such transaction, no event of default or default shall have occurred and be continuing.</w:t>
      </w:r>
    </w:p>
    <w:p>
      <w:pPr>
        <w:spacing w:after="0" w:line="15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Upon any such consolidation, merger, amalgamation or transfer, the resulting, surviving, transferee or successor person (if not us or the Parent, as the case may be) shall succeed to, and may exercise every right and power of ours or the Parent’s under, the indenture, and we or the Parent, as the case may be, shall be discharged from the obligations under the notes and the indenture except in the case of any such lease.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77" w:lineRule="exact"/>
        <w:rPr>
          <w:sz w:val="20"/>
          <w:szCs w:val="20"/>
          <w:color w:val="auto"/>
        </w:rPr>
      </w:pPr>
    </w:p>
    <w:p>
      <w:pPr>
        <w:ind w:left="900" w:right="2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fail to pay or cause to be paid an installment of interest, if any, on any of the notes, which failure continues for 30 days after the date when due (after giving effect to our deferral rights described under “—Deferral of Interest Payments”);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the Parent, as applicable, fail to deliver when due the consideration deliverable upon exchange of the notes and such failure continues for ten business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failure by us or the Parent to comply with our respective obligations under “—Consolidation, Merger, Amalgamation and Sale of Assets;”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give notice of the occurrence of a fundamental change when due;</w:t>
      </w:r>
    </w:p>
    <w:p>
      <w:pPr>
        <w:spacing w:after="0" w:line="76"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fail to perform or observe (or obtain a waiver with respect to) any term, covenant or agreement contained in the notes or the indenture and not otherwise explicitly provided for in this section for a period of 60 days after receipt by us of notice of such failure from the trustee or by us and the trustee from the holders of at least 25% of the aggregate principal amount of then outstanding notes;</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events of bankruptcy, insolvency, examinership or reorganization of us, the Parent or any significant subsidiary that the Parent may have; or</w:t>
      </w:r>
    </w:p>
    <w:p>
      <w:pPr>
        <w:spacing w:after="0" w:line="99"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guarantee of the Parent ceases to be in full force and effect (except as contemplated by the terms of the indenture) or is declared null and void in a judicial proceeding.</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“significant subsidiary” is a subsidiary that is a “significant subsidiary” as defined under Rule 1-02(w) of Regulation S-X under the Exchange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 subsidiary that meets the criteria of clause (3) of the definition thereof but not clause (1) or (2) thereof, such subsidiary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a significant subsidiary unless the subsidiary’s income (or loss) from continuing operations before income taxes, extraordinary items and cumulative effect of a change in accounting principle exclusive of amounts attributable to any non-controlling interests for the last completed fiscal year prior to the date of such determination exceeds $100.0 million.</w:t>
      </w:r>
    </w:p>
    <w:p>
      <w:pPr>
        <w:spacing w:after="0" w:line="129"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If an event of default occurs and is continuing (other than an event of default arising under clause (6) above with respect to us or the Parent, in which case no declaration of acceleration or notice shall be required), the trustee by notice to us, or the holders of at least 25% in principal amount of the outstanding notes by notice to us and the trustee, may, and the trustee at the request of such holders shall, declare all notes to be due and payable immediately. Upon such a declaration of acceleration or event of default arising under clause (6) above with respect to us or the Parent, the notes will be automatically exchangeable into ordinary shares as described under “—Exchange of the Notes—Automatic Exchange upon Acceleration of the Notes” at the maximum exchange rate, and such obligation, together with the interest make-whole amount, shall become immediately due and payable. The holders of a majority in principal amount of the notes then outstanding by written notice to the trustee and us may waive such default or event of default (other than any default or event of default in the payment of interest when due (after giving effect to our deferral rights described under “—Deferral of Interest Payments”) or failure to deliver consideration due upon exchange). Holders of a majority in principal amount of the then outstanding notes may rescind an acceleration and its consequence if the rescission would not conflict with any judgment or decree and if all existing Events of Default have been cured or waived.</w:t>
      </w:r>
    </w:p>
    <w:p>
      <w:pPr>
        <w:spacing w:after="0" w:line="10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any portion of the amount payable on the notes upon acceleration is considered by a court to be unearned interest (through the allocation of the value of the instrument to the embedded warrant or otherwise), the court could disallow recovery of any such portion.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shall have the right to receive payment or delivery, as the case may be, of:</w:t>
      </w:r>
    </w:p>
    <w:p>
      <w:pPr>
        <w:spacing w:after="0" w:line="77" w:lineRule="exact"/>
        <w:rPr>
          <w:sz w:val="20"/>
          <w:szCs w:val="20"/>
          <w:color w:val="auto"/>
        </w:rPr>
      </w:pPr>
    </w:p>
    <w:p>
      <w:pPr>
        <w:ind w:left="660" w:right="24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accrued and unpaid interest (including deferred interest), if any (subject to our deferral rights described under “—Deferral of Interest Payments”), on;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consideration due upon exchange of,</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its notes, on or after the respective due dates expressed or provided for in the indenture, or to institute suit for the enforcement of any such payment or delivery, as the case may be, and such right to receive such payment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delivery, as the case may be, on or after such respective dates shall not be impaired or affected without the consent of such holder.</w:t>
      </w:r>
    </w:p>
    <w:p>
      <w:pPr>
        <w:spacing w:after="0" w:line="15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and provided to the trustee indemnity or security satisfactory to it against any loss, liability or expense. Except to enforce the right to receive payment of interest (subject to our deferral rights) when due, or the right to receive payment or delivery of the consideration due upon exchange, no holder may pursue any remedy with respect to the indenture or the notes unless:</w:t>
      </w:r>
    </w:p>
    <w:p>
      <w:pPr>
        <w:spacing w:after="0" w:line="48"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holders of at least 25% in principal amount of then outstanding notes have requested the trustee to pursue the remedy;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holders have offered and provided to the trustee security or indemnity satisfactory to it against any loss, liability or expense;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notes have not given the trustee a direction that, in the opinion of the trustee, is inconsistent with such request within such 60-day period.</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Subject to certain restrictions and the rights of the trustee under the indenture, the holders of a majority in principal amount of the outstanding notes are given the right to direct the time, method and place of conducting any proceeding for any remedy available to the trustee or of exercising any trust or power conferred on the trustee.</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satisfactory to it in its sole discretion against all losses and expenses caused by taking or not taking such action.</w:t>
      </w:r>
    </w:p>
    <w:p>
      <w:pPr>
        <w:spacing w:after="0" w:line="1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indenture provides that if a default occurs and is continuing and is actually known to a responsible officer of the trustee, the trustee must mail to each holder notice of the default within 90 days after it occurs. Except in the case of a default in the payment of interest on any note or a default in the delivery of the consideration due upon exchange, the trustee may withhold notice if and so long as it in good faith determines that withholding notice is in the interests of the holders. In addition, we are required to deliver to the trustee, within 120 days after the end of each fiscal year, a certificate indicating whether the signers thereof know of any default that occurred during such fiscal year.</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trustee shall not be deemed to have notice of any default or event of default (other than a payment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notes and the indenture.</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Payments of interest that are not made when due will accrue interest per annum at the then-applicable interest rate from the required payment date, to the extent permitted by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Amendment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certain exceptions, the indenture or the notes may be amended with the consent of the holders of at least a majority of the principal amount of then outstanding notes (including without limitation, consents obtained in connection with a repurchase of, or tender or exchange offer for, notes) and, subject to certain exceptions, any past default or compliance with any provisions may be waived with the consent of the holders of a majority of the principal amount of then outstanding notes (including, without limitation, consents obtained in connection with a repurchase of, or tender offer or exchange offer for, notes). However, without the consent of each holder of an outstanding note affected, no amendment may:</w:t>
      </w:r>
    </w:p>
    <w:p>
      <w:pPr>
        <w:spacing w:after="0" w:line="2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alter the manner of calculation or rate of accrual of interest on any note or change the time of payment of any installment of interest on any note;</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of the notes payable in money or securities other than that stated in the note;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stated maturity of any note;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 the principal amount with respect to any of the notes;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on or with respect to any note or with respect to the exchange of any note;</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adversely affect the exchange rights of the notes, including by modifying any of the notice provisions;</w:t>
      </w:r>
    </w:p>
    <w:p>
      <w:pPr>
        <w:spacing w:after="0" w:line="76"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percentage in aggregate principal amount of then outstanding notes necessary to modify or amend the indenture or to waive any existing or past default or event of default;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ranking of the notes or guarantee (other than to make such obligations senior obligations);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our obligation to pay additional amounts in respect of any note;</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or make any other change in the amendment provisions which require each holder’s consent or in the waiver provisions;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release the Parent from its obligations under its guarantee or the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the Parent and the trustee may modify certain provisions of the indenture without the consent of any holder of the notes, including to:</w:t>
      </w:r>
    </w:p>
    <w:p>
      <w:pPr>
        <w:spacing w:after="0" w:line="77" w:lineRule="exact"/>
        <w:rPr>
          <w:sz w:val="20"/>
          <w:szCs w:val="20"/>
          <w:color w:val="auto"/>
        </w:rPr>
      </w:pPr>
    </w:p>
    <w:p>
      <w:pPr>
        <w:ind w:left="900" w:right="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 a successor to us or the Parent and the assumption by that successor of our or the Parent’s respective obligations under the indenture and the notes;</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the exchange of notes into reference property and effect any other changes to the terms of the notes required under the indenture in connection therewith;</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or surrender any right or power conferred upon us;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 our obligations in respect of the notes;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 and provide for the acceptance of the appointment of a successor trustee in accordance with the indenture;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cure any ambiguity, omission, inconsistency or correct or supplement any defective provision contained in the indenture;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 guarantees with respect to the notes;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the rules of any applicable securities depositary, including DTC;</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comply with the requirements of the SEC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 for the issuance of additional notes in accordance with the indenture;</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other changes to the Indenture that would not reasonably be expected to adversely affect the interests of the holders (other than those of a holder that has consented to such change);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32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conform the provisions of the indenture to the “Description of Notes” section in the preliminary prospectus supplement, as supplemented by the related pricing term sheet, to the extent that the trustee has received an officer’s certificate stating that any text to be so conformed constitutes an unintended conflict with the corresponding provision in such “Description of Notes” section.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base indenture may be amended or supplemented without the consent of holders of notes in certain circumstances, including, to provide for the establishment of other series of securities to be issued under the indenture.</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Holders do not need to approve the particular form of any proposed amendment. It will be sufficient if such holders approve the substance of the proposed amendment. After an amendment under the indenture becomes effective, we are required to send to the holders a notice briefly describing such amendment. However, the failure to give such notice to all the holders, or any defect in the notice, will not impair or affect the validity of the amendment.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No Defeasance</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exchangeable on a mandatory basis, whether at the stated maturity or upon exchange or otherwise, cash and/or ordinary shares, if any (solely to satisfy outstanding exchanges, as applicable), sufficient to deliver all ordinary shares and to pay all sums payable under the indenture by us. Such discharge is subject to terms contained in the indenture. The defeasance provisions of the base indenture will not be applicable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Notes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Except as otherwise provided above, we will be responsible for making all calculations called for under the notes. These calculations include, but are not limited to accrued interest payable on the notes and the exchange rate of the notes. We will make all these calculations in good faith and, absent manifest error, our calculations will be final and binding on holders of notes. We will provide a schedule of our calculations to each of the trustee and the exchange agent, and each of the trustee and exchange agent is entitled to rely conclusively upon the accuracy of our calculations without independent verification. The trustee will forward our calculations to any holder of notes upon the written request of that holder.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Deutsche Bank Trust Company Americas is the trustee, security registrar, paying agent and exchange agent. Deutsche Bank Trust Company Americas, in each of its capacities, including without limitation as trustee, security registrar, paying agent and exchange agent assumes no responsibility for the accuracy or completeness of the information concerning us, the Parent or our affiliates or any other party contained in this document or the related documents or for any failure by us, the Parent or any other party to disclose events that may have occurred and may affect the significance or accuracy of such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 the future maintain banking relationships in the ordinary course of business with the trustee and its affiliates.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Submission to Jurisdiction</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indenture provides that it and the notes will be governed by and construed in accordance with the laws of the State of New York. The indenture also provides that we and the parent have submitted to jurisdiction of federal courts in New York with respect to disputes or claims made under the indenture.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Global Notes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37" w:lineRule="exact"/>
        <w:rPr>
          <w:sz w:val="20"/>
          <w:szCs w:val="20"/>
          <w:color w:val="auto"/>
        </w:rPr>
      </w:pPr>
    </w:p>
    <w:p>
      <w:pPr>
        <w:ind w:left="660" w:right="24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37"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27" w:lineRule="exact"/>
        <w:rPr>
          <w:sz w:val="20"/>
          <w:szCs w:val="20"/>
          <w:color w:val="auto"/>
        </w:rPr>
      </w:pPr>
    </w:p>
    <w:p>
      <w:pPr>
        <w:ind w:left="240" w:right="280" w:firstLine="228"/>
        <w:spacing w:after="0" w:line="375" w:lineRule="auto"/>
        <w:rPr>
          <w:sz w:val="20"/>
          <w:szCs w:val="20"/>
          <w:color w:val="auto"/>
        </w:rPr>
      </w:pPr>
      <w:r>
        <w:rPr>
          <w:rFonts w:ascii="Arial" w:cs="Arial" w:eastAsia="Arial" w:hAnsi="Arial"/>
          <w:sz w:val="18"/>
          <w:szCs w:val="18"/>
          <w:color w:val="auto"/>
        </w:rPr>
        <w:t xml:space="preserve">Beneficial interests in global notes may not be exchanged for notes in physical, certificated form except in the limited circumstances described below. </w:t>
      </w:r>
      <w:r>
        <w:rPr>
          <w:rFonts w:ascii="Arial" w:cs="Arial" w:eastAsia="Arial" w:hAnsi="Arial"/>
          <w:sz w:val="18"/>
          <w:szCs w:val="18"/>
          <w:b w:val="1"/>
          <w:bCs w:val="1"/>
          <w:i w:val="1"/>
          <w:iCs w:val="1"/>
          <w:color w:val="auto"/>
        </w:rPr>
        <w:t>Book-Entry Procedures for the Global Notes</w:t>
      </w:r>
    </w:p>
    <w:p>
      <w:pPr>
        <w:spacing w:after="0" w:line="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underwriters are responsible for those operations or procedures.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3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So long as DTC’s nominee is the registered owner of a global note, that nominee will be considered the sole owner or holder of the notes represented by that global note for all purposes under the indenture. References to “holders” or “you” in this description are to registered holders unless the context otherwise indicates.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provided below, owners of beneficial interests in a global note:</w:t>
      </w:r>
    </w:p>
    <w:p>
      <w:pPr>
        <w:spacing w:after="0" w:line="77"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03"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paying agent to DTC’s nominee as the registered holder of the global note. Neither we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Unless we agree otherwise, notes in physical, certificated form will be issued and delivered to, and registered in the name of, each person that DTC identifies as a beneficial owner of the related notes only if:</w:t>
      </w:r>
    </w:p>
    <w:p>
      <w:pPr>
        <w:spacing w:after="0" w:line="37" w:lineRule="exact"/>
        <w:rPr>
          <w:sz w:val="20"/>
          <w:szCs w:val="20"/>
          <w:color w:val="auto"/>
        </w:rPr>
      </w:pPr>
    </w:p>
    <w:p>
      <w:pPr>
        <w:ind w:left="66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event of default with respect to the notes has occurred and is continuing and DTC requests that the notes be issued in physical, certificated form.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WEATHERFORD’S ORDINARY SHARES</w:t>
      </w:r>
    </w:p>
    <w:p>
      <w:pPr>
        <w:spacing w:after="0" w:line="16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description is a summary of Weatherford’s share capital. This summary does not purport to be complete and the statements in this summary are qualified in their entirety by reference to, and are subject to, the detailed provisions of the Irish Companies Act and Weatherford’s memorandum and articles of association, which is incorporated herein by reference. We encourage you to read those laws and documents carefully.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77"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As of September 15, 2015, Weatherford’s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7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Weatherford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Weatherford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has been authorized in its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the articles of association.</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Irish law does not recognize fractional shares held of record. Accordingly, Weatherford’s articles of association do not provide for the issuance of fractional shares, and the official Irish register does not reflect any fractional shares.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Whenever an alteration or reorganization of Weatherford’s share capital would result in any shareholder becoming entitled to fractions of a share, Weatherford’s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the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September 15, 2015, Weatherford’s issued share capital is $776,885, comprised of approximately 776,885,410 ordinary shares with a nominal value of $0.001 per share and 7 deferred ordinary shares with a nominal value of €1.00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opted out of these preemption rights in its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the shareholders at which a quorum is present. If the opt-out is not renewed, shares to be issued for cash must be offered to the existing shareholders on a pro rata basis to their existing shareholding before the shares may be issued to any new shareholders. Statutory preemption rights do not apply:</w:t>
      </w:r>
    </w:p>
    <w:p>
      <w:pPr>
        <w:spacing w:after="0" w:line="26"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Irish law, Weatherford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Weatherford’s articles of association provide that, subject to any shareholder approval requirement under any laws, regulations or the rules of any stock exchange to which it is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Weatherford is subject to the rules of the NYSE and the U.S. federal tax laws that require shareholder approval of certain equity plan and share issuances. Its board of directors may issue shares upon exercise of warrants or options without shareholder approval or authorization (up to the relevant maximum authorized share capital for the time being in effect).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Weatherford’s net assets are equal to, or in excess of, the aggregate of its paid-up share capital plus undistributable reserves and the distribution or dividend does not reduce its net assets below such aggregate.</w:t>
      </w:r>
    </w:p>
    <w:p>
      <w:pPr>
        <w:spacing w:after="0" w:line="10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Weatherford’s accumulated unrealized profits, so far as not previously utilized by any capitalization, exceed its accumulated unrealized losses, so far as not previously written off in a reduction or reorganization of capital.</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determination as to whether or not Weatherford has sufficient distributable profits to fund a dividend must be made by reference to its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Weatherford’s unconsolidated financial position and accord with accepted accounting practice. The relevant entity financial statements are filed in the Companies Registration Office (the official public registry for companies in Ireland).</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Weatherford’s articles of association authorize the board of directors to declare dividends without shareholder approval to the extent that the declaration of such dividends appears justified by profits. Weatherford’s directors may also recommend a dividend to be approved and declared by the shareholders at an annual general meeting and may direct that the payment be made by distribution of assets, shares or cash. No dividend may exceed the amount recommended by Weatherford’s directors.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Weatherford’s directors may deduct from any dividend payable to any shareholder any amounts payable by such shareholder to it in relation to the ordinary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Weatherford’s articles of association provide that, unless its directors determines otherwise, any ordinary share that it has agreed to acquire shall be automatically converted into a redeemable share. Accordingly, for purposes of Irish law, the repurchase of ordinary shares by Weatherford may technically be effected as a redemption.</w:t>
      </w:r>
    </w:p>
    <w:p>
      <w:pPr>
        <w:spacing w:after="0" w:line="12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If Weatherford’s articles of association did not contain such provision, all repurchases by Weatherford would be subject to many of the same rules that apply to purchases of its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shares refer to the redemption of shares by Weatherford or the purchase of shares of Weatherford by a subsidiary of Weatherford, in each case in accordance with Weatherford’s memorandum and articles of association and Irish law as described below.</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7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Under Irish law, repurchased and redeemed shares may be cancelled or held as treasury shares. The aggregate nominal value of shares held in treasury at any time must not exceed 10% of the aggregate nominal value of issued share capital. Weatherford may not exercise any voting rights in respect of any shares held as treasury shares. Weatherford may cancel treasury shares or re-issue them subject to certain conditions.</w:t>
      </w:r>
    </w:p>
    <w:p>
      <w:pPr>
        <w:spacing w:after="0" w:line="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Weatherford may also issue redeemable shares and redeem them out of distributable profits or the proceeds of a new issue of shares for that purpose. Weatherford may only issue redeemable shares if the nominal value of the issued share capital that is not redeemable is not less than 10% of the aggregate nominal value of its entire issued share capital. All redeemable shares must also be fully paid-up and the terms of redemption of the shares must provide for payment on redemption. Weatherford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its subsidiaries.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Irish law, Weatherford’s subsidiaries may purchase Weatherford’s ordinary shares on-market on a recognized stock exchange such as NYSE or off-market.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one of Weatherford’s subsidiaries to make on-market purchases of ordinary shares, Weatherford’s shareholders must provide general authorization for such purchase by way of ordinary resolution. However, as long as this general authority has been granted, no specific shareholder authority for a particular on-market purchase of ordinary shares by one of these subsidiaries is required. For a purchase by a subsidiary of the ordinary shares off-market, the proposed purchase contract must be authorized by special resolution of Weatherford’s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Weatherford’s shareholders at its registered office.</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number of shares in Weatherford’s capital held by its subsidiaries at any time will count as treasury shares and will be included in any calculation of the permitted treasury share threshold of 10% of the nominal value of Weatherford’s issued share capital. While a subsidiary holds shares in Weatherford’s capital, such subsidiary cannot exercise any voting rights in respect of those shares. The acquisition of ordinary shares by a subsidiary must be funded out of distributable profits of the subsidiary.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Weatherford’s articles of association provide that it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its shares that have not been fully paid-up.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Weatherford’s articles of association provide that it may, by ordinary resolution, consolidate and divide all or any of its share capital into shares of larger nominal value than its existing shares, or subdivide its shares into smaller amounts than is fixed by its memorandum of association.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8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Weatherford may, by ordinary resolution, effect a reduction in its authorized but unissued share capital by cancelling unissued shares. Weatherford also may, by special resolution and subject to confirmation by the Irish High Court, reduce or cancel its issued share capital in any way permitted by the Irish Companies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matter of Irish law, Weatherford is required to hold an annual general meeting at intervals of no more than 15 months from the previous annual general meeting, provided that an annual general meeting is held in each calendar year following the first annual general meeting and no more than nine months after its fiscal year-end.</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Weatherford’s articles provide that business may be properly brought before a meeting if directed by a court of competent jurisdiction or if the chairman decides in his discretion that it may be regarded as within the scope of the meeting. The provisions of Weatherford’s articles of association relating to general meetings shall apply to every general meeting of the holders of any class of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shareholders and to its auditors.</w:t>
      </w:r>
    </w:p>
    <w:p>
      <w:pPr>
        <w:spacing w:after="0" w:line="181"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Weatherford’s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77"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Weatherford’s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requisition of Weatherford’s shareholders holding not less than 10% of its paid-up share capital carrying voting rights;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requisition of Weatherford’s auditors;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case of an extraordinary general meeting convened by Weatherford’s shareholders, the proposed purpose of the meeting must be set out in the requisition notice. Upon receipt of any such valid requisition notice, Weatherford’s directors have 21 days to convene a meeting of its shareholders to vote on the matters set out in the requisition notice. This meeting must be held within two months of the receipt of the requisition notice. If Weatherford’s directors do not convene the meeting within such 21-day period, the requisitioning shareholders, or any of them representing more than one half of the total voting rights of all of them, may themselves convene a meeting, which meeting must be held within three months of the receipt of the requisition notice.</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Weatherford’s directors become aware that Weatherford’s net assets are not greater than half of the amount of its called-up share capital, they must convene an extraordinary general meeting of Weatherford’s shareholders not later than 28 days from the date that the directors learn of this fact to consider how to address the situation (the meeting to be held within 56 days of that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Weatherford’s articles of association provide that no business shall be transacted at any general meeting unless a quorum is present. A quorum shall be two or more persons holding or representing by proxy more than 50% of the total issued voting rights of Weatherford’s shares, provided that if Weatherford only has one shareholder, one shareholder present in person or by proxy shall constitute a quorum.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Weatherford’s articles of association, each of Weatherford’s shareholders is entitled to one vote for each ordinary share that he or she holds as of the record date for the meeting. Neither Irish law nor any of Weatherford’s constituent document places limitations on the right of nonresident or foreign owners to vote or hold shares.</w:t>
      </w:r>
    </w:p>
    <w:p>
      <w:pPr>
        <w:spacing w:after="0" w:line="12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Weatherford’s general meetings, all resolutions will be decided on a show of hands unless a poll is demanded by:</w:t>
      </w:r>
    </w:p>
    <w:p>
      <w:pPr>
        <w:spacing w:after="0" w:line="77"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33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shareholder or shareholders holding shares in Weatherford’s capital conferring the right to vote at the meeting being shares on which an aggregate sum has been paid-up equal to not less than one tenth of the total sum paid-up on all the shares conferring that right.</w:t>
      </w:r>
    </w:p>
    <w:p>
      <w:pPr>
        <w:spacing w:after="0" w:line="72" w:lineRule="exact"/>
        <w:rPr>
          <w:sz w:val="20"/>
          <w:szCs w:val="20"/>
          <w:color w:val="auto"/>
        </w:rPr>
      </w:pPr>
    </w:p>
    <w:p>
      <w:pPr>
        <w:ind w:right="120" w:firstLine="456"/>
        <w:spacing w:after="0" w:line="325"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1"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amending Weatherford’s objects or memorandum of association;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amending Weatherford’s articles of association;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approving a change of Weatherford’s name;</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repurchase of Weatherford’s own shares off-market;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reduction of Weatherford’s issued share capital;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resolving that Weatherford be wound-up by the Irish courts;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Weatherford’s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77" w:lineRule="exact"/>
        <w:rPr>
          <w:sz w:val="20"/>
          <w:szCs w:val="20"/>
          <w:color w:val="auto"/>
        </w:rPr>
      </w:pPr>
    </w:p>
    <w:p>
      <w:pPr>
        <w:ind w:left="660" w:right="100" w:hanging="206"/>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receive a copy of Weatherford’s memorandum and articles of association and any act of the Irish government that alters Weatherford’s memorandum of association;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inspect and obtain copies of the minutes of Weatherford’s general meetings and resolutions;</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maintained by Weatherford;</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37"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receive balance sheets of any of Weatherford’s subsidiaries that have previously been sent to shareholders prior to an annual general meeting for the preceding 10 years.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auditors’ report must be circulated to the shareholders with Weatherford’s financial statements prepared in accordance with Irish law 21 days before the annual general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7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Weatherford is not listed on an EEA regulated market (NYSE only), the relevant applicable percentage for Weatherford is 80%. Dissenting shareholders have the right to apply to the High Court of Ireland for relief.</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3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8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Weatherford and a company incorporated in the EEA, a shareholder (i) who voted against the special resolution approving the merger or (ii) of a company in which 90% of the shares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held by the other party to the merger, has the right to request that the company acquire his or her shares for cash at a price determined in accordance with the share exchange ratio set out in the merger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Weatherford into another company to which the provisions of the Irish Companies Act apply.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the Irish Companies Act, there is a notification requirement for shareholders who acquire or cease to be interested in 3% of the shares of an Irish public limited company. A shareholder therefore must make such a notification to Weatherford if, as a result of a transaction, the shareholder will be interested in 3% or more of Weatherford’s relevant share capital; or if, as a result of a transaction, a shareholder who was interested in more than 3% of Weatherford’s relevant share capital ceases to be so interested. Where a shareholder is interested in more than 3% of Weatherford’s relevant share capital (i.e., voting shares), any alteration of his or her interest that brings his or her total holding through the nearest whole percentage number, whether an increase or a reduction, must be notified to Weatherford.</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Weatherford’s ordinary share capital. Where the percentage level of the shareholder’s interest does not amount to a whole percentage, this figure may be rounded down to the previous whole number. All such disclosures should be notified to us within five business days of the alteration of the shareholder’s interests that gave rise to the requirement to notify.</w:t>
      </w:r>
    </w:p>
    <w:p>
      <w:pPr>
        <w:spacing w:after="0" w:line="13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of Weatherford’s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9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to the above disclosure requirement, under the Irish Companies Act, Weatherford may, by notice in writing, require a person whom it knows or has reasonable cause to believe, to be, or at any time during the three years immediately preceding the date on which such notice is issued, to have been, interested in shares comprised in Weatherford’s relevant share capital: (i) to indicate whether or not it is the case and (ii) where such person holds or has during that time held an interest in Weatherford’s shares, to give such further information as Weatherford may require, including particulars of such person’s own past or present interests in the shares. Any information given in response to the notice is required to be given in writing within such reasonable time as Weatherford may specify in the notice.</w:t>
      </w:r>
    </w:p>
    <w:p>
      <w:pPr>
        <w:spacing w:after="0" w:line="131" w:lineRule="exact"/>
        <w:rPr>
          <w:sz w:val="20"/>
          <w:szCs w:val="20"/>
          <w:color w:val="auto"/>
        </w:rPr>
      </w:pPr>
    </w:p>
    <w:p>
      <w:pPr>
        <w:ind w:right="100" w:firstLine="456"/>
        <w:spacing w:after="0" w:line="331" w:lineRule="auto"/>
        <w:rPr>
          <w:sz w:val="20"/>
          <w:szCs w:val="20"/>
          <w:color w:val="auto"/>
        </w:rPr>
      </w:pPr>
      <w:r>
        <w:rPr>
          <w:rFonts w:ascii="Arial" w:cs="Arial" w:eastAsia="Arial" w:hAnsi="Arial"/>
          <w:sz w:val="15"/>
          <w:szCs w:val="15"/>
          <w:color w:val="auto"/>
        </w:rPr>
        <w:t>Where such a notice is served by Weatherford on a person who is or was interested in Weatherford’s shares and that person fails to give it any of the requested information within the reasonable time specified, Weatherford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2"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on those shares, whether in respect of capital or otherwise.</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transaction in which a third party seeks to acquire 30% or more of Weatherford’s voting rights will be subject to the Irish Takeover Panel Act 1997, as amended, and the Irish Takeover Rules made thereunder.</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77" w:lineRule="exact"/>
        <w:rPr>
          <w:sz w:val="20"/>
          <w:szCs w:val="20"/>
          <w:color w:val="auto"/>
        </w:rPr>
      </w:pPr>
    </w:p>
    <w:p>
      <w:pPr>
        <w:ind w:left="660" w:right="14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37" w:lineRule="exact"/>
        <w:rPr>
          <w:rFonts w:ascii="Arial" w:cs="Arial" w:eastAsia="Arial" w:hAnsi="Arial"/>
          <w:sz w:val="18"/>
          <w:szCs w:val="18"/>
          <w:color w:val="auto"/>
        </w:rPr>
      </w:pPr>
    </w:p>
    <w:p>
      <w:pPr>
        <w:ind w:left="660" w:right="20" w:hanging="206"/>
        <w:spacing w:after="0" w:line="30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 w:lineRule="exact"/>
        <w:rPr>
          <w:rFonts w:ascii="Arial" w:cs="Arial" w:eastAsia="Arial" w:hAnsi="Arial"/>
          <w:sz w:val="16"/>
          <w:szCs w:val="16"/>
          <w:color w:val="auto"/>
        </w:rPr>
      </w:pPr>
    </w:p>
    <w:p>
      <w:pPr>
        <w:ind w:left="660" w:right="18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board of the target company must act in Weatherford’s interests as a whole and must not deny the holders of securities the opportunity to decide on the merits of the offer;</w:t>
      </w:r>
    </w:p>
    <w:p>
      <w:pPr>
        <w:spacing w:after="0" w:line="37" w:lineRule="exact"/>
        <w:rPr>
          <w:rFonts w:ascii="Arial" w:cs="Arial" w:eastAsia="Arial" w:hAnsi="Arial"/>
          <w:sz w:val="18"/>
          <w:szCs w:val="18"/>
          <w:color w:val="auto"/>
        </w:rPr>
      </w:pPr>
    </w:p>
    <w:p>
      <w:pPr>
        <w:ind w:left="660" w:right="200" w:hanging="206"/>
        <w:spacing w:after="0" w:line="32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 w:lineRule="exact"/>
        <w:rPr>
          <w:rFonts w:ascii="Arial" w:cs="Arial" w:eastAsia="Arial" w:hAnsi="Arial"/>
          <w:sz w:val="16"/>
          <w:szCs w:val="16"/>
          <w:color w:val="auto"/>
        </w:rPr>
      </w:pPr>
    </w:p>
    <w:p>
      <w:pPr>
        <w:ind w:left="660" w:right="62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Weatherford’s articles of association allocate authority over the day-to-day management of its affairs to the board of directors. The board of directors may then delegate any of its powers, authorities and discretions (with power to sub-delegate) to any committee, consisting of such person or persons (whether directors or not) as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thinks fit, but regardless, the board of directors will remain responsible, as a matter of Irish law, for the proper management of Weatherford’s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8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Weatherford’s current legal and commercial name is Weatherford International public limited company. Weatherford was incorporated in Ireland on March 3, 2014 as a private limited company with registration number 540406, and re-registered as a public limited company on May 29, 2014. Weatherford’s fiscal year ends on December 31st and its registered address is 70 Sir Rogerson’s Quay, Dublin 2, Ireland.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Weatherford’s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Weatherford’s directors.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each annual general meeting of Weatherford’s shareholders, all of its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77" w:lineRule="exact"/>
        <w:rPr>
          <w:sz w:val="20"/>
          <w:szCs w:val="20"/>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the affirmative vote of two-thirds of Weatherford’s board of directors;</w:t>
      </w:r>
    </w:p>
    <w:p>
      <w:pPr>
        <w:spacing w:after="0" w:line="103" w:lineRule="exact"/>
        <w:rPr>
          <w:rFonts w:ascii="Arial" w:cs="Arial" w:eastAsia="Arial" w:hAnsi="Arial"/>
          <w:sz w:val="18"/>
          <w:szCs w:val="18"/>
          <w:color w:val="auto"/>
        </w:rPr>
      </w:pPr>
    </w:p>
    <w:p>
      <w:pPr>
        <w:ind w:left="660" w:right="20" w:hanging="206"/>
        <w:spacing w:after="0" w:line="30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respect to election at an annual general meeting, by any shareholder who holds ordinary shares or other shares in Weatherford’s capital carrying the general right to vote at its general meetings, who is a shareholder at the time of the giving of the notice and at the time of the relevant annual general meeting and who timely complies with the notice procedures set out in Weatherford’s articles of association;</w:t>
      </w:r>
    </w:p>
    <w:p>
      <w:pPr>
        <w:spacing w:after="0" w:line="12"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Weatherford’s capital carrying the general right to vote at its general meetings and who makes such nomination in the written requisition of the extraordinary general meeting and timely complies with the notice procedures set forth in Weatherford’s articles of association; or</w:t>
      </w:r>
    </w:p>
    <w:p>
      <w:pPr>
        <w:spacing w:after="0" w:line="48"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holders of any class or series of Weatherford’s shares then in issue having special rights to nominate or appoint directors in accordance with the terms of issue of such class or series, but only to the extent provided in such terms of issue.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77" w:lineRule="exact"/>
        <w:rPr>
          <w:sz w:val="20"/>
          <w:szCs w:val="20"/>
          <w:color w:val="auto"/>
        </w:rPr>
      </w:pPr>
    </w:p>
    <w:p>
      <w:pPr>
        <w:ind w:left="660" w:right="20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Weatherford’s shareholders by ordinary resolution at the annual general meeting in each year or at any extraordinary general meeting called for the purpose;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Weatherford’s board in accordance with its articles of association; and</w:t>
      </w:r>
    </w:p>
    <w:p>
      <w:pPr>
        <w:spacing w:after="0" w:line="103" w:lineRule="exact"/>
        <w:rPr>
          <w:rFonts w:ascii="Arial" w:cs="Arial" w:eastAsia="Arial" w:hAnsi="Arial"/>
          <w:sz w:val="18"/>
          <w:szCs w:val="18"/>
          <w:color w:val="auto"/>
        </w:rPr>
      </w:pPr>
    </w:p>
    <w:p>
      <w:pPr>
        <w:jc w:val="both"/>
        <w:ind w:left="660" w:right="60" w:hanging="206"/>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Weatherford’s articles of association, Weatherford’s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Irish Companies Act and notwithstanding anything contained in Weatherford’s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Weatherford’s articles of association provide that Weatherford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Weatherford’s duration of existence is unlimited. Weatherford may be dissolved and wound-up at any time by way of a shareholders’ voluntary winding-up or a creditors’ winding-up. In the case of a shareholders’ voluntary winding-up, a special resolution of shareholders is required. Weatherford may also be dissolved by way of court order on the application of a creditor, or by the Companies Registration Office as an enforcement measure where it has failed to file certain returns.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rights of Weatherford’s shareholders to a return of its assets on dissolution or winding-up, following the settlement of all claims of creditors, may be prescribed in Weatherford’s articles of association. If Weatherford’s articles of association contain no specific provisions in respect of a dissolution or winding-up, then, subject to the priorities of any creditors, the assets will be distributed to Weatherford’s shareholders in proportion to the paid-up nominal value of the shares held. Weatherford’s articles of association provide that its ordinary shareholders are entitled to participate pro rata in a winding-up.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Weatherford’s ordinary shares are listed on the NYSE under the symbol “WFT.”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to which the notes issued in this offering are exchangeable will, following valid exchange, be duly and validly issued as fully paid-up.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Weatherford’s register of members (the “Official Share Register”), which Weatherford is required to maintain under the Irish Companies Act, is maintained by its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0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w:t>
      </w:r>
    </w:p>
    <w:p>
      <w:pPr>
        <w:ind w:right="140" w:firstLine="8"/>
        <w:spacing w:after="0" w:line="295" w:lineRule="auto"/>
        <w:tabs>
          <w:tab w:leader="none" w:pos="2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the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3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Any transfer of Weatherford’s ordinary shares that is subject to Irish stamp duty will not be registered in the name of the transferee unless an instrument of transfer is duly stamped and provided to the transfer agent. Weatherford, in its absolute discretion and insofar as the Irish Companies Act or any other applicable law permit, may, or may provide that a subsidiary of Weatherford will, pay Irish stamp duty arising on a transfer of ordinary shares on behalf of the transferee of such ordinary shares. If stamp duty resulting from the transfer of ordinary shares which would otherwise be payable by the transferee is paid by Weatherford or any of its subsidiaries on behalf of the transferee, then in those circumstances, Weatherford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or its subsidiary for the amount of stamp duty paid. Weatherford’s lien shall extend to all dividends paid on those ordinary shares. Parties to a share transfer may assume that any Irish stamp duty arising in respect of a transaction in Weatherford’s shares has been paid unless one or both of such parties is otherwise notified by Weatherford.</w:t>
      </w:r>
    </w:p>
    <w:p>
      <w:pPr>
        <w:spacing w:after="0" w:line="10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Weatherford’s articles of association delegate to its secretary, any assistant secretary or a relevant authorized delegate the authority to execute an instrument of transfer on behalf of a transferor.</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 help ensure that the Official Share Register is regularly updated to reflect trading of Weatherford’s shares occurring through electronic systems, Weatherford intends to regularly produce such instruments of transfer as may be required to effect any transfers of registered interests in shares. These may involve transactions for which Weatherford pays stamp duty, subject to the reimbursement and set-off rights described above. In the event that Weatherford notifies one or both of the parties to a share transfer that Weatherford believes stamp duty is required to be paid in connection with such transfer and that Weatherford will not pay such stamp duty, such parties may either themselves arrange for the execution of the required instrument of transfer (and may request a form of instrument of transfer from Weatherford for this purpose) or request that Weatherford execute an instrument of transfer on behalf of the transferring party in a form determined by Weatherford. In either event, if the parties to the share transfer have the instrument of transfer duly stamped (to the extent required) and then provide it to the transfer agent, the transferee named therein will be registered as the registered holder of the relevant shares on the Official Share Register (subject to the matters described below).</w:t>
      </w:r>
    </w:p>
    <w:p>
      <w:pPr>
        <w:spacing w:after="0" w:line="10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registration of transfers may be suspended by Weatherford’s directors at such times and for such period, not exceeding in the whole 30 days in each year, as the directors may from time to time determine.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describes the material U.S. federal income tax consequences to U.S. Holders (defined below) under present law of the purchase,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ownership and disposition of the notes and the ordinary shares acquired upon an exchange of the notes. The discussion below applies only to U.S. Holders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 the notes in this offering, hold the notes and any ordinary shares acquired upon an exchange of the notes as capital assets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1221 of the U.S. Internal Revenue Code of 1986, as amended (the “Code”) and have the U.S. dollar as their functional currency. The discussion below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based on the Code, existing and, in some cases, proposed U.S. Treasury regulations, as well as judicial and administrative interpretations thereof, all as of date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supplement. All of the foregoing authorities are subject to change or differing interpretation, which change or differing interpretation could apply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retroactively and could affect the tax consequences described below. There can be no assurance that the IRS will not assert a different position concerning any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tax consequences discussed below or that any such position would not be sustained by a court. This summary does not address any estate or gift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consequences or any state, local, or non-U.S. tax consequences, nor does it address the Medicare contribution tax on net investment income.</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discussion does not describe all of the tax consequences that may be relevant to any particular investor or to persons in special tax situations such as:</w:t>
      </w:r>
    </w:p>
    <w:p>
      <w:pPr>
        <w:spacing w:after="0" w:line="37"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broker dealers;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holding our ordinary shares as part of a straddle, hedging, constructive sale, conversion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that actually or constructively own (or are deemed to own) 10% or more of our voting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who acquired our ordinary shares pursuant to the exercise of any employee share option or otherwise as compensation;</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shareholders who purchase or sell their shares as part of a wash sale for tax purposes;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holding our ordinary shares through partnerships or other pass-through entities.</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PROSPECTIVE PURCHASERS ARE URGED TO CONSULT THEIR TAX ADVISORS ABOUT THE APPLICATION OF THE U.S. FEDERAL TAX RULES TO THEIR PARTICULAR CIRCUMSTANCES AS WELL AS THE STATE, LOCAL AND NON-U.S. TAX CONSEQUENCES TO THEM OF THE PURCHASE, OWNERSHIP, DISPOSITION AND EXCHANGE OF THE NOTES AND OF THE OWNERSHIP AND DISPOSITION OF THE ORDINARY SHARES THEY ACQUIRE IN AN EXCHANGE OF THE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discussion below of the U.S. federal income tax consequences to “U.S. Holders” applies to a holder that is a beneficial owner of the notes (or of our ordinary shares acquired upon an exchange of the notes) and is, for U.S. federal income tax purposes,</w:t>
      </w:r>
    </w:p>
    <w:p>
      <w:pPr>
        <w:spacing w:after="0" w:line="37" w:lineRule="exact"/>
        <w:rPr>
          <w:sz w:val="20"/>
          <w:szCs w:val="20"/>
          <w:color w:val="auto"/>
        </w:rPr>
      </w:pPr>
    </w:p>
    <w:p>
      <w:pPr>
        <w:ind w:left="900" w:hanging="217"/>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any State thereof or the District of Columbia;</w:t>
      </w:r>
    </w:p>
    <w:p>
      <w:pPr>
        <w:spacing w:after="0" w:line="126" w:lineRule="exact"/>
        <w:rPr>
          <w:rFonts w:ascii="Arial" w:cs="Arial" w:eastAsia="Arial" w:hAnsi="Arial"/>
          <w:sz w:val="16"/>
          <w:szCs w:val="16"/>
          <w:color w:val="auto"/>
        </w:rPr>
      </w:pPr>
    </w:p>
    <w:p>
      <w:pPr>
        <w:ind w:left="900" w:hanging="217"/>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900" w:right="120" w:hanging="217"/>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or (2) has a valid election in effect under applicable U.S. Treasury regulations to be treated as a U.S. person.</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tax treatment of an entity treated as a partnership for U.S. federal income tax purposes that holds the notes or the ordinary shares acquired upon an exchange of the notes generally will depend on such partner’s status and the activities of the partnership. A U.S. Holder that is a partner in such a partnership should consult its tax advisor.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discussion assumes that Weatherford is not, and will not become, a passive foreign investment company, as described below under “—Taxation of the Ordinary Shares Acquired in Exchange for the Notes—Passive Foreign Investment Company Rules.”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Notes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Characterization of the Notes</w:t>
      </w:r>
    </w:p>
    <w:p>
      <w:pPr>
        <w:spacing w:after="0" w:line="7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believe it is reasonable to treat the purchase, ownership and exchange of the notes as producing U.S. federal income tax consequences that are comparable to a prepaid forward purchase of the ordinary shares of Weatherford. Except as specifically indicated otherwise, the remainder of this discussion assumes the correctness of such treatment.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the U.S. federal income tax characterization of payments of interest on the notes is not entirely clear, a U.S. Holder of a note should expect that such amounts (including any taxes withheld from the payment and any additional amounts paid with respect thereto) will be included as ordinary income as such amounts are received or accrued in accordance with the holder’s method of accounting for U.S. federal income tax purposes. While not clear, because the payment of interest could be deferred, a U.S. Holder that is on an accrual method of accounting may be required to accrue such ordinary income in advance of the receipt of corresponding amounts. Such payments are expected to be treated as foreign source income for foreign tax credit purposes. The limitation on foreign taxes eligible for foreign tax credit is calculated separately with respect to specific classes of income. For this purpose, interest on the notes generally should constitute “passive category” income or, in the case of certain U.S. Holders, “general category income.”</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Alternatively, payments of interest on the notes may be more properly treated as an adjustment to the purchase price of the ordinary shares to be received in exchange for the notes, in which case the receipt of such payments would not, generally, be subject to tax. U.S. Holders should consult their own tax advisors regarding the treatment of interest on the notes.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Except as provided below under “—Exchange of Notes,” upon a sale or other taxable disposition of a note, a U.S. Holder will generally recognize gain or loss equal to the difference between (i) the sum of the amount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plus the fair market value of other property received by the U.S. Holder (reduced by any amount attributable to accrued but unpaid interest, which should be taxable in the manner described above under “—Interest on the Notes”); and (ii) the U.S. Holder’s tax basis in the note. A U.S. Holder’s tax basis in a note will generally be equal to the amount that the U.S. Holder paid for the note. We believe it is reasonable to take the position that a note is an instrument the taxable disposition of which produces capital gain or loss, in which case the capital gain or loss would be treated as long-term capital gain or loss if the U.S. Holder’s holding period in the note exceeds one year. Such gain or loss will likely be treated as U.S. source gain or loss. Non-corporate U.S. Holders (including individuals) generally are subject to U.S. federal income tax on long-term capital gain at preferential rates. The deductibility of capital losses is subject to significant limitations.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of the Notes for Ordinary Shares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above characterization of the notes, when the U.S. Holder exchanges a note for our ordinary shares, the U.S. Holder should not recognize gain or loss with respect to such exchange. The U.S. Holder should have a tax basis in such ordinary shares equal to the U.S. Holder’s tax basis in the notes (less the portion of the tax basis of the notes allocable to any fractional ordinary share, as described below). A U.S. Holder’s holding period in the ordinary shares received upon exchange of the notes should, generally, begin on the date of the exchange. The U.S. Holder may recognize gain or loss (which may be short-term capital gain or loss) with respect to cash received in lieu of a fractional ordinary share, in an amount equal to the difference between the cash received and the portion of the basis of the notes allocable to the fractional ordinary share (based on the relative number of full ordinary shares received and the fractional ordinary share allocable to the U.S. Holder).</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payment received for any accrued and unpaid interest in connection with the exchange will be taxed in the manner described above under “—Interest on the Notes.” In the event an exchange takes place in connection with a fundamental change, the treatment of an additional payment relating to the present value of all remaining interest payments on the notes through the maturity date is not entirely clear. Such payment, whether paid in cash or in ordinary shares, may be treated as ordinary income.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Possible Alternative Characterization of the Notes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Due to the absence of authority as to the proper characterization of the notes and the absence of any comparable instruments for which there is a widely accepted tax treatment, no assurance can be given that the IRS will accept, or that a court will uphold, the characterization and tax treatment described above. For example, the IRS might seek to treat the notes as an equity interest in Weatherford Bermuda or Weatherford. There are also other possible characterizations of the notes. Any such alternative characterization of the notes could affect the timing and character of income, gain and loss recognized by a U.S. Holder and could result in the exchange of notes for ordinary shares being treated as a taxable transaction. </w:t>
      </w:r>
      <w:r>
        <w:rPr>
          <w:rFonts w:ascii="Arial" w:cs="Arial" w:eastAsia="Arial" w:hAnsi="Arial"/>
          <w:sz w:val="16"/>
          <w:szCs w:val="16"/>
          <w:b w:val="1"/>
          <w:bCs w:val="1"/>
          <w:color w:val="auto"/>
        </w:rPr>
        <w:t>U.S. Holders are urged to consult their own tax advisors regarding</w:t>
      </w:r>
      <w:r>
        <w:rPr>
          <w:rFonts w:ascii="Arial" w:cs="Arial" w:eastAsia="Arial" w:hAnsi="Arial"/>
          <w:sz w:val="16"/>
          <w:szCs w:val="16"/>
          <w:color w:val="auto"/>
        </w:rPr>
        <w:t xml:space="preserve"> </w:t>
      </w:r>
      <w:r>
        <w:rPr>
          <w:rFonts w:ascii="Arial" w:cs="Arial" w:eastAsia="Arial" w:hAnsi="Arial"/>
          <w:sz w:val="16"/>
          <w:szCs w:val="16"/>
          <w:b w:val="1"/>
          <w:bCs w:val="1"/>
          <w:color w:val="auto"/>
        </w:rPr>
        <w:t>possible alternative characterizations of the notes and the resulting tax consequences.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Ordinary Shares Acquired in Exchange for the Notes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 on Our Ordinary Shares</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gross amount of distributions made by us with respect to our ordinary shares (including the amount of any non-U.S. taxes withheld therefrom, if any) generally will be includable in a U.S. Holder’s gross income in the year received as dividend income, but only to the extent that such distributions are paid out of our current or accumulated earnings and profits as determined under U.S. federal income tax principles. The dividends will not be eligible for the dividends-received deduction allowed to corporations in respect of dividends received from other U.S. corporations. With respect to certain non-corporate U.S. Holders (including individuals), dividends may be taxed at the lower capital gains rate applicable to “qualified dividend income,” provided that (1) either our ordinary shares are readily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tradable on an established securities market in the United States or we qualify for benefits under the income tax treaty between the U.S. and Switzerland, which we expect to be the case, (2) certain holding period requirements are met and (3) the U.S. Holder is not under an obligation to make related payments with respect to positions in substantially similar or related property. Under IRS authority, common or ordinary shares generally are considered, for purposes of clause (1) above to be readily tradable on an established securities market in the United States if they are listed on the NYSE, as are our ordinary shares.</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dividends will generally be foreign source and considered “passive category” income. Non-U.S. taxes withheld therefrom, if any, may be used as a credit against or a deduction (in lieu of credit) in computing the U.S. Holder’s U.S. federal income tax liability, subject to applicable limitations. Non-U.S. taxes eligible for credit are calculated separately with respect to specific classes of foreign source income. An election to deduct non-U.S. taxes instead of claiming foreign tax credits applies to all non-U.S. taxes paid or accrued in the taxable year. If we are a “United States-owned foreign corporation,” however, a portion of the dividends allocable to our U.S. source earnings and profits may be re-characterized as U.S. source. A “United States-owned foreign corporation” is any foreign corporation in which U.S. persons own, directly or indirectly, 50% or more (by vote or by value) of the stock. In general, United States-owned foreign corporations with less than 10% of earnings and profits attributable to sources within the United States are excepted from these rules. The rules governing the treatment of foreign taxes and foreign tax credits are complex, and U.S. Holders should consult their tax advisors about the impact of these rules in their particular situations.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Our Ordinary Shares</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Upon a sale or other taxable disposition of our ordinary shares, a U.S. Holder will recognize a capital gain or loss for U.S. federal income tax purposes in an amount equal to the difference between the amount realized (generally, the sum of cash and the fair market value of other property received) and the U.S. Holder’s tax basis in such ordinary shares. Any such gain or loss generally will be U.S. source gain or loss and will be treated as long-term capital gain or loss if the U.S. Holder’s holding period in our ordinary shares exceeds one year at the time of the disposition. Non-corporate U.S. Holders (including individuals) generally will be subject to U.S. federal income tax on long-term capital gain at preferential rates. The deductibility of capital losses is subject to significant limitations.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would be classified as a passive foreign investment company (a “PFIC”), for any taxable year if either: (a) at least 75% of our gross income is “passive income” for purposes of the PFIC rules or (b) at least 50% of the value of our assets (determined on the basis of a quarterly average)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 Under the PFIC rules, if we were considered a PFIC at any time that a U.S. Holder holds our ordinary shares, we would continue to be treated as a PFIC with respect to such holder’s investment unless (i) we cease to be a PFIC and (ii) the U.S. Holder has made a “deemed sale” election under the PFIC rules.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our current and projected methods of operation, we do not expect to be treated as a PFIC for U.S. federal income tax purposes for the current taxable year or in the foreseeable future. This is a factual determination, however, that must be made annually after the close of each taxable year. Therefore, there can be no assurance that we will not be classified as a PFIC for the current taxable year or for any future taxable year.</w:t>
      </w:r>
    </w:p>
    <w:p>
      <w:pPr>
        <w:spacing w:after="0" w:line="9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we are treated as a PFIC with respect to a U.S. Holder for any taxable year, the U.S. Holder generally would suffer adverse tax consequences, that may include having gains realized on the disposition of the ordinary shares treated as ordinary income rather than capital gain and being subject to punitive interest charges on the receipt of certain distributions and on the proceeds of the sale or other disposition of the ordinary shares. In addition, the U.S. Holder would be deemed to own shares in any of our subsidiaries that are also PFICs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generally would be subject to the treatment described above with respect to any distribution on or disposition of such shares. An election for mark-to-market treatment, however, likely would not be available with respect to any such subsidiaries. If we are considered a PFIC, a U.S. Holder will also be subject to information reporting requirements on an annual basis. U.S. Holders should consult their tax advisors about the potential application of the PFIC rules to an investment in our ordinary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and Backup Withholding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Payments with respect to the notes or our ordinary shares and proceeds from the sale or other taxable disposition of the notes or our ordinary shares may be subject to information reporting to the IRS and possible U.S. backup withholding. Backup withholding will not apply, however, to a U.S. Holder who furnishes a correct U.S. federal taxpayer identification number and makes any other required certification or who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0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such U.S. Holder may obtain a refund from the IRS of any excess amounts withheld under the backup withholding rules by timely filing an appropriate claim for refund with the IRS and furnishing any required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our ordinary shares (and possibly the notes), subject to certain exceptions (including an exception for shares held in accounts maintained by certain financial institutions). Substantial penalties may apply if the U.S. Holder fails to comply with these reporting requirements. U.S. Holders should consult their tax advisors regarding their reporting obligations with respect to their ownership and disposition of our ordinary shares and the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BERMUDA TAX CONSIDERATIONS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by Weatherford Bermuda or by holders of the Notes. Weatherford Bermuda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IRISH TAX CONSIDERATIONS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The following is a summary of certain Irish tax consequences of the purchase, ownership and disposition of the notes and the Weatherford ordinary shares. The summary does not purport to be a comprehensive description of all of the tax considerations that may be relevant to a decision to purchase, own or dispose of the notes or the ordinary shares. The summary relates only to the position of persons who are the absolute beneficial owners of the notes or the ordinary shares and may not apply to certain other classes of persons such as dealers in securities or shares.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notes and the ordinary shares should consult their own advisors as to the Irish or other tax consequences of the purchase, beneficial ownership and disposition of the notes and the ordinary shares including, in particular, the effect of any state or local tax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or Other Taxable Disposition of 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on Chargeable Gains</w:t>
      </w:r>
    </w:p>
    <w:p>
      <w:pPr>
        <w:spacing w:after="0" w:line="77"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Holders of the notes that are not resident or ordinarily resident in Ireland for Irish tax purposes will not be liable for Irish tax on chargeable gains realized on a subsequent disposal of the notes (including pursuant to the exchange).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Stamp Duty</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No Irish stamp duty will arise on the issue, sale, exchange (including an exchange for ordinary shares pursuant to the terms of the notes), conversion, redemption or other disposition of the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Acquisitions Tax</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CAT comprises principally gift tax and inheritance tax. CAT could apply to a gift or inheritance of notes if either (i) the donee/successor in relation to the gift or inheritance is resident or ordinarily resident in Ireland; or (ii) the notes are regarded as property situated in Ireland (i.e. if the notes are in bearer form and are physically located in Ireland or if the register of the notes is maintained in Ireland).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€225,000 in respect of taxable gifts or inheritances received from their parents. Holders of the notes should consult their own tax advisors as to whether CAT is creditable or deductible in computing any domestic tax liabilities.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Withholding Tax</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Payments under the notes can be paid by Weatherford Bermuda and any paying agent acting on behalf of Weatherford Bermuda without any withholding or deduction for or on account of Irish income tax.</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Guarantee</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Payments under the guarantee can be paid by Weatherford and any paying agent acting on behalf of Weatherford without any withholding or deduction for or on account of Irish income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 of Weatherford Received on Exchange of Notes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payment of dividends by Weatherford will not be subject to any dividend withholding tax in Ireland provided Weatherford is not a tax resident in Ireland. Weatherford is not currently a tax resident in Ireland.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or Other Taxable Disposition of Ordinary Shares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on Chargeable Gains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Weatherford shareholders that are not a resident or ordinarily resident in Ireland for Irish tax purposes and do not hold the shares in connection with a trade carried on by such shareholders through an Irish branch or agency will not be liable for Irish tax on chargeable gains realized on a subsequent disposal of the shares. A shareholder of Weatherford who is an individual and who is temporarily not a resident in Ireland may, under Irish anti-avoidance legislation, still be liable to Irish tax on any chargeable gain realized upon subsequent disposal of the shares.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Stamp Duty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is no Irish stamp duty on the issuance of new shares of an Irish incorporated company. The rate of stamp duty (where 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The Depository Trust Company (“DTC”) or not.</w:t>
      </w:r>
    </w:p>
    <w:p>
      <w:pPr>
        <w:spacing w:after="0" w:line="49"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Held Through DTC</w:t>
      </w:r>
    </w:p>
    <w:p>
      <w:pPr>
        <w:spacing w:after="0" w:line="104"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A transfer of Weatherford shares effected by means of the transfer of book-entry interests in DTC will not be subject to Irish stamp duty. On the basis that most shares in Weatherford are expected to be held through DTC, it is anticipated that most transfers of shares will be exempt from Irish stamp duty.</w:t>
      </w:r>
    </w:p>
    <w:p>
      <w:pPr>
        <w:spacing w:after="0" w:line="4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Held Outside of DTC or Transferred Into or Out of DTC</w:t>
      </w:r>
    </w:p>
    <w:p>
      <w:pPr>
        <w:spacing w:after="0" w:line="104" w:lineRule="exact"/>
        <w:rPr>
          <w:sz w:val="20"/>
          <w:szCs w:val="20"/>
          <w:color w:val="auto"/>
        </w:rPr>
      </w:pPr>
    </w:p>
    <w:p>
      <w:pPr>
        <w:ind w:left="700" w:right="320"/>
        <w:spacing w:after="0" w:line="268" w:lineRule="auto"/>
        <w:rPr>
          <w:sz w:val="20"/>
          <w:szCs w:val="20"/>
          <w:color w:val="auto"/>
        </w:rPr>
      </w:pPr>
      <w:r>
        <w:rPr>
          <w:rFonts w:ascii="Arial" w:cs="Arial" w:eastAsia="Arial" w:hAnsi="Arial"/>
          <w:sz w:val="18"/>
          <w:szCs w:val="18"/>
          <w:color w:val="auto"/>
        </w:rPr>
        <w:t>A transfer of Weatherford shares where any party to the transfer holds such shares outside of DTC may be subject to Irish stamp duty. Shareholders wishing to transfer their shares into (or out of) DTC may do so without giving rise to Irish stamp duty provided:</w:t>
      </w:r>
    </w:p>
    <w:p>
      <w:pPr>
        <w:spacing w:after="0" w:line="37" w:lineRule="exact"/>
        <w:rPr>
          <w:sz w:val="20"/>
          <w:szCs w:val="20"/>
          <w:color w:val="auto"/>
        </w:rPr>
      </w:pPr>
    </w:p>
    <w:p>
      <w:pPr>
        <w:ind w:left="900" w:hanging="217"/>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transfer into (or out of) DTC is not effected in contemplation of a subsequent sale of such shares by a beneficial owner to a third party.</w:t>
      </w:r>
    </w:p>
    <w:p>
      <w:pPr>
        <w:spacing w:after="0" w:line="20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2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Any transfer of Weatherford’s ordinary shares that is subject to Irish stamp duty will not be registered in the name of the transferee unless an instrument of transfer is duly stamped and provided to the transfer agent. Weatherford, in its absolute discretion and insofar as the Irish Companies Act or any other applicable law permit, may, or may provide that a subsidiary of Weatherford will, pay Irish stamp duty arising on a transfer of ordinary shares on behalf of the transferee of such ordinary shares. If stamp duty resulting from the transfer of ordinary shares which would otherwise be payable by the transferee is paid by Weatherford or any of its subsidiaries on behalf of the transferee, then in those circumstances, Weatherford will, on its behalf or on behalf of its subsidiary (as the case may be), be entitled to (i) seek reimbursement of the stamp duty from the transferee or the transferor (at its discretion), (ii) set-off the stamp duty against any dividends payable to the transferee of</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those ordinary shares and (iii) claim a first and permanent lien on the ordinary shares on which stamp duty has been paid by Weatherford or its subsidiary for the amount of stamp duty paid. Weatherford’s lien shall extend to all dividends paid on those ordinary shares. Parties to a share transfer may assume that any Irish stamp duty arising in respect of a transaction in Weatherford’s shares has been paid unless one or both of such parties is otherwise notified by Weatherford.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Acquisitions Tax</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Irish capital acquisitions tax (“CAT”) comprises principally gift tax and inheritance tax. CAT could apply to a gift or inheritance of Weatherford shares irrespective of the place of residence, ordinary residence or domicile of the parties. This is because Weatherford shares are regarded as property situated in Ireland as the share register of Weatherford must be held in Ireland. The person who receives the gift or inheritance has primary liability for CAT.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€225,000 in respect of taxable gifts or inheritances received from their parents. Weatherford shareholders should consult their own tax advisors as to whether CAT is creditable or deductible in computing any domestic tax liabilities.</w:t>
      </w:r>
    </w:p>
    <w:p>
      <w:pPr>
        <w:spacing w:after="0" w:line="12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EACH HOLDER OF NOTES OR SHAREHOLDER SHOULD CONSULT HIS OR HER TAX ADVISOR AS TO THE PARTICULAR CONSEQUENCES THAT MAY APPLY TO SUCH HOLDER OF NOTES OR SHAREHOLDER.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SWISS TAX CONSIDERATIONS</w:t>
      </w:r>
    </w:p>
    <w:p>
      <w:pPr>
        <w:spacing w:after="0" w:line="164"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following is a summary of certain Swiss tax consequences to non-Swiss holders under present law of the purchase, ownership and disposition (including the exchange) of the notes and the ordinary shares acquired upon the exchange of the notes. The summary does not purport to be a comprehensive description of all of the Swiss tax considerations that may be relevant to a decision to purchase, own or dispose of such notes or shares.</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w:t>
      </w:r>
    </w:p>
    <w:p>
      <w:pPr>
        <w:spacing w:after="0" w:line="72"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Swiss tax consequences to potential Swiss holders of notes or shares in Weatherford are not covered in this summary, and the Swiss tax consequences for non-Swiss holders discussed below are not a complete analysis or listing of all the possible Swiss tax consequences that may be relevant to you.</w:t>
      </w:r>
    </w:p>
    <w:p>
      <w:pPr>
        <w:spacing w:after="0" w:line="4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PROSPECTIVE PURCHASERS ARE URGED TO CONSULT THEIR TAX ADVISORS ABOUT THE APPLICATION OF THE SWISS TAX RULES TO THEIR PARTICULAR CIRCUMSTANCES AS WELL AS THE SWISS FEDERAL AND CANTONAL/COMMUNAL TAX CONSEQUENCES TO THEM OF THE PURCHASE, OWNERSHIP, DISPOSITION AND EXCHANGE OF THE NOTES AND OF THE OWNERSHIP AND DISPOSITION OF THE ORDINARY SHARES THEY ACQUIRE IN AN EXCHANGE OF THE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Ownership and Disposition of Notes and Exchange (Conversion) into Shares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Income Tax on Interest Payments</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 non-Swiss holder will not be subject to Swiss income taxes on interest income in respect of the notes, unless the notes are attributable to a permanent establishment, a fixed place of business maintained in Switzerland or another taxable presence in Switzerland of such non-Swiss holder.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non-Swiss holder will not be subject to Swiss wealth taxes unless the holder’s notes are attributable to a permanent establishment, a fixed place of business maintained in Switzerland or another taxable presence in Switzerland of such non-Swiss holder.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the Notes</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notes (including an exchange of the notes for the ordinary shares) unless the holder’s notes are attributable to a permanent establishment, a fixed place of business maintained in Switzerland or another taxable presence in Switzerland of such non-Swiss holder.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Swiss Income Tax on Cash Payments in lieu of Fractional Shares upon Exchange of the Notes according to the applicable Exchange Rate</w:t>
      </w:r>
    </w:p>
    <w:p>
      <w:pPr>
        <w:spacing w:after="0" w:line="10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non-Swiss holder will not be subject to Swiss income taxes on cash payments received in lieu of fractional shares upon exchange of the notes in accordance with the applicable exchange rate, unless such cash payments are attributable to a permanent establishment, a fixed place of business maintained in Switzerland or another taxable presence in Switzerland of such non-Swiss holder.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Interest Payments on the Note</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Payments of interest on the notes should not be subject to Swiss federal withholding tax. More specifically, we have obtained an advance ruling from the relevant Swiss tax authorities confirming that, based upon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intended use of proceeds and other Swiss attributes, the notes should not constitute Swiss bonds or bond like instruments subject to Swiss withholding tax. In the unlikely case the notes would nevertheless be subject to Swiss withholding tax, and subject to certain exceptions, we will pay additional amounts such that the note holders receive the agreed interest payment without reduction for any Swiss withholding tax.</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Final Withholding Tax</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Switzerland concluded agreements with the United Kingdom and Austria on a final withholding tax (</w:t>
      </w:r>
      <w:r>
        <w:rPr>
          <w:rFonts w:ascii="Arial" w:cs="Arial" w:eastAsia="Arial" w:hAnsi="Arial"/>
          <w:sz w:val="16"/>
          <w:szCs w:val="16"/>
          <w:i w:val="1"/>
          <w:iCs w:val="1"/>
          <w:color w:val="auto"/>
        </w:rPr>
        <w:t>Abgeltungssteuer</w:t>
      </w:r>
      <w:r>
        <w:rPr>
          <w:rFonts w:ascii="Arial" w:cs="Arial" w:eastAsia="Arial" w:hAnsi="Arial"/>
          <w:sz w:val="16"/>
          <w:szCs w:val="16"/>
          <w:color w:val="auto"/>
        </w:rPr>
        <w:t>). The agreements with the United Kingdom and Austria entered into force on January 1, 2013. Persons resident in the United Kingdom or Austria receiving investment income (such as, among others, payment of interest on the notes) or realizing capital gains (such as, among others, on the disposal of notes) on their Swiss bank accounts can either opt for a voluntary disclosure of their Swiss bank accounts and the assets held with Swiss banks (for this purpose, including similar financial institutions) to the competent tax authorities of the United Kingdom or Austria, as applicable, or opt for a final withholding tax that is deducted by the Swiss bank on such investment income or capital gains. In the latter case, the Swiss bank has to remit the final withholding tax to the Swiss Federal Tax Administration, which, in turn, will remit the final withholding tax to the competent tax authorities of the United Kingdom or Austria, as applicable. Both agreements on final withholding taxes provide for a carve-out for interest payments to the extent such interest payments are subject to the EU savings tax for Swiss paying agents.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Switzerland might conclude similar agreements on final withholding taxes with other countries.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Stamp Duties</w:t>
      </w:r>
    </w:p>
    <w:p>
      <w:pPr>
        <w:spacing w:after="0" w:line="77"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The issue of the Notes will not be subject to Swiss federal stamp duty on the issue of securities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tax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8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cancellation of the notes as part of the mandatory or optional conversion exchange into Weatherford shares will not be subject to Swiss federal stamp duty on dealing in securities. However, the proceeds paid to Weatherford for the issuance of new shares as a result of the mandatory exchange, to the extent no exemption applies, will be subject to issuance stamp duty levied at 1%. Weatherford will be liable for the issuance stamp duty. There is currently a draft tax bill that would, if enacted, have the effect of abolishing the issuance stamp duty on the issuance of new shares.</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Disposition of Shares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Dividends and Similar Distributions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its Weatherford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non-Swiss holder will not be subject to Swiss wealth taxes unless the holder’s shares are attributable to a permanent establishment, a fixed place of business maintained in Switzerland or another taxable presence in Switzerland of such non-Swiss holder.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Weatherford shares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ordinary shares unless the holder’s shares are attributable to a permanent establishment, a fixed place of business maintained in Switzerland or another taxable presence in Switzerland of such non-Swiss holder.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Distributions to Shareholders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Swiss withholding tax of 35% is due on dividends and similar distributions to the shareholders of Weatherford, regardless of the place of residency of such shareholders (subject to the exceptions discussed under “—Exemption from Swiss Withholding Tax on Distributions to Shareholders” below). Weatherford, as a Swiss tax resident company, will be required to withhold at such rate and remit on a net basis any payments made to a holder of Weatherford shares and pay such withheld amounts to the Swiss federal tax authorities. Please see “—Refund of Swiss Withholding Tax on Dividends and Other Distributions.”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Exemption from Swiss Withholding Tax on Distributions to Shareholders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w:t>
      </w:r>
      <w:r>
        <w:rPr>
          <w:rFonts w:ascii="Arial" w:cs="Arial" w:eastAsia="Arial" w:hAnsi="Arial"/>
          <w:sz w:val="18"/>
          <w:szCs w:val="18"/>
          <w:i w:val="1"/>
          <w:iCs w:val="1"/>
          <w:color w:val="auto"/>
        </w:rPr>
        <w:t>Kapitaleinlagereserven</w:t>
      </w:r>
      <w:r>
        <w:rPr>
          <w:rFonts w:ascii="Arial" w:cs="Arial" w:eastAsia="Arial" w:hAnsi="Arial"/>
          <w:sz w:val="18"/>
          <w:szCs w:val="18"/>
          <w:color w:val="auto"/>
        </w:rPr>
        <w:t>) according to the relevant Swiss tax laws (often called “qualifying additional paid-in capital”).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Repurchases of Shares</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9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Weatherford is required to remit on a net basis the purchase price with the Swiss withholding tax deducted to a holder of Weatherford shares and pay the withholding tax to the Swiss federal tax authorities.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repurchase of shares for purposes other than capital reduction, such as to retain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Refund of Swiss Withholding Tax on Dividends and Other Distributions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Non-Swiss Holders</w:t>
      </w:r>
      <w:r>
        <w:rPr>
          <w:rFonts w:ascii="Arial" w:cs="Arial" w:eastAsia="Arial" w:hAnsi="Arial"/>
          <w:sz w:val="18"/>
          <w:szCs w:val="18"/>
          <w:color w:val="auto"/>
        </w:rPr>
        <w:t>: If the shareholder that receives a distribution from Weatherford is not a Swiss tax resident, does not hold the Weatherford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The Swiss-U.S. tax treaty provides that U.S. residents eligible for benefits under the treaty can seek a refund of the Swiss withholding tax</w:t>
      </w:r>
      <w:r>
        <w:rPr>
          <w:rFonts w:ascii="Arial" w:cs="Arial" w:eastAsia="Arial" w:hAnsi="Arial"/>
          <w:sz w:val="16"/>
          <w:szCs w:val="16"/>
          <w:i w:val="1"/>
          <w:iCs w:val="1"/>
          <w:color w:val="auto"/>
        </w:rPr>
        <w:t xml:space="preserve"> </w:t>
      </w:r>
      <w:r>
        <w:rPr>
          <w:rFonts w:ascii="Arial" w:cs="Arial" w:eastAsia="Arial" w:hAnsi="Arial"/>
          <w:sz w:val="16"/>
          <w:szCs w:val="16"/>
          <w:color w:val="auto"/>
        </w:rPr>
        <w:t>on dividends for the portion exceeding 15% (leading to a refund of 20%) or a 100% refund in the case of qualified pension funds. For sake of completeness, it shall be mentioned that a 5% treaty rate would apply for a U.S. corporate shareholder holding a qualifying investment of at least 10% in Weatherford.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77" w:lineRule="exact"/>
        <w:rPr>
          <w:sz w:val="20"/>
          <w:szCs w:val="20"/>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Stamp Duties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Stamp Duties in Relation to the Transfer of Weatherford Shares</w:t>
      </w:r>
      <w:r>
        <w:rPr>
          <w:rFonts w:ascii="Arial" w:cs="Arial" w:eastAsia="Arial" w:hAnsi="Arial"/>
          <w:sz w:val="16"/>
          <w:szCs w:val="16"/>
          <w:color w:val="auto"/>
        </w:rPr>
        <w:t>. The purchase or sale of Weatherford shares may be subject to Swiss federal stamp taxes</w:t>
      </w:r>
      <w:r>
        <w:rPr>
          <w:rFonts w:ascii="Arial" w:cs="Arial" w:eastAsia="Arial" w:hAnsi="Arial"/>
          <w:sz w:val="16"/>
          <w:szCs w:val="16"/>
          <w:i w:val="1"/>
          <w:iCs w:val="1"/>
          <w:color w:val="auto"/>
        </w:rPr>
        <w:t xml:space="preserve"> </w:t>
      </w:r>
      <w:r>
        <w:rPr>
          <w:rFonts w:ascii="Arial" w:cs="Arial" w:eastAsia="Arial" w:hAnsi="Arial"/>
          <w:sz w:val="16"/>
          <w:szCs w:val="16"/>
          <w:color w:val="auto"/>
        </w:rPr>
        <w:t>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stamp tax will be due. The applicable stamp tax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6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Citigroup Global Markets Inc. and Wells Fargo Securities,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140" w:type="dxa"/>
            <w:vAlign w:val="bottom"/>
            <w:vMerge w:val="restart"/>
          </w:tcPr>
          <w:p>
            <w:pPr>
              <w:spacing w:after="0"/>
              <w:rPr>
                <w:sz w:val="14"/>
                <w:szCs w:val="14"/>
                <w:color w:val="auto"/>
              </w:rPr>
            </w:pPr>
          </w:p>
        </w:tc>
        <w:tc>
          <w:tcPr>
            <w:tcW w:w="378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140" w:type="dxa"/>
            <w:vAlign w:val="bottom"/>
            <w:vMerge w:val="continue"/>
          </w:tcPr>
          <w:p>
            <w:pPr>
              <w:spacing w:after="0"/>
              <w:rPr>
                <w:sz w:val="14"/>
                <w:szCs w:val="14"/>
                <w:color w:val="auto"/>
              </w:rPr>
            </w:pPr>
          </w:p>
        </w:tc>
        <w:tc>
          <w:tcPr>
            <w:tcW w:w="3780" w:type="dxa"/>
            <w:vAlign w:val="bottom"/>
          </w:tcPr>
          <w:p>
            <w:pPr>
              <w:spacing w:after="0"/>
              <w:rPr>
                <w:sz w:val="14"/>
                <w:szCs w:val="14"/>
                <w:color w:val="auto"/>
              </w:rPr>
            </w:pPr>
          </w:p>
        </w:tc>
        <w:tc>
          <w:tcPr>
            <w:tcW w:w="17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7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1449"/>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7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380" w:type="dxa"/>
            <w:vAlign w:val="bottom"/>
            <w:gridSpan w:val="2"/>
            <w:shd w:val="clear" w:color="auto" w:fill="CCEEFF"/>
          </w:tcPr>
          <w:p>
            <w:pPr>
              <w:jc w:val="right"/>
              <w:ind w:right="144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(other than those covered by the over-allotment option described below) if they purchase any of the notes.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sold by the underwriters to the public will initially be offered at the public offering price set forth on the cover of this prospectus supplement. Any</w:t>
      </w:r>
    </w:p>
    <w:p>
      <w:pPr>
        <w:spacing w:after="0" w:line="38"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notes sold by the underwriters to securities dealers may be sold at a discount from the public offering price not to exceed $ per note. Any such securities dealers may resell any notes purchased from the underwriters to certain other brokers or dealers at a discount from the public offering price not to exceed $ per note. If all the notes are not sold at the initial offering price, the underwriters may change the offering price and the other selling terms.</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 additional aggregate principal amount of notes at the public offering price less the discount. The underwriters may exercise the option solely for the purpose of covering over-allotments, if any. To the extent the option is exercised, each underwriter must purchase an additional aggregate principal amount of notes approximately proportionate to that underwriter’s initial purchase commitment. Any notes issued or sold under the option will be issued and sold on the same terms and conditions as the other notes that are the subject of this offering.</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agreed that, for a period of 60 days from the date of this prospectus supplement, we will not, without the prior written consent of Citigroup Global Markets Inc., offer, sell or contract to sell, or otherwise dispose of directly or indirectly, or announce the offering of, any debt securities issued or guaranteed by us, or dispose of or hedge any ordinary shares of Weatherford or any securities convertible into or exchangeable for ordinary shares of Weatherford. Citigroup Global Markets Inc. in its sole discretion may release any of the securities subject to these lock-up agreements at any time without notice.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list the notes on the NYSE as promptly as practicable following the offering.</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(expressed as a percentage of the principal amount of the notes). These amounts are shown assuming both no exercise and full exercise of the underwriters’ over-allotment option.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Paid by Weatherford</w:t>
            </w:r>
          </w:p>
        </w:tc>
      </w:tr>
      <w:tr>
        <w:trPr>
          <w:trHeight w:val="142"/>
        </w:trPr>
        <w:tc>
          <w:tcPr>
            <w:tcW w:w="49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80" w:type="dxa"/>
            <w:vAlign w:val="bottom"/>
            <w:tcBorders>
              <w:top w:val="single" w:sz="8" w:color="auto"/>
            </w:tcBorders>
            <w:gridSpan w:val="2"/>
          </w:tcPr>
          <w:p>
            <w:pPr>
              <w:jc w:val="right"/>
              <w:ind w:right="1012"/>
              <w:spacing w:after="0" w:line="142" w:lineRule="exact"/>
              <w:rPr>
                <w:sz w:val="20"/>
                <w:szCs w:val="20"/>
                <w:color w:val="auto"/>
              </w:rPr>
            </w:pPr>
            <w:r>
              <w:rPr>
                <w:rFonts w:ascii="Arial" w:cs="Arial" w:eastAsia="Arial" w:hAnsi="Arial"/>
                <w:sz w:val="14"/>
                <w:szCs w:val="14"/>
                <w:b w:val="1"/>
                <w:bCs w:val="1"/>
                <w:color w:val="auto"/>
                <w:w w:val="82"/>
              </w:rPr>
              <w:t>No Exercise</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Full exercise</w:t>
            </w:r>
          </w:p>
        </w:tc>
        <w:tc>
          <w:tcPr>
            <w:tcW w:w="140" w:type="dxa"/>
            <w:vAlign w:val="bottom"/>
          </w:tcPr>
          <w:p>
            <w:pPr>
              <w:spacing w:after="0"/>
              <w:rPr>
                <w:sz w:val="12"/>
                <w:szCs w:val="12"/>
                <w:color w:val="auto"/>
              </w:rPr>
            </w:pPr>
          </w:p>
        </w:tc>
      </w:tr>
      <w:tr>
        <w:trPr>
          <w:trHeight w:val="210"/>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3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363"/>
        </w:trPr>
        <w:tc>
          <w:tcPr>
            <w:tcW w:w="4920" w:type="dxa"/>
            <w:vAlign w:val="bottom"/>
          </w:tcPr>
          <w:p>
            <w:pPr>
              <w:ind w:left="460"/>
              <w:spacing w:after="0"/>
              <w:rPr>
                <w:sz w:val="20"/>
                <w:szCs w:val="20"/>
                <w:color w:val="auto"/>
              </w:rPr>
            </w:pPr>
            <w:r>
              <w:rPr>
                <w:rFonts w:ascii="Arial" w:cs="Arial" w:eastAsia="Arial" w:hAnsi="Arial"/>
                <w:sz w:val="18"/>
                <w:szCs w:val="18"/>
                <w:color w:val="auto"/>
                <w:w w:val="92"/>
              </w:rPr>
              <w:t>We estimate that our total expenses for this offering will be $</w:t>
            </w:r>
          </w:p>
        </w:tc>
        <w:tc>
          <w:tcPr>
            <w:tcW w:w="3840" w:type="dxa"/>
            <w:vAlign w:val="bottom"/>
          </w:tcPr>
          <w:p>
            <w:pPr>
              <w:jc w:val="right"/>
              <w:ind w:right="35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4920" w:type="dxa"/>
            <w:vAlign w:val="bottom"/>
          </w:tcPr>
          <w:p>
            <w:pPr>
              <w:spacing w:after="0"/>
              <w:rPr>
                <w:sz w:val="24"/>
                <w:szCs w:val="24"/>
                <w:color w:val="auto"/>
              </w:rPr>
            </w:pPr>
          </w:p>
        </w:tc>
        <w:tc>
          <w:tcPr>
            <w:tcW w:w="5620" w:type="dxa"/>
            <w:vAlign w:val="bottom"/>
            <w:gridSpan w:val="3"/>
          </w:tcPr>
          <w:p>
            <w:pPr>
              <w:jc w:val="right"/>
              <w:ind w:right="4572"/>
              <w:spacing w:after="0"/>
              <w:rPr>
                <w:sz w:val="20"/>
                <w:szCs w:val="20"/>
                <w:color w:val="auto"/>
              </w:rPr>
            </w:pPr>
            <w:r>
              <w:rPr>
                <w:rFonts w:ascii="Arial" w:cs="Arial" w:eastAsia="Arial" w:hAnsi="Arial"/>
                <w:sz w:val="18"/>
                <w:szCs w:val="18"/>
                <w:color w:val="auto"/>
              </w:rPr>
              <w:t>S-77</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In connection with the offering, the underwriters may purchase and sell notes in the open market. Purchases and sales in the open market may include short sales, purchases to cover short positions, which may include purchases pursuant to the over-allotment option, and stabilizing purchases.</w:t>
      </w:r>
    </w:p>
    <w:p>
      <w:pPr>
        <w:spacing w:after="0" w:line="1" w:lineRule="exact"/>
        <w:rPr>
          <w:sz w:val="20"/>
          <w:szCs w:val="20"/>
          <w:color w:val="auto"/>
        </w:rPr>
      </w:pPr>
    </w:p>
    <w:p>
      <w:pPr>
        <w:ind w:left="660" w:hanging="206"/>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notes than they are required to purchase in the offering.</w:t>
      </w:r>
    </w:p>
    <w:p>
      <w:pPr>
        <w:spacing w:after="0" w:line="126" w:lineRule="exact"/>
        <w:rPr>
          <w:rFonts w:ascii="Arial" w:cs="Arial" w:eastAsia="Arial" w:hAnsi="Arial"/>
          <w:sz w:val="16"/>
          <w:szCs w:val="16"/>
          <w:color w:val="auto"/>
        </w:rPr>
      </w:pPr>
    </w:p>
    <w:p>
      <w:pPr>
        <w:ind w:left="900" w:hanging="217"/>
        <w:spacing w:after="0"/>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“Covered” short sales are sales of notes in an amount up to the number of notes represented by the underwriters’ over-allotment option.</w:t>
      </w:r>
    </w:p>
    <w:p>
      <w:pPr>
        <w:spacing w:after="0" w:line="126" w:lineRule="exact"/>
        <w:rPr>
          <w:rFonts w:ascii="Arial" w:cs="Arial" w:eastAsia="Arial" w:hAnsi="Arial"/>
          <w:sz w:val="16"/>
          <w:szCs w:val="16"/>
          <w:color w:val="auto"/>
        </w:rPr>
      </w:pPr>
    </w:p>
    <w:p>
      <w:pPr>
        <w:ind w:left="900" w:hanging="217"/>
        <w:spacing w:after="0"/>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“Naked” short sales are sales of notes in an amount in excess of the number of notes represented by the underwriters’ over-allotment option.</w:t>
      </w:r>
    </w:p>
    <w:p>
      <w:pPr>
        <w:spacing w:after="0" w:line="126" w:lineRule="exact"/>
        <w:rPr>
          <w:rFonts w:ascii="Arial" w:cs="Arial" w:eastAsia="Arial" w:hAnsi="Arial"/>
          <w:sz w:val="16"/>
          <w:szCs w:val="16"/>
          <w:color w:val="auto"/>
        </w:rPr>
      </w:pPr>
    </w:p>
    <w:p>
      <w:pPr>
        <w:ind w:left="660" w:right="18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Covering transactions involve purchases of notes either pursuant to the underwriters’ over-allotment option or in the open market after the distribution has been completed in order to cover short positions.</w:t>
      </w:r>
    </w:p>
    <w:p>
      <w:pPr>
        <w:spacing w:after="0" w:line="37" w:lineRule="exact"/>
        <w:rPr>
          <w:rFonts w:ascii="Arial" w:cs="Arial" w:eastAsia="Arial" w:hAnsi="Arial"/>
          <w:sz w:val="18"/>
          <w:szCs w:val="18"/>
          <w:color w:val="auto"/>
        </w:rPr>
      </w:pPr>
    </w:p>
    <w:p>
      <w:pPr>
        <w:ind w:left="900" w:right="280" w:hanging="217"/>
        <w:spacing w:after="0" w:line="306"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close a naked short position, the underwriters must purchase notes in the open market after the distribution has been completed. A naked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2" w:lineRule="exact"/>
        <w:rPr>
          <w:rFonts w:ascii="Arial" w:cs="Arial" w:eastAsia="Arial" w:hAnsi="Arial"/>
          <w:sz w:val="16"/>
          <w:szCs w:val="16"/>
          <w:color w:val="auto"/>
        </w:rPr>
      </w:pPr>
    </w:p>
    <w:p>
      <w:pPr>
        <w:ind w:left="900" w:hanging="217"/>
        <w:spacing w:after="0" w:line="256"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notes in the open market after the distribution has been completed or must exercise their over-allotment option. In determining the source of notes to close the covered short position, the underwriters will consider, among other things, the price of notes available for purchase in the open market as compared to the price at which they may purchase notes by exercising their over-allotment option.</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1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connection with this offering, the underwriters (or their affiliates) may, for their own accounts, enter into asset swaps, credit derivatives or other derivative transactions relating to the notes and/or the ordinary shares issuable upon conversion of the notes at the same time as the offer and sale of the notes or in secondary market transactions. Such transactions may be entered into with our affiliates. As a result of such transactions, the underwriters may hold long or short positions in such notes or derivatives or in the ordinary shares issuable upon conversion of the notes. These transactions may comprise a substantial portion of the offering and no disclosure will be made of any such positions. In addition, the underwriters (or their affiliates) may have purchased notes and been allocated the notes for asset management and/or proprietary purposes and not with a view to distribution.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Affiliates of Citigroup Global Markets Inc. and Wells Fargo Securities, LLC are lenders under Weatherford’s revolving credit facility. To the extent we use proceeds from this offering to repay indebtedness under our revolving credit facility, such affiliates may receive proceeds from this offering.</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some of the underwriters are lenders, and in some cases agents or managers for the lenders, under Weatherford’s revolving credit facility and other credit facilities. In addition, affiliates of certain of the underwriters may hold notes under our commercial paper program. Certain of the underwriters or their affiliates that have a lending relationship with us routinely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notes described in this prospectus supplement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18" w:lineRule="exact"/>
        <w:rPr>
          <w:sz w:val="20"/>
          <w:szCs w:val="20"/>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offers, sales and distributions will be made in France only:</w:t>
      </w:r>
    </w:p>
    <w:p>
      <w:pPr>
        <w:spacing w:after="0" w:line="103"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offered in this prospectus supplement have not been and will not be registered under the Financial Instruments and Exchange Law of Japan, and the notes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offering memorandum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validity of the notes being offered by this prospectus supplement and the accompanying prospectus will be passed upon for us by Latham &amp; Watkins LLP. Certain matters of Irish law relating to the notes will be passed upon by Matheson and certain matters of Bermuda law relating to the notes will be passed upon by Conyers Dill &amp; Pearman Limited. Certain legal matters will be passed on for the underwriters by Vinson &amp; Elkins L.L.P., Houston, Texas. Certain legal matters of Bermuda law relating to the notes will be passed upon by Appleby (Bermuda) Limited and certain legal matters of Irish law relating to the notes will be passed upon by A&amp;L Goodbody.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2014 and December 31, 2013, and for each of the years in the two-year period ended December 31, 2014, and management’s assessment of the effectiveness of internal control over financial reporting as of December 31, 2014 have been incorporated by reference herein in reliance upon the reports of KPMG LLP, independent registered public accounting firm, incorporated by reference herein, and upon the authority of said firm as experts in accounting and auditing.</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consolidated financial statements of Weatherford International Ltd. as of December 31, 2012, and for the year ended December 31, 2012, included in Weatherford International Ltd.’s Annual Report on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Weatherford’s ordinary shares are listed on the NYSE under the symbol “WFT.” Our reports and other information filed with the SEC can also be inspected at the offices of the NYSE, 20 Broad Street, New York, New York 10005.</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also make available free of charge on our Internet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12" w:lineRule="exact"/>
        <w:rPr>
          <w:sz w:val="20"/>
          <w:szCs w:val="20"/>
          <w:color w:val="auto"/>
        </w:rPr>
      </w:pPr>
    </w:p>
    <w:p>
      <w:pPr>
        <w:ind w:left="660" w:hanging="20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description of Weatherford’s ordinary shares contained in Weatherford’s Current Report on Form 8-K12B, as filed with the SEC on June 17, 2014;</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Weatherford’s Annual Report on Form 10-K for the year ended December 31, 2014, as filed with the SEC on February 18, 2015;</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Weatherford’s Quarterly Reports on Form 10-Q for the quarters ended March 31, 2015 and June 30, 2015 as filed with the SEC on April 24, 2015 and July 24, 2015, respectively; and</w:t>
      </w:r>
    </w:p>
    <w:p>
      <w:pPr>
        <w:spacing w:after="0" w:line="37"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Weatherford’s Current Reports on Form 8-K as filed with the SEC on January 6, 2015, January 28, 2015, February 5, 2015, April 23, 2015, May 4, 2015, June 16, 2015, July 1, 2015 and August 4, 2015 (in each case, excluding any information furnished pursuant to Item 2.02 or Item 7.01 of any such Current Report on Form 8-K).</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International plc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40" w:right="5100" w:hanging="375"/>
        <w:spacing w:after="0" w:line="517" w:lineRule="auto"/>
        <w:tabs>
          <w:tab w:leader="none" w:pos="5581" w:val="left"/>
        </w:tabs>
        <w:numPr>
          <w:ilvl w:val="0"/>
          <w:numId w:val="71"/>
        </w:numPr>
        <w:rPr>
          <w:rFonts w:ascii="Arial" w:cs="Arial" w:eastAsia="Arial" w:hAnsi="Arial"/>
          <w:sz w:val="16"/>
          <w:szCs w:val="16"/>
          <w:color w:val="auto"/>
        </w:rPr>
      </w:pPr>
      <w:r>
        <w:rPr>
          <w:rFonts w:ascii="Arial" w:cs="Arial" w:eastAsia="Arial" w:hAnsi="Arial"/>
          <w:sz w:val="16"/>
          <w:szCs w:val="16"/>
          <w:color w:val="auto"/>
        </w:rPr>
        <w:t>836-4000 S-83</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172085</wp:posOffset>
            </wp:positionV>
            <wp:extent cx="1397635" cy="6172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Irish public limited company)</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Ordinary Shares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Guarantees of Debt Securities</w:t>
      </w:r>
    </w:p>
    <w:p>
      <w:pPr>
        <w:spacing w:after="0" w:line="218" w:lineRule="exact"/>
        <w:rPr>
          <w:sz w:val="20"/>
          <w:szCs w:val="20"/>
          <w:color w:val="auto"/>
        </w:rPr>
      </w:pPr>
    </w:p>
    <w:tbl>
      <w:tblPr>
        <w:tblLayout w:type="fixed"/>
        <w:tblInd w:w="1660" w:type="dxa"/>
        <w:tblCellMar>
          <w:top w:w="0" w:type="dxa"/>
          <w:left w:w="0" w:type="dxa"/>
          <w:bottom w:w="0" w:type="dxa"/>
          <w:right w:w="0" w:type="dxa"/>
        </w:tblCellMar>
      </w:tblPr>
      <w:tr>
        <w:trPr>
          <w:trHeight w:val="212"/>
        </w:trPr>
        <w:tc>
          <w:tcPr>
            <w:tcW w:w="4080" w:type="dxa"/>
            <w:vAlign w:val="bottom"/>
          </w:tcPr>
          <w:p>
            <w:pPr>
              <w:jc w:val="center"/>
              <w:ind w:right="1574"/>
              <w:spacing w:after="0"/>
              <w:rPr>
                <w:sz w:val="20"/>
                <w:szCs w:val="20"/>
                <w:color w:val="auto"/>
              </w:rPr>
            </w:pPr>
            <w:r>
              <w:rPr>
                <w:rFonts w:ascii="Arial" w:cs="Arial" w:eastAsia="Arial" w:hAnsi="Arial"/>
                <w:sz w:val="18"/>
                <w:szCs w:val="18"/>
                <w:b w:val="1"/>
                <w:bCs w:val="1"/>
                <w:color w:val="auto"/>
                <w:w w:val="94"/>
              </w:rPr>
              <w:t>Weatherford International Ltd.</w:t>
            </w:r>
          </w:p>
        </w:tc>
        <w:tc>
          <w:tcPr>
            <w:tcW w:w="4200" w:type="dxa"/>
            <w:vAlign w:val="bottom"/>
          </w:tcPr>
          <w:p>
            <w:pPr>
              <w:jc w:val="center"/>
              <w:ind w:left="1594"/>
              <w:spacing w:after="0"/>
              <w:rPr>
                <w:sz w:val="20"/>
                <w:szCs w:val="20"/>
                <w:color w:val="auto"/>
              </w:rPr>
            </w:pPr>
            <w:r>
              <w:rPr>
                <w:rFonts w:ascii="Arial" w:cs="Arial" w:eastAsia="Arial" w:hAnsi="Arial"/>
                <w:sz w:val="18"/>
                <w:szCs w:val="18"/>
                <w:b w:val="1"/>
                <w:bCs w:val="1"/>
                <w:color w:val="auto"/>
                <w:w w:val="95"/>
              </w:rPr>
              <w:t>Weatherford International, LLC</w:t>
            </w:r>
          </w:p>
        </w:tc>
      </w:tr>
      <w:tr>
        <w:trPr>
          <w:trHeight w:val="186"/>
        </w:trPr>
        <w:tc>
          <w:tcPr>
            <w:tcW w:w="4080" w:type="dxa"/>
            <w:vAlign w:val="bottom"/>
          </w:tcPr>
          <w:p>
            <w:pPr>
              <w:jc w:val="center"/>
              <w:ind w:right="1594"/>
              <w:spacing w:after="0"/>
              <w:rPr>
                <w:sz w:val="20"/>
                <w:szCs w:val="20"/>
                <w:color w:val="auto"/>
              </w:rPr>
            </w:pPr>
            <w:r>
              <w:rPr>
                <w:rFonts w:ascii="Arial" w:cs="Arial" w:eastAsia="Arial" w:hAnsi="Arial"/>
                <w:sz w:val="14"/>
                <w:szCs w:val="14"/>
                <w:b w:val="1"/>
                <w:bCs w:val="1"/>
                <w:color w:val="auto"/>
                <w:w w:val="92"/>
              </w:rPr>
              <w:t>(a Bermuda exempted company )</w:t>
            </w:r>
          </w:p>
        </w:tc>
        <w:tc>
          <w:tcPr>
            <w:tcW w:w="4200" w:type="dxa"/>
            <w:vAlign w:val="bottom"/>
          </w:tcPr>
          <w:p>
            <w:pPr>
              <w:jc w:val="center"/>
              <w:ind w:left="1594"/>
              <w:spacing w:after="0"/>
              <w:rPr>
                <w:sz w:val="20"/>
                <w:szCs w:val="20"/>
                <w:color w:val="auto"/>
              </w:rPr>
            </w:pPr>
            <w:r>
              <w:rPr>
                <w:rFonts w:ascii="Arial" w:cs="Arial" w:eastAsia="Arial" w:hAnsi="Arial"/>
                <w:sz w:val="14"/>
                <w:szCs w:val="14"/>
                <w:b w:val="1"/>
                <w:bCs w:val="1"/>
                <w:color w:val="auto"/>
                <w:w w:val="94"/>
              </w:rPr>
              <w:t>(a Delaware limited liability company)</w:t>
            </w:r>
          </w:p>
        </w:tc>
      </w:tr>
      <w:tr>
        <w:trPr>
          <w:trHeight w:val="426"/>
        </w:trPr>
        <w:tc>
          <w:tcPr>
            <w:tcW w:w="4080" w:type="dxa"/>
            <w:vAlign w:val="bottom"/>
          </w:tcPr>
          <w:p>
            <w:pPr>
              <w:jc w:val="center"/>
              <w:ind w:right="1594"/>
              <w:spacing w:after="0"/>
              <w:rPr>
                <w:sz w:val="20"/>
                <w:szCs w:val="20"/>
                <w:color w:val="auto"/>
              </w:rPr>
            </w:pPr>
            <w:r>
              <w:rPr>
                <w:rFonts w:ascii="Arial" w:cs="Arial" w:eastAsia="Arial" w:hAnsi="Arial"/>
                <w:sz w:val="18"/>
                <w:szCs w:val="18"/>
                <w:b w:val="1"/>
                <w:bCs w:val="1"/>
                <w:color w:val="auto"/>
                <w:w w:val="88"/>
              </w:rPr>
              <w:t>Debt Securities</w:t>
            </w:r>
          </w:p>
        </w:tc>
        <w:tc>
          <w:tcPr>
            <w:tcW w:w="4200" w:type="dxa"/>
            <w:vAlign w:val="bottom"/>
          </w:tcPr>
          <w:p>
            <w:pPr>
              <w:jc w:val="center"/>
              <w:ind w:left="1594"/>
              <w:spacing w:after="0"/>
              <w:rPr>
                <w:sz w:val="20"/>
                <w:szCs w:val="20"/>
                <w:color w:val="auto"/>
              </w:rPr>
            </w:pPr>
            <w:r>
              <w:rPr>
                <w:rFonts w:ascii="Arial" w:cs="Arial" w:eastAsia="Arial" w:hAnsi="Arial"/>
                <w:sz w:val="18"/>
                <w:szCs w:val="18"/>
                <w:b w:val="1"/>
                <w:bCs w:val="1"/>
                <w:color w:val="auto"/>
                <w:w w:val="88"/>
              </w:rPr>
              <w:t>Debt Securities</w:t>
            </w:r>
          </w:p>
        </w:tc>
      </w:tr>
      <w:tr>
        <w:trPr>
          <w:trHeight w:val="234"/>
        </w:trPr>
        <w:tc>
          <w:tcPr>
            <w:tcW w:w="4080" w:type="dxa"/>
            <w:vAlign w:val="bottom"/>
          </w:tcPr>
          <w:p>
            <w:pPr>
              <w:jc w:val="center"/>
              <w:ind w:right="1574"/>
              <w:spacing w:after="0"/>
              <w:rPr>
                <w:sz w:val="20"/>
                <w:szCs w:val="20"/>
                <w:color w:val="auto"/>
              </w:rPr>
            </w:pPr>
            <w:r>
              <w:rPr>
                <w:rFonts w:ascii="Arial" w:cs="Arial" w:eastAsia="Arial" w:hAnsi="Arial"/>
                <w:sz w:val="18"/>
                <w:szCs w:val="18"/>
                <w:b w:val="1"/>
                <w:bCs w:val="1"/>
                <w:color w:val="auto"/>
                <w:w w:val="89"/>
              </w:rPr>
              <w:t>Guarantees of Debt Securities</w:t>
            </w:r>
          </w:p>
        </w:tc>
        <w:tc>
          <w:tcPr>
            <w:tcW w:w="4200" w:type="dxa"/>
            <w:vAlign w:val="bottom"/>
          </w:tcPr>
          <w:p>
            <w:pPr>
              <w:jc w:val="center"/>
              <w:ind w:left="1594"/>
              <w:spacing w:after="0"/>
              <w:rPr>
                <w:sz w:val="20"/>
                <w:szCs w:val="20"/>
                <w:color w:val="auto"/>
              </w:rPr>
            </w:pPr>
            <w:r>
              <w:rPr>
                <w:rFonts w:ascii="Arial" w:cs="Arial" w:eastAsia="Arial" w:hAnsi="Arial"/>
                <w:sz w:val="18"/>
                <w:szCs w:val="18"/>
                <w:b w:val="1"/>
                <w:bCs w:val="1"/>
                <w:color w:val="auto"/>
                <w:w w:val="88"/>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w:t>
      </w:r>
      <w:hyperlink w:anchor="page93">
        <w:r>
          <w:rPr>
            <w:rFonts w:ascii="Arial" w:cs="Arial" w:eastAsia="Arial" w:hAnsi="Arial"/>
            <w:sz w:val="19"/>
            <w:szCs w:val="19"/>
            <w:b w:val="1"/>
            <w:bCs w:val="1"/>
            <w:u w:val="single" w:color="auto"/>
            <w:color w:val="0000EE"/>
          </w:rPr>
          <w:t>Forward-Looking Statements</w:t>
        </w:r>
      </w:hyperlink>
      <w:r>
        <w:rPr>
          <w:rFonts w:ascii="Arial" w:cs="Arial" w:eastAsia="Arial" w:hAnsi="Arial"/>
          <w:sz w:val="19"/>
          <w:szCs w:val="19"/>
          <w:b w:val="1"/>
          <w:bCs w:val="1"/>
          <w:color w:val="auto"/>
        </w:rPr>
        <w:t>” on page 3 and “</w:t>
      </w:r>
      <w:hyperlink w:anchor="page94">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June 17, 2014.</w:t>
      </w:r>
    </w:p>
    <w:p>
      <w:pPr>
        <w:sectPr>
          <w:pgSz w:w="11900" w:h="16838" w:orient="portrait"/>
          <w:cols w:equalWidth="0" w:num="1">
            <w:col w:w="11340"/>
          </w:cols>
          <w:pgMar w:left="240" w:top="459"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444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98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80" w:type="dxa"/>
            <w:vAlign w:val="bottom"/>
          </w:tcPr>
          <w:p>
            <w:pPr>
              <w:ind w:left="60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80" w:type="dxa"/>
            <w:vAlign w:val="bottom"/>
          </w:tcPr>
          <w:p>
            <w:pPr>
              <w:jc w:val="center"/>
              <w:ind w:left="6510"/>
              <w:spacing w:after="0"/>
              <w:rPr>
                <w:sz w:val="20"/>
                <w:szCs w:val="20"/>
                <w:color w:val="auto"/>
              </w:rPr>
            </w:pPr>
            <w:r>
              <w:rPr>
                <w:rFonts w:ascii="Arial" w:cs="Arial" w:eastAsia="Arial" w:hAnsi="Arial"/>
                <w:sz w:val="18"/>
                <w:szCs w:val="18"/>
                <w:b w:val="1"/>
                <w:bCs w:val="1"/>
                <w:color w:val="auto"/>
                <w:w w:val="88"/>
              </w:rPr>
              <w:t>Page</w:t>
            </w:r>
          </w:p>
        </w:tc>
      </w:tr>
      <w:tr>
        <w:trPr>
          <w:trHeight w:val="284"/>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ABOUT THIS PROSPECTUS</w:t>
              </w:r>
            </w:hyperlink>
          </w:p>
        </w:tc>
        <w:tc>
          <w:tcPr>
            <w:tcW w:w="2200" w:type="dxa"/>
            <w:vAlign w:val="bottom"/>
            <w:gridSpan w:val="6"/>
          </w:tcPr>
          <w:p>
            <w:pPr>
              <w:spacing w:after="0"/>
              <w:rPr>
                <w:sz w:val="24"/>
                <w:szCs w:val="24"/>
                <w:color w:val="auto"/>
              </w:rPr>
            </w:pPr>
          </w:p>
        </w:tc>
        <w:tc>
          <w:tcPr>
            <w:tcW w:w="6980" w:type="dxa"/>
            <w:vAlign w:val="bottom"/>
          </w:tcPr>
          <w:p>
            <w:pPr>
              <w:jc w:val="center"/>
              <w:ind w:left="6510"/>
              <w:spacing w:after="0"/>
              <w:rPr>
                <w:sz w:val="20"/>
                <w:szCs w:val="20"/>
                <w:color w:val="auto"/>
              </w:rPr>
            </w:pPr>
            <w:r>
              <w:rPr>
                <w:rFonts w:ascii="Arial" w:cs="Arial" w:eastAsia="Arial" w:hAnsi="Arial"/>
                <w:sz w:val="18"/>
                <w:szCs w:val="18"/>
                <w:color w:val="auto"/>
                <w:w w:val="99"/>
              </w:rPr>
              <w:t>1</w:t>
            </w: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ABOUT US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1</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WHERE YOU CAN FIND MORE INFORMATION</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2</w:t>
            </w:r>
          </w:p>
        </w:tc>
      </w:tr>
      <w:tr>
        <w:trPr>
          <w:trHeight w:val="196"/>
        </w:trPr>
        <w:tc>
          <w:tcPr>
            <w:tcW w:w="3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FORWARD LOOKING STATEMENTS</w:t>
              </w:r>
            </w:hyperlink>
          </w:p>
        </w:tc>
        <w:tc>
          <w:tcPr>
            <w:tcW w:w="620" w:type="dxa"/>
            <w:vAlign w:val="bottom"/>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3</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RISK FACTORS</w:t>
              </w:r>
            </w:hyperlink>
          </w:p>
        </w:tc>
        <w:tc>
          <w:tcPr>
            <w:tcW w:w="1660" w:type="dxa"/>
            <w:vAlign w:val="bottom"/>
            <w:tcBorders>
              <w:top w:val="single" w:sz="8" w:color="0000EE"/>
            </w:tcBorders>
            <w:gridSpan w:val="8"/>
          </w:tcPr>
          <w:p>
            <w:pPr>
              <w:spacing w:after="0"/>
              <w:rPr>
                <w:sz w:val="17"/>
                <w:szCs w:val="17"/>
                <w:color w:val="auto"/>
              </w:rPr>
            </w:pPr>
          </w:p>
        </w:tc>
        <w:tc>
          <w:tcPr>
            <w:tcW w:w="1520" w:type="dxa"/>
            <w:vAlign w:val="bottom"/>
            <w:gridSpan w:val="3"/>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4</w:t>
            </w: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USE OF PROCEEDS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RATIO OF EARNINGS TO FIXED CHARGES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4</w:t>
            </w:r>
          </w:p>
        </w:tc>
      </w:tr>
      <w:tr>
        <w:trPr>
          <w:trHeight w:val="196"/>
        </w:trPr>
        <w:tc>
          <w:tcPr>
            <w:tcW w:w="2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95">
              <w:r>
                <w:rPr>
                  <w:rFonts w:ascii="Arial" w:cs="Arial" w:eastAsia="Arial" w:hAnsi="Arial"/>
                  <w:sz w:val="18"/>
                  <w:szCs w:val="18"/>
                  <w:color w:val="0000EE"/>
                  <w:w w:val="94"/>
                </w:rPr>
                <w:t>DESCRIPTION OF SECURITIES</w:t>
              </w:r>
            </w:hyperlink>
          </w:p>
        </w:tc>
        <w:tc>
          <w:tcPr>
            <w:tcW w:w="960" w:type="dxa"/>
            <w:vAlign w:val="bottom"/>
            <w:tcBorders>
              <w:top w:val="single" w:sz="8" w:color="0000EE"/>
            </w:tcBorders>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252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SELLING SECURITYHOLDERS</w:t>
              </w:r>
            </w:hyperlink>
          </w:p>
        </w:tc>
        <w:tc>
          <w:tcPr>
            <w:tcW w:w="1920" w:type="dxa"/>
            <w:vAlign w:val="bottom"/>
            <w:gridSpan w:val="5"/>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PLAN OF DISTRIBUTION</w:t>
              </w:r>
            </w:hyperlink>
          </w:p>
        </w:tc>
        <w:tc>
          <w:tcPr>
            <w:tcW w:w="2380" w:type="dxa"/>
            <w:vAlign w:val="bottom"/>
            <w:gridSpan w:val="7"/>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2980" w:type="dxa"/>
            <w:vAlign w:val="bottom"/>
            <w:gridSpan w:val="9"/>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bl>
    <w:p>
      <w:pPr>
        <w:jc w:val="center"/>
        <w:ind w:left="6510"/>
        <w:spacing w:after="0" w:line="196" w:lineRule="exact"/>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66"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Bahnhofstrasse 1, 6340 Baar, Switzerland and our telephone number at that location is +41.22.816.1500.</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92" w:lineRule="exact"/>
        <w:rPr>
          <w:sz w:val="20"/>
          <w:szCs w:val="20"/>
          <w:color w:val="auto"/>
        </w:rPr>
      </w:pPr>
    </w:p>
    <w:p>
      <w:pPr>
        <w:ind w:left="900" w:right="34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SEC on February 25, 2014;</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Weatherford Switzerland’s Quarterly Report on Form 10-Q for the quarter ended March 31, 2014, as filed with the SEC on April 29, 2014;</w:t>
      </w:r>
    </w:p>
    <w:p>
      <w:pPr>
        <w:spacing w:after="0" w:line="142" w:lineRule="exact"/>
        <w:rPr>
          <w:rFonts w:ascii="Arial" w:cs="Arial" w:eastAsia="Arial" w:hAnsi="Arial"/>
          <w:sz w:val="17"/>
          <w:szCs w:val="17"/>
          <w:color w:val="auto"/>
        </w:rPr>
      </w:pPr>
    </w:p>
    <w:p>
      <w:pPr>
        <w:ind w:left="900" w:right="12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(713) 836-4000</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right="86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24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9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March 31, 2014</w:t>
            </w:r>
          </w:p>
        </w:tc>
        <w:tc>
          <w:tcPr>
            <w:tcW w:w="6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2.30x</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1.34x</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1.51x</w:t>
            </w:r>
          </w:p>
        </w:tc>
        <w:tc>
          <w:tcPr>
            <w:tcW w:w="10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340" w:right="220" w:hanging="332"/>
        <w:spacing w:after="0" w:line="25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For the three months ended March 31, 2014 and for the years ended December 31, 2013 and 2012, earnings before fixed charges were inadequate to cover fixed charges by $7 million, $211 million and $349 million, respectively.</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677545</wp:posOffset>
            </wp:positionV>
            <wp:extent cx="1397635" cy="6172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Weatherford International Ltd.</w:t>
      </w:r>
    </w:p>
    <w:p>
      <w:pPr>
        <w:spacing w:after="0" w:line="305" w:lineRule="exact"/>
        <w:rPr>
          <w:sz w:val="20"/>
          <w:szCs w:val="20"/>
          <w:color w:val="auto"/>
        </w:rPr>
      </w:pPr>
    </w:p>
    <w:p>
      <w:pPr>
        <w:ind w:left="4500"/>
        <w:spacing w:after="0"/>
        <w:rPr>
          <w:sz w:val="20"/>
          <w:szCs w:val="20"/>
          <w:color w:val="auto"/>
        </w:rPr>
      </w:pPr>
      <w:r>
        <w:rPr>
          <w:rFonts w:ascii="Arial" w:cs="Arial" w:eastAsia="Arial" w:hAnsi="Arial"/>
          <w:sz w:val="32"/>
          <w:szCs w:val="32"/>
          <w:b w:val="1"/>
          <w:bCs w:val="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Mandatory Exchangeable Subordinated Notes due 2018</w:t>
      </w:r>
    </w:p>
    <w:p>
      <w:pPr>
        <w:spacing w:after="0" w:line="8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 xml:space="preserve">Guaranteed on an unsecured basis by </w:t>
      </w:r>
      <w:r>
        <w:rPr>
          <w:rFonts w:ascii="Arial" w:cs="Arial" w:eastAsia="Arial" w:hAnsi="Arial"/>
          <w:sz w:val="18"/>
          <w:szCs w:val="18"/>
          <w:b w:val="1"/>
          <w:bCs w:val="1"/>
          <w:color w:val="auto"/>
        </w:rPr>
        <w:t>Weatherford International plc</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 xml:space="preserve">Exchangeable for ordinary shares of </w:t>
      </w:r>
      <w:r>
        <w:rPr>
          <w:rFonts w:ascii="Arial" w:cs="Arial" w:eastAsia="Arial" w:hAnsi="Arial"/>
          <w:sz w:val="18"/>
          <w:szCs w:val="18"/>
          <w:b w:val="1"/>
          <w:bCs w:val="1"/>
          <w:color w:val="auto"/>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530225</wp:posOffset>
            </wp:positionV>
            <wp:extent cx="1517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158" w:lineRule="exact"/>
        <w:rPr>
          <w:sz w:val="20"/>
          <w:szCs w:val="20"/>
          <w:color w:val="auto"/>
        </w:rPr>
      </w:pPr>
    </w:p>
    <w:p>
      <w:pPr>
        <w:ind w:left="4660"/>
        <w:spacing w:after="0"/>
        <w:tabs>
          <w:tab w:leader="none" w:pos="6300" w:val="left"/>
        </w:tabs>
        <w:rPr>
          <w:sz w:val="20"/>
          <w:szCs w:val="20"/>
          <w:color w:val="auto"/>
        </w:rPr>
      </w:pPr>
      <w:r>
        <w:rPr>
          <w:rFonts w:ascii="Arial" w:cs="Arial" w:eastAsia="Arial" w:hAnsi="Arial"/>
          <w:sz w:val="18"/>
          <w:szCs w:val="18"/>
          <w:b w:val="1"/>
          <w:bCs w:val="1"/>
          <w:color w:val="auto"/>
        </w:rPr>
        <w:t>SEPTEMBER</w:t>
      </w:r>
      <w:r>
        <w:rPr>
          <w:sz w:val="20"/>
          <w:szCs w:val="20"/>
          <w:color w:val="auto"/>
        </w:rPr>
        <w:tab/>
      </w: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8300" w:val="left"/>
        </w:tabs>
        <w:rPr>
          <w:sz w:val="20"/>
          <w:szCs w:val="20"/>
          <w:color w:val="auto"/>
        </w:rPr>
      </w:pPr>
      <w:r>
        <w:rPr>
          <w:rFonts w:ascii="Arial" w:cs="Arial" w:eastAsia="Arial" w:hAnsi="Arial"/>
          <w:sz w:val="53"/>
          <w:szCs w:val="53"/>
          <w:b w:val="1"/>
          <w:bCs w:val="1"/>
          <w:color w:val="auto"/>
          <w:vertAlign w:val="superscript"/>
        </w:rPr>
        <w:t>Citigroup</w:t>
      </w:r>
      <w:r>
        <w:rPr>
          <w:sz w:val="20"/>
          <w:szCs w:val="20"/>
          <w:color w:val="auto"/>
        </w:rPr>
        <w:tab/>
      </w:r>
      <w:r>
        <w:rPr>
          <w:rFonts w:ascii="Arial" w:cs="Arial" w:eastAsia="Arial" w:hAnsi="Arial"/>
          <w:sz w:val="28"/>
          <w:szCs w:val="28"/>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lvl w:ilvl="1">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
    <w:nsid w:val="7A6D8D3C"/>
    <w:multiLevelType w:val="hybridMultilevel"/>
    <w:lvl w:ilvl="0">
      <w:lvlJc w:val="left"/>
      <w:lvlText w:val="%1"/>
      <w:numFmt w:val="decimal"/>
      <w:start w:val="1"/>
    </w:lvl>
    <w:lvl w:ilvl="1">
      <w:lvlJc w:val="left"/>
      <w:lvlText w:val="(%2)"/>
      <w:numFmt w:val="lowerLetter"/>
      <w:start w:val="2"/>
    </w:lvl>
  </w:abstractNum>
  <w:abstractNum w:abstractNumId="15">
    <w:nsid w:val="4B588F54"/>
    <w:multiLevelType w:val="hybridMultilevel"/>
    <w:lvl w:ilvl="0">
      <w:lvlJc w:val="left"/>
      <w:lvlText w:val="(%1)"/>
      <w:numFmt w:val="decimal"/>
      <w:start w:val="2"/>
    </w:lvl>
    <w:lvl w:ilvl="1">
      <w:lvlJc w:val="left"/>
      <w:lvlText w:val="%2"/>
      <w:numFmt w:val="lowerLetter"/>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lvl w:ilvl="1">
      <w:lvlJc w:val="left"/>
      <w:lvlText w:val="%2)"/>
      <w:numFmt w:val="lowerLetter"/>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lowerLetter"/>
      <w:start w:val="2"/>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2"/>
    </w:lvl>
  </w:abstractNum>
  <w:abstractNum w:abstractNumId="30">
    <w:nsid w:val="520EEDD1"/>
    <w:multiLevelType w:val="hybridMultilevel"/>
    <w:lvl w:ilvl="0">
      <w:lvlJc w:val="left"/>
      <w:lvlText w:val="(%1)"/>
      <w:numFmt w:val="decimal"/>
      <w:start w:val="3"/>
    </w:lvl>
    <w:lvl w:ilvl="1">
      <w:lvlJc w:val="left"/>
      <w:lvlText w:val="•"/>
      <w:numFmt w:val="bullet"/>
      <w:start w:val="1"/>
    </w:lvl>
  </w:abstractNum>
  <w:abstractNum w:abstractNumId="31">
    <w:nsid w:val="374A3FE6"/>
    <w:multiLevelType w:val="hybridMultilevel"/>
    <w:lvl w:ilvl="0">
      <w:lvlJc w:val="left"/>
      <w:lvlText w:val="(%1)"/>
      <w:numFmt w:val="decimal"/>
      <w:start w:val="4"/>
    </w:lvl>
  </w:abstractNum>
  <w:abstractNum w:abstractNumId="32">
    <w:nsid w:val="4F4EF005"/>
    <w:multiLevelType w:val="hybridMultilevel"/>
    <w:lvl w:ilvl="0">
      <w:lvlJc w:val="left"/>
      <w:lvlText w:val="(%1)"/>
      <w:numFmt w:val="decimal"/>
      <w:start w:val="5"/>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2"/>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2"/>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lowerRoman"/>
      <w:start w:val="2"/>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lvl w:ilvl="1">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lowerRoman"/>
      <w:start w:val="3"/>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decimal"/>
      <w:start w:val="713"/>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2019-12-20T22:28:35Z</dcterms:created>
  <dcterms:modified xsi:type="dcterms:W3CDTF">2019-12-20T22:28:35Z</dcterms:modified>
</cp:coreProperties>
</file>