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plc</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94"/>
              </w:rPr>
              <w:t>Ireland</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98-0606750</w:t>
            </w:r>
          </w:p>
        </w:tc>
        <w:tc>
          <w:tcPr>
            <w:tcW w:w="0" w:type="dxa"/>
            <w:vAlign w:val="bottom"/>
          </w:tcPr>
          <w:p>
            <w:pPr>
              <w:spacing w:after="0"/>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5380" w:type="dxa"/>
            <w:vAlign w:val="bottom"/>
          </w:tcPr>
          <w:p>
            <w:pPr>
              <w:ind w:left="940"/>
              <w:spacing w:after="0"/>
              <w:rPr>
                <w:sz w:val="20"/>
                <w:szCs w:val="20"/>
                <w:color w:val="auto"/>
              </w:rPr>
            </w:pPr>
            <w:r>
              <w:rPr>
                <w:rFonts w:ascii="Arial" w:cs="Arial" w:eastAsia="Arial" w:hAnsi="Arial"/>
                <w:sz w:val="18"/>
                <w:szCs w:val="18"/>
                <w:b w:val="1"/>
                <w:bCs w:val="1"/>
                <w:color w:val="auto"/>
              </w:rPr>
              <w:t>2000 St. James Place, Houston,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86"/>
              </w:rPr>
              <w:t>Texas</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77056</w:t>
            </w: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ectPr>
          <w:pgSz w:w="11900" w:h="16838" w:orient="portrait"/>
          <w:cols w:equalWidth="0" w:num="1">
            <w:col w:w="11240"/>
          </w:cols>
          <w:pgMar w:left="320" w:top="891"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Title of Each Class to be so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Ordinary Shares,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w:t>
      </w:r>
    </w:p>
    <w:p>
      <w:pPr>
        <w:spacing w:after="0" w:line="5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-824230</wp:posOffset>
            </wp:positionH>
            <wp:positionV relativeFrom="paragraph">
              <wp:posOffset>13335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2">
            <w:col w:w="6540" w:space="720"/>
            <w:col w:w="3980"/>
          </w:cols>
          <w:pgMar w:left="320" w:top="891" w:right="339" w:bottom="1440" w:gutter="0" w:footer="0" w:header="0"/>
          <w:type w:val="continuous"/>
        </w:sectPr>
      </w:pP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40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20" w:type="dxa"/>
            <w:vAlign w:val="bottom"/>
            <w:vMerge w:val="continue"/>
          </w:tcPr>
          <w:p>
            <w:pPr>
              <w:spacing w:after="0"/>
              <w:rPr>
                <w:sz w:val="18"/>
                <w:szCs w:val="18"/>
                <w:color w:val="auto"/>
              </w:rPr>
            </w:pPr>
          </w:p>
        </w:tc>
        <w:tc>
          <w:tcPr>
            <w:tcW w:w="5360" w:type="dxa"/>
            <w:vAlign w:val="bottom"/>
          </w:tcPr>
          <w:p>
            <w:pPr>
              <w:ind w:left="340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4"/>
              </w:rPr>
              <w:t>Emerging growth company</w:t>
            </w:r>
          </w:p>
        </w:tc>
        <w:tc>
          <w:tcPr>
            <w:tcW w:w="36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8"/>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r>
      <w:tr>
        <w:trPr>
          <w:trHeight w:val="190"/>
        </w:trPr>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0000EE"/>
            </w:tcBorders>
            <w:gridSpan w:val="15"/>
            <w:shd w:val="clear" w:color="auto" w:fill="CCEEFF"/>
          </w:tcPr>
          <w:p>
            <w:pPr>
              <w:spacing w:after="0" w:line="169"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Note Regarding Forward - Looking Statements</w:t>
              </w:r>
            </w:hyperlink>
          </w:p>
        </w:tc>
        <w:tc>
          <w:tcPr>
            <w:tcW w:w="4740" w:type="dxa"/>
            <w:vAlign w:val="bottom"/>
            <w:tcBorders>
              <w:bottom w:val="single" w:sz="8" w:color="CCEEFF"/>
            </w:tcBorders>
            <w:gridSpan w:val="5"/>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0000EE"/>
            </w:tcBorders>
            <w:shd w:val="clear" w:color="auto" w:fill="CCEEFF"/>
          </w:tcPr>
          <w:p>
            <w:pPr>
              <w:jc w:val="center"/>
              <w:spacing w:after="0" w:line="169"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r>
      <w:tr>
        <w:trPr>
          <w:trHeight w:val="175"/>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540" w:type="dxa"/>
            <w:vAlign w:val="bottom"/>
            <w:gridSpan w:val="4"/>
          </w:tcPr>
          <w:p>
            <w:pPr>
              <w:jc w:val="center"/>
              <w:ind w:left="2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40" w:type="dxa"/>
            <w:vAlign w:val="bottom"/>
            <w:tcBorders>
              <w:bottom w:val="single" w:sz="8" w:color="CCEEFF"/>
            </w:tcBorders>
            <w:gridSpan w:val="19"/>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40" w:type="dxa"/>
            <w:vAlign w:val="bottom"/>
            <w:gridSpan w:val="4"/>
          </w:tcPr>
          <w:p>
            <w:pPr>
              <w:jc w:val="center"/>
              <w:ind w:left="270"/>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8</w:t>
              </w:r>
            </w:hyperlink>
          </w:p>
        </w:tc>
        <w:tc>
          <w:tcPr>
            <w:tcW w:w="36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840" w:type="dxa"/>
            <w:vAlign w:val="bottom"/>
            <w:gridSpan w:val="3"/>
            <w:shd w:val="clear" w:color="auto" w:fill="CCEEFF"/>
          </w:tcPr>
          <w:p>
            <w:pPr>
              <w:spacing w:after="0"/>
              <w:rPr>
                <w:sz w:val="15"/>
                <w:szCs w:val="15"/>
                <w:color w:val="auto"/>
              </w:rPr>
            </w:pPr>
          </w:p>
        </w:tc>
        <w:tc>
          <w:tcPr>
            <w:tcW w:w="15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Financial Information</w:t>
              </w:r>
            </w:hyperlink>
          </w:p>
        </w:tc>
        <w:tc>
          <w:tcPr>
            <w:tcW w:w="7400" w:type="dxa"/>
            <w:vAlign w:val="bottom"/>
            <w:gridSpan w:val="13"/>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40" w:type="dxa"/>
            <w:vAlign w:val="bottom"/>
            <w:gridSpan w:val="3"/>
          </w:tcPr>
          <w:p>
            <w:pPr>
              <w:spacing w:after="0"/>
              <w:rPr>
                <w:sz w:val="15"/>
                <w:szCs w:val="15"/>
                <w:color w:val="auto"/>
              </w:rPr>
            </w:pPr>
          </w:p>
        </w:tc>
        <w:tc>
          <w:tcPr>
            <w:tcW w:w="158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400" w:type="dxa"/>
            <w:vAlign w:val="bottom"/>
            <w:gridSpan w:val="13"/>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840" w:type="dxa"/>
            <w:vAlign w:val="bottom"/>
            <w:gridSpan w:val="3"/>
            <w:shd w:val="clear" w:color="auto" w:fill="CCEEFF"/>
          </w:tcPr>
          <w:p>
            <w:pPr>
              <w:spacing w:after="0"/>
              <w:rPr>
                <w:sz w:val="15"/>
                <w:szCs w:val="15"/>
                <w:color w:val="auto"/>
              </w:rPr>
            </w:pPr>
          </w:p>
        </w:tc>
        <w:tc>
          <w:tcPr>
            <w:tcW w:w="4880" w:type="dxa"/>
            <w:vAlign w:val="bottom"/>
            <w:gridSpan w:val="16"/>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Security Ownership of Certain Beneficial Owners and Management</w:t>
              </w:r>
            </w:hyperlink>
          </w:p>
        </w:tc>
        <w:tc>
          <w:tcPr>
            <w:tcW w:w="4100" w:type="dxa"/>
            <w:vAlign w:val="bottom"/>
            <w:gridSpan w:val="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840" w:type="dxa"/>
            <w:vAlign w:val="bottom"/>
            <w:gridSpan w:val="3"/>
          </w:tcPr>
          <w:p>
            <w:pPr>
              <w:spacing w:after="0"/>
              <w:rPr>
                <w:sz w:val="15"/>
                <w:szCs w:val="15"/>
                <w:color w:val="auto"/>
              </w:rPr>
            </w:pPr>
          </w:p>
        </w:tc>
        <w:tc>
          <w:tcPr>
            <w:tcW w:w="4880" w:type="dxa"/>
            <w:vAlign w:val="bottom"/>
            <w:gridSpan w:val="1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Directors and Executive Officers</w:t>
              </w:r>
            </w:hyperlink>
          </w:p>
        </w:tc>
        <w:tc>
          <w:tcPr>
            <w:tcW w:w="410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840" w:type="dxa"/>
            <w:vAlign w:val="bottom"/>
            <w:gridSpan w:val="3"/>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7.</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8.</w:t>
              </w:r>
            </w:hyperlink>
          </w:p>
        </w:tc>
        <w:tc>
          <w:tcPr>
            <w:tcW w:w="840" w:type="dxa"/>
            <w:vAlign w:val="bottom"/>
            <w:gridSpan w:val="3"/>
            <w:shd w:val="clear" w:color="auto" w:fill="CCEEFF"/>
          </w:tcPr>
          <w:p>
            <w:pPr>
              <w:spacing w:after="0"/>
              <w:rPr>
                <w:sz w:val="15"/>
                <w:szCs w:val="15"/>
                <w:color w:val="auto"/>
              </w:rPr>
            </w:pPr>
          </w:p>
        </w:tc>
        <w:tc>
          <w:tcPr>
            <w:tcW w:w="1340" w:type="dxa"/>
            <w:vAlign w:val="bottom"/>
            <w:gridSpan w:val="6"/>
            <w:shd w:val="clear" w:color="auto" w:fill="CCEEFF"/>
          </w:tcPr>
          <w:p>
            <w:pPr>
              <w:spacing w:after="0" w:line="17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7640" w:type="dxa"/>
            <w:vAlign w:val="bottom"/>
            <w:gridSpan w:val="1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9.</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Market Price of and Dividends on the Registrant’s Common Equity and Related Stockholder Matters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10.</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Recent Sales of Unregistered Securities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11.</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Registrant’s Securities to be Registered</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Indemnification of Directors and Officers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13.</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15.</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Exhibits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r>
      <w:tr>
        <w:trPr>
          <w:trHeight w:val="675"/>
        </w:trPr>
        <w:tc>
          <w:tcPr>
            <w:tcW w:w="5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all references in this registration statement to “Weatherford”, the “Company,” “we,” “us,” and “our” refer to Weatherford International plc, an Irish public limited company, and all of its wholly-owned and majority-owned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registration statement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“Item 1A. – Risk Factors,” sets forth certain risks and uncertainties relating to our forward-looking statements that may cause actual results to be materially different from our present expectations or projections:</w:t>
      </w:r>
    </w:p>
    <w:p>
      <w:pPr>
        <w:spacing w:after="0" w:line="195"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as well as stock exchange listing rules.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registration statement as anticipated, believed, estimated, expected, intended, planned or projected.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Securities and Exchange Commission (the “SEC”) or under future filings pursuant to the Securities Exchange Act of 1934 (as amended, the “Exchange Act”) and the Securities Act of 1933 (as amended, the “Securities Act”). For additional information regarding risks and uncertainties, see our other filings with the SEC. In the event of an inconsistency between any prior or current SEC filing, the most current SEC filing would control.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Weatherford International plc is filing this Amendment No. 2 to the General Form for Registration of Securities on Form 10 to register its ordinary shares, par value $0.001 per share (“Ordinary Shares”), pursuant to Section 12(b) of the Exchange Act, because we are seeking to list our Ordinary Shares on The Nasdaq Stock Market LLC (“Nasdaq”). We have filed a listing application to list our Ordinary Shares on Nasdaq under the symbol “WFRD”. We refer to the initial listing of our Ordinary Shares on Nasdaq throughout this registration statement as the “listing.”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April 2020, our Ordinary Shares have traded on the OTC Pink Marketplace under the ticker symbol “WFTLF” following the delisting of our Ordinary Shares from the New York Stock Exchange (“NYSE”) after our emergence from bankruptcy, as detailed below, and we have continued filing periodic reports with the SEC on a voluntary basis. Upon this registration statement becoming effective, we will be required to file annual reports on Form 10-K, quarterly reports on Form 10-Q, and current reports on Form 8-K and to comply with all other obligations of the Exchange Act applicable to issuers filing registration statements pursuant to Section 12(b) of the Exchange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2019, Weatherford International plc and two of our subsidiaries (collectively, the “Weatherford Parties”)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Our plan of reorganization (as amended, the “Plan”), together with the schemes of arrangement in Ireland and Bermuda, became effective on December 13, 2019 (the “Effective Date”) and the Weatherford Parties emerged from Chapter 11.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emergence from Chapter 11, on the Effective Date, we adopted and applied the relevant guidance with respect to the accounting and financial reporting for entities that have emerged from bankruptcy proceedings (“Fresh Start Accounting”). Under Fresh Start Accounting, our balance sheet on the Effective Date reflected all our assets and liabilities at fair value. As described in “Part II – Item 8. – Financial Statements and Supplementary Data – Notes to Consolidated Financial Statements – Note 1 – Summary of Significant Accounting Policies” of the Annual Report on Form 10-K for the year ended December 31, 2020, filed with the SEC on February 19, 2021 as amended on Form 10-K/A on March 18, 2021 (the “Form 10-K”), references to “Predecessor” relate to the Consolidated Statements of Operations for the period from January 1, 2019 through and including the adjustments from the application of Fresh Start Accounting on December 13, 2019 and for the year ended December 31, 2018 (“Predecessor Periods”). References to “Successor” relate to the Consolidated Statements of Operations for the year ended December 31, 2020 and the period from December 14, 2019 through December 31, 2019 (“Successor Periods”). References and comparisons to results for the year ended December 31, 2019 relate to the combined Successor and Predecessor Periods for the year ended December 31, 2019, as the 18 days of the Successor Period is not a significant period of time impacting the combined 2019 results.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financial statements and supplementary information required to be included herein are incorporated by reference to specifically identified portions of the Form 10-K or the Quarterly Report on Form 10-Q for the quarter ended March 31, 2021, filed with the SEC on May 6, 2021 (the “Form 10-Q”). None of the information contained in the Form 10-K or the Form 10-Q shall be incorporated by reference herein or deemed to be a part hereof unless such information is expressly incorporated by reference.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Weatherford is a multinational oilfield service company that is a leading wellbore and production solution company providing equipment and services used in the drilling, evaluation, completion, production and intervention of oil and natural gas wells. We were originally incorporated in Delaware in 1972 and are currently incorporated in Ireland. Many of our businesses, including those of our predecessor companies, have been operating for more than 50 years.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conduct operations in over 75 countries, answering the challenges of the energy industry with approximately 390 operating locations including manufacturing, research and development, service and training facilities. Our operational performance is reviewed on a geographic basis and we report our Western Hemisphere and Eastern Hemisphere as separate and distinct reporting segments.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executive offices are located at 2000 St. James Place, Houston, Texas 77056 and our telephone number at that location is (713) 836-4000. Our internet address is www.weatherford.com. General information about us, including our corporate governance policies, code of business conduct and charters for the committees of our Board of Directors (the “Board”), can be found on our website. On our website we make available, free of charge, our annual reports on Form 10-K, quarterly reports on Form 10-Q, current reports on Form 8-K and amendments to those reports filed or furnished as soon as reasonably practicable after we electronically file or furnish them to the SEC. The SEC maintains a website that contains our reports, historic proxy and information statements (currently not applicable to us) and our other SEC filings. The address of that site is 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COVID-19 pandemic, travel constraints and access restrictions to customer work locations continue to cause significant uncertainty for the global economy, resulting in the continued significant decline in the global demand for oil and gas and related customer activity shutdowns. This continues to cause an imbalance in the supply and demand for oil and gas. The impacts of the COVID-19 pandemic together with uncertainty around the extent and timing for an economic recovery, caused significant market volatility of commodity prices in the first half of 2020 and resulted in significant reductions to the capital spending during 2020 of our primary customer base which consists of exploration and production companies, with lowering expectations of oil and gas related spending into 2021 and beyond. In addition, the risk of additional COVID-19 related restrictions or lockdowns remains, which creates further uncertainty in the global economic outlook and impact on oil and gas markets.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continue to closely monitor the global impacts surrounding the COVID-19 pandemic, including operational and manufacturing disruptions, logistical constraints and travel restrictions. These factors have negatively impacted our ability to operate and we expect these negative impacts to continue.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Faced with these challenges, we have evolved our digital portfolio and enhanced our applications to offer fully-integrated digital oilfield solutions. We have also increased our offerings of automated well construction and remote monitoring and predictive analytics related to our production offerings. Finally, we continuously improve crew rotations and management practices to minimize our employees’ exposure to COVID-19. Our identification and management of COVID-19 cases continues to improve, through updated protocols, advanced testing and response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Emergence from Bankruptcy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2019, the Weatherford Parties commenced the Cases in the Bankruptcy Court, with ancillary proceedings filed in Ireland and Bermuda. The Plan, together with the schemes of arrangement in Ireland and Bermuda, became effective on the Effective Date and the Weatherford Parties emerged from Chapter 11.</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Effective Date, the Weatherford Parties’ then-existing unsecured senior and exchangeable senior notes totaling $7.6 billion were cancelled pursuant to the terms of the Plan. At such time in accordance with the Plan, all previously issued and outstanding equity interests in the Company were cancelled and the Company issued an aggregate of 69,999,954 new Ordinary Shares to the holders of such senior notes and holders of old Ordinary Shares. In addition, the Company issued warrants to purchase up to an aggregate of 7,777,779 new Ordinary Shares (“Warrants”) to holders of old Ordinary Shares, subject to adjustment as set forth in the Warrant Agreement, dated December 13, 2019, by and between Weatherford International plc and American Stock Transfer and Trust Company, LLC (the “Warrant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79" w:lineRule="auto"/>
        <w:rPr>
          <w:sz w:val="20"/>
          <w:szCs w:val="20"/>
          <w:color w:val="auto"/>
        </w:rPr>
      </w:pPr>
      <w:r>
        <w:rPr>
          <w:rFonts w:ascii="Arial" w:cs="Arial" w:eastAsia="Arial" w:hAnsi="Arial"/>
          <w:sz w:val="17"/>
          <w:szCs w:val="17"/>
          <w:color w:val="auto"/>
        </w:rPr>
        <w:t>For additional details regarding the Cases, see “Part II – Item 8. – Financial Statements and Supplementary Data – Notes to Consolidated Financial Statements –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of this registration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primary objective is to build value through profitable growth in our core product lines with disciplined use of capital and a strong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focus.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customers’ objectives are continually evolving and are currently focused on lowering capital and operational expenditures, generating positive cash flow, reducing emissions, and enhancing safety. Weatherford has aligned its technology development and operations around these trends and is expanding its role as a market leading solutions provider that assists our customers in addressing their key operational challenges related to four domains:</w:t>
      </w:r>
    </w:p>
    <w:p>
      <w:pPr>
        <w:spacing w:after="0" w:line="149"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Mature Fields</w:t>
      </w:r>
      <w:r>
        <w:rPr>
          <w:rFonts w:ascii="Arial" w:cs="Arial" w:eastAsia="Arial" w:hAnsi="Arial"/>
          <w:sz w:val="17"/>
          <w:szCs w:val="17"/>
          <w:color w:val="auto"/>
        </w:rPr>
        <w:t>: rejuvenating aging assets from the reservoir to the point of sale through optimizing lift efficiency, restoring wellbore efficiency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integrity, accelerating reservoir recovery and permanently abandoning wells when they are no longer economic to produce.</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Unconventionals</w:t>
      </w:r>
      <w:r>
        <w:rPr>
          <w:rFonts w:ascii="Arial" w:cs="Arial" w:eastAsia="Arial" w:hAnsi="Arial"/>
          <w:sz w:val="16"/>
          <w:szCs w:val="16"/>
          <w:color w:val="auto"/>
        </w:rPr>
        <w:t>: enabling customers to solve reservoir challenges and maximize production by drilling faster, deeper, safer and cheaper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combating production declines through accurate reservoir evaluation, efficient well construction, effective stimulation and optimizing production.</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 reliability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well integrity through the optimization of well placement and construction.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Digitalization and Automation</w:t>
      </w:r>
      <w:r>
        <w:rPr>
          <w:rFonts w:ascii="Arial" w:cs="Arial" w:eastAsia="Arial" w:hAnsi="Arial"/>
          <w:sz w:val="17"/>
          <w:szCs w:val="17"/>
          <w:color w:val="auto"/>
        </w:rPr>
        <w:t>: leveraging our core competencies and significant presence at well sites to capture, analyze and present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customers by leveraging the internet of things, data analytics and cloud computing across our many solutions.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enabled this solution-based focus across our organization through a commitment to improving safety and service quality, embedding a returns-focused mindset in our organization and developing and commercializing new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global wellbore and production solutions company providing equipment and services to the oil and natural gas exploration and production industry. Demand for our industry’s services and products depends in part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invested substantial resources into building our technology offerings, which helps us to provide our customers with more efficient tools to find and produce oil and natural gas. Our products and services enable our customers to reduce their costs of drilling and production, or increase production rates, or both. Furthermore, these technology offerings afford us additional opportunities to sell our core products and services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chief operating decision maker regularly reviews the information of our two reportable segments, which are our Western Hemisphere and Eastern Hemisphere. These reportable segments are based on management’s organization and view of Weatherford’s business when making operating decisions, allocating resources and assessing performance. Research and development expenses are included in the results of both our Western and Eastern Hemisphere segments. Our corporate and other expenses that do not individually meet the criteria for segment reporting are reported separately under the caption Corporate General and Administrative in our Segment Information disclosures.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product lines are: (1) Completion and Production and (2) Drilling, Evaluation and Intervention. Our new combined Completion and Production product line was previously reported as two separate product lines. Our new Drilling, Evaluation and Intervention product line was previously reported as two separate product lines of (i) Drilling and Evaluation, and (ii) Well Construction.</w:t>
      </w:r>
    </w:p>
    <w:p>
      <w:pPr>
        <w:spacing w:after="0" w:line="17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offers production optimization services and a complete production ecosystem, featuring our artificial-lift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 The following is a detailed description of our product and service offerings under our Completion and Production product line.</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Artificial Lift Systems </w:t>
      </w:r>
      <w:r>
        <w:rPr>
          <w:rFonts w:ascii="Arial" w:cs="Arial" w:eastAsia="Arial" w:hAnsi="Arial"/>
          <w:sz w:val="17"/>
          <w:szCs w:val="17"/>
          <w:color w:val="auto"/>
        </w:rPr>
        <w:t>provides a mechanical method to produce oil or gas from a well lacking sufficient reservoir pressure for natural flow.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In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markets, we provide pressure pumping and reservoir stimulation services, including acidizing, fracturing and fluid systems, cementing and coiled-tubing intervention.</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well testing services and multiphase flow measurement.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 that set the stage for maximum production with minimal cost per barrel.</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line offers a comprehensive liner-hanger portfolio, along with engineering and executional experience, for a wide range of applications that include high-temperature and high-pressure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Cementing Products </w:t>
      </w:r>
      <w:r>
        <w:rPr>
          <w:rFonts w:ascii="Arial" w:cs="Arial" w:eastAsia="Arial" w:hAnsi="Arial"/>
          <w:sz w:val="17"/>
          <w:szCs w:val="17"/>
          <w:color w:val="auto"/>
        </w:rPr>
        <w:t>enables operators to centralize the casing throughout the wellbore and control the displacement of cement and other fluids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proper zonal isolation. Specialized equipment includes plugs, float and stage equipment and torque-and-drag reduction technology. Our cementing engineers analyze complex wells and provide all job requirements from pre-job planning to installation.</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color w:val="auto"/>
        </w:rPr>
        <w:t>comprises a suite of services ranging from early well planning to reservoir management. The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 The following is a detailed description of our product and service offerings currently provided by our Drilling, Evaluation and Intervention product line.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spacing w:after="0" w:line="342" w:lineRule="auto"/>
        <w:rPr>
          <w:sz w:val="20"/>
          <w:szCs w:val="20"/>
          <w:color w:val="auto"/>
        </w:rPr>
      </w:pPr>
      <w:r>
        <w:rPr>
          <w:rFonts w:ascii="Arial" w:cs="Arial" w:eastAsia="Arial" w:hAnsi="Arial"/>
          <w:sz w:val="16"/>
          <w:szCs w:val="16"/>
          <w:b w:val="1"/>
          <w:bCs w:val="1"/>
          <w:i w:val="1"/>
          <w:iCs w:val="1"/>
          <w:color w:val="auto"/>
        </w:rPr>
        <w:t xml:space="preserve">Drilling Services </w:t>
      </w:r>
      <w:r>
        <w:rPr>
          <w:rFonts w:ascii="Arial" w:cs="Arial" w:eastAsia="Arial" w:hAnsi="Arial"/>
          <w:sz w:val="16"/>
          <w:szCs w:val="16"/>
          <w:color w:val="auto"/>
        </w:rPr>
        <w:t>includes directional drilling, logging while drilling, measurement while drilling and rotary-steerable systems. This service 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includes our full range of downhole equipment, including high-temperature and high-pressure sensors, drilling reamers and circulation subs.</w:t>
      </w:r>
    </w:p>
    <w:p>
      <w:pPr>
        <w:spacing w:after="0" w:line="12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Wireline Services </w:t>
      </w:r>
      <w:r>
        <w:rPr>
          <w:rFonts w:ascii="Arial" w:cs="Arial" w:eastAsia="Arial" w:hAnsi="Arial"/>
          <w:sz w:val="18"/>
          <w:szCs w:val="18"/>
          <w:color w:val="auto"/>
        </w:rPr>
        <w:t>includes open-hole and cased-hole logging services that measure the physical properties of underground formations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production potential, locate resources and detect cement and casing integrity issues. The service line also executes well intervention and remediation operations by conveying equipment via cable into oil and natural gas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 xml:space="preserve">Drilling Tools and Rental Equipment </w:t>
      </w:r>
      <w:r>
        <w:rPr>
          <w:rFonts w:ascii="Arial" w:cs="Arial" w:eastAsia="Arial" w:hAnsi="Arial"/>
          <w:sz w:val="17"/>
          <w:szCs w:val="17"/>
          <w:color w:val="auto"/>
        </w:rPr>
        <w:t>delivers our patented tools and equipment, including drillpipe and collars, bottom hole assembly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tubular-handling equipment, pressure-control equipment and machine-shop services, for drilling oil and natural gas wells.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NOV, Nabors Industries, ChampionX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depth and breadth of products. The oilfield services business is highly competitive, which may adversely affect our ability to succeed. Additionally, the impact of consolidation and acquisitions of our competitors is difficult to predict and may harm our business as a result.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are not dependent in any material respect on any single supplier for our raw materials or purchased components.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Substantially all of our customers are engaged in the energy industry. Most of our international sales are to large international or national oil companies and North America sales are to independent oil companies. As of December 31, 2020, the Eastern and Western Hemisphere accounted for 54% and 46%, respectively, of our total net outstanding accounts receivable from customers balance. As of December 31, 2020, customer receivables in Mexico and the U.S. accounted for 23% and 12%, respectively, of our total net outstanding accounts receivables from customers. No other country accounted for more than 10% of our net outstanding accounts receivables balance. For the years ended December 31, 2020, 2019 and 2018, no individual customer accounted for more than 10% of our consolidated revenues.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material to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significant expertise, trade secrets, intellectual property and know-how with respect to manufacturing equipment and providing services. As many areas of our business rely on patents and proprietary technology, we seek and ensure patent protection both inside and outside the U.S. for products and methods that appear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the Successor, we amortize developed technology over five years. With respect to the Predecessor, we amortized patents over the years that we expected to benefit from their existence, which typically extended from the grant of the patent through and until 20 years after the filing date of the patent application.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widespread geographical locations of our operations serve to mitigate the overall impact of the seasonal nature of our business in certain geographic regions. Weather and natural phenomena can temporarily affect the level of demand for our products and services. Spring months in Canada and winter months in the North Sea and Russia can affect our operations negatively. Additionally, heavy rains, hurricanes or an exceedingly cold winter in a given region or other climate changes may impact our results. Unpredictable or unusually harsh weather conditions could lengthen the periods of reduced activity and have a detrimental impact to our results of operations. In addition, customer spending patterns for our products and services may result in higher activity in the fourth quarter of each year as our customers seek to fully utilize their annual budgets. Conversely, customer budget constraints may lead to lower demand for our services and products in the fourth quarter of each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operations are subject to federal, state and local laws and regulations in the U.S. and globally relating to the energy industry in general and the environment in particular. Our 2020 expenditures to comply with environmental laws and regulations were not material, and we currently do not expect the cost of compliance with environmental laws and regulations for 2021 to be material.</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10 to 20-year period and, may cost as much as $6 million, all of which is recorded as an undiscounted obligation on the Consolidated Balance Sheets as of December 31, 2020. We continuously monitor and strive to maintain compliance with changes in laws and regulations that impact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People and Culture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Weatherford, our people are our most critical asset, vital to our sustained, long-term success. We believe we have a dedicated and capable workforce and our employees have expertise in a variety of disciplines ranging from engineering to oilfield services support to multiple corporate functions.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strive daily to provide a culture that focuses on delivering results through attracting, developing and retaining the talent we need to build, sustain and operate effectively and efficiently across our organization and within the oilfield equipment and services industry. We understand the value that each individual brings to the table and we celebrate diversity in all its forms and are immensely proud of our workforce.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7"/>
          <w:szCs w:val="17"/>
          <w:color w:val="auto"/>
        </w:rPr>
        <w:t>We are focused on building a high-performance culture through objective setting, ongoing and regular career discussions and individual development plans and regular coaching and feedback. During this process, we are grounded by our core values: ethics and integrity, discipline and accountability, flawless execution, collaboration and partnership, innovation and technology leadership and commitment to sustainability.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Safety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safety of our employees remains the primary focus of our management. Our vision is to be a company that is incident free, delivers on our promises to our customers, and leaves the environments and communities in which we operate better than we found them. Our Eight GEMS (Getting Everyone Managing Safety) program is designed to educate employees and empower them to intervene when they see unsafe situations. Each GEM focuses on a specific opportunity for risk prevention, including driver and vehicle safety, commitment and intervention, facility safety, induction and training, risk management, lifting equipment and operations, hazardous substances, hazardous environments and occupational health.</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Throughout the COVID-19 crisis, we have remained focused on protecting the health and safety of our customers and employees. Shortly after the outset of COVID-19, we adopted enhanced safety measures and practices across our organization to protect employee health and safety and ensure that we would continue to be able to play a critical role in providing energy. We monitor and track the impact of the pandemic on our employees and within our operations, and proactively modify or adopt new practices to promote their health and safety.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goal in our compensation programs is to provide competitive compensation opportunities to each of our employees that are well-balanced between our short-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strategic priorities with our compensation programs supports a cohesive drive towards value creation for all our stakeholders.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fostering a diverse and inclusive environment where everyone feels comfortable bringing their true selves to work. It is important that we operate in a collaborative and inclusive manner across all levels of our organization, embracing gender, racial and ethnic diversity among our employees and recognizing the strength and competitive advantages that our differences afford us as an individual and a company. Our Diversity and Inclusion (“D&amp;I”) Program promotes partnerships, engagement and collaboration across our organization.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D&amp;I Executive Council, which includes our executive leadership team and other senior leaders, provides strategic direction and oversight of the D&amp;I Program. In addition, we have a Global D&amp;I Advisory Board with global employee representation. Employee Resource Groups based on the needs and requests of our employees seek to align activities to enrich our culture and drive D&amp;I initiatives at the local level that engage, educate and empower our workforce while having a positive impact on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fourth quarter of 2020, we rolled out “Avoiding Unconscious Bias eLearning” as a global training course for employees and managers, and we conducted an interactive virtual session on Inclusive Leadership.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Statistics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Weatherford had approximately 17,200 employees globally, located in 75 different countries. In response to the price of crude oil and a lower level of exploration and production spending, in addition to other overall cost reductions, we reduced our workforce by 28% and 35% from our workforce totals at December 31, 2019 and 2018, respectively. Certain of our operations are subject to union contracts and these contracts cover approximately 17% of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investment in our securities involves various risks. You should consider carefully all the risk factors described below, the matters discussed above under “Forward-Looking Statements” and other information included and incorporated by reference in this registration statement on Form 10, as well as in other reports and materials that we file or furnish with the SEC. If any of the risks described below, or elsewhere in this registration statement or our other SEC filings, were to materialize, our business, financial condition, results of operations, cash flows and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business, financial condition, results of operations, cash flows and prospects.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Oilfield Services Industry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Demand for our services and products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Sustained low oil and natural gas prices and declining global demand for oil and natural gas, including reduced demand as a result of the COVID-19 pandemic, have led to our customers, including large oil and gas exploration and production companies, to greatly reduce planned future capital expenditures. Factors affecting the prices of oil and natural gas include, but are not limited to: (1) the level of supply and demand for oil and natural gas; (2) the ability or willingness of OPEC and the expanded alliance collectively known as OPEC+ to set and maintain oil production levels; (3) the level of oil and natural gas production in the U.S. and by other non-OPEC+ countries; (4) oil refining capacity and shifts in end-customer preferences toward fuel efficiency and the use of natural gas; (5) the cost of, and constraints associated with, producing and delivering oil and natural gas; (6) governmental regulations, including the policies of governments regarding the exploration for and production and development of their oil and natural gas reserves; (7) weather conditions, natural disasters and health or similar issues, such as pandemics or epidemics; (8) worldwide political, military and economic conditions; and (9) increased demand for alternative energy and electric vehicles, including government initiatives to promote the use of renewable energy sources and public sentiment around alternatives to oil and gas.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low commodity prices, the short-term tenor of most of our contracts and the financial stress experienced by some of our customers have combined to increase the demands by many of our customers for reductions in the prices we receive for our products and services. Further reductions in capital spending or requests for further cost reductions by our customers could directly impact our business by reducing demand and pricing for our services and products which would have a material adverse effect on our business, financial condition and results of operations.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would curtail drilling programs, as well as discretionary spending on well services, which may result in a reduction in the demand for our services, the rates we can charge and the utilization of our assets which could have a material adverse effect on our business, financial condition and results of operations.</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Climate change, environmental, social and governance and “sustainability” initiatives may result in significant operational changes and expenditures, reduced demand for our products and adversely affect our business, results of operations, stock price or access to capital markets</w:t>
      </w:r>
      <w:r>
        <w:rPr>
          <w:rFonts w:ascii="Arial" w:cs="Arial" w:eastAsia="Arial" w:hAnsi="Arial"/>
          <w:sz w:val="16"/>
          <w:szCs w:val="16"/>
          <w:color w:val="auto"/>
        </w:rPr>
        <w:t>.</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Climate change, environmental, social and governance (“ESG”) and sustainability are a growing global movement. Continuing political and social attention to these issues has resulted in both existing and pending international agreements and national, regional or local legislation and regulatory measures, as well as societal pressure in some areas, to limit greenhouse gas emissions and has been stated in the U.S. to be a priority of the new Biden Administration and the SEC, as well as other initiatives. These agreements and measures, including the Paris Climate Accord, may require, or could result in future legislation and regulatory measures that require, significant equipment modifications, operational changes, taxes or purchase of emission credits to reduce emission of greenhouse gases from our operations, which may result in substantial capital expenditures and compliance, operating, maintenance and remediation costs. As a result of heightened public awareness and attention to these issues as well as continued regulatory initiatives to reduce the use of oil and gas, demand for hydrocarbons may be reduced, which would have an adverse effect on our business and results of operations. The imposition and enforcement of stringent greenhouse gas emissions reduction requirements could severely and adversely impact the oil and gas industry and therefore significantly reduce the value of our business.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Certain financial institutions, institutional investors and other sources of capital have begun to limit or eliminate their investment in oil and gas activities due to concerns about climate change, which could make it more difficult to finance our business. Increasing attention to climate change, ESG and sustainability has resulted in governmental investigations, and public and private litigation, which could increase our costs or otherwise adversely affect our business or results of operations.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industries, which could have a negative impact on the price of our Ordinary Shares and our access to and costs of capital.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global climate change, has in the past adversely affected, and could in the future adversely affect, our business and results of operations.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has been, and in the future will be, affected by severe weather in areas where we operate, which could materially affect our operations and financial results. In addition, impacts of climate change could increase the frequency and severity of extreme weather conditions. Any such extreme weather-related events could have a material adverse effect on our business, financial condition and results of operations.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significantly weakened demand for our products and services and has had a substantial negative impact on our business, financial condition, results of operations and cash flows.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effects of the COVID-19 pandemic, including actions taken by businesses and governments to contain the spread of the virus, have resulted in a significant and swift reduction in international and U.S. economic activity. These effects materially adversely affected the demand for oil and natural gas, as well as for our services and products. The collapse in the demand for oil in March 2020 caused in large part by this unprecedented global health and economic crisis, and the corresponding decline in our customers’ demand for our services and products had a substantial negative impact on our financial condition, results of operations and cash flows in 2020.</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COVID-19 pandemic impacts severely impacted our business and our industry. These effects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extent to which our operating and financial results are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The COVID-19 pandemic, and the volatile regional and global economic conditions stemming from the pandemic, exacerbated, and could continue to exacerbate, the potential negative impact from many of our risk factors. The COVID-19 pandemic may also have a considerable and detrimental effect on our operating and financial results in a manner that is not currently known to us or that we do not currently consider as significant risks to our operations.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firstLine="648"/>
        <w:spacing w:after="0" w:line="308" w:lineRule="auto"/>
        <w:rPr>
          <w:sz w:val="20"/>
          <w:szCs w:val="20"/>
          <w:color w:val="auto"/>
        </w:rPr>
      </w:pPr>
      <w:r>
        <w:rPr>
          <w:rFonts w:ascii="Arial" w:cs="Arial" w:eastAsia="Arial" w:hAnsi="Arial"/>
          <w:sz w:val="17"/>
          <w:szCs w:val="17"/>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46"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 shift in the global economy and its demand for oil and natural gas as a result of changes in the way people work, travel and interact, or in connection with a global recession or depression;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insurance policies may not cover losses associated with pandemics like COVID-19 or similar global health threats;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employment matters, personal injury and insurance arrangements;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 due to stay-at-home orders.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operational and financial growth is dependent on our liquidity requirements and the adequacy of our capital resources.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liquidity, including our ability to meet our ongoing operational obligations, is dependent upon, among other things: (i) our ability to maintain adequate cash on hand; (ii) our ability to generate cash flow from operations; and (iii) changes in market conditions that negatively impact our revenue.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energy industry faces negative sentiment in the capital markets which has impacted the ability of participants to access appropriate amounts of capital under suitable terms. This negative sentiment in the energy industry has not only impacted our customers in North America, it is also affecting the availability and the pricing for most credit lines extended to participants in the industry.</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we had $328 million of letters of credit outstanding, consisting of $160 million under our senior letter of credit agreement (the “LC Credit Agreement”) and $168 million under various uncommitted facilities (of which there was $163 million in cash collateral held and recorded in “Restricted Cash” on the Consolidated Balance Sheets). In Latin America we utilize surety bonds as part of our customary business practice. As of March 31, 2021, we had surety bonds outstanding of $321 million, primarily in Latin America. Any of our outstanding letters of credit or surety bonds could be called by the beneficiaries should we breach certain contractual or performance obligations. If the beneficiaries were to call the letters of credit under the LC Credit Agreement or the surety bonds, our available liquidity would be reduced by the amount called, which could have an adverse impact on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we had approximately $2.6 billion of long-term debt with $2.1 billion in aggregate principal amount of our 11.0% Senior Notes maturing on December 1, 2024 (“Exit Notes”) and $500 million in aggregate principal amount of our 8.75% Senior Secured Notes maturing on September 1, 2024 (“Senior Secured Notes”). Pursuant to the terms of our Exit Notes and Senior Secured Notes, we expect to have interest payments of approximately $275 million annually until maturity. Our level of indebtedness has negative consequences for our business, financial condition and results of operations, including: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terms that are commercially acceptable;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our Free Cash Flow (as defined below) and the amount of our cash flow available for other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make scheduled payments on or to refinance, if desired before maturity,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Any harm to our business and operations resulting from our current or future level of indebtedness could adversely affect our ability to pay amounts due to our lenders and noteholders.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we become the subject of various claims and litigation. We maintain liability insurance, which includes insurance against damage to people, property and the environment, up to maximum limits of $350 million, subject to self-insured retentions and deductibles.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operations outside the U.S., which exposes us to risks inherent in doing business in each of the over 75 countries in which we operate.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non-U.S. operations accounted for 80% of our consolidated revenue in 2020. Operations in countries other than the U.S. are subject to various risks, including:</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 including currency exchange controls, inflation and currency exchange rate fluctuations and devaluations;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expropriation of our assets, deprivation of contract rights or other governmental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varying international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U.S. or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under the U.S. Corrupt Practices Act or similar legislation;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our emergence from bankruptcy, we adopted Fresh Start Accounting and adjusted our assets and liabilities to fair values and our accumulated deficit was restated to zero as of December 13, 2019, which resulted in the Company becoming a new entity for financial reporting purposes. Accordingly, our financial condition and results of operations following our emergence from bankruptcy will not be comparable to the financial condition and results of operations reflected in our pre-December 13, 2019 historical financial statements. Implementation of the Plan and the transactions contemplated thereby materially changed the amounts and classifications reported in our consolidated historical financial statements. The lack of recent comparable historical financial information may discourage investors from purchasing our Ordinary Shares.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There may be circumstances in which the interests of our significant shareholders could be in conflict with the interests of our other shareholders.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aggregate, certain funds associated with our six largest shareholders currently own in excess of 68%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Ordinary Shares. In addition, our significant concentration of share ownership may adversely affect the trading price of our Ordinary Shares because investors may perceive disadvantages in owning shares in companies with significant shareholders.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LC Credit Agreement and the indentures governing our Exit Notes and Senior Secured Notes contain restrictive covenants that could impose significant operating and financial restrictions on us and may limit our ability to engage in acts that we may believe to be in our long-term best interest, including restrictions on our ability to:</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and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certain financial ratios, which may apply in certain circumstances, and other restrictions. Our ability to meet the liquidity thresholds and those financial ratios can be affected by events beyond our control.</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breach of the covenants and other restrictions under the LC Credit Agreement, the indentures governing our Senior Secured Notes and Exit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LC Credit Agreements would permit the lenders thereunder to terminate all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Tax and Regulatory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treaties and international agreements related to greenhouse gases, climate change and alternate energy sources that may expose us to significant liabilities, result in additional compliance costs and could reduce our business opportunities and revenues.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various laws and regulations related to the energy industry specifically, and the environment in particular.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increased the costs associated with complying with the more stringent laws and regulations. The scope of regulation of our industry and our products and services may increase further, including possible increases in liabilities or funding requirements imposed by governmental agencies. Additional regulations on deepwater drilling in the Gulf of Mexico and elsewhere in the world could be imposed, and those regulations could limit our business where they are imposed.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Regulators are investigating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2002, we reorganized from the U.S. to a foreign jurisdiction. There are frequent legislative proposals in the U.S. that attempt to treat companies that have undertaken similar transactions as U.S. corporations subject to U.S. taxes or to limit the tax deductions or tax credits available to U.S.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Organization of Economic Cooperation and Development,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 U.S. person is treated as owning at least 10% of our Ordinary Shares, such holder may be subject to adverse U.S. federal income tax consequences.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a result of the Tax Cuts and Jobs Act of 2017,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Ordinary Shares, such person may be treated as a “U.S. shareholder” with respect to one or more of our CFC subsidiaries. In addition, if our Ordinary Shares are treated as owned more than 50% by U.S. shareholders, we would be treated as a CFC. A U.S. shareholder of a CFC may be required to annually report and include in its U.S. taxable income, as ordinary income, its pro rata share of “Subpart F income,” “global intangible low-taxed income” and investments in U.S. property by CFCs, whether or not we make any distributions to such U.S. shareholder. An individual U.S. shareholder generally would not be allowed certain tax deductions or foreign tax credits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Ordinary Shares.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U.S. could treat Weatherford International plc (parent corporation) as a U.S. taxpayer under IRC Section 7874.</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Following our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(defined below) applies) of the shares of the foreign acquiring corporation after the acquisition by reason of holding shares in the U.S. acquired corporation (the “Section 7874 Percentage”), and (iii) the foreign corporation’s “expanded affiliated group” does not have substantial business activities in the foreign corporation’s country of organization or incorporation relative to such expanded affiliated group’s worldwide activities. The IRS and the U.S.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Although it is not free from doubt, we believe that as a result of the implementation of the Plan,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3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U.S. and may afford less protection to holders of our securities.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Irish company, we are governed by the Companies Act 2014 of Ireland, as amended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U.S. As a result, it might not be possible for shareholders to enforce civil liability provisions of the federal or state securities laws of the U.S.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U.S. As such, a shareholder who obtains a court judgment may not be able to enforce a court judgment obtained in the U.S. against us in Ireland and other countries, based on the civil liability provisions of the U.S. federal or state securities laws. In addition, there is some uncertainty as to whether the courts of Ireland and other countries would recognize or enforce judgments of U.S. courts obtained against us or our directors or officers based on the civil liabilities provisions of the U.S. federal or state securities laws or hear actions against us or those persons based on those laws. The laws of Ireland do, however, as a general rule, provide that the judgments of the courts of the U.S. have the same validity in Ireland as if rendered by Irish Courts. Certain important requirements must be satisfied before the Irish Courts will recognize the U.S. judgment. These requirements include that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enforceable in Ireland.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based solely on U.S. federal or state securities laws, would not automatically be enforceable in Ireland.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judgments might not be enforceable in countries other than the U.S.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Ordinary Shares may not develop.</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Ordinary Shares are currently trading on the OTC Pink Marketplace under the ticker symbol “WFTLF”. If our Ordinary Shares are listed for trading on Nasdaq, an active trading market may never fully develop or be sustained following the effectiveness of this registration statement and the listing on Nasdaq. Further, we cannot predict the extent to which investor interest in us will lead to the development of an active trading market or how liquid that market might become. If an active trading market does not develop, holders of our Ordinary Shares may have difficulty selling any of our Ordinary Shares that may now be owned or may be purchased later at a price that is attractive or at all. In addition, an inactive market may impair our ability to raise capital by selling Ordinary Shares (for which we have no current plan) and may impair our ability to acquire other companies by using our Ordinary Shares as consideration, which, in turn, could materially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and trading volume of our Ordinary Shares may be volatile and fluctuate significantly.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Ordinary Shares has been, and may continue to be highly volatile and may fluctuate substantially due to the following factors (in addition to the other risk factors described in this section): actual or anticipated fluctuations in our results of operations; variance in our financial performance from the expectations of equity research analysts; conditions and trends in the markets we serve; announcements of significant new services or products by us or our competitors; additions of or changes to key employees; changes in market valuations or earnings of our competitors; the trading volume of our Ordinary Shares; future sales of our equity securities; changes in the estimation of the future sizes and growth rates of our markets; legislation or regulatory policies, practices or actions; and general economic conditions.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at times been unrelated or disproportionate to the operating performance of the particular companies affected. These market and industry factors may materially harm the price of our Ordinary Shares irrespective of our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do not intend to pay dividends on our Ordinary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effectiveness of this registration statement, we do not anticipate that we will pay any cash dividends on our Ordinary Shares for the foreseeable future. Any determination to pay dividends in the future will be at the discretion of our Board and will depend on results of operations, financial condition, contractual restrictions, restrictions imposed by applicable law and other factors our Board deems relevant.</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or reports about our business, the price of our Ordinary Shares and trading volume could decline.</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Ordinary Shares depends in part on the research and reports that securities or industry analysts publish about us, our business, our market or our competitors. We may not obtain research coverage by securities and industry analysts. If no securities or industry analysts commence coverage of our Company, the trading price for our Ordinary Shares could be negatively impacted. In the event we obtain securities or industry analyst coverage, if one or more of the analysts who covers us publishes unfavorable research or reports or downgrades our Ordinary Shares, the price of our Ordinary Shares would likely decline. If one or more of these analysts ceases to cover us or fails to regularly publish reports on us, interest in our Ordinary Shares could decrease, which could cause the price of our Ordinary Shares or trading volume to decline.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availability of shares for sale in the future could reduce the market price of our Ordinary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future, we may issue securities to raise cash, for acquisitions or otherwise. In addition, we expect to issue Ordinary Shares under the Warrants and pursuant to equity incentive plans we put in place from time to time. We may also acquire interests in other companies by using a combination of cash and our Ordinary Shares or just our Ordinary Shares. We may also issue securities convertible into our Ordinary Shares. Any of these events may dilute your ownership interest in our Company and have an adverse impact on the price of our Ordinary Shares.</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sales of a substantial amount of our Ordinary Shares in the public market, or the perception that these sales may occur, could reduce the market price of our Ordinary Shares. This could also impair our ability to raise additional capital through the sale of our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long-lived assets and other assets are impaired, we may be required to record significant non-cash charges to our earnings.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right of use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Given the rapidly evolving nature of cybersecurity incidents, there can be no assurance that the systems we have designed and implemented to prevent or limit the effects of cybersecurity incidents or attacks will be sufficient in preventing all such incidents or attacks, or be able to avoid a material impact to our systems should such incidents or attacks occur. A cybersecurity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although Weatherford implements stringent controls on third party connectivity to our systems, we have limited control in ensuring their systems consistently enforce strong cybersecurity controls. As a result, the occurrence of a cybersecurity incident or attack could go unnoticed for a period time. As cybersecurity incidents and attacks continue to evolve, we may also be required to devote additional resources to continue to enhance our protective measures or to investigate or remediate any cybersecurity vulnerabilities. Beginning in 2021, we maintain insurance coverage to protect against certain cybersecurity risks. However, we cannot ensure that it will be sufficient to cover any particular losses we may experience as a result of such cybersecurity incident or attack. Any cybersecurity incident or attack could have a material adverse effect on our business, financial condition and results of operations.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2 pursuant to Item 303 of Regulation S-K is contained within the section titled “Part II – Item 7.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 the Form 10-K and within the section titled “Part I – Item 2.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 the Form 10-Q, which are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Rates and Inflationary Impacts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conduct operations in over 75 countries and have service and sales locations in oil and natural gas producing regions globally.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 We recognized foreign currency exchange losses of $34 million for the year ended December 31, 2020 compared to $14 million for 2019. We also recognized foreign currency exchange losses of nil for the three months ended March 31, 2021 compared to $19 million for the three months ended March 31, 2020. The unfavorable change in 2020 primarily relates to the weakening of foreign currencies following the onset of the COVID-19 pandemic. For the year ended December 31, 2018, the Predecessor recognized currency devaluation charges of $49 million primarily related to the devaluation of the Angolan kwanza. Foreign currency exchange losses and currency devaluation charges are included in current earnings in “Part II – Item 8. – Financial Statements and Supplementary Data – Consolidated Statements of Operations” in the Form 10-K and in “Part I – Item 1. – Financial Statements – Condensed Consolidated Statements of Operations (Unaudited)” in the Form 10-Q, which are incorporated herein by reference. For additional details see “Part II - Item 7. – Management’s Discussion and Analysis of Financial Condition and Results of Operations – Other Income (Expense), Net” in the Form 10-K and “Part I – Item 2. – Management’s Discussion and Analysis of Financial Condition and Results of Operations – Other Expense, Net “ in the Form 10-Q, which are incorporated herein by reference.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Foreign Currency Forward Contracts and Cross-Currency Swaps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Assets and liabilities of entities for which the functional currency other than the U.S. dollar are translated into U.S. dollars using the exchange rates in effect at the balance sheet date result in translation adjustments that are reflected in the Accumulated Other Comprehensive Income (Loss) in the Shareholders’ Equity (Deficiency) in “Part II – Item 8. – Financial Statements and Supplementary Data – Consolidated Balance Sheets” in the Form 10-K and in the Accumulated Other Comprehensive Loss in the Shareholders’ Equity in “Part I – Item 1. – Financial Statements – Condensed Consolidated Balance Sheets” in the Form 10-Q, which are incorporated herein by reference. We had foreign currency translation loss of $4 million during the three months ended March 31, 2021, foreign currency translation loss of $38 million during the Successor Period in 2020, foreign currency translation income of $7 million in the Successor Period in 2019 and $52 million in Predecessor Period during 2019.</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2019, we had outstanding foreign currency forward contracts with total notional amounts aggregating $337 million and $389 million, respectively. These contracts were entered into in order to hedge our net monetary exposure to currency fluctuations in various foreign currencies. The total estimated fair value of these contracts and amounts owed associated with closed contracts at December 31, 2020 and 2019, resulted in an immaterial net liability in both periods. These derivative instruments were not designated as hedges, and the changes in fair value of the contracts are recorded each period in current earnings.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subject to interest rate risk on our long-term fixed-interest rate debt. Fixed rate debt exposes us to changes in market interest rates reflected in the fair value of the debt and to the risk that we may need to refinance any maturing debt with new debt at a higher rate. All else being equal, the fair value of our fixed rate debt will increase or decrease inversely to changes in interest rates. The carrying value and fair value of our Exit Notes and Senior Secured Notes outstanding at December 31, 2020 and December 31, 2019, is contained within “Part II – Item 8. – Financial Statements and Supplementary Data – Notes to Consolidated Financial Statements – Note 15 – Fair Value of Financial Instruments, Assets and Other Assets” of the Form 10-K, which is incorporated herein by reference, and the carrying value of our Exit Notes and Senior Secured Notes outstanding at March 31, 2021 is contained within “Part I – Item 1. – Financial Statements – Notes to Condensed Consolidated Financial Statements – Note 7 – Borrowings and Other Obligations” of the Form 10-Q. At March 31, 2021, we have various finance leases and believe the impact of changes in interest rates in the near term will not be material to these instruments. The carrying value of our short-term borrowings at March 31, 2021 approximates their fair value.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operations are conducted in over 75 countries and we have manufacturing facilities, research and technology centers, fluids and processing centers and sales, service and distribution locations throughout the world. The following sets forth the locations of our principal owned or leased facilities for our commercial operations by geographic segment as of December 31, 2020:</w:t>
      </w:r>
    </w:p>
    <w:p>
      <w:pPr>
        <w:spacing w:after="0" w:line="234"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0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30" w:lineRule="exact"/>
        <w:rPr>
          <w:sz w:val="20"/>
          <w:szCs w:val="20"/>
          <w:color w:val="auto"/>
        </w:rPr>
      </w:pPr>
    </w:p>
    <w:p>
      <w:pPr>
        <w:jc w:val="both"/>
        <w:ind w:left="2300" w:right="80" w:hanging="2267"/>
        <w:spacing w:after="0" w:line="263" w:lineRule="auto"/>
        <w:tabs>
          <w:tab w:leader="none" w:pos="228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8"/>
          <w:szCs w:val="18"/>
          <w:color w:val="auto"/>
        </w:rPr>
        <w:t>Houston, Huntsville, Longview, Odessa and San Antonio, Texas; Broussard, Louisiana; Williston, North Dakota; Colorado Springs, Colorado; Bakersfield, California; Edmonton and Nisku, Canada; Neuquén, Argentina; Macae, Brazil; Venustiano Carranza and Villahermosa, Mexico; and Villavicencio,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99" w:lineRule="exact"/>
        <w:rPr>
          <w:sz w:val="20"/>
          <w:szCs w:val="20"/>
          <w:color w:val="auto"/>
        </w:rPr>
      </w:pPr>
    </w:p>
    <w:p>
      <w:pPr>
        <w:ind w:left="2300" w:right="20" w:hanging="2267"/>
        <w:spacing w:after="0" w:line="279" w:lineRule="auto"/>
        <w:tabs>
          <w:tab w:leader="none" w:pos="228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7"/>
          <w:szCs w:val="17"/>
          <w:color w:val="auto"/>
        </w:rPr>
        <w:t>Aberdeen, UK; Stavanger, Norway; Baku, Azerbaijan; Ploiesti, Romania; Luanda, Angola; Port Harcourt, Nigeria; Langenhagen, Germany; Aktobe, Kazakhstan; Nizhnevartovsk and Noyabrsk, Russia; Hassi Messaoud, Algeria; Cairo, Egypt; North Rumaila and Erbil, Iraq; Mina Abdulla, Kuwait; Nimr, Oman; Karachi, Pakistan; Dhahran, Saudi Arabia; Abu Dhabi and Dubai, United Arab Emirates; Malaga, Australia; Jiangsu, China; and Barmer, India.</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executive offices are in Houston, Texas. We own or lease numerous other facilities such as service centers, shops and sales and administrative offices throughout the geographic regions in which we operate. All of our material U.S. properties are mortgaged to the lenders under our Senior Secured Notes and LC Credit Agreement. All of our remaining owned properties are unencumbered; however, the lenders could require we mortgage them as well. We believe the facilities that we currently occupy are suitable for their intended use.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Owned by Directors and Executive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table shows the number and percentage of registered Ordinary Shares beneficially owned by each of our directors, each of our named executive officers (“NEOs”) and all of our directors and current executive officers as a group. Share ownership information of our directors and current executive officers is as of May 26, 2021. Share ownership information for former executive officers is based on their last filed Form 4s and other corporate records as of their date of departure from the Company. Each person has sole voting and investment power for the Ordinary Shares shown below, unless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Total Ordinary</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60" w:type="dxa"/>
            <w:vAlign w:val="bottom"/>
          </w:tcPr>
          <w:p>
            <w:pPr>
              <w:jc w:val="center"/>
              <w:ind w:left="490"/>
              <w:spacing w:after="0" w:line="181" w:lineRule="exact"/>
              <w:rPr>
                <w:sz w:val="20"/>
                <w:szCs w:val="20"/>
                <w:color w:val="auto"/>
              </w:rPr>
            </w:pPr>
            <w:r>
              <w:rPr>
                <w:rFonts w:ascii="Arial" w:cs="Arial" w:eastAsia="Arial" w:hAnsi="Arial"/>
                <w:sz w:val="18"/>
                <w:szCs w:val="18"/>
                <w:b w:val="1"/>
                <w:bCs w:val="1"/>
                <w:color w:val="auto"/>
                <w:w w:val="95"/>
              </w:rPr>
              <w:t>Ordinary</w:t>
            </w:r>
          </w:p>
        </w:tc>
        <w:tc>
          <w:tcPr>
            <w:tcW w:w="1360" w:type="dxa"/>
            <w:vAlign w:val="bottom"/>
            <w:vMerge w:val="continue"/>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1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2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tcBorders>
              <w:bottom w:val="single" w:sz="8" w:color="auto"/>
            </w:tcBorders>
          </w:tcPr>
          <w:p>
            <w:pPr>
              <w:jc w:val="right"/>
              <w:ind w:right="250"/>
              <w:spacing w:after="0" w:line="270" w:lineRule="exact"/>
              <w:rPr>
                <w:sz w:val="20"/>
                <w:szCs w:val="20"/>
                <w:color w:val="auto"/>
              </w:rPr>
            </w:pPr>
            <w:r>
              <w:rPr>
                <w:rFonts w:ascii="Arial" w:cs="Arial" w:eastAsia="Arial" w:hAnsi="Arial"/>
                <w:sz w:val="18"/>
                <w:szCs w:val="18"/>
                <w:b w:val="1"/>
                <w:bCs w:val="1"/>
                <w:color w:val="auto"/>
              </w:rPr>
              <w:t>Acquire</w:t>
            </w:r>
            <w:r>
              <w:rPr>
                <w:rFonts w:ascii="Arial" w:cs="Arial" w:eastAsia="Arial" w:hAnsi="Arial"/>
                <w:sz w:val="29"/>
                <w:szCs w:val="29"/>
                <w:b w:val="1"/>
                <w:bCs w:val="1"/>
                <w:color w:val="auto"/>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Desmond Mills</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Mongrain</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Charles M. Sledge</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C. Duster, IV</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Neal P. Goldman</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Former Executive Officers</w:t>
            </w: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19,349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Karl Blanchard</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725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8,060</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8,785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 Garcia</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17,390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Mark D. Swift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289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3,512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Frederico Justus</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current executive officers as a group</w:t>
            </w:r>
          </w:p>
        </w:tc>
        <w:tc>
          <w:tcPr>
            <w:tcW w:w="2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persons)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new Ordinary Shares that can be acquired through the exercise of the Warrants received in the bankruptcy as consideration for old Ordinary Shares owned by the individual pursuant to the terms of the Plan.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Shares Owned by Certain Beneficial Holders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table shows information for each person who may be deemed to beneficially own 5% or more of our outstanding registered Ordinary Shares as of May 24, 2021, as contained in filings made by the shareholder with the SEC or in other information made available to 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21"/>
        </w:trPr>
        <w:tc>
          <w:tcPr>
            <w:tcW w:w="8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Ordinary</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tcBorders>
              <w:bottom w:val="single" w:sz="8" w:color="auto"/>
            </w:tcBorders>
          </w:tcPr>
          <w:p>
            <w:pPr>
              <w:jc w:val="center"/>
              <w:ind w:right="30"/>
              <w:spacing w:after="0" w:line="270" w:lineRule="exact"/>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9"/>
                <w:szCs w:val="29"/>
                <w:b w:val="1"/>
                <w:bCs w:val="1"/>
                <w:color w:val="auto"/>
                <w:w w:val="81"/>
                <w:vertAlign w:val="superscript"/>
              </w:rPr>
              <w:t>(1)</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Franklin Resources,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One Franklin Parkway</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15,300,451</w:t>
            </w:r>
            <w:r>
              <w:rPr>
                <w:rFonts w:ascii="Arial" w:cs="Arial" w:eastAsia="Arial" w:hAnsi="Arial"/>
                <w:sz w:val="22"/>
                <w:szCs w:val="22"/>
                <w:color w:val="auto"/>
                <w:vertAlign w:val="superscript"/>
              </w:rPr>
              <w:t>(2)</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San Mateo, California 94403-1906</w:t>
            </w: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The Capital Group Companies, Inc.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South Hope Street</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8,226,998</w:t>
            </w:r>
            <w:r>
              <w:rPr>
                <w:rFonts w:ascii="Arial" w:cs="Arial" w:eastAsia="Arial" w:hAnsi="Arial"/>
                <w:sz w:val="22"/>
                <w:szCs w:val="22"/>
                <w:color w:val="auto"/>
                <w:vertAlign w:val="superscript"/>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Yacktman Asset Management LP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6300 Bridgepoint Parkway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Building One, Suite 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8,155,746</w:t>
            </w:r>
            <w:r>
              <w:rPr>
                <w:rFonts w:ascii="Arial" w:cs="Arial" w:eastAsia="Arial" w:hAnsi="Arial"/>
                <w:sz w:val="22"/>
                <w:szCs w:val="22"/>
                <w:color w:val="auto"/>
                <w:vertAlign w:val="superscript"/>
              </w:rPr>
              <w:t>(4)</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Austin, Texas 78730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Oaktree Holdings, LLC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 Grand Avenue, 28th Floor</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6,919,730</w:t>
            </w:r>
            <w:r>
              <w:rPr>
                <w:rFonts w:ascii="Arial" w:cs="Arial" w:eastAsia="Arial" w:hAnsi="Arial"/>
                <w:sz w:val="22"/>
                <w:szCs w:val="22"/>
                <w:color w:val="auto"/>
                <w:vertAlign w:val="superscript"/>
              </w:rPr>
              <w:t>(5)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Exor N.V.</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Gustav Mahlerplein 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Amsterdam, 1082 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4,832,164</w:t>
            </w:r>
            <w:r>
              <w:rPr>
                <w:rFonts w:ascii="Arial" w:cs="Arial" w:eastAsia="Arial" w:hAnsi="Arial"/>
                <w:sz w:val="22"/>
                <w:szCs w:val="22"/>
                <w:color w:val="auto"/>
                <w:vertAlign w:val="superscript"/>
              </w:rPr>
              <w:t>(6)</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Netherlands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Barclays PLC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1 Churchhill Place</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4,727,610</w:t>
            </w:r>
            <w:r>
              <w:rPr>
                <w:rFonts w:ascii="Arial" w:cs="Arial" w:eastAsia="Arial" w:hAnsi="Arial"/>
                <w:sz w:val="22"/>
                <w:szCs w:val="22"/>
                <w:color w:val="auto"/>
                <w:vertAlign w:val="superscript"/>
              </w:rPr>
              <w:t>(7)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320" w:type="dxa"/>
            <w:vAlign w:val="bottom"/>
          </w:tcPr>
          <w:p>
            <w:pPr>
              <w:ind w:left="460"/>
              <w:spacing w:after="0"/>
              <w:rPr>
                <w:sz w:val="20"/>
                <w:szCs w:val="20"/>
                <w:color w:val="auto"/>
              </w:rPr>
            </w:pPr>
            <w:r>
              <w:rPr>
                <w:rFonts w:ascii="Arial" w:cs="Arial" w:eastAsia="Arial" w:hAnsi="Arial"/>
                <w:sz w:val="18"/>
                <w:szCs w:val="18"/>
                <w:color w:val="auto"/>
              </w:rPr>
              <w:t>London, E14 5HP, England</w:t>
            </w:r>
          </w:p>
        </w:tc>
        <w:tc>
          <w:tcPr>
            <w:tcW w:w="1480" w:type="dxa"/>
            <w:vAlign w:val="bottom"/>
            <w:gridSpan w:val="3"/>
            <w:vMerge w:val="continue"/>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is based on 70,120,206 outstanding Ordinary Shares as of May 24, 2021.</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2, 2021 by Franklin Resources Inc. and related reporting persons. According to the filing, (i) the beneficial owner has sole voting and dispositive power over 15,300,451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information in a notice of holdings required under applicable Irish law and received by the Company on February 23, 2021.</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Ordinary Shares is based on the Schedule 13G/A filed with the SEC on February 12, 2021 by Yacktman Asset Management LP and related reporting persons. According to the filing, (i) the beneficial owner has sole voting and dispositive power over 2,711,845 Ordinary Shares, and (ii) the beneficial owner has shared voting and dispositive power over an additional 5,443,901 Ordinary Shares.</w:t>
      </w:r>
    </w:p>
    <w:p>
      <w:pPr>
        <w:spacing w:after="0" w:line="165" w:lineRule="exact"/>
        <w:rPr>
          <w:rFonts w:ascii="Arial" w:cs="Arial" w:eastAsia="Arial" w:hAnsi="Arial"/>
          <w:sz w:val="17"/>
          <w:szCs w:val="17"/>
          <w:color w:val="auto"/>
        </w:rPr>
      </w:pPr>
    </w:p>
    <w:p>
      <w:pPr>
        <w:jc w:val="both"/>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16, 2021 by Oaktree Holdings, LLC and related reporting persons. According to the filing, (i) the beneficial owner reports sole voting and dispositive power over 6,919,730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4, 2021 by Exor N.V. According to the filing, (i) the beneficial owner reports sole voting and dispositive power over 4,832,164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 filed with the SEC on February 11, 2021 by Barclays PLC and related reporting persons. According to the filing, (i) the beneficial owner reports sole voting and dispositive power over 4,727,610 Ordinary Shares, and (ii) the beneficial owner does not have shared voting or dispositive power over any of the Ordinary Shares.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as of May 26, 2021, the names and ages of our executive officers, including all offices and positions held by each for at least the past five years. There are no family relationships between the executive officers of the Company or between any director and any executive officer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24"/>
        </w:trPr>
        <w:tc>
          <w:tcPr>
            <w:tcW w:w="21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360" w:type="dxa"/>
            <w:vAlign w:val="bottom"/>
          </w:tcPr>
          <w:p>
            <w:pPr>
              <w:ind w:left="160"/>
              <w:spacing w:after="0"/>
              <w:rPr>
                <w:sz w:val="20"/>
                <w:szCs w:val="20"/>
                <w:color w:val="auto"/>
              </w:rPr>
            </w:pPr>
            <w:r>
              <w:rPr>
                <w:rFonts w:ascii="Arial" w:cs="Arial" w:eastAsia="Arial" w:hAnsi="Arial"/>
                <w:sz w:val="18"/>
                <w:szCs w:val="18"/>
                <w:color w:val="auto"/>
              </w:rPr>
              <w:t>President and Chief Executive Officer of Weatherford since October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1"/>
              </w:rPr>
              <w:t>Senior Vice President and Chief Operating Officer of Exterran Corporation from August 2018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Global Services of Exterran Corporation from August 2016 to August 2018</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2"/>
              </w:rPr>
              <w:t>Positions of increasing responsibilities at GE Oil &amp; Gas ending with General Manager, Downstream Products &amp;</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Services, in August 2016</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H. Keith Jennings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3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 of Weatherford since September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9"/>
              </w:rPr>
              <w:t>Executive Vice President and Chief Financial Officer of Calumet Specialty Products Partners, L.P. from</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November 2019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Finance of Eastman Chemical Company from May 2018 to October 2019</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Cameron International Corporation from June 2009 to April 2016</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Desmond Mills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Chief Accounting Officer of Weatherford since April 2021</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Positions of increasing responsibilities at Caterpillar Inc. ending with Segment Compliance Manager of</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Construction Industries, in March 2021</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Joseph Mongrain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360" w:type="dxa"/>
            <w:vAlign w:val="bottom"/>
          </w:tcPr>
          <w:p>
            <w:pPr>
              <w:ind w:left="160"/>
              <w:spacing w:after="0"/>
              <w:rPr>
                <w:sz w:val="20"/>
                <w:szCs w:val="20"/>
                <w:color w:val="auto"/>
              </w:rPr>
            </w:pPr>
            <w:r>
              <w:rPr>
                <w:rFonts w:ascii="Arial" w:cs="Arial" w:eastAsia="Arial" w:hAnsi="Arial"/>
                <w:sz w:val="18"/>
                <w:szCs w:val="18"/>
                <w:color w:val="auto"/>
              </w:rPr>
              <w:t>Chief Human Resources Officer of Weatherford since March 2021</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4"/>
              </w:rPr>
              <w:t>Vice President: Human Resources of Anadarko Petroleum Corporation from September 2016 to August 2019</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8"/>
              </w:rPr>
              <w:t>Positions of increasing responsibilities at Cameron International Corporation ending with Vice President,</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President of Process &amp; Compression Systems, in September 2016</w:t>
            </w:r>
          </w:p>
        </w:tc>
      </w:tr>
      <w:tr>
        <w:trPr>
          <w:trHeight w:val="595"/>
        </w:trPr>
        <w:tc>
          <w:tcPr>
            <w:tcW w:w="2160" w:type="dxa"/>
            <w:vAlign w:val="bottom"/>
          </w:tcPr>
          <w:p>
            <w:pPr>
              <w:spacing w:after="0"/>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360" w:type="dxa"/>
            <w:vAlign w:val="bottom"/>
          </w:tcPr>
          <w:p>
            <w:pPr>
              <w:ind w:left="160"/>
              <w:spacing w:after="0"/>
              <w:rPr>
                <w:sz w:val="20"/>
                <w:szCs w:val="20"/>
                <w:color w:val="auto"/>
              </w:rPr>
            </w:pPr>
            <w:r>
              <w:rPr>
                <w:rFonts w:ascii="Arial" w:cs="Arial" w:eastAsia="Arial" w:hAnsi="Arial"/>
                <w:sz w:val="18"/>
                <w:szCs w:val="18"/>
                <w:color w:val="auto"/>
                <w:w w:val="97"/>
              </w:rPr>
              <w:t>Executive Vice President, General Counsel and Chief Compliance Officer of Weatherford since July 2020</w:t>
            </w:r>
          </w:p>
        </w:tc>
      </w:tr>
      <w:tr>
        <w:trPr>
          <w:trHeight w:val="309"/>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and General Counsel of Arena Energy, L.P. from September 2019 to July 2020</w:t>
            </w:r>
          </w:p>
        </w:tc>
      </w:tr>
    </w:tbl>
    <w:p>
      <w:pPr>
        <w:spacing w:after="0" w:line="202" w:lineRule="exact"/>
        <w:rPr>
          <w:sz w:val="20"/>
          <w:szCs w:val="20"/>
          <w:color w:val="auto"/>
        </w:rPr>
      </w:pPr>
    </w:p>
    <w:p>
      <w:pPr>
        <w:ind w:left="3040"/>
        <w:spacing w:after="0" w:line="277" w:lineRule="auto"/>
        <w:rPr>
          <w:sz w:val="20"/>
          <w:szCs w:val="20"/>
          <w:color w:val="auto"/>
        </w:rPr>
      </w:pPr>
      <w:r>
        <w:rPr>
          <w:rFonts w:ascii="Arial" w:cs="Arial" w:eastAsia="Arial" w:hAnsi="Arial"/>
          <w:sz w:val="18"/>
          <w:szCs w:val="18"/>
          <w:color w:val="auto"/>
        </w:rPr>
        <w:t>Executive Vice President, General Counsel and Corporate Secretary at Midstates Petroleum Company, Inc. from February 2015 to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four weeks after his departure from the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Diversity of Skills and Expertise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Board’s composition is carefully considered by the Nominating and Governance Committee to ensure diversity in the broadest sense – independence, diversity of viewpoints, backgrounds and experience, including a consideration of gender, ethnicity, race, country of citizenship and age –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directors bring a range of skills and experience in relevant areas, including finance, exploration and production, environment, international business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 Biographies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currently consists of five members, as set forth in the table below. Our Amended and Restated Memorandum and Articles of Association (the “Articles”) do not limit the number of terms a member may be re-elected to the Board. All of our directors are independent under the rules of Nasdaq, other than Girishchandra K. Saligram, who was appointed to the Board upon joining the Company as our President and Chief Executive Officer in October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88"/>
              </w:rPr>
              <w:t>Age</w:t>
            </w: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Charles M. Sledge</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Benjamin C. Duster, IV</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60</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Neal P. Goldman</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51</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Jacqueline C. Mutschler</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59</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Girishchandra K. Saligram</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49</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 and Director</w:t>
            </w:r>
          </w:p>
        </w:tc>
      </w:tr>
      <w:tr>
        <w:trPr>
          <w:trHeight w:val="648"/>
        </w:trPr>
        <w:tc>
          <w:tcPr>
            <w:tcW w:w="2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1928495" cy="1765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Dec.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Safety, Environment and Sustainability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Talos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25625" cy="1842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5625" cy="184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CHARLES M. SLEDGE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on the boards of Talos Energy Inc., Noble Corporation and Vine Energy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Louisiana State University, B.S. in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Advanced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C. DUSTER,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00" w:lineRule="exact"/>
        <w:rPr>
          <w:sz w:val="20"/>
          <w:szCs w:val="20"/>
          <w:color w:val="auto"/>
        </w:rPr>
      </w:pPr>
    </w:p>
    <w:p>
      <w:pPr>
        <w:sectPr>
          <w:pgSz w:w="11900" w:h="16838" w:orient="portrait"/>
          <w:cols w:equalWidth="0" w:num="2">
            <w:col w:w="3200" w:space="180"/>
            <w:col w:w="7860"/>
          </w:cols>
          <w:pgMar w:left="320" w:top="1336" w:right="339" w:bottom="1440" w:gutter="0" w:footer="0" w:header="0"/>
        </w:sectPr>
      </w:pPr>
    </w:p>
    <w:p>
      <w:pPr>
        <w:spacing w:after="0" w:line="29" w:lineRule="exact"/>
        <w:rPr>
          <w:sz w:val="20"/>
          <w:szCs w:val="20"/>
          <w:color w:val="auto"/>
        </w:rPr>
      </w:pPr>
    </w:p>
    <w:p>
      <w:pPr>
        <w:jc w:val="both"/>
        <w:ind w:left="3380"/>
        <w:spacing w:after="0" w:line="275" w:lineRule="auto"/>
        <w:rPr>
          <w:sz w:val="20"/>
          <w:szCs w:val="20"/>
          <w:color w:val="auto"/>
        </w:rPr>
      </w:pPr>
      <w:r>
        <w:rPr>
          <w:rFonts w:ascii="Arial" w:cs="Arial" w:eastAsia="Arial" w:hAnsi="Arial"/>
          <w:sz w:val="17"/>
          <w:szCs w:val="17"/>
          <w:color w:val="auto"/>
        </w:rPr>
        <w:t>Mr. Duster IV is the Founder and Chief Executive Officer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and chairs the audit committee at both Alaska Communications Systems Group, Inc. and Chesapeake Energy Corporation.</w:t>
      </w:r>
    </w:p>
    <w:p>
      <w:pPr>
        <w:sectPr>
          <w:pgSz w:w="11900" w:h="16838" w:orient="portrait"/>
          <w:cols w:equalWidth="0" w:num="1">
            <w:col w:w="11240"/>
          </w:cols>
          <w:pgMar w:left="320" w:top="13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Human Resources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Alaska Communications Systems Group, Inc. Chesapeake Energy Corporation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Yale University, BA in Economics (Applied Math minor) with Honors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Harvard Law School, Juris Doctorate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300" w:space="80"/>
            <w:col w:w="7860"/>
          </w:cols>
          <w:pgMar w:left="320" w:top="1336"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NEAL P. GOLDMAN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8"/>
              </w:rPr>
              <w:t>Mr. Goldman has over 25 years of experience in investing and working with companies to maximize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shareholder value. Since 2015, he has been the Managing Member of SAGE Capital Investments, LLC, 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consulting firm specializing in independent board of director services, restructuring, strategic planning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1"/>
              </w:rPr>
              <w:t>transformations for companies in multiple industries including energy, technology, media, retail, gaming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industrials. From 2014 to 2016, he was a Managing Director at Och-Ziff Capital Management, LP and, from</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4"/>
              </w:rPr>
              <w:t>2007 to 2012, a Founding Partner of Brigade Capital Management, LLC, which he helped to build to over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$12 billion in assets under management. Mr. Goldman currently serves as Chairman of the Board of Talos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Energy Inc.</w:t>
            </w: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Michigan, BA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Audit (Vice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Illinois, MBA</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Talos Energy Inc.</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JACQUELINE C. MUTSCHLER</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Ms. Mutschler has over 30 years of business and technology experience in the oil industry. She held a range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of strategic, operational and technology roles at BP plc that spanned its international businesses. Her most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recent appointment at BP was the Head of Upstream Technology. Since her retirement from BP in 2014, she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has provided independent consulting for the energy and technology industries. Ms. Mutschler is currently 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director at Antero Resources Corporation.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Wright State University, B.S., Geology/Geophysics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Stanford University, Executive Education Program</w:t>
            </w:r>
          </w:p>
        </w:tc>
        <w:tc>
          <w:tcPr>
            <w:tcW w:w="0" w:type="dxa"/>
            <w:vAlign w:val="bottom"/>
          </w:tcPr>
          <w:p>
            <w:pPr>
              <w:spacing w:after="0"/>
              <w:rPr>
                <w:sz w:val="1"/>
                <w:szCs w:val="1"/>
                <w:color w:val="auto"/>
              </w:rPr>
            </w:pPr>
          </w:p>
        </w:tc>
      </w:tr>
      <w:tr>
        <w:trPr>
          <w:trHeight w:val="14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Massachusetts Institute of Technology, Executive Education Program</w:t>
            </w:r>
          </w:p>
        </w:tc>
        <w:tc>
          <w:tcPr>
            <w:tcW w:w="0" w:type="dxa"/>
            <w:vAlign w:val="bottom"/>
          </w:tcPr>
          <w:p>
            <w:pPr>
              <w:spacing w:after="0"/>
              <w:rPr>
                <w:sz w:val="1"/>
                <w:szCs w:val="1"/>
                <w:color w:val="auto"/>
              </w:rPr>
            </w:pPr>
          </w:p>
        </w:tc>
      </w:tr>
      <w:tr>
        <w:trPr>
          <w:trHeight w:val="136"/>
        </w:trPr>
        <w:tc>
          <w:tcPr>
            <w:tcW w:w="3300" w:type="dxa"/>
            <w:vAlign w:val="bottom"/>
            <w:vMerge w:val="restart"/>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Nominating and Governance</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Safety, Environment and Sustainability</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Antero Resources Corporation</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-6651625</wp:posOffset>
            </wp:positionV>
            <wp:extent cx="1877060" cy="175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7060" cy="17576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1757045" cy="181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57045" cy="181737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GIRISHCHANDRA K. SALIGRAM</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6"/>
              </w:rPr>
              <w:t>Mr. Saligram joined Weatherford as our President and Chief Executive Officer in October 2020. Before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5"/>
              </w:rPr>
              <w:t>joining Weatherford, Mr. Saligram served Exterran Corporation, a global systems and process company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5"/>
              </w:rPr>
              <w:t>offering solutions in the oil, gas, water and power markets, as Chief Operating Officer and previously as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President, Global Services after joining the company in 2016. Prior to Exterran Corporation, Mr. Saligram</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7"/>
              </w:rPr>
              <w:t>spent 20 years with GE in positions of increasing responsibility as a functional and business leader in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industry sectors across the globe, including his last position as General Manager, Downstream Products &amp;</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Services for GE Oil &amp; Gas. Prior to that, Mr. Saligram led the GE Oil &amp; Gas Contractual Services business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based in Florence, Italy. Before his eight years in the oil and gas sector, Mr. Saligram spent 12 years with GE</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Healthcare in engineering, services, operations, and other commercial roles.</w:t>
            </w:r>
          </w:p>
        </w:tc>
        <w:tc>
          <w:tcPr>
            <w:tcW w:w="0" w:type="dxa"/>
            <w:vAlign w:val="bottom"/>
          </w:tcPr>
          <w:p>
            <w:pPr>
              <w:spacing w:after="0"/>
              <w:rPr>
                <w:sz w:val="1"/>
                <w:szCs w:val="1"/>
                <w:color w:val="auto"/>
              </w:rPr>
            </w:pPr>
          </w:p>
        </w:tc>
      </w:tr>
      <w:tr>
        <w:trPr>
          <w:trHeight w:val="432"/>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90"/>
        </w:trPr>
        <w:tc>
          <w:tcPr>
            <w:tcW w:w="3300" w:type="dxa"/>
            <w:vAlign w:val="bottom"/>
            <w:vMerge w:val="continue"/>
          </w:tcPr>
          <w:p>
            <w:pPr>
              <w:spacing w:after="0"/>
              <w:rPr>
                <w:sz w:val="7"/>
                <w:szCs w:val="7"/>
                <w:color w:val="auto"/>
              </w:rPr>
            </w:pPr>
          </w:p>
        </w:tc>
        <w:tc>
          <w:tcPr>
            <w:tcW w:w="7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 2020</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Bangalore University, B.E, Computer Science &amp; Engineering</w:t>
            </w:r>
          </w:p>
        </w:tc>
        <w:tc>
          <w:tcPr>
            <w:tcW w:w="0" w:type="dxa"/>
            <w:vAlign w:val="bottom"/>
          </w:tcPr>
          <w:p>
            <w:pPr>
              <w:spacing w:after="0"/>
              <w:rPr>
                <w:sz w:val="1"/>
                <w:szCs w:val="1"/>
                <w:color w:val="auto"/>
              </w:rPr>
            </w:pPr>
          </w:p>
        </w:tc>
      </w:tr>
      <w:tr>
        <w:trPr>
          <w:trHeight w:val="126"/>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00" w:type="dxa"/>
            <w:vAlign w:val="bottom"/>
            <w:vMerge w:val="continue"/>
          </w:tcPr>
          <w:p>
            <w:pPr>
              <w:spacing w:after="0"/>
              <w:rPr>
                <w:sz w:val="8"/>
                <w:szCs w:val="8"/>
                <w:color w:val="auto"/>
              </w:rPr>
            </w:pPr>
          </w:p>
        </w:tc>
        <w:tc>
          <w:tcPr>
            <w:tcW w:w="7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Safety, Environment and Sustainability</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Virginia Polytechnic Institute and State University, M.S., Computer Science</w:t>
            </w: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None</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Northwestern University, Kellogg Graduate School of Management, M.B.A.</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1842770" cy="1834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42770" cy="183451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and Board Committees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registration statement.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7734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7340" cy="41148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b w:val="1"/>
          <w:bCs w:val="1"/>
          <w:color w:val="FFFFFF"/>
        </w:rPr>
        <w:t>AUDIT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COMMITTEE</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Goldman (Vice Chair),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Sledge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77340" cy="5623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340" cy="5623560"/>
                    </a:xfrm>
                    <a:prstGeom prst="rect">
                      <a:avLst/>
                    </a:prstGeom>
                    <a:noFill/>
                  </pic:spPr>
                </pic:pic>
              </a:graphicData>
            </a:graphic>
          </wp:anchor>
        </w:drawing>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180" w:hanging="75"/>
        <w:spacing w:after="0" w:line="25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integrity of our financial reporting process and systems of internal accounting and financial controls;</w:t>
      </w:r>
    </w:p>
    <w:p>
      <w:pPr>
        <w:spacing w:after="0" w:line="187" w:lineRule="exact"/>
        <w:rPr>
          <w:rFonts w:ascii="Arial" w:cs="Arial" w:eastAsia="Arial" w:hAnsi="Arial"/>
          <w:sz w:val="18"/>
          <w:szCs w:val="18"/>
          <w:color w:val="auto"/>
        </w:rPr>
      </w:pPr>
    </w:p>
    <w:p>
      <w:pPr>
        <w:ind w:left="180" w:right="480" w:hanging="75"/>
        <w:spacing w:after="0" w:line="27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0" w:lineRule="exact"/>
        <w:rPr>
          <w:rFonts w:ascii="Arial" w:cs="Arial" w:eastAsia="Arial" w:hAnsi="Arial"/>
          <w:sz w:val="18"/>
          <w:szCs w:val="18"/>
          <w:color w:val="auto"/>
        </w:rPr>
      </w:pPr>
    </w:p>
    <w:p>
      <w:pPr>
        <w:ind w:left="180" w:right="220" w:hanging="75"/>
        <w:spacing w:after="0" w:line="286" w:lineRule="auto"/>
        <w:tabs>
          <w:tab w:leader="none" w:pos="2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overseeing our compliance with legal and regulatory requirements;</w:t>
      </w:r>
    </w:p>
    <w:p>
      <w:pPr>
        <w:spacing w:after="0" w:line="165" w:lineRule="exact"/>
        <w:rPr>
          <w:rFonts w:ascii="Arial" w:cs="Arial" w:eastAsia="Arial" w:hAnsi="Arial"/>
          <w:sz w:val="17"/>
          <w:szCs w:val="17"/>
          <w:color w:val="auto"/>
        </w:rPr>
      </w:pPr>
    </w:p>
    <w:p>
      <w:pPr>
        <w:ind w:left="180" w:right="60" w:hanging="75"/>
        <w:spacing w:after="0" w:line="275" w:lineRule="auto"/>
        <w:tabs>
          <w:tab w:leader="none" w:pos="2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authorizing and being responsible for the appointment, compensation, retention and oversight of our independent auditor;</w:t>
      </w:r>
    </w:p>
    <w:p>
      <w:pPr>
        <w:spacing w:after="0" w:line="176" w:lineRule="exact"/>
        <w:rPr>
          <w:rFonts w:ascii="Arial" w:cs="Arial" w:eastAsia="Arial" w:hAnsi="Arial"/>
          <w:sz w:val="17"/>
          <w:szCs w:val="17"/>
          <w:color w:val="auto"/>
        </w:rPr>
      </w:pPr>
    </w:p>
    <w:p>
      <w:pPr>
        <w:jc w:val="both"/>
        <w:ind w:left="180" w:right="180" w:hanging="75"/>
        <w:spacing w:after="0" w:line="311" w:lineRule="auto"/>
        <w:tabs>
          <w:tab w:leader="none" w:pos="2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our independent auditor’s qualifications and independence; and</w:t>
      </w:r>
    </w:p>
    <w:p>
      <w:pPr>
        <w:spacing w:after="0" w:line="148" w:lineRule="exact"/>
        <w:rPr>
          <w:rFonts w:ascii="Arial" w:cs="Arial" w:eastAsia="Arial" w:hAnsi="Arial"/>
          <w:sz w:val="16"/>
          <w:szCs w:val="16"/>
          <w:color w:val="auto"/>
        </w:rPr>
      </w:pPr>
    </w:p>
    <w:p>
      <w:pPr>
        <w:ind w:left="180" w:right="60" w:hanging="75"/>
        <w:spacing w:after="0" w:line="296" w:lineRule="auto"/>
        <w:tabs>
          <w:tab w:leader="none" w:pos="2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performance of our internal assurance function, including internal audits and investigations, and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Meetings in 2020: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773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773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8" w:right="340"/>
        <w:spacing w:after="0" w:line="257" w:lineRule="auto"/>
        <w:rPr>
          <w:sz w:val="20"/>
          <w:szCs w:val="20"/>
          <w:color w:val="auto"/>
        </w:rPr>
      </w:pPr>
      <w:r>
        <w:rPr>
          <w:rFonts w:ascii="Arial" w:cs="Arial" w:eastAsia="Arial" w:hAnsi="Arial"/>
          <w:sz w:val="18"/>
          <w:szCs w:val="18"/>
          <w:b w:val="1"/>
          <w:bCs w:val="1"/>
          <w:color w:val="FFFFFF"/>
        </w:rPr>
        <w:t>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-410210</wp:posOffset>
            </wp:positionV>
            <wp:extent cx="178308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411480"/>
                    </a:xfrm>
                    <a:prstGeom prst="rect">
                      <a:avLst/>
                    </a:prstGeom>
                    <a:noFill/>
                  </pic:spPr>
                </pic:pic>
              </a:graphicData>
            </a:graphic>
          </wp:anchor>
        </w:drawing>
      </w:r>
    </w:p>
    <w:p>
      <w:pPr>
        <w:ind w:left="189"/>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Duster (Chair),</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Goldman,</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5715</wp:posOffset>
            </wp:positionV>
            <wp:extent cx="1783080" cy="5623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5623560"/>
                    </a:xfrm>
                    <a:prstGeom prst="rect">
                      <a:avLst/>
                    </a:prstGeom>
                    <a:noFill/>
                  </pic:spPr>
                </pic:pic>
              </a:graphicData>
            </a:graphic>
          </wp:anchor>
        </w:drawing>
      </w:r>
    </w:p>
    <w:p>
      <w:pPr>
        <w:spacing w:after="0" w:line="18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9" w:right="12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Monitoring and reviewing the Company’s overall compensation and benefits program design to ensure program discourages excessive risk taking;</w:t>
      </w:r>
    </w:p>
    <w:p>
      <w:pPr>
        <w:spacing w:after="0" w:line="161" w:lineRule="exact"/>
        <w:rPr>
          <w:rFonts w:ascii="Arial" w:cs="Arial" w:eastAsia="Arial" w:hAnsi="Arial"/>
          <w:sz w:val="16"/>
          <w:szCs w:val="16"/>
          <w:color w:val="auto"/>
        </w:rPr>
      </w:pPr>
    </w:p>
    <w:p>
      <w:pPr>
        <w:ind w:left="89" w:right="2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assessing compensation program’s continued competitiveness and consistency with compensation philosophy, corporate strategy and objectives;</w:t>
      </w:r>
    </w:p>
    <w:p>
      <w:pPr>
        <w:spacing w:after="0" w:line="161" w:lineRule="exact"/>
        <w:rPr>
          <w:rFonts w:ascii="Arial" w:cs="Arial" w:eastAsia="Arial" w:hAnsi="Arial"/>
          <w:sz w:val="16"/>
          <w:szCs w:val="16"/>
          <w:color w:val="auto"/>
        </w:rPr>
      </w:pPr>
    </w:p>
    <w:p>
      <w:pPr>
        <w:ind w:left="89" w:right="300" w:hanging="89"/>
        <w:spacing w:after="0" w:line="342"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w:t>
      </w:r>
    </w:p>
    <w:p>
      <w:pPr>
        <w:spacing w:after="0" w:line="123" w:lineRule="exact"/>
        <w:rPr>
          <w:rFonts w:ascii="Arial" w:cs="Arial" w:eastAsia="Arial" w:hAnsi="Arial"/>
          <w:sz w:val="16"/>
          <w:szCs w:val="16"/>
          <w:color w:val="auto"/>
        </w:rPr>
      </w:pPr>
    </w:p>
    <w:p>
      <w:pPr>
        <w:ind w:left="89" w:right="120" w:hanging="89"/>
        <w:spacing w:after="0" w:line="327" w:lineRule="auto"/>
        <w:tabs>
          <w:tab w:leader="none" w:pos="1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reviewing, with the Chief Executive Officer, and approving each component of compensation of our executive officers;</w:t>
      </w:r>
    </w:p>
    <w:p>
      <w:pPr>
        <w:spacing w:after="0" w:line="139" w:lineRule="exact"/>
        <w:rPr>
          <w:rFonts w:ascii="Arial" w:cs="Arial" w:eastAsia="Arial" w:hAnsi="Arial"/>
          <w:sz w:val="15"/>
          <w:szCs w:val="15"/>
          <w:color w:val="auto"/>
        </w:rPr>
      </w:pPr>
    </w:p>
    <w:p>
      <w:pPr>
        <w:ind w:left="89" w:right="580" w:hanging="89"/>
        <w:spacing w:after="0" w:line="342"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selecting appropriate compensation peer groups;</w:t>
      </w:r>
    </w:p>
    <w:p>
      <w:pPr>
        <w:spacing w:after="0" w:line="123" w:lineRule="exact"/>
        <w:rPr>
          <w:rFonts w:ascii="Arial" w:cs="Arial" w:eastAsia="Arial" w:hAnsi="Arial"/>
          <w:sz w:val="16"/>
          <w:szCs w:val="16"/>
          <w:color w:val="auto"/>
        </w:rPr>
      </w:pPr>
    </w:p>
    <w:p>
      <w:pPr>
        <w:ind w:left="89" w:hanging="89"/>
        <w:spacing w:after="0" w:line="320" w:lineRule="auto"/>
        <w:tabs>
          <w:tab w:leader="none" w:pos="1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making decisions regarding severance, executive compensation plans, incentive compensation plans and equity-based plans and administering such plans; and</w:t>
      </w:r>
    </w:p>
    <w:p>
      <w:pPr>
        <w:spacing w:after="0" w:line="146" w:lineRule="exact"/>
        <w:rPr>
          <w:rFonts w:ascii="Arial" w:cs="Arial" w:eastAsia="Arial" w:hAnsi="Arial"/>
          <w:sz w:val="15"/>
          <w:szCs w:val="15"/>
          <w:color w:val="auto"/>
        </w:rPr>
      </w:pPr>
    </w:p>
    <w:p>
      <w:pPr>
        <w:ind w:left="89" w:right="6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the compensation of our independent,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8"/>
        <w:spacing w:after="0"/>
        <w:rPr>
          <w:sz w:val="20"/>
          <w:szCs w:val="20"/>
          <w:color w:val="auto"/>
        </w:rPr>
      </w:pPr>
      <w:r>
        <w:rPr>
          <w:rFonts w:ascii="Arial" w:cs="Arial" w:eastAsia="Arial" w:hAnsi="Arial"/>
          <w:sz w:val="18"/>
          <w:szCs w:val="18"/>
          <w:b w:val="1"/>
          <w:bCs w:val="1"/>
          <w:color w:val="auto"/>
        </w:rPr>
        <w:t>Meetings in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17830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FFFFFF"/>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5610" cy="41148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GOVERNANCE</w:t>
      </w:r>
    </w:p>
    <w:p>
      <w:pPr>
        <w:spacing w:after="0" w:line="9" w:lineRule="exact"/>
        <w:rPr>
          <w:sz w:val="20"/>
          <w:szCs w:val="20"/>
          <w:color w:val="auto"/>
        </w:rPr>
      </w:pPr>
    </w:p>
    <w:p>
      <w:pPr>
        <w:ind w:left="180" w:right="640" w:firstLine="486"/>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Goldman (Chair),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5715</wp:posOffset>
            </wp:positionV>
            <wp:extent cx="1705610" cy="5623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5610" cy="56235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40" w:hanging="73"/>
        <w:spacing w:after="0" w:line="308" w:lineRule="auto"/>
        <w:tabs>
          <w:tab w:leader="none" w:pos="1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individuals qualified to serve as Board members;</w:t>
      </w:r>
    </w:p>
    <w:p>
      <w:pPr>
        <w:spacing w:after="0" w:line="146" w:lineRule="exact"/>
        <w:rPr>
          <w:rFonts w:ascii="Arial" w:cs="Arial" w:eastAsia="Arial" w:hAnsi="Arial"/>
          <w:sz w:val="17"/>
          <w:szCs w:val="17"/>
          <w:color w:val="auto"/>
        </w:rPr>
      </w:pPr>
    </w:p>
    <w:p>
      <w:pPr>
        <w:ind w:left="80" w:hanging="73"/>
        <w:spacing w:after="0" w:line="254" w:lineRule="auto"/>
        <w:tabs>
          <w:tab w:leader="none" w:pos="1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director nominees for each annual general meeting of shareholders (an “Annual General Meeting”), to fill any vacancies and recommending directors for each committee;</w:t>
      </w:r>
    </w:p>
    <w:p>
      <w:pPr>
        <w:spacing w:after="0" w:line="194" w:lineRule="exact"/>
        <w:rPr>
          <w:rFonts w:ascii="Arial" w:cs="Arial" w:eastAsia="Arial" w:hAnsi="Arial"/>
          <w:sz w:val="18"/>
          <w:szCs w:val="18"/>
          <w:color w:val="auto"/>
        </w:rPr>
      </w:pPr>
    </w:p>
    <w:p>
      <w:pPr>
        <w:ind w:left="80" w:hanging="73"/>
        <w:spacing w:after="0" w:line="259" w:lineRule="auto"/>
        <w:tabs>
          <w:tab w:leader="none" w:pos="1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changes to the Company’s Corporate Governance Principles for Board approval;</w:t>
      </w:r>
    </w:p>
    <w:p>
      <w:pPr>
        <w:spacing w:after="0" w:line="186" w:lineRule="exact"/>
        <w:rPr>
          <w:rFonts w:ascii="Arial" w:cs="Arial" w:eastAsia="Arial" w:hAnsi="Arial"/>
          <w:sz w:val="18"/>
          <w:szCs w:val="18"/>
          <w:color w:val="auto"/>
        </w:rPr>
      </w:pPr>
    </w:p>
    <w:p>
      <w:pPr>
        <w:ind w:left="80" w:hanging="73"/>
        <w:spacing w:after="0" w:line="311" w:lineRule="auto"/>
        <w:tabs>
          <w:tab w:leader="none" w:pos="1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the Board in its annual review of the Board’s and management’s performance;</w:t>
      </w:r>
    </w:p>
    <w:p>
      <w:pPr>
        <w:spacing w:after="0" w:line="148" w:lineRule="exact"/>
        <w:rPr>
          <w:rFonts w:ascii="Arial" w:cs="Arial" w:eastAsia="Arial" w:hAnsi="Arial"/>
          <w:sz w:val="16"/>
          <w:szCs w:val="16"/>
          <w:color w:val="auto"/>
        </w:rPr>
      </w:pPr>
    </w:p>
    <w:p>
      <w:pPr>
        <w:ind w:left="80" w:right="160" w:hanging="73"/>
        <w:spacing w:after="0" w:line="275" w:lineRule="auto"/>
        <w:tabs>
          <w:tab w:leader="none" w:pos="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recommending responses to shareholder proposals (other than those related to compensation) to the Board;</w:t>
      </w:r>
    </w:p>
    <w:p>
      <w:pPr>
        <w:spacing w:after="0" w:line="176" w:lineRule="exact"/>
        <w:rPr>
          <w:rFonts w:ascii="Arial" w:cs="Arial" w:eastAsia="Arial" w:hAnsi="Arial"/>
          <w:sz w:val="17"/>
          <w:szCs w:val="17"/>
          <w:color w:val="auto"/>
        </w:rPr>
      </w:pPr>
    </w:p>
    <w:p>
      <w:pPr>
        <w:ind w:left="80" w:right="20" w:hanging="73"/>
        <w:spacing w:after="0" w:line="279" w:lineRule="auto"/>
        <w:tabs>
          <w:tab w:leader="none" w:pos="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providing guidance to management and the Board regarding shareholder engagement; and</w:t>
      </w:r>
    </w:p>
    <w:p>
      <w:pPr>
        <w:spacing w:after="0" w:line="171" w:lineRule="exact"/>
        <w:rPr>
          <w:rFonts w:ascii="Arial" w:cs="Arial" w:eastAsia="Arial" w:hAnsi="Arial"/>
          <w:sz w:val="17"/>
          <w:szCs w:val="17"/>
          <w:color w:val="auto"/>
        </w:rPr>
      </w:pPr>
    </w:p>
    <w:p>
      <w:pPr>
        <w:ind w:left="80" w:right="100" w:hanging="73"/>
        <w:spacing w:after="0" w:line="255" w:lineRule="auto"/>
        <w:tabs>
          <w:tab w:leader="none" w:pos="1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succession planning for the Company’s Chief Executive Officer and reviewing the Chief Executive Officer’s succession planning for other executive officers.</w:t>
      </w:r>
    </w:p>
    <w:p>
      <w:pPr>
        <w:spacing w:after="0" w:line="188"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60" w:right="100"/>
        <w:spacing w:after="0" w:line="261" w:lineRule="auto"/>
        <w:rPr>
          <w:sz w:val="20"/>
          <w:szCs w:val="20"/>
          <w:color w:val="auto"/>
        </w:rPr>
      </w:pPr>
      <w:r>
        <w:rPr>
          <w:rFonts w:ascii="Arial" w:cs="Arial" w:eastAsia="Arial" w:hAnsi="Arial"/>
          <w:sz w:val="18"/>
          <w:szCs w:val="18"/>
          <w:b w:val="1"/>
          <w:bCs w:val="1"/>
          <w:color w:val="FFFFFF"/>
        </w:rPr>
        <w:t>SAFETY, ENVIRONMENT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-273685</wp:posOffset>
            </wp:positionV>
            <wp:extent cx="185166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1660" cy="411480"/>
                    </a:xfrm>
                    <a:prstGeom prst="rect">
                      <a:avLst/>
                    </a:prstGeom>
                    <a:noFill/>
                  </pic:spPr>
                </pic:pic>
              </a:graphicData>
            </a:graphic>
          </wp:anchor>
        </w:drawing>
      </w:r>
    </w:p>
    <w:p>
      <w:pPr>
        <w:ind w:left="180" w:right="880" w:firstLine="601"/>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220" w:right="940"/>
        <w:spacing w:after="0" w:line="277" w:lineRule="auto"/>
        <w:rPr>
          <w:sz w:val="20"/>
          <w:szCs w:val="20"/>
          <w:color w:val="auto"/>
        </w:rPr>
      </w:pPr>
      <w:r>
        <w:rPr>
          <w:rFonts w:ascii="Arial" w:cs="Arial" w:eastAsia="Arial" w:hAnsi="Arial"/>
          <w:sz w:val="17"/>
          <w:szCs w:val="17"/>
          <w:color w:val="auto"/>
        </w:rPr>
        <w:t>Ms. Mutschler (Chair), Mr. Saligram, Mr.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-17780</wp:posOffset>
            </wp:positionV>
            <wp:extent cx="1851660" cy="5623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1660" cy="562356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160" w:hanging="79"/>
        <w:spacing w:after="0" w:line="288"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the Company’s policies relating to quality, health, safety, security, environmental (“QHSSE”) stewardship and corporate responsibility, including sustainability, socially responsible engagement, security, ethics and quality assurance and overseeing adherence and enforcement of these policies and related programs;</w:t>
      </w:r>
    </w:p>
    <w:p>
      <w:pPr>
        <w:spacing w:after="0" w:line="168" w:lineRule="exact"/>
        <w:rPr>
          <w:rFonts w:ascii="Arial" w:cs="Arial" w:eastAsia="Arial" w:hAnsi="Arial"/>
          <w:sz w:val="16"/>
          <w:szCs w:val="16"/>
          <w:color w:val="auto"/>
        </w:rPr>
      </w:pPr>
    </w:p>
    <w:p>
      <w:pPr>
        <w:ind w:left="80" w:right="380" w:hanging="79"/>
        <w:spacing w:after="0" w:line="340" w:lineRule="auto"/>
        <w:tabs>
          <w:tab w:leader="none" w:pos="107"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the Company’s initiatives to promote safety awareness among all employees;</w:t>
      </w:r>
    </w:p>
    <w:p>
      <w:pPr>
        <w:spacing w:after="0" w:line="130" w:lineRule="exact"/>
        <w:rPr>
          <w:rFonts w:ascii="Arial" w:cs="Arial" w:eastAsia="Arial" w:hAnsi="Arial"/>
          <w:sz w:val="15"/>
          <w:szCs w:val="15"/>
          <w:color w:val="auto"/>
        </w:rPr>
      </w:pPr>
    </w:p>
    <w:p>
      <w:pPr>
        <w:ind w:left="80" w:right="100" w:hanging="79"/>
        <w:spacing w:after="0" w:line="301"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strategy and resources of the Company’s QHSSE organization and approving the annual QHSSE plan, including related processes;</w:t>
      </w:r>
    </w:p>
    <w:p>
      <w:pPr>
        <w:spacing w:after="0" w:line="157" w:lineRule="exact"/>
        <w:rPr>
          <w:rFonts w:ascii="Arial" w:cs="Arial" w:eastAsia="Arial" w:hAnsi="Arial"/>
          <w:sz w:val="16"/>
          <w:szCs w:val="16"/>
          <w:color w:val="auto"/>
        </w:rPr>
      </w:pPr>
    </w:p>
    <w:p>
      <w:pPr>
        <w:ind w:left="80" w:right="240" w:hanging="79"/>
        <w:spacing w:after="0" w:line="257"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periodic updates on significant health, safety, security, environmental sustainable-development and social and public policy issues;</w:t>
      </w:r>
    </w:p>
    <w:p>
      <w:pPr>
        <w:spacing w:after="0" w:line="187" w:lineRule="exact"/>
        <w:rPr>
          <w:rFonts w:ascii="Arial" w:cs="Arial" w:eastAsia="Arial" w:hAnsi="Arial"/>
          <w:sz w:val="18"/>
          <w:szCs w:val="18"/>
          <w:color w:val="auto"/>
        </w:rPr>
      </w:pPr>
    </w:p>
    <w:p>
      <w:pPr>
        <w:ind w:left="80" w:right="340" w:hanging="79"/>
        <w:spacing w:after="0" w:line="311"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findings related to any significant QHSSE incident and making periodic facility visits;</w:t>
      </w:r>
    </w:p>
    <w:p>
      <w:pPr>
        <w:spacing w:after="0" w:line="148" w:lineRule="exact"/>
        <w:rPr>
          <w:rFonts w:ascii="Arial" w:cs="Arial" w:eastAsia="Arial" w:hAnsi="Arial"/>
          <w:sz w:val="16"/>
          <w:szCs w:val="16"/>
          <w:color w:val="auto"/>
        </w:rPr>
      </w:pPr>
    </w:p>
    <w:p>
      <w:pPr>
        <w:jc w:val="both"/>
        <w:ind w:left="80" w:right="400" w:hanging="79"/>
        <w:spacing w:after="0" w:line="263"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annual preparation and review of a sustainability report; and</w:t>
      </w:r>
    </w:p>
    <w:p>
      <w:pPr>
        <w:spacing w:after="0" w:line="183" w:lineRule="exact"/>
        <w:rPr>
          <w:rFonts w:ascii="Arial" w:cs="Arial" w:eastAsia="Arial" w:hAnsi="Arial"/>
          <w:sz w:val="18"/>
          <w:szCs w:val="18"/>
          <w:color w:val="auto"/>
        </w:rPr>
      </w:pPr>
    </w:p>
    <w:p>
      <w:pPr>
        <w:ind w:left="80" w:right="160" w:hanging="79"/>
        <w:spacing w:after="0" w:line="287"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assisting the Board with oversight of the Company’s risk management and security processes in relation to</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QHSSE.</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18516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80" w:space="331"/>
            <w:col w:w="2609" w:space="300"/>
            <w:col w:w="2480" w:space="320"/>
            <w:col w:w="2820"/>
          </w:cols>
          <w:pgMar w:left="320" w:top="904" w:right="33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Board Information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Board Meetings: </w:t>
      </w:r>
      <w:r>
        <w:rPr>
          <w:rFonts w:ascii="Arial" w:cs="Arial" w:eastAsia="Arial" w:hAnsi="Arial"/>
          <w:sz w:val="18"/>
          <w:szCs w:val="18"/>
          <w:color w:val="auto"/>
        </w:rPr>
        <w:t>During 2020, the Board met 36 times; all of the directors of the Company at the time participated in at least 75%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its respective committee meetings conducted during their respective tenures. It is our policy that directors are expected to attend each Annual General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0" w:name="page31"/>
    <w:bookmarkEnd w:id="30"/>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Committee Charters: </w:t>
      </w:r>
      <w:r>
        <w:rPr>
          <w:rFonts w:ascii="Arial" w:cs="Arial" w:eastAsia="Arial" w:hAnsi="Arial"/>
          <w:sz w:val="17"/>
          <w:szCs w:val="17"/>
          <w:color w:val="auto"/>
        </w:rPr>
        <w:t>The charter for each committee of our Board is available on our website at www.weatherford.com, by clicking on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 then “Corporate Governance,” then “Corporate Documents,” then selecting the name of the applicable committee charter.</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 composed entirely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Committee Member Qualifications: </w:t>
      </w:r>
      <w:r>
        <w:rPr>
          <w:rFonts w:ascii="Arial" w:cs="Arial" w:eastAsia="Arial" w:hAnsi="Arial"/>
          <w:sz w:val="18"/>
          <w:szCs w:val="18"/>
          <w:color w:val="auto"/>
        </w:rPr>
        <w:t>The Board has determined that each member of the Audit Committee is “financially literate”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standards of the Nasdaq and that Messrs. Sledge and Goldman are both an “audit committee financial expert,” as defined by applicable SEC rules, because of each of their individual extensive financial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Director Independence</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Four out of five of our directors are independent.</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Chairman of the Board</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We have an independent Chairman of the Board who, among other items:</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2"/>
              </w:rPr>
              <w:t>•  reviews Board meeting schedules and agendas to assure there is an adequate number of</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6"/>
              </w:rPr>
              <w:t>scheduled meetings and that sufficient time for discussion of all agenda items and all</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rPr>
              <w:t>topics deemed important by the independent directors are included;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8"/>
              </w:rPr>
              <w:t>presides at all meetings of the Board, including executive sessions, and can call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0"/>
              </w:rPr>
              <w:t>executive sessions of the Board’s independent directors, if and when deemed appropriate;</w:t>
            </w:r>
          </w:p>
        </w:tc>
      </w:tr>
      <w:tr>
        <w:trPr>
          <w:trHeight w:val="283"/>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  leads the Board’s annual evaluation of the Chief Executive Officer;</w:t>
            </w:r>
          </w:p>
        </w:tc>
      </w:tr>
      <w:tr>
        <w:trPr>
          <w:trHeight w:val="284"/>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1"/>
              </w:rPr>
              <w:t>•  monitors and collaborates with management regarding corporate governance matters; and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940" w:type="dxa"/>
            <w:vAlign w:val="bottom"/>
          </w:tcPr>
          <w:p>
            <w:pPr>
              <w:ind w:left="80"/>
              <w:spacing w:after="0"/>
              <w:rPr>
                <w:sz w:val="20"/>
                <w:szCs w:val="20"/>
                <w:color w:val="auto"/>
              </w:rPr>
            </w:pPr>
            <w:r>
              <w:rPr>
                <w:rFonts w:ascii="Arial" w:cs="Arial" w:eastAsia="Arial" w:hAnsi="Arial"/>
                <w:sz w:val="18"/>
                <w:szCs w:val="18"/>
                <w:color w:val="auto"/>
              </w:rPr>
              <w:t>is available for communication with</w:t>
            </w:r>
          </w:p>
        </w:tc>
        <w:tc>
          <w:tcPr>
            <w:tcW w:w="3680" w:type="dxa"/>
            <w:vAlign w:val="bottom"/>
          </w:tcPr>
          <w:p>
            <w:pPr>
              <w:jc w:val="right"/>
              <w:spacing w:after="0"/>
              <w:rPr>
                <w:sz w:val="20"/>
                <w:szCs w:val="20"/>
                <w:color w:val="auto"/>
              </w:rPr>
            </w:pPr>
            <w:r>
              <w:rPr>
                <w:rFonts w:ascii="Arial" w:cs="Arial" w:eastAsia="Arial" w:hAnsi="Arial"/>
                <w:sz w:val="18"/>
                <w:szCs w:val="18"/>
                <w:color w:val="auto"/>
                <w:w w:val="95"/>
              </w:rPr>
              <w:t>shareholders, in coordination with management,</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when appropriate.</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Committee Structure</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8"/>
              </w:rPr>
              <w:t>Our committees, other than the Safety,</w:t>
            </w:r>
          </w:p>
        </w:tc>
        <w:tc>
          <w:tcPr>
            <w:tcW w:w="3680" w:type="dxa"/>
            <w:vAlign w:val="bottom"/>
          </w:tcPr>
          <w:p>
            <w:pPr>
              <w:jc w:val="right"/>
              <w:spacing w:after="0"/>
              <w:rPr>
                <w:sz w:val="20"/>
                <w:szCs w:val="20"/>
                <w:color w:val="auto"/>
              </w:rPr>
            </w:pPr>
            <w:r>
              <w:rPr>
                <w:rFonts w:ascii="Arial" w:cs="Arial" w:eastAsia="Arial" w:hAnsi="Arial"/>
                <w:sz w:val="18"/>
                <w:szCs w:val="18"/>
                <w:color w:val="auto"/>
                <w:w w:val="97"/>
              </w:rPr>
              <w:t>Environment and Sustainability Committee, are</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composed entirely of independent directors; on an annual basis, the Nominating and</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6"/>
              </w:rPr>
              <w:t>Governance Committee evaluates and recommends committee chairs to the Board and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assesses the appropriateness of any further chair rotations.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Executive Sessions</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7"/>
              </w:rPr>
              <w:t>Independent directors meet regularly in</w:t>
            </w:r>
          </w:p>
        </w:tc>
        <w:tc>
          <w:tcPr>
            <w:tcW w:w="3680" w:type="dxa"/>
            <w:vAlign w:val="bottom"/>
          </w:tcPr>
          <w:p>
            <w:pPr>
              <w:jc w:val="right"/>
              <w:spacing w:after="0"/>
              <w:rPr>
                <w:sz w:val="20"/>
                <w:szCs w:val="20"/>
                <w:color w:val="auto"/>
              </w:rPr>
            </w:pPr>
            <w:r>
              <w:rPr>
                <w:rFonts w:ascii="Arial" w:cs="Arial" w:eastAsia="Arial" w:hAnsi="Arial"/>
                <w:sz w:val="18"/>
                <w:szCs w:val="18"/>
                <w:color w:val="auto"/>
              </w:rPr>
              <w:t>executive session, including after all regularly</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89"/>
              </w:rPr>
              <w:t>scheduled meetings; in 2020, executive sessions were held at each of the regularly scheduled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Board meetings and, if appropriate, certain Committee meetings.</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Annual Voting</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Each member of our Board is elected annually with a majority voting standard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uncontested elections.</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Annual Board and Committee Self Evaluation</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The Board and each committee conduct annual self-evaluations.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642"/>
        </w:trPr>
        <w:tc>
          <w:tcPr>
            <w:tcW w:w="3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29</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Minimum Share Ownership Guidelines</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Subject to a five-year transition period, our directors are required to own at least five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1"/>
              </w:rPr>
              <w:t>their annual cash retainers; our Chief Executive Officer is required to own at least six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1"/>
              </w:rPr>
              <w:t>his or her annual base salary; our other NEOs are required to own three times their annual</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base salaries.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Risk Oversight</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Our entire Board is responsible for risk management of the Company, and our committees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8"/>
              </w:rPr>
              <w:t>have particular oversight of certain key risks, including those that are identified in the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Company’s Enterprise Risk Management (“ERM”) program.</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Succession Planning</w:t>
            </w: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ü   Chief Executive Officer succession planning is reviewed and discussed at least annually;</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4"/>
              </w:rPr>
              <w:t>additionally, the Chief Executive Officer reports to the Board on at least an annual basis</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2"/>
              </w:rPr>
              <w:t>concerning management development and succession planning for all other key positions.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Code of Business Conduct</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have a robust and comprehensive Code of Business Conduct that applies to all</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employees, officers and directors.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Hedging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prohibit our directors and executives from engaging in hedging or derivative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transactions involving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Pledging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w w:val="99"/>
              </w:rPr>
              <w:t>ü   We prohibit our directors and executives from pledging our securities. No directors or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executives currently pledge any of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Nominating and Governance Committee will consider nominees recommended by shareholders who submit their recommendations in writing to Chairman,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Nominating and Governance Committee meetings (which generally are held in Houston, Texas or remotely), and should be committed to serve on the Board for an extended period of time. The Nominating and Governance Committee will consider independence, diversity of viewpoints, backgrounds and experience, including a consideration of gender, ethnicity, race, country of citizenship and age in determining whether a candidate will be an appropriate fit with, and an asset to, the Board. When considering existing directors, the Nominating and Governance Committee evaluates their history of attendance at Board and committee meetings as well as contributions and effectiveness at such meetings.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firstLine="648"/>
        <w:spacing w:after="0" w:line="291" w:lineRule="auto"/>
        <w:rPr>
          <w:sz w:val="20"/>
          <w:szCs w:val="20"/>
          <w:color w:val="auto"/>
        </w:rPr>
      </w:pPr>
      <w:r>
        <w:rPr>
          <w:rFonts w:ascii="Arial" w:cs="Arial" w:eastAsia="Arial" w:hAnsi="Arial"/>
          <w:sz w:val="16"/>
          <w:szCs w:val="16"/>
          <w:color w:val="auto"/>
        </w:rPr>
        <w:t>Shareholders who wish to have a nominee considered by our shareholders at the Annual General Meeting must comply with the deadlines and procedures set forth in our Articles. Our Articles provide that a person who (i) is a registered shareholder (A) at the time of the notice, referred to below and</w:t>
      </w:r>
    </w:p>
    <w:p>
      <w:pPr>
        <w:jc w:val="both"/>
        <w:ind w:firstLine="8"/>
        <w:spacing w:after="0" w:line="255"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time of the Annual General Meeting, (ii) is entitled to vote at the Annual General Meeting and (iii) complies with the notice and certain other relevant provisions of the Articles, may, by timely written notice, bring a nomination for the election of a director or other business before an Annual General Meeting.</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be timely for an Annual General Meeting, a registered shareholder’s notice to bring a nomination or other business must be delivered or mailed and received at the Company’s registered office, addressed to the Corporate Secretary no earlier than 120 calendar days and no later than 90 calendar days before the first anniversary of the Company’s Annual General Meeting for the prior year;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to be timely must be received (1) no earlier than 120 days before such Annual General Meeting and (2) no later than the later of 90 days before such Annual General Meeting and the 10th day after the day on which the notice of such Annual General Meeting was first made by mail or public disclosure.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selecting “Memorandum and Articles of Association.” Shareholders also may obtain a copy of these documents free of charge by submitting a written request to our Corporate Secretary at 70 Sir John Rogerson’s Quay, Dublin 2, Ireland.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 copy of this code is also available on our website at www.weatherford.com, by clicking on “Investor Relations,” then “Company Information,” then “Corporate Governance,” then “Corporate Documents,” then selecting “Code of Business Conduct.”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Named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 individuals below as our NEOs for the year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Age</w:t>
            </w:r>
          </w:p>
        </w:tc>
        <w:tc>
          <w:tcPr>
            <w:tcW w:w="7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Position</w:t>
            </w:r>
          </w:p>
        </w:tc>
      </w:tr>
      <w:tr>
        <w:trPr>
          <w:trHeight w:val="250"/>
        </w:trPr>
        <w:tc>
          <w:tcPr>
            <w:tcW w:w="282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Current Executive Officers</w:t>
            </w:r>
            <w:r>
              <w:rPr>
                <w:rFonts w:ascii="Arial" w:cs="Arial" w:eastAsia="Arial" w:hAnsi="Arial"/>
                <w:sz w:val="28"/>
                <w:szCs w:val="28"/>
                <w:b w:val="1"/>
                <w:bCs w:val="1"/>
                <w:color w:val="auto"/>
                <w:vertAlign w:val="superscript"/>
              </w:rPr>
              <w:t>(1)</w:t>
            </w:r>
          </w:p>
        </w:tc>
        <w:tc>
          <w:tcPr>
            <w:tcW w:w="1400" w:type="dxa"/>
            <w:vAlign w:val="bottom"/>
            <w:shd w:val="clear" w:color="auto" w:fill="CCEEFF"/>
          </w:tcPr>
          <w:p>
            <w:pPr>
              <w:spacing w:after="0"/>
              <w:rPr>
                <w:sz w:val="21"/>
                <w:szCs w:val="21"/>
                <w:color w:val="auto"/>
              </w:rPr>
            </w:pPr>
          </w:p>
        </w:tc>
        <w:tc>
          <w:tcPr>
            <w:tcW w:w="7020" w:type="dxa"/>
            <w:vAlign w:val="bottom"/>
            <w:shd w:val="clear" w:color="auto" w:fill="CCEEFF"/>
          </w:tcPr>
          <w:p>
            <w:pPr>
              <w:spacing w:after="0"/>
              <w:rPr>
                <w:sz w:val="21"/>
                <w:szCs w:val="21"/>
                <w:color w:val="auto"/>
              </w:rPr>
            </w:pPr>
          </w:p>
        </w:tc>
      </w:tr>
      <w:tr>
        <w:trPr>
          <w:trHeight w:val="257"/>
        </w:trPr>
        <w:tc>
          <w:tcPr>
            <w:tcW w:w="2820" w:type="dxa"/>
            <w:vAlign w:val="bottom"/>
          </w:tcPr>
          <w:p>
            <w:pPr>
              <w:spacing w:after="0" w:line="256" w:lineRule="exact"/>
              <w:rPr>
                <w:sz w:val="20"/>
                <w:szCs w:val="20"/>
                <w:color w:val="auto"/>
              </w:rPr>
            </w:pPr>
            <w:r>
              <w:rPr>
                <w:rFonts w:ascii="Arial" w:cs="Arial" w:eastAsia="Arial" w:hAnsi="Arial"/>
                <w:sz w:val="18"/>
                <w:szCs w:val="18"/>
                <w:color w:val="auto"/>
              </w:rPr>
              <w:t>Girishchandra K. Saligram</w:t>
            </w:r>
            <w:r>
              <w:rPr>
                <w:rFonts w:ascii="Arial" w:cs="Arial" w:eastAsia="Arial" w:hAnsi="Arial"/>
                <w:sz w:val="29"/>
                <w:szCs w:val="29"/>
                <w:color w:val="auto"/>
                <w:vertAlign w:val="superscript"/>
              </w:rPr>
              <w:t>(2)</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702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256"/>
        </w:trPr>
        <w:tc>
          <w:tcPr>
            <w:tcW w:w="2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Keith Jennings</w:t>
            </w:r>
            <w:r>
              <w:rPr>
                <w:rFonts w:ascii="Arial" w:cs="Arial" w:eastAsia="Arial" w:hAnsi="Arial"/>
                <w:sz w:val="29"/>
                <w:szCs w:val="29"/>
                <w:color w:val="auto"/>
                <w:vertAlign w:val="superscript"/>
              </w:rPr>
              <w:t>(3)</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2820" w:type="dxa"/>
            <w:vAlign w:val="bottom"/>
          </w:tcPr>
          <w:p>
            <w:pPr>
              <w:spacing w:after="0" w:line="256" w:lineRule="exact"/>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(4)</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7020" w:type="dxa"/>
            <w:vAlign w:val="bottom"/>
          </w:tcPr>
          <w:p>
            <w:pPr>
              <w:ind w:left="280"/>
              <w:spacing w:after="0"/>
              <w:rPr>
                <w:sz w:val="20"/>
                <w:szCs w:val="20"/>
                <w:color w:val="auto"/>
              </w:rPr>
            </w:pPr>
            <w:r>
              <w:rPr>
                <w:rFonts w:ascii="Arial" w:cs="Arial" w:eastAsia="Arial" w:hAnsi="Arial"/>
                <w:sz w:val="18"/>
                <w:szCs w:val="18"/>
                <w:color w:val="auto"/>
              </w:rPr>
              <w:t>Executive Vice President, General Counsel and Chief Compliance Officer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4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257"/>
        </w:trPr>
        <w:tc>
          <w:tcPr>
            <w:tcW w:w="2820" w:type="dxa"/>
            <w:vAlign w:val="bottom"/>
          </w:tcPr>
          <w:p>
            <w:pPr>
              <w:spacing w:after="0" w:line="256" w:lineRule="exact"/>
              <w:rPr>
                <w:sz w:val="20"/>
                <w:szCs w:val="20"/>
                <w:color w:val="auto"/>
              </w:rPr>
            </w:pPr>
            <w:r>
              <w:rPr>
                <w:rFonts w:ascii="Arial" w:cs="Arial" w:eastAsia="Arial" w:hAnsi="Arial"/>
                <w:sz w:val="18"/>
                <w:szCs w:val="18"/>
                <w:color w:val="auto"/>
              </w:rPr>
              <w:t>Mark A. McCollum</w:t>
            </w:r>
            <w:r>
              <w:rPr>
                <w:rFonts w:ascii="Arial" w:cs="Arial" w:eastAsia="Arial" w:hAnsi="Arial"/>
                <w:sz w:val="29"/>
                <w:szCs w:val="29"/>
                <w:color w:val="auto"/>
                <w:vertAlign w:val="superscript"/>
              </w:rPr>
              <w:t>(5)</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tcPr>
          <w:p>
            <w:pPr>
              <w:ind w:left="280"/>
              <w:spacing w:after="0"/>
              <w:rPr>
                <w:sz w:val="20"/>
                <w:szCs w:val="20"/>
                <w:color w:val="auto"/>
              </w:rPr>
            </w:pPr>
            <w:r>
              <w:rPr>
                <w:rFonts w:ascii="Arial" w:cs="Arial" w:eastAsia="Arial" w:hAnsi="Arial"/>
                <w:sz w:val="18"/>
                <w:szCs w:val="18"/>
                <w:color w:val="auto"/>
              </w:rPr>
              <w:t>Former President, Chief Executive Officer and Former Director</w:t>
            </w: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Karl Blanchard</w:t>
            </w:r>
            <w:r>
              <w:rPr>
                <w:rFonts w:ascii="Arial" w:cs="Arial" w:eastAsia="Arial" w:hAnsi="Arial"/>
                <w:sz w:val="23"/>
                <w:szCs w:val="23"/>
                <w:color w:val="auto"/>
                <w:vertAlign w:val="superscript"/>
              </w:rPr>
              <w:t>(6)</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w:t>
            </w:r>
          </w:p>
        </w:tc>
        <w:tc>
          <w:tcPr>
            <w:tcW w:w="7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8"/>
              </w:rPr>
              <w:t>Executive Vice President and Chief Operating Officer, Former Interim Chief Executive</w:t>
            </w:r>
          </w:p>
        </w:tc>
      </w:tr>
      <w:tr>
        <w:trPr>
          <w:trHeight w:val="215"/>
        </w:trPr>
        <w:tc>
          <w:tcPr>
            <w:tcW w:w="2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Officer, Former Interim Chief Financial Officer and Former member of the Office of Chief</w:t>
            </w:r>
          </w:p>
        </w:tc>
      </w:tr>
      <w:tr>
        <w:trPr>
          <w:trHeight w:val="230"/>
        </w:trPr>
        <w:tc>
          <w:tcPr>
            <w:tcW w:w="28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5"/>
                <w:szCs w:val="15"/>
                <w:color w:val="auto"/>
              </w:rPr>
              <w:t>Christian A. Garcia</w:t>
            </w:r>
            <w:r>
              <w:rPr>
                <w:rFonts w:ascii="Arial" w:cs="Arial" w:eastAsia="Arial" w:hAnsi="Arial"/>
                <w:sz w:val="23"/>
                <w:szCs w:val="23"/>
                <w:color w:val="auto"/>
                <w:vertAlign w:val="superscript"/>
              </w:rPr>
              <w:t>(7)</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w:t>
            </w: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w w:val="96"/>
              </w:rPr>
              <w:t>Former Executive Vice President and Chief Financial Officer and Former member of the</w:t>
            </w:r>
          </w:p>
        </w:tc>
      </w:tr>
      <w:tr>
        <w:trPr>
          <w:trHeight w:val="229"/>
        </w:trPr>
        <w:tc>
          <w:tcPr>
            <w:tcW w:w="2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Office of Chief Executive</w:t>
            </w:r>
          </w:p>
        </w:tc>
      </w:tr>
      <w:tr>
        <w:trPr>
          <w:trHeight w:val="257"/>
        </w:trPr>
        <w:tc>
          <w:tcPr>
            <w:tcW w:w="2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(8)</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Western Hemisphere</w:t>
            </w:r>
          </w:p>
        </w:tc>
      </w:tr>
      <w:tr>
        <w:trPr>
          <w:trHeight w:val="257"/>
        </w:trPr>
        <w:tc>
          <w:tcPr>
            <w:tcW w:w="2820" w:type="dxa"/>
            <w:vAlign w:val="bottom"/>
          </w:tcPr>
          <w:p>
            <w:pPr>
              <w:spacing w:after="0" w:line="256" w:lineRule="exact"/>
              <w:rPr>
                <w:sz w:val="20"/>
                <w:szCs w:val="20"/>
                <w:color w:val="auto"/>
              </w:rPr>
            </w:pPr>
            <w:r>
              <w:rPr>
                <w:rFonts w:ascii="Arial" w:cs="Arial" w:eastAsia="Arial" w:hAnsi="Arial"/>
                <w:sz w:val="18"/>
                <w:szCs w:val="18"/>
                <w:color w:val="auto"/>
              </w:rPr>
              <w:t>Stuart Fraser</w:t>
            </w:r>
            <w:r>
              <w:rPr>
                <w:rFonts w:ascii="Arial" w:cs="Arial" w:eastAsia="Arial" w:hAnsi="Arial"/>
                <w:sz w:val="29"/>
                <w:szCs w:val="29"/>
                <w:color w:val="auto"/>
                <w:vertAlign w:val="superscript"/>
              </w:rPr>
              <w:t>(9)</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7020" w:type="dxa"/>
            <w:vAlign w:val="bottom"/>
          </w:tcPr>
          <w:p>
            <w:pPr>
              <w:ind w:left="280"/>
              <w:spacing w:after="0"/>
              <w:rPr>
                <w:sz w:val="20"/>
                <w:szCs w:val="20"/>
                <w:color w:val="auto"/>
              </w:rPr>
            </w:pPr>
            <w:r>
              <w:rPr>
                <w:rFonts w:ascii="Arial" w:cs="Arial" w:eastAsia="Arial" w:hAnsi="Arial"/>
                <w:sz w:val="18"/>
                <w:szCs w:val="18"/>
                <w:color w:val="auto"/>
              </w:rPr>
              <w:t>Vice President, Chief Accounting Officer and Former Interim Chief Financial Officer</w:t>
            </w:r>
          </w:p>
        </w:tc>
      </w:tr>
      <w:tr>
        <w:trPr>
          <w:trHeight w:val="256"/>
        </w:trPr>
        <w:tc>
          <w:tcPr>
            <w:tcW w:w="2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Frederico Justus</w:t>
            </w:r>
            <w:r>
              <w:rPr>
                <w:rFonts w:ascii="Arial" w:cs="Arial" w:eastAsia="Arial" w:hAnsi="Arial"/>
                <w:sz w:val="29"/>
                <w:szCs w:val="29"/>
                <w:color w:val="auto"/>
                <w:vertAlign w:val="superscript"/>
              </w:rPr>
              <w:t>(10)</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Eastern Hemisphere</w:t>
            </w:r>
          </w:p>
        </w:tc>
      </w:tr>
      <w:tr>
        <w:trPr>
          <w:trHeight w:val="216"/>
        </w:trPr>
        <w:tc>
          <w:tcPr>
            <w:tcW w:w="282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7020" w:type="dxa"/>
            <w:vAlign w:val="bottom"/>
          </w:tcPr>
          <w:p>
            <w:pPr>
              <w:spacing w:after="0"/>
              <w:rPr>
                <w:sz w:val="18"/>
                <w:szCs w:val="18"/>
                <w:color w:val="auto"/>
              </w:rPr>
            </w:pPr>
          </w:p>
        </w:tc>
      </w:tr>
    </w:tbl>
    <w:p>
      <w:pPr>
        <w:spacing w:after="0" w:line="296" w:lineRule="exact"/>
        <w:rPr>
          <w:sz w:val="20"/>
          <w:szCs w:val="20"/>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Desmond Mills and Joseph Mongrain are current executive officers, but joined Weatherford in 2021, so they are not considered NEOs for executive compensation purposes.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Saligram was appointed as our President and Chief Executive Officer effective October 12,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Jennings was appointed as our Executive Vice President and Chief Financial Officer on September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Weatherholt was appointed as our Executive Vice President, General Counsel and Chief Compliance Officer on July 23,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McCollum served as our President, Chief Executive Officer and Director until his departure from the Company on June 7, 2020.</w:t>
      </w:r>
    </w:p>
    <w:p>
      <w:pPr>
        <w:spacing w:after="0" w:line="225"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Blanchard served as our Executive Vice President and Chief Operating Officer until his retirement on February 26, 2021. On June 7, 2020, Mr. Blanchard was appointed as a member of the Office of Chief Executive, together with Mr. Garcia. On June 16, 2020, Mr. Blanchard was appointed as our Interim Chief Executive Officer, which position he held until October 12, 2020 when Mr. Saligram joined the Company. At that time, Mr. Blanchard returned to his former role as our Executive Vice President and Chief Operating Officer. Mr. Blanchard also was appointed as our interim Principal Financial Officer upon Mr. Garcia’s resignation in August 2020 until Mr. Jennings joined the Company on September 1, 2020.</w:t>
      </w:r>
    </w:p>
    <w:p>
      <w:pPr>
        <w:spacing w:after="0" w:line="16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Garcia joined the Company on January 6, 2020. On June 7, 2020, Mr. Garcia was appointed to the Office of Chief Executive, together with Mr. Blanchard, upon the departure of Mr. McCollum. Mr. Garcia resigned from the Office of Chief Executive effective as of June 16, 2020 and also resigned as Executive Vice President and Chief Financial Officer of the Company effective on August 5,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Swift had been our President, Western Hemisphere since October 1, 2017 and was named as an executive officer of the Company in January 2020. Mr. Swift left the Company on March 31, 2020. He is included as a NEO because he would have been one of the two most highly compensated executive officers but for the fact that he was no longer with the Company at December 31, 2020.</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Fraser served as our Interim Chief Financial Officer from November 14, 2019 until January 6, 2020 when Mr. Garcia joined the Company. Mr. Fraser departed the Company March 31, 2021. He is included as a NEO because he served as our Principal Financial Officer during the fiscal year.</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Justus had been our President, Eastern Hemisphere since October 1, 2017 and was named as an executive officer of the Company in January 2020. Mr. Justus left the Company on September 9, 2020. He is included as a NEO because he would have been one of the two most highly compensated executive officers but for the fact that he was no longer with the Company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Compensation Discussion and Analysis reviews the principles underlying our compensation policies and decisions for 2020. For additional information about our NEOs, see “Item 6. – Executive Compensation – Introduction and Named Executive Officers” of this registration statement, which is incorporated herein by reference.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Weatherford successfully emerged from bankruptcy in December 2019, with a newly constituted Board and a newly appointed Compensation and Human Resources Committee (the “C&amp;HR Committee”). The C&amp;HR Committee was tasked with evaluating our then existing executive compensation program in light of our new, post-emergence size and industry conditions. The C&amp;HR Committee retained Lyons, Benenson &amp; Company Inc. (“LB&amp;Co.” or “Compensation Consultant”) as its independent compensation consultant to advise on our executive compensation and independent, non-employee director compensation matters. In addition to weak industry conditions, as early as the first quarter of 2020, the Company was confronting the 2020 oil crisis and the COVID-19 pandemic. Any expectations for the year with respect to our Company, our employees, our society and the national and global economic landscape were replaced with the need to react to new and unknown circumstances resulting from these significant combined challenges. Additionally, we experienced significant changes to our executive leadership team (“ELT”) in 2020, including changes to the incumbents occupying the roles of President and Chief Executive Officer; Executive Vice President and Chief Financial Officer; Executive Vice President, General Counsel and Chief Compliance Officer; President – Western Hemisphere; and President – Eastern Hemisphere.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Material changes to our executive compensation program in recognition of the global and Company economic conditions as well as the Company personnel changes described above were as follows:</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Voluntary 20% reduction in base salaries applicable to the former NEOs until January 1,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and subsequent adjustment of annual cash incentive based on achievement of performance metrics;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one-time, long-term cash incentive awards (in lieu of equity awards) with 30% vesting on the basis of time and 70% vesting on the basis of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 Business – Human Capital Management” of this registration statement,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0" w:type="dxa"/>
            <w:vAlign w:val="bottom"/>
            <w:tcBorders>
              <w:top w:val="single" w:sz="8" w:color="auto"/>
              <w:left w:val="single" w:sz="8" w:color="auto"/>
              <w:bottom w:val="single" w:sz="8" w:color="auto"/>
            </w:tcBorders>
            <w:shd w:val="clear" w:color="auto" w:fill="C00000"/>
          </w:tcPr>
          <w:p>
            <w:pPr>
              <w:spacing w:after="0"/>
              <w:rPr>
                <w:sz w:val="19"/>
                <w:szCs w:val="19"/>
                <w:color w:val="auto"/>
              </w:rPr>
            </w:pPr>
          </w:p>
        </w:tc>
        <w:tc>
          <w:tcPr>
            <w:tcW w:w="5380" w:type="dxa"/>
            <w:vAlign w:val="bottom"/>
            <w:tcBorders>
              <w:top w:val="single" w:sz="8" w:color="auto"/>
              <w:bottom w:val="single" w:sz="8" w:color="auto"/>
              <w:right w:val="single" w:sz="8" w:color="auto"/>
            </w:tcBorders>
            <w:shd w:val="clear" w:color="auto" w:fill="C00000"/>
          </w:tcPr>
          <w:p>
            <w:pPr>
              <w:ind w:left="2000"/>
              <w:spacing w:after="0"/>
              <w:rPr>
                <w:sz w:val="20"/>
                <w:szCs w:val="20"/>
                <w:color w:val="auto"/>
              </w:rPr>
            </w:pPr>
            <w:r>
              <w:rPr>
                <w:rFonts w:ascii="Arial" w:cs="Arial" w:eastAsia="Arial" w:hAnsi="Arial"/>
                <w:sz w:val="18"/>
                <w:szCs w:val="18"/>
                <w:b w:val="1"/>
                <w:bCs w:val="1"/>
                <w:color w:val="FFFFFF"/>
              </w:rPr>
              <w:t>What We Do</w:t>
            </w:r>
          </w:p>
        </w:tc>
        <w:tc>
          <w:tcPr>
            <w:tcW w:w="300" w:type="dxa"/>
            <w:vAlign w:val="bottom"/>
            <w:tcBorders>
              <w:top w:val="single" w:sz="8" w:color="auto"/>
              <w:bottom w:val="single" w:sz="8" w:color="auto"/>
            </w:tcBorders>
            <w:shd w:val="clear" w:color="auto" w:fill="C00000"/>
          </w:tcPr>
          <w:p>
            <w:pPr>
              <w:spacing w:after="0"/>
              <w:rPr>
                <w:sz w:val="19"/>
                <w:szCs w:val="19"/>
                <w:color w:val="auto"/>
              </w:rPr>
            </w:pPr>
          </w:p>
        </w:tc>
        <w:tc>
          <w:tcPr>
            <w:tcW w:w="5180" w:type="dxa"/>
            <w:vAlign w:val="bottom"/>
            <w:tcBorders>
              <w:top w:val="single" w:sz="8" w:color="auto"/>
              <w:bottom w:val="single" w:sz="8" w:color="auto"/>
              <w:right w:val="single" w:sz="8" w:color="auto"/>
            </w:tcBorders>
            <w:shd w:val="clear" w:color="auto" w:fill="C00000"/>
          </w:tcPr>
          <w:p>
            <w:pPr>
              <w:ind w:left="1640"/>
              <w:spacing w:after="0"/>
              <w:rPr>
                <w:sz w:val="20"/>
                <w:szCs w:val="20"/>
                <w:color w:val="auto"/>
              </w:rPr>
            </w:pPr>
            <w:r>
              <w:rPr>
                <w:rFonts w:ascii="Arial" w:cs="Arial" w:eastAsia="Arial" w:hAnsi="Arial"/>
                <w:sz w:val="18"/>
                <w:szCs w:val="18"/>
                <w:b w:val="1"/>
                <w:bCs w:val="1"/>
                <w:color w:val="FFFFFF"/>
              </w:rPr>
              <w:t>What We Do Not Do</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3"/>
              </w:rPr>
              <w:t>We align the interests of our executives and shareholders through the</w:t>
            </w:r>
          </w:p>
        </w:tc>
        <w:tc>
          <w:tcPr>
            <w:tcW w:w="30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use of performance-based annual cash incentive compensation and</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We do not provide for excise tax gross-ups in the event of a change-</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vMerge w:val="continue"/>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service and performance-based long-term cash and equity incentive</w:t>
            </w:r>
          </w:p>
        </w:tc>
        <w:tc>
          <w:tcPr>
            <w:tcW w:w="300" w:type="dxa"/>
            <w:vAlign w:val="bottom"/>
            <w:vMerge w:val="continue"/>
          </w:tcPr>
          <w:p>
            <w:pPr>
              <w:spacing w:after="0"/>
              <w:rPr>
                <w:sz w:val="10"/>
                <w:szCs w:val="10"/>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in-control</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5380" w:type="dxa"/>
            <w:vAlign w:val="bottom"/>
            <w:tcBorders>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5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Double-Trigger Change in Control Payments—a “Change in Control”</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We maintain robust anti-pledging and anti-hedging policies, as well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by itself is not sufficient  to  trigger  payments,  it  must  also  be</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û   as an insider trading policy that prohibits any short sale activities by</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accompanied by a qualifying termination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our executives and directors</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We have a clawback policy regarding the recoupment of incentive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7"/>
              </w:rPr>
              <w:t>We do not currently maintain any defined benefit or supplemental</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compensation if an executive officer willfully committed a felony,</w:t>
            </w:r>
          </w:p>
        </w:tc>
        <w:tc>
          <w:tcPr>
            <w:tcW w:w="300" w:type="dxa"/>
            <w:vAlign w:val="bottom"/>
          </w:tcPr>
          <w:p>
            <w:pPr>
              <w:spacing w:after="0"/>
              <w:rPr>
                <w:sz w:val="9"/>
                <w:szCs w:val="9"/>
                <w:color w:val="auto"/>
              </w:rPr>
            </w:pP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continue"/>
          </w:tcPr>
          <w:p>
            <w:pPr>
              <w:spacing w:after="0"/>
              <w:rPr>
                <w:sz w:val="9"/>
                <w:szCs w:val="9"/>
                <w:color w:val="auto"/>
              </w:rPr>
            </w:pPr>
          </w:p>
        </w:tc>
        <w:tc>
          <w:tcPr>
            <w:tcW w:w="54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w w:val="99"/>
              </w:rPr>
              <w:t>û   retirement plan; nor do we provide other personal benefits to our</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fraud, intentional misconduct or gross recklessness that caused a</w:t>
            </w:r>
          </w:p>
        </w:tc>
        <w:tc>
          <w:tcPr>
            <w:tcW w:w="54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9"/>
              </w:rPr>
              <w:t>named executive officers that are not available to all employees</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mandatory restatement of our financials to correct a material error</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Maintain meaningful director and executive officer Ordinary Share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We do not pay dividends on unvested equity awards until, and only</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7"/>
              </w:rPr>
              <w:t>ownership  guidelines,  including  the  requirement  that  our  Chief</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the extent, those awards vest</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Executive Officer accumulate a holding of 6x his base salary</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6"/>
              </w:rPr>
              <w:t>Engage an  independent  compensation  consultant  to  review  and</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Our long-term equity incentive plan prohibits repricing or buyouts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provide  recommendations  regarding  our  executive  compensation</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û   of  underwater  options  or  stock  appreciation  rights  without</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program</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 approval</w:t>
            </w:r>
          </w:p>
        </w:tc>
        <w:tc>
          <w:tcPr>
            <w:tcW w:w="0" w:type="dxa"/>
            <w:vAlign w:val="bottom"/>
          </w:tcPr>
          <w:p>
            <w:pPr>
              <w:spacing w:after="0"/>
              <w:rPr>
                <w:sz w:val="1"/>
                <w:szCs w:val="1"/>
                <w:color w:val="auto"/>
              </w:rPr>
            </w:pPr>
          </w:p>
        </w:tc>
      </w:tr>
      <w:tr>
        <w:trPr>
          <w:trHeight w:val="642"/>
        </w:trPr>
        <w:tc>
          <w:tcPr>
            <w:tcW w:w="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ind w:left="5140"/>
              <w:spacing w:after="0"/>
              <w:rPr>
                <w:sz w:val="20"/>
                <w:szCs w:val="20"/>
                <w:color w:val="auto"/>
              </w:rPr>
            </w:pPr>
            <w:r>
              <w:rPr>
                <w:rFonts w:ascii="Arial" w:cs="Arial" w:eastAsia="Arial" w:hAnsi="Arial"/>
                <w:sz w:val="18"/>
                <w:szCs w:val="18"/>
                <w:color w:val="auto"/>
                <w:w w:val="99"/>
              </w:rPr>
              <w:t>33</w:t>
            </w:r>
          </w:p>
        </w:tc>
        <w:tc>
          <w:tcPr>
            <w:tcW w:w="3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program is designed to attract, motivate and retain highly talented executives, and to provide competitive compensation opportunities that align management’s interests with the short- and long-term interests of our shareholders. Our compensation plans are designed recognizing our key compensation principles (shown below) and with the objectives of motivating the desired performance and maximizing shareholder value.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KEY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3206115" cy="27857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2785745"/>
                    </a:xfrm>
                    <a:prstGeom prst="rect">
                      <a:avLst/>
                    </a:prstGeom>
                    <a:noFill/>
                  </pic:spPr>
                </pic:pic>
              </a:graphicData>
            </a:graphic>
          </wp:anchor>
        </w:drawing>
      </w:r>
    </w:p>
    <w:p>
      <w:pPr>
        <w:spacing w:after="0" w:line="3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Provide  a  significant  portion  of  total  compensation  that  is</w:t>
      </w:r>
    </w:p>
    <w:p>
      <w:pPr>
        <w:spacing w:after="0" w:line="23" w:lineRule="exact"/>
        <w:rPr>
          <w:sz w:val="20"/>
          <w:szCs w:val="20"/>
          <w:color w:val="auto"/>
        </w:rPr>
      </w:pPr>
    </w:p>
    <w:p>
      <w:pPr>
        <w:ind w:left="3220"/>
        <w:spacing w:after="0"/>
        <w:tabs>
          <w:tab w:leader="none" w:pos="4720" w:val="left"/>
          <w:tab w:leader="none" w:pos="5120" w:val="left"/>
          <w:tab w:leader="none" w:pos="5740" w:val="left"/>
          <w:tab w:leader="none" w:pos="6200" w:val="left"/>
          <w:tab w:leader="none" w:pos="6580" w:val="left"/>
          <w:tab w:leader="none" w:pos="7200" w:val="left"/>
          <w:tab w:leader="none" w:pos="7860" w:val="left"/>
        </w:tabs>
        <w:rPr>
          <w:sz w:val="20"/>
          <w:szCs w:val="20"/>
          <w:color w:val="auto"/>
        </w:rPr>
      </w:pPr>
      <w:r>
        <w:rPr>
          <w:rFonts w:ascii="Arial" w:cs="Arial" w:eastAsia="Arial" w:hAnsi="Arial"/>
          <w:sz w:val="18"/>
          <w:szCs w:val="18"/>
          <w:color w:val="auto"/>
        </w:rPr>
        <w:t>performance-based</w:t>
        <w:tab/>
        <w:t>and</w:t>
        <w:tab/>
        <w:t>at-risk</w:t>
        <w:tab/>
        <w:t>with</w:t>
        <w:tab/>
        <w:t>the</w:t>
        <w:tab/>
        <w:t>largest</w:t>
        <w:tab/>
        <w:t>portion</w:t>
        <w:tab/>
        <w:t>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executive compensation being long-term incentives</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Align at-risk pay to company performance resulting from a strong</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focus on operational excellence, innovation, safety, environmental</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stewardship  and  social  responsibility,  combined  with  strong</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financial results in both the short- and long-term</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Provide  a  clear  link  between  pay  and  performance,  without</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encouraging excessive risk-taking</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Attract, motivate and retain top talent in key executive positions</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through market competitive compensation</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Limit non-performance-based entitlements</w:t>
      </w:r>
    </w:p>
    <w:p>
      <w:pPr>
        <w:spacing w:after="0" w:line="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Require executives to focus on both the short- and long-term</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performance goals of the Company</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Performance measures tied to financial results to drive and reward</w:t>
      </w:r>
    </w:p>
    <w:p>
      <w:pPr>
        <w:spacing w:after="0" w:line="46"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strong business performance and create superior and sustained</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value for our shareholders</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our compensation program and the underlying philosophy and principles will encourage sustained long-term profitability by making a significant portion of each NEOs total direct compensation variable and dependent on our achievement of pre-determined financial, and operational performance objectives.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form and level of compensation for each NEO is determined after considering several factors, including the executive’s position and responsibility within Weatherford, recent performance appraisals and the executive’s ability to assume increasing responsibility, competitive market data and other external market-based factors. The C&amp;HR Committee uses this information when establishing compensation opportunities in order to arrive at a comprehensive package that emphasizes pay-for-performance and is competitive in the marketplace. For the 2020 fiscal year, the graphs below show the pay mix (calculated using annualized salaries without including the effects of the 20% voluntary pay reduction and target opportunities for EICP and LTCIP) for the Chief Executive Officer compared to the average for the other NEOs (as of the end of the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121920</wp:posOffset>
            </wp:positionV>
            <wp:extent cx="5768975" cy="1928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89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Key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the NEO compensation program for 2020 were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vMerge w:val="restart"/>
            <w:shd w:val="clear" w:color="auto" w:fill="C00000"/>
          </w:tcPr>
          <w:p>
            <w:pPr>
              <w:ind w:left="920"/>
              <w:spacing w:after="0"/>
              <w:rPr>
                <w:sz w:val="20"/>
                <w:szCs w:val="20"/>
                <w:color w:val="auto"/>
              </w:rPr>
            </w:pPr>
            <w:r>
              <w:rPr>
                <w:rFonts w:ascii="Arial" w:cs="Arial" w:eastAsia="Arial" w:hAnsi="Arial"/>
                <w:sz w:val="18"/>
                <w:szCs w:val="18"/>
                <w:b w:val="1"/>
                <w:bCs w:val="1"/>
                <w:color w:val="FFFFFF"/>
              </w:rPr>
              <w:t>ELEMENTS</w:t>
            </w:r>
          </w:p>
        </w:tc>
        <w:tc>
          <w:tcPr>
            <w:tcW w:w="2020" w:type="dxa"/>
            <w:vAlign w:val="bottom"/>
            <w:tcBorders>
              <w:top w:val="single" w:sz="8" w:color="auto"/>
              <w:right w:val="single" w:sz="8" w:color="auto"/>
            </w:tcBorders>
            <w:shd w:val="clear" w:color="auto" w:fill="C00000"/>
          </w:tcPr>
          <w:p>
            <w:pPr>
              <w:ind w:left="580"/>
              <w:spacing w:after="0"/>
              <w:rPr>
                <w:sz w:val="20"/>
                <w:szCs w:val="20"/>
                <w:color w:val="auto"/>
              </w:rPr>
            </w:pPr>
            <w:r>
              <w:rPr>
                <w:rFonts w:ascii="Arial" w:cs="Arial" w:eastAsia="Arial" w:hAnsi="Arial"/>
                <w:sz w:val="18"/>
                <w:szCs w:val="18"/>
                <w:b w:val="1"/>
                <w:bCs w:val="1"/>
                <w:color w:val="FFFFFF"/>
              </w:rPr>
              <w:t>FORM OF</w:t>
            </w:r>
          </w:p>
        </w:tc>
        <w:tc>
          <w:tcPr>
            <w:tcW w:w="3600" w:type="dxa"/>
            <w:vAlign w:val="bottom"/>
            <w:tcBorders>
              <w:top w:val="single" w:sz="8" w:color="auto"/>
              <w:right w:val="single" w:sz="8" w:color="auto"/>
            </w:tcBorders>
            <w:vMerge w:val="restart"/>
            <w:shd w:val="clear" w:color="auto" w:fill="C00000"/>
          </w:tcPr>
          <w:p>
            <w:pPr>
              <w:ind w:left="760"/>
              <w:spacing w:after="0"/>
              <w:rPr>
                <w:sz w:val="20"/>
                <w:szCs w:val="20"/>
                <w:color w:val="auto"/>
              </w:rPr>
            </w:pPr>
            <w:r>
              <w:rPr>
                <w:rFonts w:ascii="Arial" w:cs="Arial" w:eastAsia="Arial" w:hAnsi="Arial"/>
                <w:sz w:val="18"/>
                <w:szCs w:val="18"/>
                <w:b w:val="1"/>
                <w:bCs w:val="1"/>
                <w:color w:val="FFFFFF"/>
              </w:rPr>
              <w:t>PRIMARY OBJECTIVES</w:t>
            </w:r>
          </w:p>
        </w:tc>
        <w:tc>
          <w:tcPr>
            <w:tcW w:w="2780" w:type="dxa"/>
            <w:vAlign w:val="bottom"/>
            <w:tcBorders>
              <w:top w:val="single" w:sz="8" w:color="auto"/>
              <w:right w:val="single" w:sz="8" w:color="auto"/>
            </w:tcBorders>
            <w:vMerge w:val="restart"/>
            <w:shd w:val="clear" w:color="auto" w:fill="C00000"/>
          </w:tcPr>
          <w:p>
            <w:pPr>
              <w:ind w:left="880"/>
              <w:spacing w:after="0"/>
              <w:rPr>
                <w:sz w:val="20"/>
                <w:szCs w:val="20"/>
                <w:color w:val="auto"/>
              </w:rPr>
            </w:pPr>
            <w:r>
              <w:rPr>
                <w:rFonts w:ascii="Arial" w:cs="Arial" w:eastAsia="Arial" w:hAnsi="Arial"/>
                <w:sz w:val="18"/>
                <w:szCs w:val="18"/>
                <w:b w:val="1"/>
                <w:bCs w:val="1"/>
                <w:color w:val="FFFFFF"/>
              </w:rPr>
              <w:t>MEASURES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continue"/>
            <w:shd w:val="clear" w:color="auto" w:fill="C00000"/>
          </w:tcPr>
          <w:p>
            <w:pPr>
              <w:spacing w:after="0"/>
              <w:rPr>
                <w:sz w:val="10"/>
                <w:szCs w:val="10"/>
                <w:color w:val="auto"/>
              </w:rPr>
            </w:pPr>
          </w:p>
        </w:tc>
        <w:tc>
          <w:tcPr>
            <w:tcW w:w="2020" w:type="dxa"/>
            <w:vAlign w:val="bottom"/>
            <w:tcBorders>
              <w:right w:val="single" w:sz="8" w:color="auto"/>
            </w:tcBorders>
            <w:vMerge w:val="restart"/>
            <w:shd w:val="clear" w:color="auto" w:fill="C00000"/>
          </w:tcPr>
          <w:p>
            <w:pPr>
              <w:ind w:left="260"/>
              <w:spacing w:after="0"/>
              <w:rPr>
                <w:sz w:val="20"/>
                <w:szCs w:val="20"/>
                <w:color w:val="auto"/>
              </w:rPr>
            </w:pPr>
            <w:r>
              <w:rPr>
                <w:rFonts w:ascii="Arial" w:cs="Arial" w:eastAsia="Arial" w:hAnsi="Arial"/>
                <w:sz w:val="18"/>
                <w:szCs w:val="18"/>
                <w:b w:val="1"/>
                <w:bCs w:val="1"/>
                <w:color w:val="FFFFFF"/>
              </w:rPr>
              <w:t>COMPENSATION</w:t>
            </w:r>
          </w:p>
        </w:tc>
        <w:tc>
          <w:tcPr>
            <w:tcW w:w="3600" w:type="dxa"/>
            <w:vAlign w:val="bottom"/>
            <w:tcBorders>
              <w:right w:val="single" w:sz="8" w:color="auto"/>
            </w:tcBorders>
            <w:vMerge w:val="continue"/>
            <w:shd w:val="clear" w:color="auto" w:fill="C00000"/>
          </w:tcPr>
          <w:p>
            <w:pPr>
              <w:spacing w:after="0"/>
              <w:rPr>
                <w:sz w:val="10"/>
                <w:szCs w:val="10"/>
                <w:color w:val="auto"/>
              </w:rPr>
            </w:pPr>
          </w:p>
        </w:tc>
        <w:tc>
          <w:tcPr>
            <w:tcW w:w="2780" w:type="dxa"/>
            <w:vAlign w:val="bottom"/>
            <w:tcBorders>
              <w:right w:val="single" w:sz="8" w:color="auto"/>
            </w:tcBorders>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shd w:val="clear" w:color="auto" w:fill="C00000"/>
          </w:tcPr>
          <w:p>
            <w:pPr>
              <w:spacing w:after="0"/>
              <w:rPr>
                <w:sz w:val="9"/>
                <w:szCs w:val="9"/>
                <w:color w:val="auto"/>
              </w:rPr>
            </w:pPr>
          </w:p>
        </w:tc>
        <w:tc>
          <w:tcPr>
            <w:tcW w:w="2020" w:type="dxa"/>
            <w:vAlign w:val="bottom"/>
            <w:tcBorders>
              <w:bottom w:val="single" w:sz="8" w:color="auto"/>
              <w:right w:val="single" w:sz="8" w:color="auto"/>
            </w:tcBorders>
            <w:vMerge w:val="continue"/>
            <w:shd w:val="clear" w:color="auto" w:fill="C00000"/>
          </w:tcPr>
          <w:p>
            <w:pPr>
              <w:spacing w:after="0"/>
              <w:rPr>
                <w:sz w:val="9"/>
                <w:szCs w:val="9"/>
                <w:color w:val="auto"/>
              </w:rPr>
            </w:pPr>
          </w:p>
        </w:tc>
        <w:tc>
          <w:tcPr>
            <w:tcW w:w="3600" w:type="dxa"/>
            <w:vAlign w:val="bottom"/>
            <w:tcBorders>
              <w:bottom w:val="single" w:sz="8" w:color="auto"/>
              <w:right w:val="single" w:sz="8" w:color="auto"/>
            </w:tcBorders>
            <w:shd w:val="clear" w:color="auto" w:fill="C00000"/>
          </w:tcPr>
          <w:p>
            <w:pPr>
              <w:spacing w:after="0"/>
              <w:rPr>
                <w:sz w:val="9"/>
                <w:szCs w:val="9"/>
                <w:color w:val="auto"/>
              </w:rPr>
            </w:pPr>
          </w:p>
        </w:tc>
        <w:tc>
          <w:tcPr>
            <w:tcW w:w="2780" w:type="dxa"/>
            <w:vAlign w:val="bottom"/>
            <w:tcBorders>
              <w:bottom w:val="single" w:sz="8" w:color="auto"/>
              <w:right w:val="single" w:sz="8" w:color="auto"/>
            </w:tcBorders>
            <w:shd w:val="clear" w:color="auto" w:fill="C0000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Base Salary</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Provides a stable source of income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Based on responsibilities of the position,</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individual performance, experience and</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expertise</w:t>
            </w: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Annual Incentive (Executive</w:t>
            </w:r>
          </w:p>
        </w:tc>
        <w:tc>
          <w:tcPr>
            <w:tcW w:w="202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w w:val="92"/>
              </w:rPr>
              <w:t>Reward executives for the achievement of pre-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4"/>
                <w:szCs w:val="14"/>
                <w:color w:val="auto"/>
              </w:rPr>
              <w:t>Free Cash Flow</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(80%)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Incentive Compensation Plan or</w:t>
            </w: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determined annual goals</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(Amended to Unlevered Free Cash</w:t>
            </w: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EICP)</w:t>
            </w:r>
          </w:p>
        </w:tc>
        <w:tc>
          <w:tcPr>
            <w:tcW w:w="2020" w:type="dxa"/>
            <w:vAlign w:val="bottom"/>
            <w:tcBorders>
              <w:right w:val="single" w:sz="8" w:color="auto"/>
            </w:tcBorders>
          </w:tcPr>
          <w:p>
            <w:pPr>
              <w:spacing w:after="0"/>
              <w:rPr>
                <w:sz w:val="22"/>
                <w:szCs w:val="22"/>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Motivate and reward Company and individual</w:t>
            </w:r>
          </w:p>
        </w:tc>
        <w:tc>
          <w:tcPr>
            <w:tcW w:w="2780" w:type="dxa"/>
            <w:vAlign w:val="bottom"/>
            <w:tcBorders>
              <w:right w:val="single" w:sz="8" w:color="auto"/>
            </w:tcBorders>
          </w:tcPr>
          <w:p>
            <w:pPr>
              <w:ind w:left="80"/>
              <w:spacing w:after="0" w:line="256" w:lineRule="exact"/>
              <w:rPr>
                <w:sz w:val="20"/>
                <w:szCs w:val="20"/>
                <w:color w:val="auto"/>
              </w:rPr>
            </w:pPr>
            <w:r>
              <w:rPr>
                <w:rFonts w:ascii="Arial" w:cs="Arial" w:eastAsia="Arial" w:hAnsi="Arial"/>
                <w:sz w:val="18"/>
                <w:szCs w:val="18"/>
                <w:color w:val="auto"/>
              </w:rPr>
              <w:t>Flow</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June 2020)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w:t>
            </w:r>
          </w:p>
        </w:tc>
        <w:tc>
          <w:tcPr>
            <w:tcW w:w="2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Quality (10%)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right w:val="single" w:sz="8" w:color="auto"/>
            </w:tcBorders>
          </w:tcPr>
          <w:p>
            <w:pPr>
              <w:spacing w:after="0"/>
              <w:rPr>
                <w:sz w:val="3"/>
                <w:szCs w:val="3"/>
                <w:color w:val="auto"/>
              </w:rPr>
            </w:pPr>
          </w:p>
        </w:tc>
        <w:tc>
          <w:tcPr>
            <w:tcW w:w="2020" w:type="dxa"/>
            <w:vAlign w:val="bottom"/>
            <w:tcBorders>
              <w:right w:val="single" w:sz="8" w:color="auto"/>
            </w:tcBorders>
          </w:tcPr>
          <w:p>
            <w:pPr>
              <w:spacing w:after="0"/>
              <w:rPr>
                <w:sz w:val="3"/>
                <w:szCs w:val="3"/>
                <w:color w:val="auto"/>
              </w:rPr>
            </w:pPr>
          </w:p>
        </w:tc>
        <w:tc>
          <w:tcPr>
            <w:tcW w:w="360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Safety (10%)</w:t>
            </w: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Long-Term Incentive</w:t>
            </w:r>
          </w:p>
        </w:tc>
        <w:tc>
          <w:tcPr>
            <w:tcW w:w="202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9"/>
              </w:rPr>
              <w:t>Time-based cash (30%)</w:t>
            </w:r>
          </w:p>
        </w:tc>
        <w:tc>
          <w:tcPr>
            <w:tcW w:w="360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7"/>
              </w:rPr>
              <w:t>Retain leadership through three-year vesting</w:t>
            </w:r>
          </w:p>
        </w:tc>
        <w:tc>
          <w:tcPr>
            <w:tcW w:w="27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ROCE (35%)</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2020 only, the Long-Term</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Performance-based cash</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 long-term Company performance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Free Cash Flow (35%)</w:t>
            </w: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Cash Incentive Plan or LTCIP, no</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(70%)</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aligned with shareholder value creation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840" w:type="dxa"/>
            <w:vAlign w:val="bottom"/>
            <w:tcBorders>
              <w:left w:val="single" w:sz="8" w:color="auto"/>
              <w:bottom w:val="single" w:sz="8" w:color="auto"/>
              <w:right w:val="single" w:sz="8" w:color="auto"/>
            </w:tcBorders>
          </w:tcPr>
          <w:p>
            <w:pPr>
              <w:ind w:left="120"/>
              <w:spacing w:after="0" w:line="271" w:lineRule="exact"/>
              <w:rPr>
                <w:sz w:val="20"/>
                <w:szCs w:val="20"/>
                <w:color w:val="auto"/>
              </w:rPr>
            </w:pPr>
            <w:r>
              <w:rPr>
                <w:rFonts w:ascii="Arial" w:cs="Arial" w:eastAsia="Arial" w:hAnsi="Arial"/>
                <w:sz w:val="18"/>
                <w:szCs w:val="18"/>
                <w:b w:val="1"/>
                <w:bCs w:val="1"/>
                <w:color w:val="auto"/>
              </w:rPr>
              <w:t>equity)</w:t>
            </w:r>
            <w:r>
              <w:rPr>
                <w:rFonts w:ascii="Arial" w:cs="Arial" w:eastAsia="Arial" w:hAnsi="Arial"/>
                <w:sz w:val="29"/>
                <w:szCs w:val="29"/>
                <w:b w:val="1"/>
                <w:bCs w:val="1"/>
                <w:color w:val="auto"/>
                <w:vertAlign w:val="superscript"/>
              </w:rPr>
              <w:t>(3)</w:t>
            </w:r>
          </w:p>
        </w:tc>
        <w:tc>
          <w:tcPr>
            <w:tcW w:w="202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Other Compensation</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Retirement Benefits,</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 market competitive benefits</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Perquisites and</w:t>
            </w:r>
          </w:p>
        </w:tc>
        <w:tc>
          <w:tcPr>
            <w:tcW w:w="36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Severance Benefits</w:t>
            </w: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is defined as Adjusted EBITDA less cash taxes, capital expenditures, changes in net working capital, cash interest, any amounts paid with respect to severance and any restructuring costs or expenses; EBITDA is defined as earnings before interest, taxes, depreciation and amortization; and Adjusted EBITDA is defined as EBITDA excluding, among other items, impairments of long-lived assets and goodwill as well as write-offs of property plant and equipment right-of-use assets and inventory, all of which are non-GAAP financial measures. GAAP is defined as generally accepted accounting principles in the United States. In the first quarter of 2020, the Company began reporting Adjusted EBITDA excluding stock-based compensation expense.</w:t>
      </w:r>
    </w:p>
    <w:p>
      <w:pPr>
        <w:spacing w:after="0" w:line="19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Unlevered Free Cash Flow is defined as cash flows provided by (used in) operating activities, less capital expenditures plus proceeds from the disposition of assets plus cash paid for interest and is a non-GAAP financial measure.</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sign-on grants for our Chief Executive Officer Girishchandra K. Saligram, Chief Financial Officer H. Keith Jennings and General Counsel Scott C. Weatherholt provided to them on joining the company in 2020. See “Item 6. – Executive Compensation – Summary Compensation Table” of this registration statement,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C&amp;HR Committee, with advice and analyses from LB&amp;Co., considers current compensation levels, benchmarking and other data of peer companies, individual and Company performance, future leadership potential and succession planning, among other factors, in determining appropriate target compensation levels for our NEOs. The C&amp;HR Committee does not use a formula to weight these factors, but instead uses these factors to provide context within which to assess the significance of comparative market data and to differentiate the level of target compensation among our NEOs. During 2020, a significant aspect of this process involved establishing competitive compensation levels in connection with the restructuring of our ELT to ensure each NEO’s total compensation package was appropriately aligned with market practice to enable the hiring of executives, as necessary, from outside of the Company.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5" w:lineRule="auto"/>
        <w:rPr>
          <w:sz w:val="20"/>
          <w:szCs w:val="20"/>
          <w:color w:val="auto"/>
        </w:rPr>
      </w:pPr>
      <w:r>
        <w:rPr>
          <w:rFonts w:ascii="Arial" w:cs="Arial" w:eastAsia="Arial" w:hAnsi="Arial"/>
          <w:sz w:val="18"/>
          <w:szCs w:val="18"/>
          <w:color w:val="auto"/>
        </w:rPr>
        <w:t>After the end of the performance period to which a particular incentive award relates, the C&amp;HR Committee will review our performance relative to the applicable performance targets and recommend payouts based on that performance. The C&amp;HR Committee generally retains the ability to recommend payouts that are above or below actual performance levels for the applicable performance period. For purposes of determining the amount of a payout to recommend, it may also consider infrequent or non-recurring items that are not reflective of ongoing operations, such as the effects of major corporate transactions or other items that the C&amp;HR Committee determines, in its judgment, significantly distort the comparability of our actual performance against the performance targets (including financials).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Annually, the C&amp;HR Committee reviews the design of our ELT compensation program, including whether the risks arising from our compensation policies and practices are reasonably likely to have a material adverse effect on the Company. In doing so, the C&amp;HR Committee assesses whether compensation programs used in prior years have successfully achieved our compensation objectives. It also considers the extent to which our compensation program is designed to achieve our long-term financial and operating goals. The C&amp;HR Committee has retained LB&amp;Co. to help analyze certain comparative market data. Certain members of management participate in this process by assembling and summarizing data used. The C&amp;HR Committee and LB&amp;Co. reviewed our compensation policies and practices, and the C&amp;HR Committee has determined that the risks arising from our compensation policies and practices are designed to avoid encouragement of unnecessary or excessive risk-taking and are not reasonably likely to have a material adverse effect on the Company.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Consistent with our executive compensation philosophy, the C&amp;HR Committee, in consultation with LB&amp;Co. establishes a benchmark peer group for compensation comparison purposes. Also, the C&amp;HR Committee utilizes WillisTowersWatson and Mercer Executive Compensation Survey Data to provide additional competitive data to assess our executive officer target compensation levels.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2020, the peer group consisted of the following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Apergy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Baker Hughes Company</w:t>
            </w:r>
          </w:p>
        </w:tc>
        <w:tc>
          <w:tcPr>
            <w:tcW w:w="3160" w:type="dxa"/>
            <w:vAlign w:val="bottom"/>
          </w:tcPr>
          <w:p>
            <w:pPr>
              <w:ind w:left="920"/>
              <w:spacing w:after="0"/>
              <w:rPr>
                <w:sz w:val="20"/>
                <w:szCs w:val="20"/>
                <w:color w:val="auto"/>
              </w:rPr>
            </w:pPr>
            <w:r>
              <w:rPr>
                <w:rFonts w:ascii="Arial" w:cs="Arial" w:eastAsia="Arial" w:hAnsi="Arial"/>
                <w:sz w:val="18"/>
                <w:szCs w:val="18"/>
                <w:color w:val="auto"/>
              </w:rPr>
              <w:t>Devon Energy Corporation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Dover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Frank’s International N.V.</w:t>
            </w:r>
          </w:p>
        </w:tc>
        <w:tc>
          <w:tcPr>
            <w:tcW w:w="3160" w:type="dxa"/>
            <w:vAlign w:val="bottom"/>
          </w:tcPr>
          <w:p>
            <w:pPr>
              <w:ind w:left="920"/>
              <w:spacing w:after="0"/>
              <w:rPr>
                <w:sz w:val="20"/>
                <w:szCs w:val="20"/>
                <w:color w:val="auto"/>
              </w:rPr>
            </w:pPr>
            <w:r>
              <w:rPr>
                <w:rFonts w:ascii="Arial" w:cs="Arial" w:eastAsia="Arial" w:hAnsi="Arial"/>
                <w:sz w:val="18"/>
                <w:szCs w:val="18"/>
                <w:color w:val="auto"/>
              </w:rPr>
              <w:t>Halliburton Company</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Helmerich &amp; Payne, Inc.</w:t>
            </w:r>
          </w:p>
        </w:tc>
        <w:tc>
          <w:tcPr>
            <w:tcW w:w="3640" w:type="dxa"/>
            <w:vAlign w:val="bottom"/>
          </w:tcPr>
          <w:p>
            <w:pPr>
              <w:ind w:left="840"/>
              <w:spacing w:after="0"/>
              <w:rPr>
                <w:sz w:val="20"/>
                <w:szCs w:val="20"/>
                <w:color w:val="auto"/>
              </w:rPr>
            </w:pPr>
            <w:r>
              <w:rPr>
                <w:rFonts w:ascii="Arial" w:cs="Arial" w:eastAsia="Arial" w:hAnsi="Arial"/>
                <w:sz w:val="18"/>
                <w:szCs w:val="18"/>
                <w:color w:val="auto"/>
              </w:rPr>
              <w:t>Marathon Oil Corporation</w:t>
            </w:r>
          </w:p>
        </w:tc>
        <w:tc>
          <w:tcPr>
            <w:tcW w:w="3160" w:type="dxa"/>
            <w:vAlign w:val="bottom"/>
          </w:tcPr>
          <w:p>
            <w:pPr>
              <w:ind w:left="920"/>
              <w:spacing w:after="0"/>
              <w:rPr>
                <w:sz w:val="20"/>
                <w:szCs w:val="20"/>
                <w:color w:val="auto"/>
              </w:rPr>
            </w:pPr>
            <w:r>
              <w:rPr>
                <w:rFonts w:ascii="Arial" w:cs="Arial" w:eastAsia="Arial" w:hAnsi="Arial"/>
                <w:sz w:val="18"/>
                <w:szCs w:val="18"/>
                <w:color w:val="auto"/>
                <w:w w:val="96"/>
              </w:rPr>
              <w:t>McDermott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3640" w:type="dxa"/>
            <w:vAlign w:val="bottom"/>
          </w:tcPr>
          <w:p>
            <w:pPr>
              <w:ind w:left="840"/>
              <w:spacing w:after="0"/>
              <w:rPr>
                <w:sz w:val="20"/>
                <w:szCs w:val="20"/>
                <w:color w:val="auto"/>
              </w:rPr>
            </w:pPr>
            <w:r>
              <w:rPr>
                <w:rFonts w:ascii="Arial" w:cs="Arial" w:eastAsia="Arial" w:hAnsi="Arial"/>
                <w:sz w:val="18"/>
                <w:szCs w:val="18"/>
                <w:color w:val="auto"/>
              </w:rPr>
              <w:t>Noble Energy, Inc.</w:t>
            </w:r>
          </w:p>
        </w:tc>
        <w:tc>
          <w:tcPr>
            <w:tcW w:w="3160" w:type="dxa"/>
            <w:vAlign w:val="bottom"/>
          </w:tcPr>
          <w:p>
            <w:pPr>
              <w:ind w:left="920"/>
              <w:spacing w:after="0"/>
              <w:rPr>
                <w:sz w:val="20"/>
                <w:szCs w:val="20"/>
                <w:color w:val="auto"/>
              </w:rPr>
            </w:pPr>
            <w:r>
              <w:rPr>
                <w:rFonts w:ascii="Arial" w:cs="Arial" w:eastAsia="Arial" w:hAnsi="Arial"/>
                <w:sz w:val="18"/>
                <w:szCs w:val="18"/>
                <w:color w:val="auto"/>
                <w:w w:val="90"/>
              </w:rPr>
              <w:t>Oceaneering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Patterson-UTI Energy, Inc.</w:t>
            </w:r>
          </w:p>
        </w:tc>
        <w:tc>
          <w:tcPr>
            <w:tcW w:w="3640" w:type="dxa"/>
            <w:vAlign w:val="bottom"/>
          </w:tcPr>
          <w:p>
            <w:pPr>
              <w:ind w:left="840"/>
              <w:spacing w:after="0"/>
              <w:rPr>
                <w:sz w:val="20"/>
                <w:szCs w:val="20"/>
                <w:color w:val="auto"/>
              </w:rPr>
            </w:pPr>
            <w:r>
              <w:rPr>
                <w:rFonts w:ascii="Arial" w:cs="Arial" w:eastAsia="Arial" w:hAnsi="Arial"/>
                <w:sz w:val="18"/>
                <w:szCs w:val="18"/>
                <w:color w:val="auto"/>
              </w:rPr>
              <w:t>Transocean Ltd.</w:t>
            </w:r>
          </w:p>
        </w:tc>
        <w:tc>
          <w:tcPr>
            <w:tcW w:w="3160" w:type="dxa"/>
            <w:vAlign w:val="bottom"/>
          </w:tcPr>
          <w:p>
            <w:pPr>
              <w:ind w:left="920"/>
              <w:spacing w:after="0"/>
              <w:rPr>
                <w:sz w:val="20"/>
                <w:szCs w:val="20"/>
                <w:color w:val="auto"/>
              </w:rPr>
            </w:pPr>
            <w:r>
              <w:rPr>
                <w:rFonts w:ascii="Arial" w:cs="Arial" w:eastAsia="Arial" w:hAnsi="Arial"/>
                <w:sz w:val="18"/>
                <w:szCs w:val="18"/>
                <w:color w:val="auto"/>
              </w:rPr>
              <w:t>Valaris plc</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C&amp;HR Committee recognized that certain companies in this group were larger than the Company, and took that into account, as well as the need to provide competitive compensation to attract and retain talented executives to lead the Company, when determining executive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the C&amp;HR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regularly oversees our executive compensation program, evaluates and determines the appropriate executive compensation philosophy and objectives for Weatherford, the process for establishing executive compensation and the appropriate design of our executive compensation program and compensation arrangements. The C&amp;HR Committee consists entirely of independent directors who review and approve our overall executive compensation programs and practices and set the compensation of our executive officers. In determining compensation for our executive officers, other than our Chief Executive Officer, the C&amp;HR Committee considers, among other things, the recommendations of our Chief Executive Officer. The C&amp;HR Committee also is supported in its work by an independent compensation consultant, as described below. The C&amp;HR Committee is, however, solely responsible for making the final decisions on compensation for our executive officers.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Executive Management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ensure that our compensation programs are aligned with our strategic objectives and appropriate performance goals, management provides input to the C&amp;HR Committee regarding the compensation-setting process. Our Chief Executive Officer, Chief Financial Officer, General Counsel and Chief Human Resources Officer are the officers who interact most closely with the C&amp;HR Committee. These individuals work with the C&amp;HR Committee to provide their perspective on aligning executive compensation strategies with our business objectives. When determining compensation for our executive officers, the Chief Executive Officer provides the Committee with his input regarding executive performance and recommends base salary and annual and long-term incentive targets for each of our executive officers (other than himself). The performance of the Chief Executive Officer is assessed directly by the C&amp;HR Committee (with input from other independent directors) in executive session without the Chief Executive Officer present.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Role of the Compensation Consultant and Independence of Compensation Consultant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has sole authority to select, approve, retain, terminate and oversee compensation consultants to provide advice and support to the C&amp;HR Committee in the design and implementation of our executive compensation program. LB&amp;Co., which has provided these services to the C&amp;HR Committee since our emergence from bankruptcy, is retained directly by the C&amp;HR Committee. LB&amp;Co. did not provide other consulting services to Weatherford or any of its executive officers in 2020. In selecting LB&amp;Co. as its compensation consultant, the C&amp;HR Committee considered the independence of LB&amp;Co. in accordance with the standards of the NYSE previously applicable to the Company, any applicable rules and regulations of the SEC and other applicable laws relating to independence of advisors and consultants. The C&amp;HR Committee concluded that no conflict of interest exists that would prevent LB&amp;Co. from independently advising the C&amp;HR Committee.</w:t>
      </w:r>
    </w:p>
    <w:p>
      <w:pPr>
        <w:spacing w:after="0" w:line="17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At the C&amp;HR Committee’s request, members of LB&amp;Co. regularly attend C&amp;HR Committee meetings. LB&amp;Co. also communicates with the Chair of the C&amp;HR Committee outside C&amp;HR Committee meetings regarding matters related to the C&amp;HR Committee’s responsibilities.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 salary is the fixed element of an executive officer’s annual cash compensation and is intended to attract and retain highly qualified executives and to compensate for expected day-to-day performance. The C&amp;HR Committee reviews the base salary for each of our executive officers on an annual basis and considers the following factors in making its determinations:</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officer’s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responsibilities associated with that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expertise, knowledge and qualifications;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industry in which we operate and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officer’s individual compensation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salary levels of the other members of our executive team and similarly situated/comparable executives in our peer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overall compensation philosophy.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in place as of April 1, 2020, voluntarily agreed to a 20% reduction in their base salaries for an indefinite period of time due to market volatility arising from the onset of the COVID-19 pandemic and ongoing uncertainty in the global oil and natural gas markets at the time which disrupted the supply/demand equation and resulted in significant commodity price volatility and material reductions to the capital spending plans of our customers. All voluntary reductions were removed effective January 1, 2021.</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tbl>
      <w:tblPr>
        <w:tblLayout w:type="fixed"/>
        <w:tblInd w:w="28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2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86"/>
              </w:rPr>
              <w:t>2020 Base</w:t>
            </w:r>
          </w:p>
        </w:tc>
      </w:tr>
      <w:tr>
        <w:trPr>
          <w:trHeight w:val="216"/>
        </w:trPr>
        <w:tc>
          <w:tcPr>
            <w:tcW w:w="3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Rate</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Scott C. Weatherholt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Mark A. McCollum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1,000,000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Christian A. Garcia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Stuart Fraser</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executive officers are eligible for annual cash incentive compensation under our Executive Incentive Compensation Plan (“EICP”). Annual incentives under the EICP are intended to motivate the executive officers to achieve short-term company performance goals that will inure to the benefit of our Company and shareholders and align executive officers’ interests with those of the shareholders. The annual cash incentives provide payout opportunities based on the achievement of pre-determined corporate performance objective(s), with actual cash bonuses earned based on the achievement of such performance objective(s) each fiscal year.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fiscal year, the C&amp;HR Committee determines the annual target bonus opportunity for each executive officer. Our annual cash incentive compensation is generally structured to deliver payouts in line with market multiples when performance targets are achieved or exceeded. In April 2020, the C&amp;HR Committee, in consultation with management, initially agreed to Free Cash Flow, quality and safety metrics weighted at 80%, 10% and 10%, respectively, as the performance objectives governing the determination of annual incentive payouts under the EICP for the 2020 performance year. In addition, the C&amp;HR Committee set a limit on the Quality and Safety metrics that would limit payouts under those two measures to target if the Free Cash Flow metric was not met at least at target.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initial approval of the EICP performance measure design described above, in June 2020, the Board determined that the performance objectives set in early April 2020 under the EICP were no longer appropriate due to the severe and growing impact of the COVID-19 pandemic, drastic commodity price fluctuations in the oil and gas industry and other market conditions. The Board also determined that adjustments to the performance objectives were warranted in light of the significant management changes to the ELT in 2020, including the appointment of Mr. Blanchard as interim Chief Executive Officer. After reviewing management’s recommendations and consulting with LB&amp;Co. and outside legal counsel, the Board approved amending the EICP to update the Free Cash Flow metric to utilize Unlevered Free Cash Flow, which excludes interest payments on Company debt. In connection with the adjustment in the performance metrics, the Board also implemented management’s recommendation to cap payouts at 100% of the target amounts.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made these adjustments in order to provide appropriate incentives to retain key employees and to continue to stabilize the Company given recent changes to the ELT and decided that these objectives were better served by adjusting the existing EICP rather than adopting any new incentive plan or a pure retention-based program. The Board took into account the priority of managing company liquidity during a period of extreme uncertainty and volatility in the market, and also determined that the adjusted metrics presented rigorous, but motivating and attainable goals. In connection with the transition to Unlevered Free Cash Flow, the performance targets under the EICP continue to be based on the original projections relied upon to establish the metrics for the EICP and the Board believed that, based on the then current projections, the EICP appropriately incentivized executives with challenging targets.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66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For 2020, the annual incentive targets under the EICP were as follows:</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Target (as % of</w:t>
            </w:r>
          </w:p>
        </w:tc>
      </w:tr>
      <w:tr>
        <w:trPr>
          <w:trHeight w:val="241"/>
        </w:trPr>
        <w:tc>
          <w:tcPr>
            <w:tcW w:w="2160" w:type="dxa"/>
            <w:vAlign w:val="bottom"/>
          </w:tcPr>
          <w:p>
            <w:pPr>
              <w:spacing w:after="0"/>
              <w:rPr>
                <w:sz w:val="20"/>
                <w:szCs w:val="20"/>
                <w:color w:val="auto"/>
              </w:rPr>
            </w:pPr>
          </w:p>
        </w:tc>
        <w:tc>
          <w:tcPr>
            <w:tcW w:w="350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Base Salary)</w:t>
            </w:r>
          </w:p>
        </w:tc>
      </w:tr>
      <w:tr>
        <w:trPr>
          <w:trHeight w:val="216"/>
        </w:trPr>
        <w:tc>
          <w:tcPr>
            <w:tcW w:w="216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Scott C. Weatherholt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2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Mark A. McCollum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Christian A. Garcia</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70"/>
        </w:trPr>
        <w:tc>
          <w:tcPr>
            <w:tcW w:w="2160" w:type="dxa"/>
            <w:vAlign w:val="bottom"/>
          </w:tcPr>
          <w:p>
            <w:pPr>
              <w:spacing w:after="0"/>
              <w:rPr>
                <w:sz w:val="23"/>
                <w:szCs w:val="23"/>
                <w:color w:val="auto"/>
              </w:rPr>
            </w:pPr>
          </w:p>
        </w:tc>
        <w:tc>
          <w:tcPr>
            <w:tcW w:w="35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Stuart Fraser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Mark Swift departed the Company on March 31, 2020 and therefore no EICP target was established for him for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2021, the Board, in an effort to streamline and simplify the Company’s multiple annual bonus plans, upon the recommendation of the C&amp;HR Committee, approved the 2021 Short-Term Incentive Plan (“STI”) for our executive officers to replace the EICP. For the 2021 performance year, short-term incentives will be governed by our performance relative to the pre-established EBITDA and Free Cash Flow goals approved at the time of the STI’s adoption.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Long-term equity incentives are designed to motivate management to enable the Company to achieve long-term performance improvements and serve to link a significant portion of compensation to shareholder returns. Consistent with the objectives and philosophy of our compensation programs, historically, the Company previously issued awards of long-term equity compensation from time to time under our various equity incentive plans. We generally granted long-term equity awards annually in the first quarter to incentivize future performance.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emergence from bankruptcy, pursuant to the terms of the Plan, we adopted the Weatherford International plc 2019 Equity Incentive Plan (as amended, “the 2019 EIP”) under which Ordinary Shares are available for issuance. However, given our emergence from bankruptcy, continued pressure on our Ordinary Share price due to the instability in the oil and gas industry due to the 2020 oil crisis and the uncertainty in the markets as a result of the COVID-19 pandemic, the Board, upon the recommendation of the C&amp;HR Committee, approved one-time grants of long-term cash awards pursuant to the 2020 Long-Term Cash Incentive Plan (“LTCIP”), in lieu of equity grants (except for a sign-on grant for our Chief Executive Officer) and which was adopted in April 2020. The purposes of these grants, which comprised time-based and performance-based long-term cash awards, was to continue to motivate and reward our executive officers and other participants to achieve sustained growth in connection with our long-term strategy in lieu of equity awards, while also helping to preserve our Ordinary Share reserve under the 2019 EIP.</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LTCIP, 30% of the awards vest on the basis of time, with one-third vesting on the award date, and one-third vesting on each of January 1, 2021 and 2022. In November 2020 and again in March 2021, the C&amp;HR Committee approved amendments to the form of award agreement under the LTCIP. The November 2020 amendments addressed and clarified the proration of grants and vesting mechanics of LTCIP awards granted to executives joining the Company in the middle of the fiscal year. The March 2021 amendments further clarified the vesting mechanics, corrected and confirmed the performance metrics and payout percentages for 2020 and adopted new performance metrics for fiscal years 2021 and 2022 that match those approved for long-term equity incentive awards granted in 2021. As amended, the LTCIP award agreement provides that for executive officers joining the Company during fiscal year 2020, the time-based cash awards vest one-third on each of December 31, 2020, 2021 and 2022. For fiscal year 2020, the remaining 70% of the awards vests on the basis of Return On Capital Employed (“ROCE”) and Free Cash Flow performance, each equally weighted, as follows: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Performance Measure For 2020</w:t>
            </w:r>
          </w:p>
        </w:tc>
        <w:tc>
          <w:tcPr>
            <w:tcW w:w="21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Threshold</w:t>
            </w:r>
          </w:p>
        </w:tc>
        <w:tc>
          <w:tcPr>
            <w:tcW w:w="19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Target</w:t>
            </w:r>
          </w:p>
        </w:tc>
        <w:tc>
          <w:tcPr>
            <w:tcW w:w="1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Maximum</w:t>
            </w:r>
          </w:p>
        </w:tc>
      </w:tr>
      <w:tr>
        <w:trPr>
          <w:trHeight w:val="250"/>
        </w:trPr>
        <w:tc>
          <w:tcPr>
            <w:tcW w:w="54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ROCE</w:t>
            </w:r>
            <w:r>
              <w:rPr>
                <w:rFonts w:ascii="Arial" w:cs="Arial" w:eastAsia="Arial" w:hAnsi="Arial"/>
                <w:sz w:val="28"/>
                <w:szCs w:val="28"/>
                <w:b w:val="1"/>
                <w:bCs w:val="1"/>
                <w:color w:val="auto"/>
                <w:vertAlign w:val="superscript"/>
              </w:rPr>
              <w:t>1</w:t>
            </w:r>
            <w:r>
              <w:rPr>
                <w:rFonts w:ascii="Arial" w:cs="Arial" w:eastAsia="Arial" w:hAnsi="Arial"/>
                <w:sz w:val="17"/>
                <w:szCs w:val="17"/>
                <w:b w:val="1"/>
                <w:bCs w:val="1"/>
                <w:color w:val="auto"/>
              </w:rPr>
              <w:t xml:space="preserve"> – 35%</w:t>
            </w:r>
          </w:p>
        </w:tc>
        <w:tc>
          <w:tcPr>
            <w:tcW w:w="2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0"/>
        </w:trPr>
        <w:tc>
          <w:tcPr>
            <w:tcW w:w="5400" w:type="dxa"/>
            <w:vAlign w:val="bottom"/>
          </w:tcPr>
          <w:p>
            <w:pPr>
              <w:jc w:val="right"/>
              <w:ind w:right="210"/>
              <w:spacing w:after="0"/>
              <w:rPr>
                <w:sz w:val="20"/>
                <w:szCs w:val="20"/>
                <w:color w:val="auto"/>
              </w:rPr>
            </w:pPr>
            <w:r>
              <w:rPr>
                <w:rFonts w:ascii="Arial" w:cs="Arial" w:eastAsia="Arial" w:hAnsi="Arial"/>
                <w:sz w:val="18"/>
                <w:szCs w:val="18"/>
                <w:color w:val="auto"/>
              </w:rPr>
              <w:t>Performance Achievement</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 35%</w:t>
            </w: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ROCE is defined as Adjusted EBITDA less cash taxes divided by the total gross assets less non-interest-bearing current liabilities and total cash and is a non-GAAP financial measure.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fiscal years ending December 31, 2021 and 2022, the performance-based portion of the LTCIP awards will vest based on achievement of specified levels of EBITDA Percentage and Operating Cash Flow Conversion Percentage, each equally weighted, to the extent earned, at the conclusion of the remaining two-year performance period ending December 31, 2022. Both EBITDA Percentage and Operating Cash Flow Conversion Percentage are non-GAAP financial measures. EBITDA Percentage is defined as the percentage of EBITDA relative to the Company’s revenue, and is calculated by dividing Adjusted EBITDA by revenue. Operating Cash Flow Conversion Percentage is defined as the percentage of operating cash flow of the Company relative to the Company’s Adjusted EBITDA, and is calculated as the sum of cash from operations less interest and less cash taxes divided by Adjusted EBITDA. The underlying metrics are competitively sensitive information; therefore, they will be disclosed only in our future proxy statements as performance periods are completed.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cash award amounts for our current executive officers made under the LTCIP, prorated pursuant to their respective offer letters and under the award agreements, as amended, and the grant date values of the awards made under the LTCIP to our former NEOs in 2020 (at Target for the performance-based awards) are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Time-Based</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Performance-Based</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778,099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1,815,565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2,593,664</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Keith H. Jennings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378,870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884,030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1,262,900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Scott C. Weatherholt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243,804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568,878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812,682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Mark A. McCollum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2,340,000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5,460,000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7,800,000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Christian A. Garcia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690,000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1,610,000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2,300,000</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No grant made in 2020</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Stuart Fraser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165,000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385,000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1,400,000</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2021, the C&amp;HR Committee approved long-term equity incentive awards to our ELT comprising time-based and performance-based equity awards. The time-based Restricted Share Units (“RSUs”) are expected to be settled partially in cash and partially in equity over a two-year period. The Performance-Based Share Units (“PSUs”) which are based on achievement of specified levels of EBITDA Percentage and Operating Cash Flow Conversion Percentage, each equally weighted, will vest, to the extent earned, at the conclusion of a two-year performance period ending December 31, 2022. Upon the recommendation and suggestion of its independent Compensation Consultant, the C&amp;HR Committee and the Board believed a two-year vesting and performance period was appropriate for the 2021 awards to our ELT.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Perquisites and Other Generally Available Benefits and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provide our NEOs with limited perquisites and other personal benefits that we believe are reasonable and consistent with the practices of our peer group. The amounts of these perquisites are shown in the 2020 Summary Compensation Table and the related footnotes. Our NEOs are also eligible for additional Company-wide benefits on the same basis as other full-time employees. These include a U.S. 401(k) plan, as well as health, medical and welfare programs. Matching contributions to our U.S. 401(k) plan were suspended Company-wide effective from May 1, 2020 through February 28, 2021. We also pay life insurance premiums on their behalf.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Employment Agreements, Termination and Severance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no longer provide employment agreements to any of our NEOs; however, during 2020 each of our former executive officers who are also NEOs were subject to individual severance arrangements provided under a change in control agreement and an individually tailored inducement arrangement, as applicable.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benefits provided to the executives in the event of a change in control of the Company are “double-trigger” and designed to allow them to assess takeover bids objectively and focus solely on the best interests of our shareholders. Each of our NEOs is covered under our CIC Severance Plan (as defined below). Upon his retirement, Mr. Blanchard was eligible for certain benefits under his standalone Change in Control Agreement, dated August 21, 2017, as amended (“Blanchard CIC”). Messrs. Saligram, Jennings and Weatherholt are eligible for the benefits described below under our CIC Severance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17, 2020, the Board, upon the recommendation of the C&amp;HR Committee, adopted the Weatherford International plc Change in Control Severance Plan (the “CIC Severance Plan”).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CIC Severance Plan covers certain executive officers selected by the C&amp;HR Committee, including our Chief Executive Officer, Chief Financial Officer and General Counsel. Under the CIC Severance Plan, participants will receive severance payments and benefits if they experience a termination of employment by the Company “without Cause” or by the participant for “Good Reason” (each as defined in the CIC Severance Plan) in the six months prior to or 12 months following a “Change in Control” (as defined in the CIC Severance Plan). Under the CIC Severance Plan, in general, a change in control will occur if (i) another person becomes the owner of 50% or more of the combined voting power of our Ordinary Shares, (ii) there is a change in a majority of the members of the then incumbent Board, or (iii) our shareholders approve a merger with another entity in which our shareholders fail to own more than 50% of the combined voting power of the surviving entity. However, no change in control will be deemed to have occurred in the event of a bankruptcy or “Restructuring” (as defined in the CIC Severance Plan) or if any person that beneficially owned 10% or more of our outstanding Ordinary Shares as of November 17, 2020 becomes the owner of 50% or more of the combined voting power of our Ordinary Shares. Upon such a termination, participants will be able to receive:</w:t>
      </w:r>
    </w:p>
    <w:p>
      <w:pPr>
        <w:spacing w:after="0" w:line="185" w:lineRule="exact"/>
        <w:rPr>
          <w:sz w:val="20"/>
          <w:szCs w:val="20"/>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amount equal to two (for participants with a title of Executive Vice President or above, including Messrs. Saligram, Jennings and Weatherholt) or one (for other participants) times the sum of (x) the higher of the participant’s base salary in effect immediately prior to the Change in Control or termination and (y) the participant’s target bonus;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two (for participants with a title of Executive Vice President or above, including Messrs. Saligram, Jennings and Weatherholt) or one (for other participants) year(s) of continued health and welfare benefits;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 to six months of outplacement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participate in the CIC Severance Plan, participants must execute the Company’s form Confidentiality and Restrictive Covenant Agreement, which provides for a six-month post-termination non-competition covenant, 12-month post-termination non-solicitation of employees covenant and a perpetual non-disparagement covenant. The receipt of such severance payments and benefits is subject to the execution and non-revocation of a release of claims by the participant.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None of our current NEOs is party to a Change in Control Agreement. With his retirement on February 26, 2021, and pursuant to the Blanchard CIC, Mr. Blanchard was subject to a customary non-solicitation covenant that lasts during the period of employment and for one year thereafter.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Executive Severance and Termination Benefits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provides certain severance and termination benefits as outlined in the offer letters with each of our current executive officers. In general, if a current executive officer is terminated “without Cause” and without a Change in Control, they will receive severance benefits equal to 12 months of annual base salary plus their annual non-equity target reward opportunity. Any severance benefits will be subject to the current executive officer executing the Company’s release of claims. Additionally, Mr. Saligram will also be required to execute the Company’s standard restrictive covenants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table shows the total compensation paid for the years ended December 31, 2020, 2019 and 2018 to our NEOs, including certain former executive officers. Information is not provided for 2019 and 2018 for Messrs. Saligram, Jennings, Weatherholt, Garcia, Swift and Justus because they either were not employed by the Company or were not NEOs in those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Equity (Cash)</w:t>
            </w:r>
          </w:p>
        </w:tc>
        <w:tc>
          <w:tcPr>
            <w:tcW w:w="11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3"/>
                <w:szCs w:val="23"/>
                <w:b w:val="1"/>
                <w:bCs w:val="1"/>
                <w:color w:val="auto"/>
                <w:vertAlign w:val="superscript"/>
              </w:rPr>
              <w:t>(1)</w:t>
            </w:r>
          </w:p>
        </w:tc>
        <w:tc>
          <w:tcPr>
            <w:tcW w:w="10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Stock 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Compensation</w:t>
            </w: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Year</w:t>
            </w: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0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000" w:type="dxa"/>
            <w:vAlign w:val="bottom"/>
            <w:tcBorders>
              <w:bottom w:val="single" w:sz="8" w:color="auto"/>
            </w:tcBorders>
          </w:tcPr>
          <w:p>
            <w:pPr>
              <w:jc w:val="right"/>
              <w:ind w:right="28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9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160" w:type="dxa"/>
            <w:vAlign w:val="bottom"/>
            <w:tcBorders>
              <w:bottom w:val="single" w:sz="8" w:color="auto"/>
            </w:tcBorders>
          </w:tcPr>
          <w:p>
            <w:pPr>
              <w:jc w:val="center"/>
              <w:ind w:right="6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Executive Officers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Girishchandra K. Saligram, </w:t>
            </w:r>
            <w:r>
              <w:rPr>
                <w:rFonts w:ascii="Arial" w:cs="Arial" w:eastAsia="Arial" w:hAnsi="Arial"/>
                <w:sz w:val="14"/>
                <w:szCs w:val="14"/>
                <w:i w:val="1"/>
                <w:iCs w:val="1"/>
                <w:color w:val="auto"/>
              </w:rPr>
              <w:t>President and Chief Executive Officer</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184,375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833,896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307,318</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688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1,726,277</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H. Keith Jennings, </w:t>
            </w:r>
            <w:r>
              <w:rPr>
                <w:rFonts w:ascii="Arial" w:cs="Arial" w:eastAsia="Arial" w:hAnsi="Arial"/>
                <w:sz w:val="14"/>
                <w:szCs w:val="14"/>
                <w:i w:val="1"/>
                <w:iCs w:val="1"/>
                <w:color w:val="auto"/>
              </w:rPr>
              <w:t>Executive Vice President and Chief Financial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166,667</w:t>
            </w:r>
          </w:p>
        </w:tc>
        <w:tc>
          <w:tcPr>
            <w:tcW w:w="8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220,537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150,738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787,942</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Scott C. Weatherholt, </w:t>
            </w:r>
            <w:r>
              <w:rPr>
                <w:rFonts w:ascii="Arial" w:cs="Arial" w:eastAsia="Arial" w:hAnsi="Arial"/>
                <w:sz w:val="14"/>
                <w:szCs w:val="14"/>
                <w:i w:val="1"/>
                <w:iCs w:val="1"/>
                <w:color w:val="auto"/>
              </w:rPr>
              <w:t>Executive Vice President, General Counsel,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Compliance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194,792</w:t>
            </w:r>
          </w:p>
        </w:tc>
        <w:tc>
          <w:tcPr>
            <w:tcW w:w="88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212,726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608,138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Former Executive Officers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Mark A. McCollum, </w:t>
            </w:r>
            <w:r>
              <w:rPr>
                <w:rFonts w:ascii="Arial" w:cs="Arial" w:eastAsia="Arial" w:hAnsi="Arial"/>
                <w:sz w:val="14"/>
                <w:szCs w:val="14"/>
                <w:i w:val="1"/>
                <w:iCs w:val="1"/>
                <w:color w:val="auto"/>
              </w:rPr>
              <w:t>Former President and Chief Executive Officer</w:t>
            </w: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398,485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4,584,754</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5,763,239</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5,367,875</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236,428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6,604,303</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7,286,322</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130,510</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Karl Blanchard, </w:t>
            </w:r>
            <w:r>
              <w:rPr>
                <w:rFonts w:ascii="Arial" w:cs="Arial" w:eastAsia="Arial" w:hAnsi="Arial"/>
                <w:sz w:val="14"/>
                <w:szCs w:val="14"/>
                <w:i w:val="1"/>
                <w:iCs w:val="1"/>
                <w:color w:val="auto"/>
              </w:rPr>
              <w:t>Former Office of the Chief Executive, Interim Chief</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i w:val="1"/>
                <w:iCs w:val="1"/>
                <w:color w:val="auto"/>
              </w:rPr>
              <w:t>Executive Officer, Executive Vice President and Chief Operating</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672,955</w:t>
            </w:r>
          </w:p>
        </w:tc>
        <w:tc>
          <w:tcPr>
            <w:tcW w:w="880" w:type="dxa"/>
            <w:vAlign w:val="bottom"/>
          </w:tcPr>
          <w:p>
            <w:pPr>
              <w:jc w:val="right"/>
              <w:spacing w:after="0"/>
              <w:rPr>
                <w:sz w:val="20"/>
                <w:szCs w:val="20"/>
                <w:color w:val="auto"/>
              </w:rPr>
            </w:pPr>
            <w:r>
              <w:rPr>
                <w:rFonts w:ascii="Arial" w:cs="Arial" w:eastAsia="Arial" w:hAnsi="Arial"/>
                <w:sz w:val="14"/>
                <w:szCs w:val="14"/>
                <w:color w:val="auto"/>
              </w:rPr>
              <w:t>2,221,776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972,955</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15,354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3,883,040</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2,506,588</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17,687</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3,224,275</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3,000,256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338,100</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15,735</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Christian A. Garcia, </w:t>
            </w:r>
            <w:r>
              <w:rPr>
                <w:rFonts w:ascii="Arial" w:cs="Arial" w:eastAsia="Arial" w:hAnsi="Arial"/>
                <w:sz w:val="14"/>
                <w:szCs w:val="14"/>
                <w:i w:val="1"/>
                <w:iCs w:val="1"/>
                <w:color w:val="auto"/>
              </w:rPr>
              <w:t>Former Office of the Chief Executive, Executive</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Vice President and Former 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371,250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389,658</w:t>
            </w:r>
          </w:p>
        </w:tc>
        <w:tc>
          <w:tcPr>
            <w:tcW w:w="980" w:type="dxa"/>
            <w:vAlign w:val="bottom"/>
          </w:tcPr>
          <w:p>
            <w:pPr>
              <w:jc w:val="right"/>
              <w:spacing w:after="0"/>
              <w:rPr>
                <w:sz w:val="20"/>
                <w:szCs w:val="20"/>
                <w:color w:val="auto"/>
              </w:rPr>
            </w:pPr>
            <w:r>
              <w:rPr>
                <w:rFonts w:ascii="Arial" w:cs="Arial" w:eastAsia="Arial" w:hAnsi="Arial"/>
                <w:sz w:val="14"/>
                <w:szCs w:val="14"/>
                <w:color w:val="auto"/>
              </w:rPr>
              <w:t>230,000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5,787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996,695</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Mark D. Swift, </w:t>
            </w:r>
            <w:r>
              <w:rPr>
                <w:rFonts w:ascii="Arial" w:cs="Arial" w:eastAsia="Arial" w:hAnsi="Arial"/>
                <w:sz w:val="14"/>
                <w:szCs w:val="14"/>
                <w:i w:val="1"/>
                <w:iCs w:val="1"/>
                <w:color w:val="auto"/>
              </w:rPr>
              <w:t>Former President, Western Hemisphere</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121,250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1,426,616</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1,547,866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Stuart Fraser, </w:t>
            </w:r>
            <w:r>
              <w:rPr>
                <w:rFonts w:ascii="Arial" w:cs="Arial" w:eastAsia="Arial" w:hAnsi="Arial"/>
                <w:sz w:val="14"/>
                <w:szCs w:val="14"/>
                <w:i w:val="1"/>
                <w:iCs w:val="1"/>
                <w:color w:val="auto"/>
              </w:rPr>
              <w:t>Vice President, Chief Accounting Officer and Interim</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361,250</w:t>
            </w:r>
          </w:p>
        </w:tc>
        <w:tc>
          <w:tcPr>
            <w:tcW w:w="880" w:type="dxa"/>
            <w:vAlign w:val="bottom"/>
          </w:tcPr>
          <w:p>
            <w:pPr>
              <w:jc w:val="right"/>
              <w:spacing w:after="0"/>
              <w:rPr>
                <w:sz w:val="20"/>
                <w:szCs w:val="20"/>
                <w:color w:val="auto"/>
              </w:rPr>
            </w:pPr>
            <w:r>
              <w:rPr>
                <w:rFonts w:ascii="Arial" w:cs="Arial" w:eastAsia="Arial" w:hAnsi="Arial"/>
                <w:sz w:val="14"/>
                <w:szCs w:val="14"/>
                <w:color w:val="auto"/>
              </w:rPr>
              <w:t>45,789</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325,938</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9,499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742,476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748,760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117,963</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1,338,015</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542,112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149,893</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100,363</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 xml:space="preserve">Frederico Justus, </w:t>
            </w:r>
            <w:r>
              <w:rPr>
                <w:rFonts w:ascii="Arial" w:cs="Arial" w:eastAsia="Arial" w:hAnsi="Arial"/>
                <w:sz w:val="14"/>
                <w:szCs w:val="14"/>
                <w:i w:val="1"/>
                <w:iCs w:val="1"/>
                <w:color w:val="auto"/>
              </w:rPr>
              <w:t>Former President, Eastern Hemisphere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352,917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977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83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8"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additional information about our NEOs, see “Item 6. – Executive Compensation – Introduction and Named Executive Officers” of this registration statement, which is incorporated herein by reference.</w:t>
      </w:r>
    </w:p>
    <w:p>
      <w:pPr>
        <w:spacing w:after="0" w:line="170"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listed for Messrs. Saligram, Jennings and Weatherholt represent the portions of their cash sign-on bonuses paid during 2020. For Mr. Blanchard, the amount represents monthly cash payments of $370,296 in consideration of his expanded responsibilities effective June 10, 2020, which were payable on the 15th day of each month from July 15, 2020 through February 15, 2021. Mr. Garcia received a sign-on bonus and relocation allowance of $650,000, which was repaid upon his departure from the Company in August 2020. Mr. Fraser was awarded a discretionary bonus in recognition of, among others, his outstanding leadership and effort relating to our financial restructuring beginning in the fourth quarter of 2019 and continuing through the first quarter of 2020. The discretionary bonus was paid in 2020 and the amount in the table reflects the prorated amount earned in 2020.</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left="340" w:hanging="332"/>
        <w:spacing w:after="0" w:line="28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2020 fiscal year, the fair value of awards granted was determined based on the closing price of our Ordinary Shares on the date of grant. For the 2018 fiscal year, assumptions used in the calculation of the fair value amounts in the table are included in “Part II – Item 8. – Financial Statements and Supplementary Data – Notes to Consolidated Financial Statements – Note 17 – Share-Based Compensation” in the Form 10-K for the year ended December 31, 2018, which is incorporated herein by reference. See also “Item 6. – Executive Compensation – Compensation Discussion and Analysis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Compensation Elements – Annual Cash Incentive Compensation” and “Item 6. – Executive Compensation – Compensation Discussion and Analysis</w:t>
      </w:r>
    </w:p>
    <w:p>
      <w:pPr>
        <w:spacing w:after="0" w:line="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Compensation Elements – Long-Term Equity Incentive Compensation” of this registration statement, which are incorporated herein by reference.</w:t>
      </w:r>
    </w:p>
    <w:p>
      <w:pPr>
        <w:spacing w:after="0" w:line="233" w:lineRule="exact"/>
        <w:rPr>
          <w:rFonts w:ascii="Arial" w:cs="Arial" w:eastAsia="Arial" w:hAnsi="Arial"/>
          <w:sz w:val="16"/>
          <w:szCs w:val="16"/>
          <w:color w:val="auto"/>
        </w:rPr>
      </w:pPr>
    </w:p>
    <w:p>
      <w:pPr>
        <w:jc w:val="both"/>
        <w:ind w:left="340" w:hanging="332"/>
        <w:spacing w:after="0" w:line="29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2020, each of our NEOs received cash awards under both our EICP and our LTCIP as further described in the “Item 6. – Executive Compensation – Compensation Discussion and Analysis – Compensation Elements – Annual Cash Incentive Compensation” and “Item 6. – Executive Compensation – Compensation Discussion and Analysis – Compensation Elements – Long-Term Equity Incentive Compensation” of this registration statement. Payments under the EICP were paid in 2021 for performance achieved in 2020. Payments under the LTCIP were paid to Messrs. McCollum, Blanchard, Garcia, Fraser and Justus in May 2020 and in January 2021 for Messrs. Saligram, Jennings and Weatherholt, for the time-based portion of their awards vesting in 2020. The amounts listed in Non-Equity (Cash) Incentive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4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 EICP</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 LTCIP</w:t>
            </w:r>
          </w:p>
        </w:tc>
      </w:tr>
      <w:tr>
        <w:trPr>
          <w:trHeight w:val="23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4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230,469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76,849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166,667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53,870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Scott C. Weatherholt</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168,672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44,054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4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Mark A. McCollum</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672,955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Christian A. Garcia</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Stuart Fraser</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270,938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(5)  All Other Compensation for 2020 consists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6"/>
              </w:rPr>
              <w:t>Matching</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Relocation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and Other</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Life</w:t>
            </w: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&amp;</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Housing,</w:t>
            </w: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Gross-ups</w:t>
            </w: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Insurance</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Geographic</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Schooling</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and Net</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Termination</w:t>
            </w: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39"/>
              <w:spacing w:after="0"/>
              <w:rPr>
                <w:sz w:val="20"/>
                <w:szCs w:val="20"/>
                <w:color w:val="auto"/>
              </w:rPr>
            </w:pPr>
            <w:r>
              <w:rPr>
                <w:rFonts w:ascii="Arial" w:cs="Arial" w:eastAsia="Arial" w:hAnsi="Arial"/>
                <w:sz w:val="16"/>
                <w:szCs w:val="16"/>
                <w:b w:val="1"/>
                <w:bCs w:val="1"/>
                <w:color w:val="auto"/>
                <w:w w:val="88"/>
              </w:rPr>
              <w:t>Plans</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Premiums</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Differential</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and Other</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Taxes Paid</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Pay</w:t>
            </w:r>
          </w:p>
        </w:tc>
      </w:tr>
      <w:tr>
        <w:trPr>
          <w:trHeight w:val="256"/>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jc w:val="center"/>
              <w:ind w:left="319"/>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320" w:type="dxa"/>
            <w:vAlign w:val="bottom"/>
            <w:tcBorders>
              <w:bottom w:val="single" w:sz="8" w:color="auto"/>
            </w:tcBorders>
          </w:tcPr>
          <w:p>
            <w:pPr>
              <w:jc w:val="center"/>
              <w:ind w:right="9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(2)</w:t>
            </w:r>
          </w:p>
        </w:tc>
        <w:tc>
          <w:tcPr>
            <w:tcW w:w="12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(3)</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Executive Officers</w:t>
            </w: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Girishchandra K. Saligram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688</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H. Keith Jennings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738</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150,000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Scott C. Weatherholt</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Former Executive Officers</w:t>
            </w:r>
          </w:p>
        </w:tc>
        <w:tc>
          <w:tcPr>
            <w:tcW w:w="2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Mark A. McCollum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11,400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4,403</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4,568,951</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Karl Blanchard</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8,867</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6,487</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Christian A. Garcia</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3,037</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2,750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Mark D. Swift</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4,850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1,420,672</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Stuart Fraser</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5,383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1,864</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2,252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Frederico Justus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45,650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52,370</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(119,119)</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shown represent Company contributions to the U.S. 401(k) plan for each of the NEOs.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Pay for 2020, in each case, represents an agreed amount paid in settlement to each departing NEO in satisfaction of any amounts owed to them, respectively, in connection with their departure from the Company.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Grants of Plan-Based Awards in 2020</w:t>
      </w:r>
      <w:r>
        <w:rPr>
          <w:rFonts w:ascii="Arial" w:cs="Arial" w:eastAsia="Arial" w:hAnsi="Arial"/>
          <w:sz w:val="29"/>
          <w:szCs w:val="29"/>
          <w:b w:val="1"/>
          <w:bCs w:val="1"/>
          <w:color w:val="auto"/>
          <w:vertAlign w:val="superscript"/>
        </w:rPr>
        <w:t>(9)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7"/>
          </w:tcPr>
          <w:p>
            <w:pPr>
              <w:jc w:val="center"/>
              <w:ind w:left="577"/>
              <w:spacing w:after="0" w:line="140" w:lineRule="exact"/>
              <w:rPr>
                <w:sz w:val="20"/>
                <w:szCs w:val="20"/>
                <w:color w:val="auto"/>
              </w:rPr>
            </w:pPr>
            <w:r>
              <w:rPr>
                <w:rFonts w:ascii="Arial" w:cs="Arial" w:eastAsia="Arial" w:hAnsi="Arial"/>
                <w:sz w:val="13"/>
                <w:szCs w:val="13"/>
                <w:b w:val="1"/>
                <w:bCs w:val="1"/>
                <w:color w:val="auto"/>
                <w:w w:val="85"/>
              </w:rPr>
              <w:t>Estimated Possible Payouts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5"/>
          </w:tcPr>
          <w:p>
            <w:pPr>
              <w:jc w:val="center"/>
              <w:ind w:left="697"/>
              <w:spacing w:after="0" w:line="140" w:lineRule="exact"/>
              <w:rPr>
                <w:sz w:val="20"/>
                <w:szCs w:val="20"/>
                <w:color w:val="auto"/>
              </w:rPr>
            </w:pPr>
            <w:r>
              <w:rPr>
                <w:rFonts w:ascii="Arial" w:cs="Arial" w:eastAsia="Arial" w:hAnsi="Arial"/>
                <w:sz w:val="13"/>
                <w:szCs w:val="13"/>
                <w:b w:val="1"/>
                <w:bCs w:val="1"/>
                <w:color w:val="auto"/>
                <w:w w:val="87"/>
              </w:rPr>
              <w:t>Estimated Future Payouts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2"/>
                <w:szCs w:val="12"/>
                <w:color w:val="auto"/>
              </w:rPr>
            </w:pPr>
          </w:p>
        </w:tc>
        <w:tc>
          <w:tcPr>
            <w:tcW w:w="94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9"/>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Under Non-Equity Incentive Plan Awards</w:t>
            </w:r>
          </w:p>
        </w:tc>
        <w:tc>
          <w:tcPr>
            <w:tcW w:w="3320" w:type="dxa"/>
            <w:vAlign w:val="bottom"/>
            <w:gridSpan w:val="7"/>
          </w:tcPr>
          <w:p>
            <w:pPr>
              <w:ind w:left="560"/>
              <w:spacing w:after="0" w:line="144" w:lineRule="exact"/>
              <w:rPr>
                <w:sz w:val="20"/>
                <w:szCs w:val="20"/>
                <w:color w:val="auto"/>
              </w:rPr>
            </w:pPr>
            <w:r>
              <w:rPr>
                <w:rFonts w:ascii="Arial" w:cs="Arial" w:eastAsia="Arial" w:hAnsi="Arial"/>
                <w:sz w:val="13"/>
                <w:szCs w:val="13"/>
                <w:b w:val="1"/>
                <w:bCs w:val="1"/>
                <w:color w:val="auto"/>
              </w:rPr>
              <w:t>Under Equity Incentive Plan Awards</w:t>
            </w:r>
          </w:p>
        </w:tc>
        <w:tc>
          <w:tcPr>
            <w:tcW w:w="9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3"/>
                <w:szCs w:val="13"/>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03"/>
        </w:trPr>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rPr>
              <w:t>Restricted</w:t>
            </w:r>
          </w:p>
        </w:tc>
        <w:tc>
          <w:tcPr>
            <w:tcW w:w="60" w:type="dxa"/>
            <w:vAlign w:val="bottom"/>
          </w:tcPr>
          <w:p>
            <w:pPr>
              <w:spacing w:after="0"/>
              <w:rPr>
                <w:sz w:val="8"/>
                <w:szCs w:val="8"/>
                <w:color w:val="auto"/>
              </w:rPr>
            </w:pPr>
          </w:p>
        </w:tc>
        <w:tc>
          <w:tcPr>
            <w:tcW w:w="9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Value of</w:t>
            </w:r>
          </w:p>
        </w:tc>
        <w:tc>
          <w:tcPr>
            <w:tcW w:w="0" w:type="dxa"/>
            <w:vAlign w:val="bottom"/>
          </w:tcPr>
          <w:p>
            <w:pPr>
              <w:spacing w:after="0"/>
              <w:rPr>
                <w:sz w:val="1"/>
                <w:szCs w:val="1"/>
                <w:color w:val="auto"/>
              </w:rPr>
            </w:pPr>
          </w:p>
        </w:tc>
      </w:tr>
      <w:tr>
        <w:trPr>
          <w:trHeight w:val="135"/>
        </w:trPr>
        <w:tc>
          <w:tcPr>
            <w:tcW w:w="1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Threshold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Superior</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Threshold</w:t>
            </w: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Target</w:t>
            </w: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Maximum</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Shares/Units</w:t>
            </w:r>
          </w:p>
        </w:tc>
        <w:tc>
          <w:tcPr>
            <w:tcW w:w="6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Share Awards</w:t>
            </w:r>
          </w:p>
        </w:tc>
        <w:tc>
          <w:tcPr>
            <w:tcW w:w="0" w:type="dxa"/>
            <w:vAlign w:val="bottom"/>
          </w:tcPr>
          <w:p>
            <w:pPr>
              <w:spacing w:after="0"/>
              <w:rPr>
                <w:sz w:val="1"/>
                <w:szCs w:val="1"/>
                <w:color w:val="auto"/>
              </w:rPr>
            </w:pPr>
          </w:p>
        </w:tc>
      </w:tr>
      <w:tr>
        <w:trPr>
          <w:trHeight w:val="153"/>
        </w:trPr>
        <w:tc>
          <w:tcPr>
            <w:tcW w:w="1820" w:type="dxa"/>
            <w:vAlign w:val="bottom"/>
            <w:vMerge w:val="continue"/>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3"/>
                <w:szCs w:val="13"/>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90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Current Executive Officers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Girishchandra K. Saligram</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115,234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230,469</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230,469</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76,849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778,099</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778,099</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453,891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907,783</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1,361,674</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453,891</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907,783</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1,361,674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56,497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169,491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169,491</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416,948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169,491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416,948</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H. Keith Jennings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83,334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166,667</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166,667</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53,870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378,870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378,870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221,007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442,015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663,022</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221,007</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442,015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663,022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Scott C. Weatherholt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84,336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168,672</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168,672</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44,054</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243,804</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243,804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142,219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284,439</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426,658</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142,219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284,439</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426,658</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Former Executive Officers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Mark A. McCollum</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1,020,000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1,020,000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780,000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2,340,000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2,340,000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2,730,000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4,095,000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1,365,000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2,730,000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4,095,000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Karl Blanchard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336,478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672,955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672,955</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300,000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900,000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900,000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1,050,000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525,000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1,050,000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1,575,000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Christian A. Garcia</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286,875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573,750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573,750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230,000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690,000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690,000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402,500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805,000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1,207,500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402,500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805,000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1,207,500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4/17/20</w:t>
            </w:r>
            <w:r>
              <w:rPr>
                <w:rFonts w:ascii="Arial" w:cs="Arial" w:eastAsia="Arial" w:hAnsi="Arial"/>
                <w:sz w:val="20"/>
                <w:szCs w:val="20"/>
                <w:color w:val="auto"/>
                <w:w w:val="83"/>
                <w:vertAlign w:val="superscript"/>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68,966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389,658</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Mark D. Swift</w:t>
            </w:r>
          </w:p>
        </w:tc>
        <w:tc>
          <w:tcPr>
            <w:tcW w:w="92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20"/>
                <w:szCs w:val="20"/>
                <w:color w:val="auto"/>
                <w:vertAlign w:val="subscript"/>
              </w:rPr>
              <w:t>N/A</w:t>
            </w:r>
            <w:r>
              <w:rPr>
                <w:rFonts w:ascii="Arial" w:cs="Arial" w:eastAsia="Arial" w:hAnsi="Arial"/>
                <w:sz w:val="9"/>
                <w:szCs w:val="9"/>
                <w:color w:val="auto"/>
              </w:rPr>
              <w:t>(8)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Stuart Fraser</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135,469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270,938</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270,938</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96,250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192,500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288,750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96,250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192,500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288,750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Frederico Justus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261,250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522,500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522,500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420,000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490,000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735,000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
              <w:spacing w:after="0" w:line="21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735,000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325" w:hanging="325"/>
        <w:spacing w:after="0"/>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1783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255"/>
                    </a:xfrm>
                    <a:prstGeom prst="rect">
                      <a:avLst/>
                    </a:prstGeom>
                    <a:noFill/>
                  </pic:spPr>
                </pic:pic>
              </a:graphicData>
            </a:graphic>
          </wp:anchor>
        </w:drawing>
        <w:t>Represents potential payments for the year ended December 31, 2020 under the terms of the EICP.</w:t>
      </w:r>
    </w:p>
    <w:p>
      <w:pPr>
        <w:spacing w:after="0" w:line="120"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30% of a total cash award under the terms of the LTCIP. Amounts reflect time-based payment/potential payments to be awarded in May 2020, January 1, 2021 and January 1, 2022 for Messrs. Blanchard, Garcia, McCollum, Fraser and Justus and to be awarded December 31, 2020, 2021 and 2022 for Messrs. Saligram, Jennings and Weatherholt. The cash amount shown in Threshold reflects the first payment out of three potential payments. The cash amount shown in Target and Superior reflects total payments for all three years as there is no opportunity to earn more than the Target cash amount awarded for the time-based portion.</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ROCE performance goals for fiscal year 2020, and for EBITDA Percentage performance goals for fiscal years ended 2021 and 2022. The cash amount shown in Threshold reflects an amended payout of 50%, the cash amount shown in Target reflects a payout of 100% and the cash amount shown in Superior reflects a payout of 200% of the total award approved for this component of the LTCIP.</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Free Cash Flow performance goals for fiscal year 2020 and Operating Cash Flow Conversion Percentage performance goals for fiscal years 2021 and 2022. The cash amount shown in Threshold reflects a payout of 50%, the cash amount shown in Target reflects a payout of 100% and the cash amount shown in Superior reflects a payout of 200% of the total award approved for this component of the LTCIP.</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PSUs granted under the terms of the 2019 EIP. The Ordinary Share amount shown in Threshold reflects the minimum number of Ordinary Shares that could be earned (other than none) by achieving one of three performance goals. The Ordinary Share amount shown in Target and Superior reflects the Target number of Ordinary Shares granted as there is no opportunity to earn more than Target if all three performance goals are achieved. The value shown reflects grant date fair value of the Target number of Ordinary Shares in accordance with Financial Accounting Standards Board Accounting Standards Codification Topic 718 (“ASC 718”).</w:t>
      </w:r>
    </w:p>
    <w:p>
      <w:pPr>
        <w:spacing w:after="0" w:line="111" w:lineRule="exact"/>
        <w:rPr>
          <w:rFonts w:ascii="Arial" w:cs="Arial" w:eastAsia="Arial" w:hAnsi="Arial"/>
          <w:sz w:val="13"/>
          <w:szCs w:val="13"/>
          <w:color w:val="auto"/>
        </w:rPr>
      </w:pPr>
    </w:p>
    <w:p>
      <w:pPr>
        <w:ind w:left="325" w:hanging="325"/>
        <w:spacing w:after="0" w:line="23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RSUs granted under the terms of the 2019 EIP. The value shown reflects grant date fair value of the Ordinary Shares in accordance with ASC 718. These Ordinary Shares vest in three equal tranches on each of October 12, 2021, 2022 and 2023.</w:t>
      </w:r>
    </w:p>
    <w:p>
      <w:pPr>
        <w:spacing w:after="0" w:line="110" w:lineRule="exact"/>
        <w:rPr>
          <w:rFonts w:ascii="Arial" w:cs="Arial" w:eastAsia="Arial" w:hAnsi="Arial"/>
          <w:sz w:val="13"/>
          <w:szCs w:val="13"/>
          <w:color w:val="auto"/>
        </w:rPr>
      </w:pPr>
    </w:p>
    <w:p>
      <w:pPr>
        <w:ind w:left="325" w:hanging="325"/>
        <w:spacing w:after="0" w:line="236" w:lineRule="auto"/>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RSUs granted under the terms of the 2019 EIP. The value shown reflects grant date fair value of the Ordinary Shares in accordance with ASC 718. The first tranche of these Ordinary Shares vested on the grant date of April 17, 2020 and the other two tranches were forfeited upon Mr. Garcia’s departure from the Company on August 5, 2020.</w:t>
      </w:r>
    </w:p>
    <w:p>
      <w:pPr>
        <w:spacing w:after="0" w:line="110" w:lineRule="exact"/>
        <w:rPr>
          <w:rFonts w:ascii="Arial" w:cs="Arial" w:eastAsia="Arial" w:hAnsi="Arial"/>
          <w:sz w:val="13"/>
          <w:szCs w:val="13"/>
          <w:color w:val="auto"/>
        </w:rPr>
      </w:pPr>
    </w:p>
    <w:p>
      <w:pPr>
        <w:ind w:left="325" w:hanging="325"/>
        <w:spacing w:after="0"/>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Departed prior to any plan-based awards being granted.</w:t>
      </w:r>
    </w:p>
    <w:p>
      <w:pPr>
        <w:spacing w:after="0" w:line="120" w:lineRule="exact"/>
        <w:rPr>
          <w:rFonts w:ascii="Arial" w:cs="Arial" w:eastAsia="Arial" w:hAnsi="Arial"/>
          <w:sz w:val="13"/>
          <w:szCs w:val="13"/>
          <w:color w:val="auto"/>
        </w:rPr>
      </w:pPr>
    </w:p>
    <w:p>
      <w:pPr>
        <w:ind w:left="325" w:hanging="325"/>
        <w:spacing w:after="0"/>
        <w:tabs>
          <w:tab w:leader="none" w:pos="325" w:val="left"/>
        </w:tabs>
        <w:numPr>
          <w:ilvl w:val="0"/>
          <w:numId w:val="25"/>
        </w:numPr>
        <w:rPr>
          <w:rFonts w:ascii="Arial" w:cs="Arial" w:eastAsia="Arial" w:hAnsi="Arial"/>
          <w:sz w:val="13"/>
          <w:szCs w:val="13"/>
          <w:color w:val="auto"/>
        </w:rPr>
      </w:pPr>
      <w:r>
        <w:rPr>
          <w:rFonts w:ascii="Arial" w:cs="Arial" w:eastAsia="Arial" w:hAnsi="Arial"/>
          <w:sz w:val="13"/>
          <w:szCs w:val="13"/>
          <w:color w:val="auto"/>
        </w:rPr>
        <w:t>Numbers in table are rounded to the nearest whole dollar and may not agree to other publicly available disclosures due to rounding.</w:t>
      </w:r>
    </w:p>
    <w:p>
      <w:pPr>
        <w:spacing w:after="0" w:line="336"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23495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5"/>
          </w:cols>
          <w:pgMar w:left="395" w:top="10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the number of outstanding equity awards held by our NEOs at December 31, 2020.</w:t>
      </w:r>
    </w:p>
    <w:p>
      <w:pPr>
        <w:spacing w:after="0" w:line="258"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40544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ectPr>
          <w:pgSz w:w="11900" w:h="16838" w:orient="portrait"/>
          <w:cols w:equalWidth="0" w:num="1">
            <w:col w:w="11240"/>
          </w:cols>
          <w:pgMar w:left="320" w:top="904" w:right="339" w:bottom="4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Shares or Units</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of Shares That</w:t>
            </w:r>
          </w:p>
        </w:tc>
      </w:tr>
      <w:tr>
        <w:trPr>
          <w:trHeight w:val="220"/>
        </w:trPr>
        <w:tc>
          <w:tcPr>
            <w:tcW w:w="2640" w:type="dxa"/>
            <w:vAlign w:val="bottom"/>
          </w:tcPr>
          <w:p>
            <w:pPr>
              <w:spacing w:after="0"/>
              <w:rPr>
                <w:sz w:val="19"/>
                <w:szCs w:val="19"/>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Have Not Vested</w:t>
            </w:r>
          </w:p>
        </w:tc>
      </w:tr>
      <w:tr>
        <w:trPr>
          <w:trHeight w:val="286"/>
        </w:trPr>
        <w:tc>
          <w:tcPr>
            <w:tcW w:w="2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60" w:type="dxa"/>
            <w:vAlign w:val="bottom"/>
          </w:tcPr>
          <w:p>
            <w:pPr>
              <w:jc w:val="center"/>
              <w:ind w:left="2110"/>
              <w:spacing w:after="0" w:line="28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Equity Incentive</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Incentive</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Plan Awards:</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Plan Awards: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Payment Value of</w:t>
            </w:r>
          </w:p>
        </w:tc>
      </w:tr>
      <w:tr>
        <w:trPr>
          <w:trHeight w:val="221"/>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Market Value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Unearned Shares,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Unearned Shares,</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Shares or Units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Units or Other</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Units or Other</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Shares That Have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Rights That Have</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Rights That Have</w:t>
            </w: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Not Vested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4"/>
              </w:rPr>
              <w:t>not Vested</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Not Vested</w:t>
            </w:r>
          </w:p>
        </w:tc>
      </w:tr>
      <w:tr>
        <w:trPr>
          <w:trHeight w:val="285"/>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168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1520" w:type="dxa"/>
            <w:vAlign w:val="bottom"/>
          </w:tcPr>
          <w:p>
            <w:pPr>
              <w:jc w:val="center"/>
              <w:ind w:left="50"/>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r>
    </w:tbl>
    <w:p>
      <w:pPr>
        <w:spacing w:after="0" w:line="1" w:lineRule="exact"/>
        <w:rPr>
          <w:sz w:val="20"/>
          <w:szCs w:val="20"/>
          <w:color w:val="auto"/>
        </w:rPr>
      </w:pPr>
    </w:p>
    <w:p>
      <w:pPr>
        <w:sectPr>
          <w:pgSz w:w="11900" w:h="16838" w:orient="portrait"/>
          <w:cols w:equalWidth="0" w:num="2">
            <w:col w:w="6160" w:space="220"/>
            <w:col w:w="4860"/>
          </w:cols>
          <w:pgMar w:left="320" w:top="904" w:right="339" w:bottom="430" w:gutter="0" w:footer="0" w:header="0"/>
          <w:type w:val="continuous"/>
        </w:sectPr>
      </w:pPr>
    </w:p>
    <w:p>
      <w:pPr>
        <w:spacing w:after="0"/>
        <w:tabs>
          <w:tab w:leader="none" w:pos="5220" w:val="left"/>
          <w:tab w:leader="none" w:pos="6300" w:val="left"/>
          <w:tab w:leader="none" w:pos="7060" w:val="left"/>
          <w:tab w:leader="none" w:pos="8960" w:val="left"/>
          <w:tab w:leader="none" w:pos="9660" w:val="left"/>
          <w:tab w:leader="none" w:pos="10520" w:val="left"/>
        </w:tabs>
        <w:rPr>
          <w:sz w:val="20"/>
          <w:szCs w:val="20"/>
          <w:color w:val="auto"/>
        </w:rPr>
      </w:pPr>
      <w:r>
        <w:rPr>
          <w:rFonts w:ascii="Arial" w:cs="Arial" w:eastAsia="Arial" w:hAnsi="Arial"/>
          <w:sz w:val="18"/>
          <w:szCs w:val="18"/>
          <w:color w:val="auto"/>
        </w:rPr>
        <w:t>Girishchandra K. Saligram</w:t>
      </w:r>
      <w:r>
        <w:rPr>
          <w:sz w:val="20"/>
          <w:szCs w:val="20"/>
          <w:color w:val="auto"/>
        </w:rPr>
        <w:tab/>
      </w:r>
      <w:r>
        <w:rPr>
          <w:rFonts w:ascii="Arial" w:cs="Arial" w:eastAsia="Arial" w:hAnsi="Arial"/>
          <w:sz w:val="18"/>
          <w:szCs w:val="18"/>
          <w:color w:val="auto"/>
        </w:rPr>
        <w:t>169,491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1,016,946</w:t>
      </w:r>
      <w:r>
        <w:rPr>
          <w:sz w:val="20"/>
          <w:szCs w:val="20"/>
          <w:color w:val="auto"/>
        </w:rPr>
        <w:tab/>
      </w:r>
      <w:r>
        <w:rPr>
          <w:rFonts w:ascii="Arial" w:cs="Arial" w:eastAsia="Arial" w:hAnsi="Arial"/>
          <w:sz w:val="18"/>
          <w:szCs w:val="18"/>
          <w:color w:val="auto"/>
        </w:rPr>
        <w:t>56,497</w:t>
        <w:tab/>
        <w:t>$</w:t>
      </w:r>
      <w:r>
        <w:rPr>
          <w:sz w:val="20"/>
          <w:szCs w:val="20"/>
          <w:color w:val="auto"/>
        </w:rPr>
        <w:tab/>
      </w:r>
      <w:r>
        <w:rPr>
          <w:rFonts w:ascii="Arial" w:cs="Arial" w:eastAsia="Arial" w:hAnsi="Arial"/>
          <w:sz w:val="16"/>
          <w:szCs w:val="16"/>
          <w:color w:val="auto"/>
        </w:rPr>
        <w:t>338,982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RSUs issued under the 2019 EIP, which vest in equal increments on each of October 12, 2021, 2022 and 2023.</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PSUs issued under the 2019 EIP. The number of units reported and the payout value reported are based on achieving the threshold performance level which is one-third of the PSUs granted. PSUs are eligible to vest at any time after October 12, 2020, subject to the attainment of applicable performance objectives. All performance objectives were met by March 3, 2021, the full 169,491 PSUs were fully vested and the underlying Ordinary Shares with respect to such PSUs were issued to Mr. Saligram, less Ordinary Shares withheld to satisfy withholding tax obligations.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Option Exercises and Stock Vested in 2020</w:t>
            </w: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8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4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Shares Acquired</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on Vesting</w:t>
            </w:r>
          </w:p>
        </w:tc>
        <w:tc>
          <w:tcPr>
            <w:tcW w:w="1400" w:type="dxa"/>
            <w:vAlign w:val="bottom"/>
            <w:gridSpan w:val="2"/>
          </w:tcPr>
          <w:p>
            <w:pPr>
              <w:jc w:val="center"/>
              <w:ind w:right="140"/>
              <w:spacing w:after="0" w:line="252" w:lineRule="exact"/>
              <w:rPr>
                <w:sz w:val="20"/>
                <w:szCs w:val="20"/>
                <w:color w:val="auto"/>
              </w:rPr>
            </w:pPr>
            <w:r>
              <w:rPr>
                <w:rFonts w:ascii="Arial" w:cs="Arial" w:eastAsia="Arial" w:hAnsi="Arial"/>
                <w:sz w:val="18"/>
                <w:szCs w:val="18"/>
                <w:b w:val="1"/>
                <w:bCs w:val="1"/>
                <w:color w:val="auto"/>
                <w:w w:val="85"/>
              </w:rPr>
              <w:t>On Vesting</w:t>
            </w:r>
            <w:r>
              <w:rPr>
                <w:rFonts w:ascii="Arial" w:cs="Arial" w:eastAsia="Arial" w:hAnsi="Arial"/>
                <w:sz w:val="29"/>
                <w:szCs w:val="29"/>
                <w:b w:val="1"/>
                <w:bCs w:val="1"/>
                <w:color w:val="auto"/>
                <w:w w:val="85"/>
                <w:vertAlign w:val="superscript"/>
              </w:rPr>
              <w:t>(1)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 A. McCollum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Christian A. Garcia</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22,988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129,882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Swift</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Stuart Fraser</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000" w:type="dxa"/>
            <w:vAlign w:val="bottom"/>
            <w:gridSpan w:val="2"/>
          </w:tcPr>
          <w:p>
            <w:pPr>
              <w:spacing w:after="0"/>
              <w:rPr>
                <w:sz w:val="20"/>
                <w:szCs w:val="20"/>
                <w:color w:val="auto"/>
              </w:rPr>
            </w:pPr>
            <w:r>
              <w:rPr>
                <w:rFonts w:ascii="Arial" w:cs="Arial" w:eastAsia="Arial" w:hAnsi="Arial"/>
                <w:sz w:val="18"/>
                <w:szCs w:val="18"/>
                <w:color w:val="auto"/>
              </w:rPr>
              <w:t>(1) Calculated by multiplying the number of Ordinary Shares by the closing price on the date of vest.</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Potential Payments Upon Termination or Change in Control</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list the compensation and benefits that Weatherford would provide to our NEOs that were with the Company at the end of the 2020 fiscal year in various scenarios involving a hypothetical termination of employment or upon a change in control on such date. Compensation and benefits generally available to salaried employees are not included in the below. As described previously:</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Messrs. Saligram, Jennings and Weatherholt are subject to the Company’s CIC Severance Plan and their respective offer letters;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Messrs. McCollum, Garcia, Swift and Justus were no longer with the Company at the end of the fiscal year and therefore they are not included in the tables below;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payments made to each of Messrs. McCollum, Swift and Justus that were paid in settlement upon their departure from the Company are reflected in the Summary Compensation Table and related footnotes;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Blanchard had the Blanchard CIC and Mr. Fraser had a Change in Control Agreement, as amended (the “Fraser CIC”), in effect as of December 31, 2020, and our emergence from bankruptcy on December 13, 2019 constituted a change in control previously triggered under those agreements.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430" w:gutter="0" w:footer="0" w:header="0"/>
          <w:type w:val="continuous"/>
        </w:sectPr>
      </w:pPr>
    </w:p>
    <w:bookmarkStart w:id="48" w:name="page49"/>
    <w:bookmarkEnd w:id="48"/>
    <w:p>
      <w:pPr>
        <w:ind w:right="100" w:firstLine="648"/>
        <w:spacing w:after="0" w:line="308" w:lineRule="auto"/>
        <w:rPr>
          <w:sz w:val="20"/>
          <w:szCs w:val="20"/>
          <w:color w:val="auto"/>
        </w:rPr>
      </w:pPr>
      <w:r>
        <w:rPr>
          <w:rFonts w:ascii="Arial" w:cs="Arial" w:eastAsia="Arial" w:hAnsi="Arial"/>
          <w:sz w:val="17"/>
          <w:szCs w:val="17"/>
          <w:color w:val="auto"/>
        </w:rPr>
        <w:t>The following table applies to Messrs. Saligram, Jennings and Weatherholt whose potential payments are covered by their respective offer letters, EICP, LTCIP Award Agreements, award agreements under the 2019 EIP (in the case of Mr. Saligram) and our CIC Severance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0"/>
              </w:rPr>
              <w:t>Compensation Element</w:t>
            </w: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Sign-on</w:t>
            </w:r>
          </w:p>
        </w:tc>
      </w:tr>
      <w:tr>
        <w:trPr>
          <w:trHeight w:val="221"/>
        </w:trPr>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Long-Term</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Termination /</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w w:val="98"/>
              </w:rPr>
              <w:t>Annual Cash</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w w:val="92"/>
              </w:rPr>
              <w:t>Performance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Welfare and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Change in Control</w:t>
            </w:r>
          </w:p>
        </w:tc>
        <w:tc>
          <w:tcPr>
            <w:tcW w:w="960" w:type="dxa"/>
            <w:vAlign w:val="bottom"/>
          </w:tcPr>
          <w:p>
            <w:pPr>
              <w:spacing w:after="0"/>
              <w:rPr>
                <w:sz w:val="18"/>
                <w:szCs w:val="18"/>
                <w:color w:val="auto"/>
              </w:rPr>
            </w:pPr>
          </w:p>
        </w:tc>
        <w:tc>
          <w:tcPr>
            <w:tcW w:w="940" w:type="dxa"/>
            <w:vAlign w:val="bottom"/>
          </w:tcPr>
          <w:p>
            <w:pPr>
              <w:ind w:left="280"/>
              <w:spacing w:after="0"/>
              <w:rPr>
                <w:sz w:val="20"/>
                <w:szCs w:val="20"/>
                <w:color w:val="auto"/>
              </w:rPr>
            </w:pPr>
            <w:r>
              <w:rPr>
                <w:rFonts w:ascii="Arial" w:cs="Arial" w:eastAsia="Arial" w:hAnsi="Arial"/>
                <w:sz w:val="18"/>
                <w:szCs w:val="18"/>
                <w:b w:val="1"/>
                <w:bCs w:val="1"/>
                <w:color w:val="auto"/>
              </w:rPr>
              <w:t>Cash</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Incentive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Relocation</w:t>
            </w:r>
          </w:p>
        </w:tc>
      </w:tr>
      <w:tr>
        <w:trPr>
          <w:trHeight w:val="270"/>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Scenario</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Base Salary</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Severance</w:t>
            </w:r>
          </w:p>
        </w:tc>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Compensation Compensation</w:t>
            </w:r>
          </w:p>
        </w:tc>
        <w:tc>
          <w:tcPr>
            <w:tcW w:w="9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Units</w:t>
            </w:r>
            <w:r>
              <w:rPr>
                <w:rFonts w:ascii="Arial" w:cs="Arial" w:eastAsia="Arial" w:hAnsi="Arial"/>
                <w:sz w:val="29"/>
                <w:szCs w:val="29"/>
                <w:b w:val="1"/>
                <w:bCs w:val="1"/>
                <w:color w:val="auto"/>
                <w:w w:val="84"/>
                <w:vertAlign w:val="superscript"/>
              </w:rPr>
              <w:t>(1)</w:t>
            </w:r>
          </w:p>
        </w:tc>
        <w:tc>
          <w:tcPr>
            <w:tcW w:w="1120" w:type="dxa"/>
            <w:vAlign w:val="bottom"/>
            <w:tcBorders>
              <w:bottom w:val="single" w:sz="8" w:color="auto"/>
            </w:tcBorders>
          </w:tcPr>
          <w:p>
            <w:pPr>
              <w:ind w:left="280"/>
              <w:spacing w:after="0" w:line="270" w:lineRule="exact"/>
              <w:rPr>
                <w:sz w:val="20"/>
                <w:szCs w:val="20"/>
                <w:color w:val="auto"/>
              </w:rPr>
            </w:pPr>
            <w:r>
              <w:rPr>
                <w:rFonts w:ascii="Arial" w:cs="Arial" w:eastAsia="Arial" w:hAnsi="Arial"/>
                <w:sz w:val="18"/>
                <w:szCs w:val="18"/>
                <w:b w:val="1"/>
                <w:bCs w:val="1"/>
                <w:color w:val="auto"/>
              </w:rPr>
              <w:t>Units</w:t>
            </w:r>
            <w:r>
              <w:rPr>
                <w:rFonts w:ascii="Arial" w:cs="Arial" w:eastAsia="Arial" w:hAnsi="Arial"/>
                <w:sz w:val="29"/>
                <w:szCs w:val="29"/>
                <w:b w:val="1"/>
                <w:bCs w:val="1"/>
                <w:color w:val="auto"/>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1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18"/>
                <w:szCs w:val="18"/>
                <w:b w:val="1"/>
                <w:bCs w:val="1"/>
                <w:color w:val="auto"/>
                <w:w w:val="83"/>
              </w:rPr>
              <w:t>Allowances</w:t>
            </w:r>
            <w:r>
              <w:rPr>
                <w:rFonts w:ascii="Arial" w:cs="Arial" w:eastAsia="Arial" w:hAnsi="Arial"/>
                <w:sz w:val="29"/>
                <w:szCs w:val="29"/>
                <w:b w:val="1"/>
                <w:bCs w:val="1"/>
                <w:color w:val="auto"/>
                <w:w w:val="83"/>
                <w:vertAlign w:val="superscript"/>
              </w:rPr>
              <w:t>(2)</w:t>
            </w:r>
          </w:p>
        </w:tc>
      </w:tr>
      <w:tr>
        <w:trPr>
          <w:trHeight w:val="195"/>
        </w:trPr>
        <w:tc>
          <w:tcPr>
            <w:tcW w:w="26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Retirement or Resignation</w:t>
            </w:r>
          </w:p>
        </w:tc>
        <w:tc>
          <w:tcPr>
            <w:tcW w:w="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Ceases</w:t>
            </w:r>
          </w:p>
        </w:tc>
        <w:tc>
          <w:tcPr>
            <w:tcW w:w="9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None</w:t>
            </w:r>
          </w:p>
        </w:tc>
        <w:tc>
          <w:tcPr>
            <w:tcW w:w="120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Forfeited</w:t>
            </w:r>
          </w:p>
        </w:tc>
        <w:tc>
          <w:tcPr>
            <w:tcW w:w="120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Eligible to</w:t>
            </w:r>
          </w:p>
        </w:tc>
        <w:tc>
          <w:tcPr>
            <w:tcW w:w="9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Must repay</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 of any</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sign-on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bonuses or</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relocation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allowances</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without</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proration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5"/>
                <w:szCs w:val="15"/>
                <w:b w:val="1"/>
                <w:bCs w:val="1"/>
                <w:color w:val="auto"/>
              </w:rPr>
              <w:t>Termination with Cause</w:t>
            </w:r>
            <w:r>
              <w:rPr>
                <w:rFonts w:ascii="Arial" w:cs="Arial" w:eastAsia="Arial" w:hAnsi="Arial"/>
                <w:sz w:val="23"/>
                <w:szCs w:val="23"/>
                <w:b w:val="1"/>
                <w:bCs w:val="1"/>
                <w:color w:val="auto"/>
                <w:vertAlign w:val="superscript"/>
              </w:rPr>
              <w:t>(3)</w:t>
            </w:r>
          </w:p>
        </w:tc>
        <w:tc>
          <w:tcPr>
            <w:tcW w:w="960" w:type="dxa"/>
            <w:vAlign w:val="bottom"/>
          </w:tcPr>
          <w:p>
            <w:pPr>
              <w:spacing w:after="0" w:line="202" w:lineRule="exact"/>
              <w:rPr>
                <w:sz w:val="20"/>
                <w:szCs w:val="20"/>
                <w:color w:val="auto"/>
              </w:rPr>
            </w:pPr>
            <w:r>
              <w:rPr>
                <w:rFonts w:ascii="Arial" w:cs="Arial" w:eastAsia="Arial" w:hAnsi="Arial"/>
                <w:sz w:val="18"/>
                <w:szCs w:val="18"/>
                <w:color w:val="auto"/>
              </w:rPr>
              <w:t>Ceases</w:t>
            </w:r>
          </w:p>
        </w:tc>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None</w:t>
            </w:r>
          </w:p>
        </w:tc>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Must repay</w:t>
            </w:r>
          </w:p>
        </w:tc>
      </w:tr>
      <w:tr>
        <w:trPr>
          <w:trHeight w:val="215"/>
        </w:trPr>
        <w:tc>
          <w:tcPr>
            <w:tcW w:w="26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100% of any</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cash sign-on</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bonuses or</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relocation</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allowances</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without</w:t>
            </w:r>
          </w:p>
        </w:tc>
      </w:tr>
      <w:tr>
        <w:trPr>
          <w:trHeight w:val="230"/>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proration</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Death or Disability</w:t>
            </w: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Ceases</w:t>
            </w:r>
          </w:p>
        </w:tc>
        <w:tc>
          <w:tcPr>
            <w:tcW w:w="9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None</w:t>
            </w:r>
          </w:p>
        </w:tc>
        <w:tc>
          <w:tcPr>
            <w:tcW w:w="12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Prorated for</w:t>
            </w:r>
          </w:p>
        </w:tc>
        <w:tc>
          <w:tcPr>
            <w:tcW w:w="12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All unvested</w:t>
            </w:r>
          </w:p>
        </w:tc>
        <w:tc>
          <w:tcPr>
            <w:tcW w:w="9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Entitled to</w:t>
            </w:r>
          </w:p>
        </w:tc>
        <w:tc>
          <w:tcPr>
            <w:tcW w:w="11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All unvested</w:t>
            </w:r>
          </w:p>
        </w:tc>
        <w:tc>
          <w:tcPr>
            <w:tcW w:w="11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No</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year and</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portions of</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 all</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PSUs vest at</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repayments</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based on actual</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the end of the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achievement</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vest;</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time-vested</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applicable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eligible to</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period based</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 actual</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262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Without Cause or</w:t>
            </w:r>
          </w:p>
        </w:tc>
        <w:tc>
          <w:tcPr>
            <w:tcW w:w="960" w:type="dxa"/>
            <w:vAlign w:val="bottom"/>
          </w:tcPr>
          <w:p>
            <w:pPr>
              <w:spacing w:after="0" w:line="198" w:lineRule="exact"/>
              <w:rPr>
                <w:sz w:val="20"/>
                <w:szCs w:val="20"/>
                <w:color w:val="auto"/>
              </w:rPr>
            </w:pPr>
            <w:r>
              <w:rPr>
                <w:rFonts w:ascii="Arial" w:cs="Arial" w:eastAsia="Arial" w:hAnsi="Arial"/>
                <w:sz w:val="18"/>
                <w:szCs w:val="18"/>
                <w:color w:val="auto"/>
              </w:rPr>
              <w:t>Ceases</w:t>
            </w:r>
          </w:p>
        </w:tc>
        <w:tc>
          <w:tcPr>
            <w:tcW w:w="940" w:type="dxa"/>
            <w:vAlign w:val="bottom"/>
          </w:tcPr>
          <w:p>
            <w:pPr>
              <w:ind w:left="40"/>
              <w:spacing w:after="0" w:line="198" w:lineRule="exact"/>
              <w:rPr>
                <w:sz w:val="20"/>
                <w:szCs w:val="20"/>
                <w:color w:val="auto"/>
              </w:rPr>
            </w:pPr>
            <w:r>
              <w:rPr>
                <w:rFonts w:ascii="Arial" w:cs="Arial" w:eastAsia="Arial" w:hAnsi="Arial"/>
                <w:sz w:val="18"/>
                <w:szCs w:val="18"/>
                <w:color w:val="auto"/>
              </w:rPr>
              <w:t>12 months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Receives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A prorated</w:t>
            </w:r>
          </w:p>
        </w:tc>
        <w:tc>
          <w:tcPr>
            <w:tcW w:w="960" w:type="dxa"/>
            <w:vAlign w:val="bottom"/>
          </w:tcPr>
          <w:p>
            <w:pPr>
              <w:ind w:left="40"/>
              <w:spacing w:after="0" w:line="198" w:lineRule="exact"/>
              <w:rPr>
                <w:sz w:val="20"/>
                <w:szCs w:val="20"/>
                <w:color w:val="auto"/>
              </w:rPr>
            </w:pPr>
            <w:r>
              <w:rPr>
                <w:rFonts w:ascii="Arial" w:cs="Arial" w:eastAsia="Arial" w:hAnsi="Arial"/>
                <w:sz w:val="18"/>
                <w:szCs w:val="18"/>
                <w:color w:val="auto"/>
              </w:rPr>
              <w:t>Entitled to</w:t>
            </w: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rPr>
              <w:t>A prorated</w:t>
            </w:r>
          </w:p>
        </w:tc>
        <w:tc>
          <w:tcPr>
            <w:tcW w:w="1120" w:type="dxa"/>
            <w:vAlign w:val="bottom"/>
          </w:tcPr>
          <w:p>
            <w:pPr>
              <w:ind w:left="40"/>
              <w:spacing w:after="0" w:line="198"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rPr>
              <w:t>No</w:t>
            </w: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With Good Reason</w:t>
            </w:r>
          </w:p>
        </w:tc>
        <w:tc>
          <w:tcPr>
            <w:tcW w:w="960" w:type="dxa"/>
            <w:vAlign w:val="bottom"/>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tcPr>
          <w:p>
            <w:pPr>
              <w:ind w:left="40"/>
              <w:spacing w:after="0"/>
              <w:rPr>
                <w:sz w:val="20"/>
                <w:szCs w:val="20"/>
                <w:color w:val="auto"/>
              </w:rPr>
            </w:pPr>
            <w:r>
              <w:rPr>
                <w:rFonts w:ascii="Arial" w:cs="Arial" w:eastAsia="Arial" w:hAnsi="Arial"/>
                <w:sz w:val="18"/>
                <w:szCs w:val="18"/>
                <w:color w:val="auto"/>
                <w:w w:val="89"/>
              </w:rPr>
              <w:t>annual base</w:t>
            </w:r>
          </w:p>
        </w:tc>
        <w:tc>
          <w:tcPr>
            <w:tcW w:w="1200" w:type="dxa"/>
            <w:vAlign w:val="bottom"/>
          </w:tcPr>
          <w:p>
            <w:pPr>
              <w:ind w:left="40"/>
              <w:spacing w:after="0"/>
              <w:rPr>
                <w:sz w:val="20"/>
                <w:szCs w:val="20"/>
                <w:color w:val="auto"/>
              </w:rPr>
            </w:pPr>
            <w:r>
              <w:rPr>
                <w:rFonts w:ascii="Arial" w:cs="Arial" w:eastAsia="Arial" w:hAnsi="Arial"/>
                <w:sz w:val="18"/>
                <w:szCs w:val="18"/>
                <w:color w:val="auto"/>
              </w:rPr>
              <w:t>payment of</w:t>
            </w:r>
          </w:p>
        </w:tc>
        <w:tc>
          <w:tcPr>
            <w:tcW w:w="120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tcPr>
          <w:p>
            <w:pPr>
              <w:ind w:left="40"/>
              <w:spacing w:after="0"/>
              <w:rPr>
                <w:sz w:val="20"/>
                <w:szCs w:val="20"/>
                <w:color w:val="auto"/>
              </w:rPr>
            </w:pPr>
            <w:r>
              <w:rPr>
                <w:rFonts w:ascii="Arial" w:cs="Arial" w:eastAsia="Arial" w:hAnsi="Arial"/>
                <w:sz w:val="18"/>
                <w:szCs w:val="18"/>
                <w:color w:val="auto"/>
              </w:rPr>
              <w:t>vest a</w:t>
            </w:r>
          </w:p>
        </w:tc>
        <w:tc>
          <w:tcPr>
            <w:tcW w:w="1120" w:type="dxa"/>
            <w:vAlign w:val="bottom"/>
          </w:tcPr>
          <w:p>
            <w:pPr>
              <w:ind w:left="60"/>
              <w:spacing w:after="0"/>
              <w:rPr>
                <w:sz w:val="20"/>
                <w:szCs w:val="20"/>
                <w:color w:val="auto"/>
              </w:rPr>
            </w:pPr>
            <w:r>
              <w:rPr>
                <w:rFonts w:ascii="Arial" w:cs="Arial" w:eastAsia="Arial" w:hAnsi="Arial"/>
                <w:sz w:val="18"/>
                <w:szCs w:val="18"/>
                <w:color w:val="auto"/>
                <w:w w:val="98"/>
              </w:rPr>
              <w:t>portion of the</w:t>
            </w:r>
          </w:p>
        </w:tc>
        <w:tc>
          <w:tcPr>
            <w:tcW w:w="1120" w:type="dxa"/>
            <w:vAlign w:val="bottom"/>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repayments</w:t>
            </w: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salary plus</w:t>
            </w:r>
          </w:p>
        </w:tc>
        <w:tc>
          <w:tcPr>
            <w:tcW w:w="1200" w:type="dxa"/>
            <w:vAlign w:val="bottom"/>
          </w:tcPr>
          <w:p>
            <w:pPr>
              <w:ind w:left="40"/>
              <w:spacing w:after="0"/>
              <w:rPr>
                <w:sz w:val="20"/>
                <w:szCs w:val="20"/>
                <w:color w:val="auto"/>
              </w:rPr>
            </w:pPr>
            <w:r>
              <w:rPr>
                <w:rFonts w:ascii="Arial" w:cs="Arial" w:eastAsia="Arial" w:hAnsi="Arial"/>
                <w:sz w:val="18"/>
                <w:szCs w:val="18"/>
                <w:color w:val="auto"/>
              </w:rPr>
              <w:t>annual award</w:t>
            </w:r>
          </w:p>
        </w:tc>
        <w:tc>
          <w:tcPr>
            <w:tcW w:w="1200" w:type="dxa"/>
            <w:vAlign w:val="bottom"/>
          </w:tcPr>
          <w:p>
            <w:pPr>
              <w:ind w:left="40"/>
              <w:spacing w:after="0"/>
              <w:rPr>
                <w:sz w:val="20"/>
                <w:szCs w:val="20"/>
                <w:color w:val="auto"/>
              </w:rPr>
            </w:pPr>
            <w:r>
              <w:rPr>
                <w:rFonts w:ascii="Arial" w:cs="Arial" w:eastAsia="Arial" w:hAnsi="Arial"/>
                <w:sz w:val="18"/>
                <w:szCs w:val="18"/>
                <w:color w:val="auto"/>
              </w:rPr>
              <w:t>next unvested</w:t>
            </w:r>
          </w:p>
        </w:tc>
        <w:tc>
          <w:tcPr>
            <w:tcW w:w="960" w:type="dxa"/>
            <w:vAlign w:val="bottom"/>
          </w:tcPr>
          <w:p>
            <w:pPr>
              <w:ind w:left="40"/>
              <w:spacing w:after="0"/>
              <w:rPr>
                <w:sz w:val="20"/>
                <w:szCs w:val="20"/>
                <w:color w:val="auto"/>
              </w:rPr>
            </w:pPr>
            <w:r>
              <w:rPr>
                <w:rFonts w:ascii="Arial" w:cs="Arial" w:eastAsia="Arial" w:hAnsi="Arial"/>
                <w:sz w:val="18"/>
                <w:szCs w:val="18"/>
                <w:color w:val="auto"/>
              </w:rPr>
              <w:t>prorated</w:t>
            </w:r>
          </w:p>
        </w:tc>
        <w:tc>
          <w:tcPr>
            <w:tcW w:w="1120" w:type="dxa"/>
            <w:vAlign w:val="bottom"/>
          </w:tcPr>
          <w:p>
            <w:pPr>
              <w:ind w:left="60"/>
              <w:spacing w:after="0"/>
              <w:rPr>
                <w:sz w:val="20"/>
                <w:szCs w:val="20"/>
                <w:color w:val="auto"/>
              </w:rPr>
            </w:pPr>
            <w:r>
              <w:rPr>
                <w:rFonts w:ascii="Arial" w:cs="Arial" w:eastAsia="Arial" w:hAnsi="Arial"/>
                <w:sz w:val="18"/>
                <w:szCs w:val="18"/>
                <w:color w:val="auto"/>
              </w:rPr>
              <w:t>PSU award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4"/>
              </w:rPr>
              <w:t>EICP target</w:t>
            </w:r>
          </w:p>
        </w:tc>
        <w:tc>
          <w:tcPr>
            <w:tcW w:w="1200" w:type="dxa"/>
            <w:vAlign w:val="bottom"/>
          </w:tcPr>
          <w:p>
            <w:pPr>
              <w:ind w:left="40"/>
              <w:spacing w:after="0"/>
              <w:rPr>
                <w:sz w:val="20"/>
                <w:szCs w:val="20"/>
                <w:color w:val="auto"/>
              </w:rPr>
            </w:pPr>
            <w:r>
              <w:rPr>
                <w:rFonts w:ascii="Arial" w:cs="Arial" w:eastAsia="Arial" w:hAnsi="Arial"/>
                <w:sz w:val="18"/>
                <w:szCs w:val="18"/>
                <w:color w:val="auto"/>
              </w:rPr>
              <w:t>based upon</w:t>
            </w:r>
          </w:p>
        </w:tc>
        <w:tc>
          <w:tcPr>
            <w:tcW w:w="1200" w:type="dxa"/>
            <w:vAlign w:val="bottom"/>
          </w:tcPr>
          <w:p>
            <w:pPr>
              <w:ind w:left="40"/>
              <w:spacing w:after="0"/>
              <w:rPr>
                <w:sz w:val="20"/>
                <w:szCs w:val="20"/>
                <w:color w:val="auto"/>
              </w:rPr>
            </w:pPr>
            <w:r>
              <w:rPr>
                <w:rFonts w:ascii="Arial" w:cs="Arial" w:eastAsia="Arial" w:hAnsi="Arial"/>
                <w:sz w:val="18"/>
                <w:szCs w:val="18"/>
                <w:color w:val="auto"/>
              </w:rPr>
              <w:t>tranche of</w:t>
            </w:r>
          </w:p>
        </w:tc>
        <w:tc>
          <w:tcPr>
            <w:tcW w:w="960" w:type="dxa"/>
            <w:vAlign w:val="bottom"/>
          </w:tcPr>
          <w:p>
            <w:pPr>
              <w:ind w:left="40"/>
              <w:spacing w:after="0"/>
              <w:rPr>
                <w:sz w:val="20"/>
                <w:szCs w:val="20"/>
                <w:color w:val="auto"/>
              </w:rPr>
            </w:pPr>
            <w:r>
              <w:rPr>
                <w:rFonts w:ascii="Arial" w:cs="Arial" w:eastAsia="Arial" w:hAnsi="Arial"/>
                <w:sz w:val="18"/>
                <w:szCs w:val="18"/>
                <w:color w:val="auto"/>
              </w:rPr>
              <w:t>portion of</w:t>
            </w:r>
          </w:p>
        </w:tc>
        <w:tc>
          <w:tcPr>
            <w:tcW w:w="1120" w:type="dxa"/>
            <w:vAlign w:val="bottom"/>
          </w:tcPr>
          <w:p>
            <w:pPr>
              <w:ind w:left="60"/>
              <w:spacing w:after="0"/>
              <w:rPr>
                <w:sz w:val="20"/>
                <w:szCs w:val="20"/>
                <w:color w:val="auto"/>
              </w:rPr>
            </w:pPr>
            <w:r>
              <w:rPr>
                <w:rFonts w:ascii="Arial" w:cs="Arial" w:eastAsia="Arial" w:hAnsi="Arial"/>
                <w:sz w:val="18"/>
                <w:szCs w:val="18"/>
                <w:color w:val="auto"/>
              </w:rPr>
              <w:t>vests at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8"/>
              </w:rPr>
              <w:t>opportunity</w:t>
            </w:r>
          </w:p>
        </w:tc>
        <w:tc>
          <w:tcPr>
            <w:tcW w:w="1200" w:type="dxa"/>
            <w:vAlign w:val="bottom"/>
          </w:tcPr>
          <w:p>
            <w:pPr>
              <w:ind w:left="40"/>
              <w:spacing w:after="0"/>
              <w:rPr>
                <w:sz w:val="20"/>
                <w:szCs w:val="20"/>
                <w:color w:val="auto"/>
              </w:rPr>
            </w:pPr>
            <w:r>
              <w:rPr>
                <w:rFonts w:ascii="Arial" w:cs="Arial" w:eastAsia="Arial" w:hAnsi="Arial"/>
                <w:sz w:val="18"/>
                <w:szCs w:val="18"/>
                <w:color w:val="auto"/>
              </w:rPr>
              <w:t>actual</w:t>
            </w:r>
          </w:p>
        </w:tc>
        <w:tc>
          <w:tcPr>
            <w:tcW w:w="1200" w:type="dxa"/>
            <w:vAlign w:val="bottom"/>
          </w:tcPr>
          <w:p>
            <w:pPr>
              <w:ind w:left="40"/>
              <w:spacing w:after="0"/>
              <w:rPr>
                <w:sz w:val="20"/>
                <w:szCs w:val="20"/>
                <w:color w:val="auto"/>
              </w:rPr>
            </w:pPr>
            <w:r>
              <w:rPr>
                <w:rFonts w:ascii="Arial" w:cs="Arial" w:eastAsia="Arial" w:hAnsi="Arial"/>
                <w:sz w:val="18"/>
                <w:szCs w:val="18"/>
                <w:color w:val="auto"/>
              </w:rPr>
              <w:t>time-based</w:t>
            </w:r>
          </w:p>
        </w:tc>
        <w:tc>
          <w:tcPr>
            <w:tcW w:w="960" w:type="dxa"/>
            <w:vAlign w:val="bottom"/>
          </w:tcPr>
          <w:p>
            <w:pPr>
              <w:ind w:left="40"/>
              <w:spacing w:after="0"/>
              <w:rPr>
                <w:sz w:val="20"/>
                <w:szCs w:val="20"/>
                <w:color w:val="auto"/>
              </w:rPr>
            </w:pPr>
            <w:r>
              <w:rPr>
                <w:rFonts w:ascii="Arial" w:cs="Arial" w:eastAsia="Arial" w:hAnsi="Arial"/>
                <w:sz w:val="18"/>
                <w:szCs w:val="18"/>
                <w:color w:val="auto"/>
              </w:rPr>
              <w:t>the next</w:t>
            </w:r>
          </w:p>
        </w:tc>
        <w:tc>
          <w:tcPr>
            <w:tcW w:w="1120" w:type="dxa"/>
            <w:vAlign w:val="bottom"/>
          </w:tcPr>
          <w:p>
            <w:pPr>
              <w:ind w:left="60"/>
              <w:spacing w:after="0"/>
              <w:rPr>
                <w:sz w:val="20"/>
                <w:szCs w:val="20"/>
                <w:color w:val="auto"/>
              </w:rPr>
            </w:pPr>
            <w:r>
              <w:rPr>
                <w:rFonts w:ascii="Arial" w:cs="Arial" w:eastAsia="Arial" w:hAnsi="Arial"/>
                <w:sz w:val="18"/>
                <w:szCs w:val="18"/>
                <w:color w:val="auto"/>
              </w:rPr>
              <w:t>end of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ind w:left="40"/>
              <w:spacing w:after="0" w:line="217" w:lineRule="exact"/>
              <w:rPr>
                <w:sz w:val="20"/>
                <w:szCs w:val="20"/>
                <w:color w:val="auto"/>
              </w:rPr>
            </w:pPr>
            <w:r>
              <w:rPr>
                <w:rFonts w:ascii="Arial" w:cs="Arial" w:eastAsia="Arial" w:hAnsi="Arial"/>
                <w:sz w:val="16"/>
                <w:szCs w:val="16"/>
                <w:color w:val="auto"/>
              </w:rPr>
              <w:t>achievement</w:t>
            </w:r>
            <w:r>
              <w:rPr>
                <w:rFonts w:ascii="Arial" w:cs="Arial" w:eastAsia="Arial" w:hAnsi="Arial"/>
                <w:sz w:val="25"/>
                <w:szCs w:val="25"/>
                <w:color w:val="auto"/>
                <w:vertAlign w:val="superscript"/>
              </w:rPr>
              <w:t>(4)</w:t>
            </w:r>
          </w:p>
        </w:tc>
        <w:tc>
          <w:tcPr>
            <w:tcW w:w="1200" w:type="dxa"/>
            <w:vAlign w:val="bottom"/>
          </w:tcPr>
          <w:p>
            <w:pPr>
              <w:ind w:left="40"/>
              <w:spacing w:after="0"/>
              <w:rPr>
                <w:sz w:val="20"/>
                <w:szCs w:val="20"/>
                <w:color w:val="auto"/>
              </w:rPr>
            </w:pPr>
            <w:r>
              <w:rPr>
                <w:rFonts w:ascii="Arial" w:cs="Arial" w:eastAsia="Arial" w:hAnsi="Arial"/>
                <w:sz w:val="18"/>
                <w:szCs w:val="18"/>
                <w:color w:val="auto"/>
              </w:rPr>
              <w:t>awards vest;</w:t>
            </w:r>
          </w:p>
        </w:tc>
        <w:tc>
          <w:tcPr>
            <w:tcW w:w="960" w:type="dxa"/>
            <w:vAlign w:val="bottom"/>
          </w:tcPr>
          <w:p>
            <w:pPr>
              <w:ind w:left="40"/>
              <w:spacing w:after="0"/>
              <w:rPr>
                <w:sz w:val="20"/>
                <w:szCs w:val="20"/>
                <w:color w:val="auto"/>
              </w:rPr>
            </w:pPr>
            <w:r>
              <w:rPr>
                <w:rFonts w:ascii="Arial" w:cs="Arial" w:eastAsia="Arial" w:hAnsi="Arial"/>
                <w:sz w:val="18"/>
                <w:szCs w:val="18"/>
                <w:color w:val="auto"/>
              </w:rPr>
              <w:t>tranche of</w:t>
            </w:r>
          </w:p>
        </w:tc>
        <w:tc>
          <w:tcPr>
            <w:tcW w:w="1120" w:type="dxa"/>
            <w:vAlign w:val="bottom"/>
          </w:tcPr>
          <w:p>
            <w:pPr>
              <w:ind w:left="60"/>
              <w:spacing w:after="0"/>
              <w:rPr>
                <w:sz w:val="20"/>
                <w:szCs w:val="20"/>
                <w:color w:val="auto"/>
              </w:rPr>
            </w:pPr>
            <w:r>
              <w:rPr>
                <w:rFonts w:ascii="Arial" w:cs="Arial" w:eastAsia="Arial" w:hAnsi="Arial"/>
                <w:sz w:val="18"/>
                <w:szCs w:val="18"/>
                <w:color w:val="auto"/>
              </w:rPr>
              <w:t>applicable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eligible to</w:t>
            </w:r>
          </w:p>
        </w:tc>
        <w:tc>
          <w:tcPr>
            <w:tcW w:w="960" w:type="dxa"/>
            <w:vAlign w:val="bottom"/>
          </w:tcPr>
          <w:p>
            <w:pPr>
              <w:ind w:left="40"/>
              <w:spacing w:after="0"/>
              <w:rPr>
                <w:sz w:val="20"/>
                <w:szCs w:val="20"/>
                <w:color w:val="auto"/>
              </w:rPr>
            </w:pPr>
            <w:r>
              <w:rPr>
                <w:rFonts w:ascii="Arial" w:cs="Arial" w:eastAsia="Arial" w:hAnsi="Arial"/>
                <w:sz w:val="18"/>
                <w:szCs w:val="18"/>
                <w:color w:val="auto"/>
                <w:w w:val="96"/>
              </w:rPr>
              <w:t>time-vested</w:t>
            </w:r>
          </w:p>
        </w:tc>
        <w:tc>
          <w:tcPr>
            <w:tcW w:w="112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tcPr>
          <w:p>
            <w:pPr>
              <w:ind w:left="40"/>
              <w:spacing w:after="0"/>
              <w:rPr>
                <w:sz w:val="20"/>
                <w:szCs w:val="20"/>
                <w:color w:val="auto"/>
              </w:rPr>
            </w:pPr>
            <w:r>
              <w:rPr>
                <w:rFonts w:ascii="Arial" w:cs="Arial" w:eastAsia="Arial" w:hAnsi="Arial"/>
                <w:sz w:val="18"/>
                <w:szCs w:val="18"/>
                <w:color w:val="auto"/>
              </w:rPr>
              <w:t>RSUs that</w:t>
            </w:r>
          </w:p>
        </w:tc>
        <w:tc>
          <w:tcPr>
            <w:tcW w:w="1120" w:type="dxa"/>
            <w:vAlign w:val="bottom"/>
          </w:tcPr>
          <w:p>
            <w:pPr>
              <w:ind w:left="60"/>
              <w:spacing w:after="0"/>
              <w:rPr>
                <w:sz w:val="20"/>
                <w:szCs w:val="20"/>
                <w:color w:val="auto"/>
              </w:rPr>
            </w:pPr>
            <w:r>
              <w:rPr>
                <w:rFonts w:ascii="Arial" w:cs="Arial" w:eastAsia="Arial" w:hAnsi="Arial"/>
                <w:sz w:val="18"/>
                <w:szCs w:val="18"/>
                <w:color w:val="auto"/>
                <w:w w:val="99"/>
              </w:rPr>
              <w:t>period based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tcPr>
          <w:p>
            <w:pPr>
              <w:ind w:left="40"/>
              <w:spacing w:after="0"/>
              <w:rPr>
                <w:sz w:val="20"/>
                <w:szCs w:val="20"/>
                <w:color w:val="auto"/>
              </w:rPr>
            </w:pPr>
            <w:r>
              <w:rPr>
                <w:rFonts w:ascii="Arial" w:cs="Arial" w:eastAsia="Arial" w:hAnsi="Arial"/>
                <w:sz w:val="18"/>
                <w:szCs w:val="18"/>
                <w:color w:val="auto"/>
              </w:rPr>
              <w:t>would</w:t>
            </w:r>
          </w:p>
        </w:tc>
        <w:tc>
          <w:tcPr>
            <w:tcW w:w="1120" w:type="dxa"/>
            <w:vAlign w:val="bottom"/>
          </w:tcPr>
          <w:p>
            <w:pPr>
              <w:ind w:left="60"/>
              <w:spacing w:after="0"/>
              <w:rPr>
                <w:sz w:val="20"/>
                <w:szCs w:val="20"/>
                <w:color w:val="auto"/>
              </w:rPr>
            </w:pPr>
            <w:r>
              <w:rPr>
                <w:rFonts w:ascii="Arial" w:cs="Arial" w:eastAsia="Arial" w:hAnsi="Arial"/>
                <w:sz w:val="18"/>
                <w:szCs w:val="18"/>
                <w:color w:val="auto"/>
              </w:rPr>
              <w:t>on actual</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tcPr>
          <w:p>
            <w:pPr>
              <w:ind w:left="40"/>
              <w:spacing w:after="0"/>
              <w:rPr>
                <w:sz w:val="20"/>
                <w:szCs w:val="20"/>
                <w:color w:val="auto"/>
              </w:rPr>
            </w:pPr>
            <w:r>
              <w:rPr>
                <w:rFonts w:ascii="Arial" w:cs="Arial" w:eastAsia="Arial" w:hAnsi="Arial"/>
                <w:sz w:val="18"/>
                <w:szCs w:val="18"/>
                <w:color w:val="auto"/>
              </w:rPr>
              <w:t>otherwise</w:t>
            </w:r>
          </w:p>
        </w:tc>
        <w:tc>
          <w:tcPr>
            <w:tcW w:w="112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tcPr>
          <w:p>
            <w:pPr>
              <w:ind w:left="40"/>
              <w:spacing w:after="0"/>
              <w:rPr>
                <w:sz w:val="20"/>
                <w:szCs w:val="20"/>
                <w:color w:val="auto"/>
              </w:rPr>
            </w:pPr>
            <w:r>
              <w:rPr>
                <w:rFonts w:ascii="Arial" w:cs="Arial" w:eastAsia="Arial" w:hAnsi="Arial"/>
                <w:sz w:val="18"/>
                <w:szCs w:val="18"/>
                <w:color w:val="auto"/>
              </w:rPr>
              <w:t>vest</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24" w:right="339" w:bottom="0" w:gutter="0" w:footer="0" w:header="0"/>
        </w:sectPr>
      </w:pPr>
    </w:p>
    <w:p>
      <w:pPr>
        <w:spacing w:after="0" w:line="209"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Without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(5)</w:t>
      </w:r>
      <w:r>
        <w:rPr>
          <w:rFonts w:ascii="Arial" w:cs="Arial" w:eastAsia="Arial" w:hAnsi="Arial"/>
          <w:sz w:val="18"/>
          <w:szCs w:val="18"/>
          <w:b w:val="1"/>
          <w:bCs w:val="1"/>
          <w:color w:val="auto"/>
        </w:rPr>
        <w:t xml:space="preserve"> With Termination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Continues</w:t>
            </w:r>
          </w:p>
        </w:tc>
        <w:tc>
          <w:tcPr>
            <w:tcW w:w="900" w:type="dxa"/>
            <w:vAlign w:val="bottom"/>
          </w:tcPr>
          <w:p>
            <w:pPr>
              <w:ind w:left="40"/>
              <w:spacing w:after="0" w:line="201" w:lineRule="exact"/>
              <w:rPr>
                <w:sz w:val="20"/>
                <w:szCs w:val="20"/>
                <w:color w:val="auto"/>
              </w:rPr>
            </w:pPr>
            <w:r>
              <w:rPr>
                <w:rFonts w:ascii="Arial" w:cs="Arial" w:eastAsia="Arial" w:hAnsi="Arial"/>
                <w:sz w:val="18"/>
                <w:szCs w:val="18"/>
                <w:color w:val="auto"/>
              </w:rPr>
              <w:t>None</w:t>
            </w:r>
          </w:p>
        </w:tc>
        <w:tc>
          <w:tcPr>
            <w:tcW w:w="1220" w:type="dxa"/>
            <w:vAlign w:val="bottom"/>
          </w:tcPr>
          <w:p>
            <w:pPr>
              <w:ind w:left="80"/>
              <w:spacing w:after="0" w:line="201" w:lineRule="exact"/>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02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10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20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880" w:type="dxa"/>
            <w:vAlign w:val="bottom"/>
          </w:tcPr>
          <w:p>
            <w:pPr>
              <w:ind w:left="40"/>
              <w:spacing w:after="0" w:line="201" w:lineRule="exact"/>
              <w:rPr>
                <w:sz w:val="20"/>
                <w:szCs w:val="20"/>
                <w:color w:val="auto"/>
              </w:rPr>
            </w:pPr>
            <w:r>
              <w:rPr>
                <w:rFonts w:ascii="Arial" w:cs="Arial" w:eastAsia="Arial" w:hAnsi="Arial"/>
                <w:sz w:val="18"/>
                <w:szCs w:val="18"/>
                <w:color w:val="auto"/>
              </w:rPr>
              <w:t>No</w:t>
            </w: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of annual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7"/>
              </w:rPr>
              <w:t>repayments</w:t>
            </w: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through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date of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Change in</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Control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w w:val="92"/>
              </w:rPr>
              <w:t>Accrued and</w:t>
            </w:r>
          </w:p>
        </w:tc>
        <w:tc>
          <w:tcPr>
            <w:tcW w:w="900" w:type="dxa"/>
            <w:vAlign w:val="bottom"/>
          </w:tcPr>
          <w:p>
            <w:pPr>
              <w:ind w:left="40"/>
              <w:spacing w:after="0"/>
              <w:rPr>
                <w:sz w:val="20"/>
                <w:szCs w:val="20"/>
                <w:color w:val="auto"/>
              </w:rPr>
            </w:pPr>
            <w:r>
              <w:rPr>
                <w:rFonts w:ascii="Arial" w:cs="Arial" w:eastAsia="Arial" w:hAnsi="Arial"/>
                <w:sz w:val="18"/>
                <w:szCs w:val="18"/>
                <w:color w:val="auto"/>
                <w:w w:val="95"/>
              </w:rPr>
              <w:t>2x the sum</w:t>
            </w:r>
          </w:p>
        </w:tc>
        <w:tc>
          <w:tcPr>
            <w:tcW w:w="1220" w:type="dxa"/>
            <w:vAlign w:val="bottom"/>
          </w:tcPr>
          <w:p>
            <w:pPr>
              <w:ind w:left="80"/>
              <w:spacing w:after="0"/>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rPr>
                <w:sz w:val="20"/>
                <w:szCs w:val="20"/>
                <w:color w:val="auto"/>
              </w:rPr>
            </w:pPr>
            <w:r>
              <w:rPr>
                <w:rFonts w:ascii="Arial" w:cs="Arial" w:eastAsia="Arial" w:hAnsi="Arial"/>
                <w:sz w:val="18"/>
                <w:szCs w:val="18"/>
                <w:color w:val="auto"/>
              </w:rPr>
              <w:t>Receives a</w:t>
            </w:r>
          </w:p>
        </w:tc>
        <w:tc>
          <w:tcPr>
            <w:tcW w:w="1020" w:type="dxa"/>
            <w:vAlign w:val="bottom"/>
          </w:tcPr>
          <w:p>
            <w:pPr>
              <w:ind w:left="100"/>
              <w:spacing w:after="0"/>
              <w:rPr>
                <w:sz w:val="20"/>
                <w:szCs w:val="20"/>
                <w:color w:val="auto"/>
              </w:rPr>
            </w:pPr>
            <w:r>
              <w:rPr>
                <w:rFonts w:ascii="Arial" w:cs="Arial" w:eastAsia="Arial" w:hAnsi="Arial"/>
                <w:sz w:val="18"/>
                <w:szCs w:val="18"/>
                <w:color w:val="auto"/>
              </w:rPr>
              <w:t>RSUs</w:t>
            </w:r>
          </w:p>
        </w:tc>
        <w:tc>
          <w:tcPr>
            <w:tcW w:w="1060" w:type="dxa"/>
            <w:vAlign w:val="bottom"/>
          </w:tcPr>
          <w:p>
            <w:pPr>
              <w:ind w:left="60"/>
              <w:spacing w:after="0"/>
              <w:rPr>
                <w:sz w:val="20"/>
                <w:szCs w:val="20"/>
                <w:color w:val="auto"/>
              </w:rPr>
            </w:pPr>
            <w:r>
              <w:rPr>
                <w:rFonts w:ascii="Arial" w:cs="Arial" w:eastAsia="Arial" w:hAnsi="Arial"/>
                <w:sz w:val="18"/>
                <w:szCs w:val="18"/>
                <w:color w:val="auto"/>
              </w:rPr>
              <w:t>All PSUs</w:t>
            </w:r>
          </w:p>
        </w:tc>
        <w:tc>
          <w:tcPr>
            <w:tcW w:w="1200" w:type="dxa"/>
            <w:vAlign w:val="bottom"/>
          </w:tcPr>
          <w:p>
            <w:pPr>
              <w:ind w:left="100"/>
              <w:spacing w:after="0"/>
              <w:rPr>
                <w:sz w:val="20"/>
                <w:szCs w:val="20"/>
                <w:color w:val="auto"/>
              </w:rPr>
            </w:pPr>
            <w:r>
              <w:rPr>
                <w:rFonts w:ascii="Arial" w:cs="Arial" w:eastAsia="Arial" w:hAnsi="Arial"/>
                <w:sz w:val="18"/>
                <w:szCs w:val="18"/>
                <w:color w:val="auto"/>
              </w:rPr>
              <w:t>Continue to</w:t>
            </w:r>
          </w:p>
        </w:tc>
        <w:tc>
          <w:tcPr>
            <w:tcW w:w="880" w:type="dxa"/>
            <w:vAlign w:val="bottom"/>
          </w:tcPr>
          <w:p>
            <w:pPr>
              <w:ind w:left="40"/>
              <w:spacing w:after="0"/>
              <w:rPr>
                <w:sz w:val="20"/>
                <w:szCs w:val="20"/>
                <w:color w:val="auto"/>
              </w:rPr>
            </w:pPr>
            <w:r>
              <w:rPr>
                <w:rFonts w:ascii="Arial" w:cs="Arial" w:eastAsia="Arial" w:hAnsi="Arial"/>
                <w:sz w:val="18"/>
                <w:szCs w:val="18"/>
                <w:color w:val="auto"/>
              </w:rPr>
              <w:t>No</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w w:val="95"/>
              </w:rPr>
              <w:t>unpaid base</w:t>
            </w:r>
          </w:p>
        </w:tc>
        <w:tc>
          <w:tcPr>
            <w:tcW w:w="900" w:type="dxa"/>
            <w:vAlign w:val="bottom"/>
          </w:tcPr>
          <w:p>
            <w:pPr>
              <w:ind w:left="40"/>
              <w:spacing w:after="0"/>
              <w:rPr>
                <w:sz w:val="20"/>
                <w:szCs w:val="20"/>
                <w:color w:val="auto"/>
              </w:rPr>
            </w:pPr>
            <w:r>
              <w:rPr>
                <w:rFonts w:ascii="Arial" w:cs="Arial" w:eastAsia="Arial" w:hAnsi="Arial"/>
                <w:sz w:val="18"/>
                <w:szCs w:val="18"/>
                <w:color w:val="auto"/>
              </w:rPr>
              <w:t>of (1) the</w:t>
            </w:r>
          </w:p>
        </w:tc>
        <w:tc>
          <w:tcPr>
            <w:tcW w:w="1220" w:type="dxa"/>
            <w:vAlign w:val="bottom"/>
          </w:tcPr>
          <w:p>
            <w:pPr>
              <w:ind w:left="80"/>
              <w:spacing w:after="0"/>
              <w:rPr>
                <w:sz w:val="20"/>
                <w:szCs w:val="20"/>
                <w:color w:val="auto"/>
              </w:rPr>
            </w:pPr>
            <w:r>
              <w:rPr>
                <w:rFonts w:ascii="Arial" w:cs="Arial" w:eastAsia="Arial" w:hAnsi="Arial"/>
                <w:sz w:val="18"/>
                <w:szCs w:val="18"/>
                <w:color w:val="auto"/>
              </w:rPr>
              <w:t>of annual</w:t>
            </w:r>
          </w:p>
        </w:tc>
        <w:tc>
          <w:tcPr>
            <w:tcW w:w="1160" w:type="dxa"/>
            <w:vAlign w:val="bottom"/>
          </w:tcPr>
          <w:p>
            <w:pPr>
              <w:ind w:left="60"/>
              <w:spacing w:after="0"/>
              <w:rPr>
                <w:sz w:val="20"/>
                <w:szCs w:val="20"/>
                <w:color w:val="auto"/>
              </w:rPr>
            </w:pPr>
            <w:r>
              <w:rPr>
                <w:rFonts w:ascii="Arial" w:cs="Arial" w:eastAsia="Arial" w:hAnsi="Arial"/>
                <w:sz w:val="18"/>
                <w:szCs w:val="18"/>
                <w:color w:val="auto"/>
              </w:rPr>
              <w:t>prorated</w:t>
            </w:r>
          </w:p>
        </w:tc>
        <w:tc>
          <w:tcPr>
            <w:tcW w:w="1020" w:type="dxa"/>
            <w:vAlign w:val="bottom"/>
          </w:tcPr>
          <w:p>
            <w:pPr>
              <w:ind w:left="100"/>
              <w:spacing w:after="0"/>
              <w:rPr>
                <w:sz w:val="20"/>
                <w:szCs w:val="20"/>
                <w:color w:val="auto"/>
              </w:rPr>
            </w:pPr>
            <w:r>
              <w:rPr>
                <w:rFonts w:ascii="Arial" w:cs="Arial" w:eastAsia="Arial" w:hAnsi="Arial"/>
                <w:sz w:val="18"/>
                <w:szCs w:val="18"/>
                <w:color w:val="auto"/>
              </w:rPr>
              <w:t>become</w:t>
            </w:r>
          </w:p>
        </w:tc>
        <w:tc>
          <w:tcPr>
            <w:tcW w:w="1060" w:type="dxa"/>
            <w:vAlign w:val="bottom"/>
          </w:tcPr>
          <w:p>
            <w:pPr>
              <w:ind w:left="60"/>
              <w:spacing w:after="0"/>
              <w:rPr>
                <w:sz w:val="20"/>
                <w:szCs w:val="20"/>
                <w:color w:val="auto"/>
              </w:rPr>
            </w:pPr>
            <w:r>
              <w:rPr>
                <w:rFonts w:ascii="Arial" w:cs="Arial" w:eastAsia="Arial" w:hAnsi="Arial"/>
                <w:sz w:val="18"/>
                <w:szCs w:val="18"/>
                <w:color w:val="auto"/>
              </w:rPr>
              <w:t>become</w:t>
            </w:r>
          </w:p>
        </w:tc>
        <w:tc>
          <w:tcPr>
            <w:tcW w:w="1200" w:type="dxa"/>
            <w:vAlign w:val="bottom"/>
          </w:tcPr>
          <w:p>
            <w:pPr>
              <w:ind w:left="100"/>
              <w:spacing w:after="0"/>
              <w:rPr>
                <w:sz w:val="20"/>
                <w:szCs w:val="20"/>
                <w:color w:val="auto"/>
              </w:rPr>
            </w:pPr>
            <w:r>
              <w:rPr>
                <w:rFonts w:ascii="Arial" w:cs="Arial" w:eastAsia="Arial" w:hAnsi="Arial"/>
                <w:sz w:val="18"/>
                <w:szCs w:val="18"/>
                <w:color w:val="auto"/>
                <w:w w:val="95"/>
              </w:rPr>
              <w:t>provide health</w:t>
            </w:r>
          </w:p>
        </w:tc>
        <w:tc>
          <w:tcPr>
            <w:tcW w:w="880" w:type="dxa"/>
            <w:vAlign w:val="bottom"/>
          </w:tcPr>
          <w:p>
            <w:pPr>
              <w:ind w:left="40"/>
              <w:spacing w:after="0"/>
              <w:rPr>
                <w:sz w:val="20"/>
                <w:szCs w:val="20"/>
                <w:color w:val="auto"/>
              </w:rPr>
            </w:pPr>
            <w:r>
              <w:rPr>
                <w:rFonts w:ascii="Arial" w:cs="Arial" w:eastAsia="Arial" w:hAnsi="Arial"/>
                <w:sz w:val="18"/>
                <w:szCs w:val="18"/>
                <w:color w:val="auto"/>
                <w:w w:val="86"/>
              </w:rPr>
              <w:t>repayment</w:t>
            </w:r>
            <w:r>
              <w:rPr>
                <w:rFonts w:ascii="Arial" w:cs="Arial" w:eastAsia="Arial" w:hAnsi="Arial"/>
                <w:sz w:val="18"/>
                <w:szCs w:val="18"/>
                <w:b w:val="1"/>
                <w:bCs w:val="1"/>
                <w:color w:val="auto"/>
                <w:w w:val="86"/>
              </w:rPr>
              <w:t>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salary plus</w:t>
            </w:r>
          </w:p>
        </w:tc>
        <w:tc>
          <w:tcPr>
            <w:tcW w:w="900" w:type="dxa"/>
            <w:vAlign w:val="bottom"/>
          </w:tcPr>
          <w:p>
            <w:pPr>
              <w:ind w:left="40"/>
              <w:spacing w:after="0"/>
              <w:rPr>
                <w:sz w:val="20"/>
                <w:szCs w:val="20"/>
                <w:color w:val="auto"/>
              </w:rPr>
            </w:pPr>
            <w:r>
              <w:rPr>
                <w:rFonts w:ascii="Arial" w:cs="Arial" w:eastAsia="Arial" w:hAnsi="Arial"/>
                <w:sz w:val="18"/>
                <w:szCs w:val="18"/>
                <w:color w:val="auto"/>
              </w:rPr>
              <w:t>higher of</w:t>
            </w:r>
          </w:p>
        </w:tc>
        <w:tc>
          <w:tcPr>
            <w:tcW w:w="1220" w:type="dxa"/>
            <w:vAlign w:val="bottom"/>
          </w:tcPr>
          <w:p>
            <w:pPr>
              <w:ind w:left="8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ind w:left="60"/>
              <w:spacing w:after="0"/>
              <w:rPr>
                <w:sz w:val="20"/>
                <w:szCs w:val="20"/>
                <w:color w:val="auto"/>
              </w:rPr>
            </w:pPr>
            <w:r>
              <w:rPr>
                <w:rFonts w:ascii="Arial" w:cs="Arial" w:eastAsia="Arial" w:hAnsi="Arial"/>
                <w:sz w:val="18"/>
                <w:szCs w:val="18"/>
                <w:color w:val="auto"/>
                <w:w w:val="98"/>
              </w:rPr>
              <w:t>amount of the</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fully vested</w:t>
            </w:r>
          </w:p>
        </w:tc>
        <w:tc>
          <w:tcPr>
            <w:tcW w:w="1060" w:type="dxa"/>
            <w:vAlign w:val="bottom"/>
          </w:tcPr>
          <w:p>
            <w:pPr>
              <w:ind w:left="60"/>
              <w:spacing w:after="0"/>
              <w:rPr>
                <w:sz w:val="20"/>
                <w:szCs w:val="20"/>
                <w:color w:val="auto"/>
              </w:rPr>
            </w:pPr>
            <w:r>
              <w:rPr>
                <w:rFonts w:ascii="Arial" w:cs="Arial" w:eastAsia="Arial" w:hAnsi="Arial"/>
                <w:sz w:val="18"/>
                <w:szCs w:val="18"/>
                <w:color w:val="auto"/>
              </w:rPr>
              <w:t>earned and</w:t>
            </w:r>
          </w:p>
        </w:tc>
        <w:tc>
          <w:tcPr>
            <w:tcW w:w="1200" w:type="dxa"/>
            <w:vAlign w:val="bottom"/>
          </w:tcPr>
          <w:p>
            <w:pPr>
              <w:ind w:left="100"/>
              <w:spacing w:after="0"/>
              <w:rPr>
                <w:sz w:val="20"/>
                <w:szCs w:val="20"/>
                <w:color w:val="auto"/>
              </w:rPr>
            </w:pPr>
            <w:r>
              <w:rPr>
                <w:rFonts w:ascii="Arial" w:cs="Arial" w:eastAsia="Arial" w:hAnsi="Arial"/>
                <w:sz w:val="18"/>
                <w:szCs w:val="18"/>
                <w:color w:val="auto"/>
              </w:rPr>
              <w:t>and dental</w:t>
            </w: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2"/>
              </w:rPr>
              <w:t>vacation pay</w:t>
            </w:r>
          </w:p>
        </w:tc>
        <w:tc>
          <w:tcPr>
            <w:tcW w:w="900" w:type="dxa"/>
            <w:vAlign w:val="bottom"/>
          </w:tcPr>
          <w:p>
            <w:pPr>
              <w:ind w:left="40"/>
              <w:spacing w:after="0"/>
              <w:rPr>
                <w:sz w:val="20"/>
                <w:szCs w:val="20"/>
                <w:color w:val="auto"/>
              </w:rPr>
            </w:pPr>
            <w:r>
              <w:rPr>
                <w:rFonts w:ascii="Arial" w:cs="Arial" w:eastAsia="Arial" w:hAnsi="Arial"/>
                <w:sz w:val="18"/>
                <w:szCs w:val="18"/>
                <w:color w:val="auto"/>
                <w:w w:val="91"/>
              </w:rPr>
              <w:t>base salary</w:t>
            </w:r>
          </w:p>
        </w:tc>
        <w:tc>
          <w:tcPr>
            <w:tcW w:w="1220" w:type="dxa"/>
            <w:vAlign w:val="bottom"/>
          </w:tcPr>
          <w:p>
            <w:pPr>
              <w:ind w:left="80"/>
              <w:spacing w:after="0"/>
              <w:rPr>
                <w:sz w:val="20"/>
                <w:szCs w:val="20"/>
                <w:color w:val="auto"/>
              </w:rPr>
            </w:pPr>
            <w:r>
              <w:rPr>
                <w:rFonts w:ascii="Arial" w:cs="Arial" w:eastAsia="Arial" w:hAnsi="Arial"/>
                <w:sz w:val="18"/>
                <w:szCs w:val="18"/>
                <w:color w:val="auto"/>
              </w:rPr>
              <w:t>through the</w:t>
            </w:r>
          </w:p>
        </w:tc>
        <w:tc>
          <w:tcPr>
            <w:tcW w:w="1160" w:type="dxa"/>
            <w:vAlign w:val="bottom"/>
          </w:tcPr>
          <w:p>
            <w:pPr>
              <w:ind w:left="60"/>
              <w:spacing w:after="0"/>
              <w:rPr>
                <w:sz w:val="20"/>
                <w:szCs w:val="20"/>
                <w:color w:val="auto"/>
              </w:rPr>
            </w:pPr>
            <w:r>
              <w:rPr>
                <w:rFonts w:ascii="Arial" w:cs="Arial" w:eastAsia="Arial" w:hAnsi="Arial"/>
                <w:sz w:val="18"/>
                <w:szCs w:val="18"/>
                <w:color w:val="auto"/>
              </w:rPr>
              <w:t>bonus under</w:t>
            </w:r>
          </w:p>
        </w:tc>
        <w:tc>
          <w:tcPr>
            <w:tcW w:w="1020" w:type="dxa"/>
            <w:vAlign w:val="bottom"/>
          </w:tcPr>
          <w:p>
            <w:pPr>
              <w:ind w:left="100"/>
              <w:spacing w:after="0"/>
              <w:rPr>
                <w:sz w:val="20"/>
                <w:szCs w:val="20"/>
                <w:color w:val="auto"/>
              </w:rPr>
            </w:pPr>
            <w:r>
              <w:rPr>
                <w:rFonts w:ascii="Arial" w:cs="Arial" w:eastAsia="Arial" w:hAnsi="Arial"/>
                <w:sz w:val="18"/>
                <w:szCs w:val="18"/>
                <w:color w:val="auto"/>
              </w:rPr>
              <w:t>as of the</w:t>
            </w:r>
          </w:p>
        </w:tc>
        <w:tc>
          <w:tcPr>
            <w:tcW w:w="1060" w:type="dxa"/>
            <w:vAlign w:val="bottom"/>
          </w:tcPr>
          <w:p>
            <w:pPr>
              <w:ind w:left="60"/>
              <w:spacing w:after="0"/>
              <w:rPr>
                <w:sz w:val="20"/>
                <w:szCs w:val="20"/>
                <w:color w:val="auto"/>
              </w:rPr>
            </w:pPr>
            <w:r>
              <w:rPr>
                <w:rFonts w:ascii="Arial" w:cs="Arial" w:eastAsia="Arial" w:hAnsi="Arial"/>
                <w:sz w:val="18"/>
                <w:szCs w:val="18"/>
                <w:color w:val="auto"/>
                <w:w w:val="91"/>
              </w:rPr>
              <w:t>vested based</w:t>
            </w:r>
          </w:p>
        </w:tc>
        <w:tc>
          <w:tcPr>
            <w:tcW w:w="1200" w:type="dxa"/>
            <w:vAlign w:val="bottom"/>
          </w:tcPr>
          <w:p>
            <w:pPr>
              <w:ind w:left="100"/>
              <w:spacing w:after="0"/>
              <w:rPr>
                <w:sz w:val="20"/>
                <w:szCs w:val="20"/>
                <w:color w:val="auto"/>
              </w:rPr>
            </w:pPr>
            <w:r>
              <w:rPr>
                <w:rFonts w:ascii="Arial" w:cs="Arial" w:eastAsia="Arial" w:hAnsi="Arial"/>
                <w:sz w:val="18"/>
                <w:szCs w:val="18"/>
                <w:color w:val="auto"/>
              </w:rPr>
              <w:t>benefits for</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-1508125</wp:posOffset>
            </wp:positionV>
            <wp:extent cx="7132320" cy="960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ectPr>
          <w:pgSz w:w="11900" w:h="16838" w:orient="portrait"/>
          <w:cols w:equalWidth="0" w:num="2">
            <w:col w:w="2300" w:space="320"/>
            <w:col w:w="8620"/>
          </w:cols>
          <w:pgMar w:left="320" w:top="1124" w:right="33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w w:val="92"/>
              </w:rPr>
              <w:t>earned, both</w:t>
            </w:r>
          </w:p>
        </w:tc>
        <w:tc>
          <w:tcPr>
            <w:tcW w:w="920" w:type="dxa"/>
            <w:vAlign w:val="bottom"/>
          </w:tcPr>
          <w:p>
            <w:pPr>
              <w:ind w:left="40"/>
              <w:spacing w:after="0"/>
              <w:rPr>
                <w:sz w:val="20"/>
                <w:szCs w:val="20"/>
                <w:color w:val="auto"/>
              </w:rPr>
            </w:pPr>
            <w:r>
              <w:rPr>
                <w:rFonts w:ascii="Arial" w:cs="Arial" w:eastAsia="Arial" w:hAnsi="Arial"/>
                <w:sz w:val="18"/>
                <w:szCs w:val="18"/>
                <w:color w:val="auto"/>
              </w:rPr>
              <w:t>in effect</w:t>
            </w:r>
          </w:p>
        </w:tc>
        <w:tc>
          <w:tcPr>
            <w:tcW w:w="920" w:type="dxa"/>
            <w:vAlign w:val="bottom"/>
          </w:tcPr>
          <w:p>
            <w:pPr>
              <w:ind w:left="60"/>
              <w:spacing w:after="0"/>
              <w:rPr>
                <w:sz w:val="20"/>
                <w:szCs w:val="20"/>
                <w:color w:val="auto"/>
              </w:rPr>
            </w:pPr>
            <w:r>
              <w:rPr>
                <w:rFonts w:ascii="Arial" w:cs="Arial" w:eastAsia="Arial" w:hAnsi="Arial"/>
                <w:sz w:val="18"/>
                <w:szCs w:val="18"/>
                <w:color w:val="auto"/>
                <w:w w:val="98"/>
              </w:rPr>
              <w:t>date of the</w:t>
            </w:r>
          </w:p>
        </w:tc>
        <w:tc>
          <w:tcPr>
            <w:tcW w:w="1440" w:type="dxa"/>
            <w:vAlign w:val="bottom"/>
          </w:tcPr>
          <w:p>
            <w:pPr>
              <w:ind w:left="340"/>
              <w:spacing w:after="0"/>
              <w:rPr>
                <w:sz w:val="20"/>
                <w:szCs w:val="20"/>
                <w:color w:val="auto"/>
              </w:rPr>
            </w:pPr>
            <w:r>
              <w:rPr>
                <w:rFonts w:ascii="Arial" w:cs="Arial" w:eastAsia="Arial" w:hAnsi="Arial"/>
                <w:sz w:val="18"/>
                <w:szCs w:val="18"/>
                <w:color w:val="auto"/>
              </w:rPr>
              <w:t>the current</w:t>
            </w:r>
          </w:p>
        </w:tc>
        <w:tc>
          <w:tcPr>
            <w:tcW w:w="1040" w:type="dxa"/>
            <w:vAlign w:val="bottom"/>
          </w:tcPr>
          <w:p>
            <w:pPr>
              <w:ind w:left="100"/>
              <w:spacing w:after="0"/>
              <w:rPr>
                <w:sz w:val="20"/>
                <w:szCs w:val="20"/>
                <w:color w:val="auto"/>
              </w:rPr>
            </w:pPr>
            <w:r>
              <w:rPr>
                <w:rFonts w:ascii="Arial" w:cs="Arial" w:eastAsia="Arial" w:hAnsi="Arial"/>
                <w:sz w:val="18"/>
                <w:szCs w:val="18"/>
                <w:color w:val="auto"/>
              </w:rPr>
              <w:t>time</w:t>
            </w:r>
          </w:p>
        </w:tc>
        <w:tc>
          <w:tcPr>
            <w:tcW w:w="1080" w:type="dxa"/>
            <w:vAlign w:val="bottom"/>
          </w:tcPr>
          <w:p>
            <w:pPr>
              <w:ind w:left="40"/>
              <w:spacing w:after="0"/>
              <w:rPr>
                <w:sz w:val="20"/>
                <w:szCs w:val="20"/>
                <w:color w:val="auto"/>
              </w:rPr>
            </w:pPr>
            <w:r>
              <w:rPr>
                <w:rFonts w:ascii="Arial" w:cs="Arial" w:eastAsia="Arial" w:hAnsi="Arial"/>
                <w:sz w:val="18"/>
                <w:szCs w:val="18"/>
                <w:color w:val="auto"/>
              </w:rPr>
              <w:t>on actual</w:t>
            </w:r>
          </w:p>
        </w:tc>
        <w:tc>
          <w:tcPr>
            <w:tcW w:w="2260" w:type="dxa"/>
            <w:vAlign w:val="bottom"/>
          </w:tcPr>
          <w:p>
            <w:pPr>
              <w:ind w:left="60"/>
              <w:spacing w:after="0"/>
              <w:rPr>
                <w:sz w:val="20"/>
                <w:szCs w:val="20"/>
                <w:color w:val="auto"/>
              </w:rPr>
            </w:pPr>
            <w:r>
              <w:rPr>
                <w:rFonts w:ascii="Arial" w:cs="Arial" w:eastAsia="Arial" w:hAnsi="Arial"/>
                <w:sz w:val="18"/>
                <w:szCs w:val="18"/>
                <w:color w:val="auto"/>
              </w:rPr>
              <w:t>two years</w:t>
            </w:r>
          </w:p>
        </w:tc>
      </w:t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rPr>
              <w:t>through the</w:t>
            </w:r>
          </w:p>
        </w:tc>
        <w:tc>
          <w:tcPr>
            <w:tcW w:w="920" w:type="dxa"/>
            <w:vAlign w:val="bottom"/>
          </w:tcPr>
          <w:p>
            <w:pPr>
              <w:ind w:left="40"/>
              <w:spacing w:after="0"/>
              <w:rPr>
                <w:sz w:val="20"/>
                <w:szCs w:val="20"/>
                <w:color w:val="auto"/>
              </w:rPr>
            </w:pPr>
            <w:r>
              <w:rPr>
                <w:rFonts w:ascii="Arial" w:cs="Arial" w:eastAsia="Arial" w:hAnsi="Arial"/>
                <w:sz w:val="18"/>
                <w:szCs w:val="18"/>
                <w:color w:val="auto"/>
              </w:rPr>
              <w:t>upon the</w:t>
            </w:r>
          </w:p>
        </w:tc>
        <w:tc>
          <w:tcPr>
            <w:tcW w:w="920" w:type="dxa"/>
            <w:vAlign w:val="bottom"/>
          </w:tcPr>
          <w:p>
            <w:pPr>
              <w:ind w:left="60"/>
              <w:spacing w:after="0"/>
              <w:rPr>
                <w:sz w:val="20"/>
                <w:szCs w:val="20"/>
                <w:color w:val="auto"/>
              </w:rPr>
            </w:pPr>
            <w:r>
              <w:rPr>
                <w:rFonts w:ascii="Arial" w:cs="Arial" w:eastAsia="Arial" w:hAnsi="Arial"/>
                <w:sz w:val="18"/>
                <w:szCs w:val="18"/>
                <w:color w:val="auto"/>
              </w:rPr>
              <w:t>Change in</w:t>
            </w:r>
          </w:p>
        </w:tc>
        <w:tc>
          <w:tcPr>
            <w:tcW w:w="1440" w:type="dxa"/>
            <w:vAlign w:val="bottom"/>
          </w:tcPr>
          <w:p>
            <w:pPr>
              <w:ind w:left="340"/>
              <w:spacing w:after="0"/>
              <w:rPr>
                <w:sz w:val="20"/>
                <w:szCs w:val="20"/>
                <w:color w:val="auto"/>
              </w:rPr>
            </w:pPr>
            <w:r>
              <w:rPr>
                <w:rFonts w:ascii="Arial" w:cs="Arial" w:eastAsia="Arial" w:hAnsi="Arial"/>
                <w:sz w:val="18"/>
                <w:szCs w:val="18"/>
                <w:color w:val="auto"/>
              </w:rPr>
              <w:t>non-equity</w:t>
            </w:r>
          </w:p>
        </w:tc>
        <w:tc>
          <w:tcPr>
            <w:tcW w:w="1040" w:type="dxa"/>
            <w:vAlign w:val="bottom"/>
          </w:tcPr>
          <w:p>
            <w:pPr>
              <w:ind w:left="100"/>
              <w:spacing w:after="0"/>
              <w:rPr>
                <w:sz w:val="20"/>
                <w:szCs w:val="20"/>
                <w:color w:val="auto"/>
              </w:rPr>
            </w:pPr>
            <w:r>
              <w:rPr>
                <w:rFonts w:ascii="Arial" w:cs="Arial" w:eastAsia="Arial" w:hAnsi="Arial"/>
                <w:sz w:val="18"/>
                <w:szCs w:val="18"/>
                <w:color w:val="auto"/>
                <w:w w:val="95"/>
              </w:rPr>
              <w:t>immediately</w:t>
            </w:r>
          </w:p>
        </w:tc>
        <w:tc>
          <w:tcPr>
            <w:tcW w:w="1080" w:type="dxa"/>
            <w:vAlign w:val="bottom"/>
          </w:tcPr>
          <w:p>
            <w:pPr>
              <w:ind w:left="40"/>
              <w:spacing w:after="0"/>
              <w:rPr>
                <w:sz w:val="20"/>
                <w:szCs w:val="20"/>
                <w:color w:val="auto"/>
              </w:rPr>
            </w:pPr>
            <w:r>
              <w:rPr>
                <w:rFonts w:ascii="Arial" w:cs="Arial" w:eastAsia="Arial" w:hAnsi="Arial"/>
                <w:sz w:val="18"/>
                <w:szCs w:val="18"/>
                <w:color w:val="auto"/>
                <w:w w:val="99"/>
              </w:rPr>
              <w:t>achievement</w:t>
            </w:r>
          </w:p>
        </w:tc>
        <w:tc>
          <w:tcPr>
            <w:tcW w:w="2260" w:type="dxa"/>
            <w:vAlign w:val="bottom"/>
          </w:tcPr>
          <w:p>
            <w:pPr>
              <w:ind w:left="60"/>
              <w:spacing w:after="0"/>
              <w:rPr>
                <w:sz w:val="20"/>
                <w:szCs w:val="20"/>
                <w:color w:val="auto"/>
              </w:rPr>
            </w:pPr>
            <w:r>
              <w:rPr>
                <w:rFonts w:ascii="Arial" w:cs="Arial" w:eastAsia="Arial" w:hAnsi="Arial"/>
                <w:sz w:val="18"/>
                <w:szCs w:val="18"/>
                <w:color w:val="auto"/>
              </w:rPr>
              <w:t>from the date</w:t>
            </w:r>
          </w:p>
        </w:tc>
      </w:t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rPr>
              <w:t>date of</w:t>
            </w:r>
          </w:p>
        </w:tc>
        <w:tc>
          <w:tcPr>
            <w:tcW w:w="920" w:type="dxa"/>
            <w:vAlign w:val="bottom"/>
          </w:tcPr>
          <w:p>
            <w:pPr>
              <w:ind w:left="40"/>
              <w:spacing w:after="0"/>
              <w:rPr>
                <w:sz w:val="20"/>
                <w:szCs w:val="20"/>
                <w:color w:val="auto"/>
              </w:rPr>
            </w:pPr>
            <w:r>
              <w:rPr>
                <w:rFonts w:ascii="Arial" w:cs="Arial" w:eastAsia="Arial" w:hAnsi="Arial"/>
                <w:sz w:val="18"/>
                <w:szCs w:val="18"/>
                <w:color w:val="auto"/>
              </w:rPr>
              <w:t>Change in</w:t>
            </w:r>
          </w:p>
        </w:tc>
        <w:tc>
          <w:tcPr>
            <w:tcW w:w="920" w:type="dxa"/>
            <w:vAlign w:val="bottom"/>
          </w:tcPr>
          <w:p>
            <w:pPr>
              <w:ind w:left="60"/>
              <w:spacing w:after="0"/>
              <w:rPr>
                <w:sz w:val="20"/>
                <w:szCs w:val="20"/>
                <w:color w:val="auto"/>
              </w:rPr>
            </w:pPr>
            <w:r>
              <w:rPr>
                <w:rFonts w:ascii="Arial" w:cs="Arial" w:eastAsia="Arial" w:hAnsi="Arial"/>
                <w:sz w:val="18"/>
                <w:szCs w:val="18"/>
                <w:color w:val="auto"/>
              </w:rPr>
              <w:t>Control</w:t>
            </w:r>
          </w:p>
        </w:tc>
        <w:tc>
          <w:tcPr>
            <w:tcW w:w="1440" w:type="dxa"/>
            <w:vAlign w:val="bottom"/>
          </w:tcPr>
          <w:p>
            <w:pPr>
              <w:ind w:left="340"/>
              <w:spacing w:after="0"/>
              <w:rPr>
                <w:sz w:val="20"/>
                <w:szCs w:val="20"/>
                <w:color w:val="auto"/>
              </w:rPr>
            </w:pPr>
            <w:r>
              <w:rPr>
                <w:rFonts w:ascii="Arial" w:cs="Arial" w:eastAsia="Arial" w:hAnsi="Arial"/>
                <w:sz w:val="18"/>
                <w:szCs w:val="18"/>
                <w:color w:val="auto"/>
                <w:w w:val="98"/>
              </w:rPr>
              <w:t>incentive plan</w:t>
            </w:r>
          </w:p>
        </w:tc>
        <w:tc>
          <w:tcPr>
            <w:tcW w:w="1040" w:type="dxa"/>
            <w:vAlign w:val="bottom"/>
          </w:tcPr>
          <w:p>
            <w:pPr>
              <w:ind w:left="100"/>
              <w:spacing w:after="0"/>
              <w:rPr>
                <w:sz w:val="20"/>
                <w:szCs w:val="20"/>
                <w:color w:val="auto"/>
              </w:rPr>
            </w:pPr>
            <w:r>
              <w:rPr>
                <w:rFonts w:ascii="Arial" w:cs="Arial" w:eastAsia="Arial" w:hAnsi="Arial"/>
                <w:sz w:val="18"/>
                <w:szCs w:val="18"/>
                <w:color w:val="auto"/>
              </w:rPr>
              <w:t>prior to</w:t>
            </w:r>
          </w:p>
        </w:tc>
        <w:tc>
          <w:tcPr>
            <w:tcW w:w="1080" w:type="dxa"/>
            <w:vAlign w:val="bottom"/>
          </w:tcPr>
          <w:p>
            <w:pPr>
              <w:ind w:left="40"/>
              <w:spacing w:after="0"/>
              <w:rPr>
                <w:sz w:val="20"/>
                <w:szCs w:val="20"/>
                <w:color w:val="auto"/>
              </w:rPr>
            </w:pPr>
            <w:r>
              <w:rPr>
                <w:rFonts w:ascii="Arial" w:cs="Arial" w:eastAsia="Arial" w:hAnsi="Arial"/>
                <w:sz w:val="18"/>
                <w:szCs w:val="18"/>
                <w:color w:val="auto"/>
              </w:rPr>
              <w:t>of the</w:t>
            </w:r>
          </w:p>
        </w:tc>
        <w:tc>
          <w:tcPr>
            <w:tcW w:w="2260" w:type="dxa"/>
            <w:vAlign w:val="bottom"/>
          </w:tcPr>
          <w:p>
            <w:pPr>
              <w:ind w:left="60"/>
              <w:spacing w:after="0"/>
              <w:rPr>
                <w:sz w:val="20"/>
                <w:szCs w:val="20"/>
                <w:color w:val="auto"/>
              </w:rPr>
            </w:pPr>
            <w:r>
              <w:rPr>
                <w:rFonts w:ascii="Arial" w:cs="Arial" w:eastAsia="Arial" w:hAnsi="Arial"/>
                <w:sz w:val="18"/>
                <w:szCs w:val="18"/>
                <w:color w:val="auto"/>
              </w:rPr>
              <w:t>of</w:t>
            </w:r>
          </w:p>
        </w:tc>
      </w:tr>
      <w:tr>
        <w:trPr>
          <w:trHeight w:val="217"/>
        </w:trPr>
        <w:tc>
          <w:tcPr>
            <w:tcW w:w="3580" w:type="dxa"/>
            <w:vAlign w:val="bottom"/>
          </w:tcPr>
          <w:p>
            <w:pPr>
              <w:ind w:left="2620"/>
              <w:spacing w:after="0"/>
              <w:rPr>
                <w:sz w:val="20"/>
                <w:szCs w:val="20"/>
                <w:color w:val="auto"/>
              </w:rPr>
            </w:pPr>
            <w:r>
              <w:rPr>
                <w:rFonts w:ascii="Arial" w:cs="Arial" w:eastAsia="Arial" w:hAnsi="Arial"/>
                <w:sz w:val="18"/>
                <w:szCs w:val="18"/>
                <w:color w:val="auto"/>
              </w:rPr>
              <w:t>termination</w:t>
            </w:r>
          </w:p>
        </w:tc>
        <w:tc>
          <w:tcPr>
            <w:tcW w:w="920" w:type="dxa"/>
            <w:vAlign w:val="bottom"/>
          </w:tcPr>
          <w:p>
            <w:pPr>
              <w:ind w:left="40"/>
              <w:spacing w:after="0"/>
              <w:rPr>
                <w:sz w:val="20"/>
                <w:szCs w:val="20"/>
                <w:color w:val="auto"/>
              </w:rPr>
            </w:pPr>
            <w:r>
              <w:rPr>
                <w:rFonts w:ascii="Arial" w:cs="Arial" w:eastAsia="Arial" w:hAnsi="Arial"/>
                <w:sz w:val="18"/>
                <w:szCs w:val="18"/>
                <w:color w:val="auto"/>
              </w:rPr>
              <w:t>Control or</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through the</w:t>
            </w:r>
          </w:p>
        </w:tc>
        <w:tc>
          <w:tcPr>
            <w:tcW w:w="1040" w:type="dxa"/>
            <w:vAlign w:val="bottom"/>
          </w:tcPr>
          <w:p>
            <w:pPr>
              <w:ind w:left="100"/>
              <w:spacing w:after="0"/>
              <w:rPr>
                <w:sz w:val="20"/>
                <w:szCs w:val="20"/>
                <w:color w:val="auto"/>
              </w:rPr>
            </w:pPr>
            <w:r>
              <w:rPr>
                <w:rFonts w:ascii="Arial" w:cs="Arial" w:eastAsia="Arial" w:hAnsi="Arial"/>
                <w:sz w:val="18"/>
                <w:szCs w:val="18"/>
                <w:color w:val="auto"/>
              </w:rPr>
              <w:t>such</w:t>
            </w:r>
          </w:p>
        </w:tc>
        <w:tc>
          <w:tcPr>
            <w:tcW w:w="108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260" w:type="dxa"/>
            <w:vAlign w:val="bottom"/>
          </w:tcPr>
          <w:p>
            <w:pPr>
              <w:ind w:left="60"/>
              <w:spacing w:after="0" w:line="217" w:lineRule="exact"/>
              <w:rPr>
                <w:sz w:val="20"/>
                <w:szCs w:val="20"/>
                <w:color w:val="auto"/>
              </w:rPr>
            </w:pPr>
            <w:r>
              <w:rPr>
                <w:rFonts w:ascii="Arial" w:cs="Arial" w:eastAsia="Arial" w:hAnsi="Arial"/>
                <w:sz w:val="16"/>
                <w:szCs w:val="16"/>
                <w:color w:val="auto"/>
              </w:rPr>
              <w:t>termination</w:t>
            </w:r>
            <w:r>
              <w:rPr>
                <w:rFonts w:ascii="Arial" w:cs="Arial" w:eastAsia="Arial" w:hAnsi="Arial"/>
                <w:sz w:val="25"/>
                <w:szCs w:val="25"/>
                <w:color w:val="auto"/>
                <w:vertAlign w:val="superscript"/>
              </w:rPr>
              <w:t>(7)</w:t>
            </w:r>
            <w:r>
              <w:rPr>
                <w:rFonts w:ascii="Arial" w:cs="Arial" w:eastAsia="Arial" w:hAnsi="Arial"/>
                <w:sz w:val="16"/>
                <w:szCs w:val="16"/>
                <w:color w:val="auto"/>
              </w:rPr>
              <w:t>;</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the</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date of</w:t>
            </w: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ind w:left="40"/>
              <w:spacing w:after="0"/>
              <w:rPr>
                <w:sz w:val="20"/>
                <w:szCs w:val="20"/>
                <w:color w:val="auto"/>
              </w:rPr>
            </w:pPr>
            <w:r>
              <w:rPr>
                <w:rFonts w:ascii="Arial" w:cs="Arial" w:eastAsia="Arial" w:hAnsi="Arial"/>
                <w:sz w:val="18"/>
                <w:szCs w:val="18"/>
                <w:color w:val="auto"/>
                <w:w w:val="93"/>
              </w:rPr>
              <w:t>goals through</w:t>
            </w:r>
          </w:p>
        </w:tc>
        <w:tc>
          <w:tcPr>
            <w:tcW w:w="2260" w:type="dxa"/>
            <w:vAlign w:val="bottom"/>
          </w:tcPr>
          <w:p>
            <w:pPr>
              <w:ind w:left="60"/>
              <w:spacing w:after="0"/>
              <w:rPr>
                <w:sz w:val="20"/>
                <w:szCs w:val="20"/>
                <w:color w:val="auto"/>
              </w:rPr>
            </w:pPr>
            <w:r>
              <w:rPr>
                <w:rFonts w:ascii="Arial" w:cs="Arial" w:eastAsia="Arial" w:hAnsi="Arial"/>
                <w:sz w:val="18"/>
                <w:szCs w:val="18"/>
                <w:color w:val="auto"/>
              </w:rPr>
              <w:t>outplacement</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96"/>
              </w:rPr>
              <w:t>termination</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1040" w:type="dxa"/>
            <w:vAlign w:val="bottom"/>
          </w:tcPr>
          <w:p>
            <w:pPr>
              <w:ind w:left="100"/>
              <w:spacing w:after="0"/>
              <w:rPr>
                <w:sz w:val="20"/>
                <w:szCs w:val="20"/>
                <w:color w:val="auto"/>
              </w:rPr>
            </w:pPr>
            <w:r>
              <w:rPr>
                <w:rFonts w:ascii="Arial" w:cs="Arial" w:eastAsia="Arial" w:hAnsi="Arial"/>
                <w:sz w:val="18"/>
                <w:szCs w:val="18"/>
                <w:color w:val="auto"/>
              </w:rPr>
              <w:t>and all</w:t>
            </w:r>
          </w:p>
        </w:tc>
        <w:tc>
          <w:tcPr>
            <w:tcW w:w="1080" w:type="dxa"/>
            <w:vAlign w:val="bottom"/>
          </w:tcPr>
          <w:p>
            <w:pPr>
              <w:ind w:left="40"/>
              <w:spacing w:after="0"/>
              <w:rPr>
                <w:sz w:val="20"/>
                <w:szCs w:val="20"/>
                <w:color w:val="auto"/>
              </w:rPr>
            </w:pPr>
            <w:r>
              <w:rPr>
                <w:rFonts w:ascii="Arial" w:cs="Arial" w:eastAsia="Arial" w:hAnsi="Arial"/>
                <w:sz w:val="18"/>
                <w:szCs w:val="18"/>
                <w:color w:val="auto"/>
              </w:rPr>
              <w:t>the date of</w:t>
            </w:r>
          </w:p>
        </w:tc>
        <w:tc>
          <w:tcPr>
            <w:tcW w:w="2260" w:type="dxa"/>
            <w:vAlign w:val="bottom"/>
          </w:tcPr>
          <w:p>
            <w:pPr>
              <w:ind w:left="60"/>
              <w:spacing w:after="0"/>
              <w:rPr>
                <w:sz w:val="20"/>
                <w:szCs w:val="20"/>
                <w:color w:val="auto"/>
              </w:rPr>
            </w:pPr>
            <w:r>
              <w:rPr>
                <w:rFonts w:ascii="Arial" w:cs="Arial" w:eastAsia="Arial" w:hAnsi="Arial"/>
                <w:sz w:val="18"/>
                <w:szCs w:val="18"/>
                <w:color w:val="auto"/>
              </w:rPr>
              <w:t>services for</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date and</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forfeiture</w:t>
            </w:r>
          </w:p>
        </w:tc>
        <w:tc>
          <w:tcPr>
            <w:tcW w:w="10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260" w:type="dxa"/>
            <w:vAlign w:val="bottom"/>
          </w:tcPr>
          <w:p>
            <w:pPr>
              <w:ind w:left="60"/>
              <w:spacing w:after="0"/>
              <w:rPr>
                <w:sz w:val="20"/>
                <w:szCs w:val="20"/>
                <w:color w:val="auto"/>
              </w:rPr>
            </w:pPr>
            <w:r>
              <w:rPr>
                <w:rFonts w:ascii="Arial" w:cs="Arial" w:eastAsia="Arial" w:hAnsi="Arial"/>
                <w:sz w:val="18"/>
                <w:szCs w:val="18"/>
                <w:color w:val="auto"/>
              </w:rPr>
              <w:t>six months</w:t>
            </w:r>
          </w:p>
        </w:tc>
      </w:tr>
      <w:tr>
        <w:trPr>
          <w:trHeight w:val="215"/>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(2) the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restrictions</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annual</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lapse as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bonus</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the date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under the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then</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current</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non-equity</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incentive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0"/>
        </w:trPr>
        <w:tc>
          <w:tcPr>
            <w:tcW w:w="35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plan at</w:t>
            </w: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90"/>
        </w:trPr>
        <w:tc>
          <w:tcPr>
            <w:tcW w:w="35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Target</w:t>
            </w:r>
            <w:r>
              <w:rPr>
                <w:rFonts w:ascii="Arial" w:cs="Arial" w:eastAsia="Arial" w:hAnsi="Arial"/>
                <w:sz w:val="29"/>
                <w:szCs w:val="29"/>
                <w:color w:val="auto"/>
                <w:vertAlign w:val="superscript"/>
              </w:rPr>
              <w:t>(6)</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4"/>
        </w:trPr>
        <w:tc>
          <w:tcPr>
            <w:tcW w:w="3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t>As of December 31, 2020, only Mr. Saligram had been awarded any RSUs or PSUs under our 2019 EIP. Therefore, the information in this column is not applicable to Messrs. Jennings, Weatherholt, Blanchard or Fraser.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in this column only applies to Messrs. Saligram, Jennings and Weatherholt who joined the Company during 2020. Requirements for repayment of sign-on cash bonuses and relocation allowances are detailed in the NEOs respective offer letters.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special or additional payments are payable to any of the NEOs under the CIC Severance Plan, the Blanchard CIC, the Fraser CIC or otherwise in the event of a termination of employment for “Cause.” Terms such as “Cause,” “Good Reason” and “Disability” used in “Item 6. – Executive Compensation – Employment Agreements, Termination and Severance – Potential Payments Upon Termination or Change in Control” of this registration statement and not otherwise defined have the meaning for them set forth for them in the underlying policy, plan, award agreement or other document detailing applicable termination rights.</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upon a hypothetical termination on December 31, 2020, under the terms of the EICP, NEOs are eligible for payment of their respective EICP target reward opportunity based upon actual achievement for the plan year because their employment was not terminated prior to the end of the EICP plan year.</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CIC Severance Plan, Change in Control is defined above in “Item 6. – Executive Compensation – Compensation Discussion and Analysis – Employment Agreements, Termination and Severance – Change in Control Severance Plan.”</w:t>
      </w:r>
    </w:p>
    <w:p>
      <w:pPr>
        <w:spacing w:after="0" w:line="170" w:lineRule="exact"/>
        <w:rPr>
          <w:rFonts w:ascii="Arial" w:cs="Arial" w:eastAsia="Arial" w:hAnsi="Arial"/>
          <w:sz w:val="18"/>
          <w:szCs w:val="18"/>
          <w:color w:val="auto"/>
        </w:rPr>
      </w:pPr>
    </w:p>
    <w:p>
      <w:pPr>
        <w:jc w:val="both"/>
        <w:ind w:left="340"/>
        <w:spacing w:after="0" w:line="271" w:lineRule="auto"/>
        <w:rPr>
          <w:rFonts w:ascii="Arial" w:cs="Arial" w:eastAsia="Arial" w:hAnsi="Arial"/>
          <w:sz w:val="18"/>
          <w:szCs w:val="18"/>
          <w:color w:val="auto"/>
        </w:rPr>
      </w:pPr>
      <w:r>
        <w:rPr>
          <w:rFonts w:ascii="Arial" w:cs="Arial" w:eastAsia="Arial" w:hAnsi="Arial"/>
          <w:sz w:val="17"/>
          <w:szCs w:val="17"/>
          <w:color w:val="auto"/>
        </w:rPr>
        <w:t>Under the Blanchard CIC and Fraser CIC, “Change in Control” is generally deemed to occur if (i) any person acquires 30% or more of our Ordinary Shares; (ii) at least a majority of the members of the current Board cease to be directors other than in specified circumstances; (iii) upon the consummation of a merger or similar transaction other than (a) a transaction in which the shareholders beneficially owning our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at the time the transaction was approved; or (iv) approval or adoption by the Board or our shareholders of a plan or proposal which could result directly or indirectly in the liquidation, transfer, sale or other disposal of all or substantially all of the Company’s assets or a dissolution of the Company.</w:t>
      </w:r>
    </w:p>
    <w:p>
      <w:pPr>
        <w:spacing w:after="0" w:line="17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Under the Blanchard CIC and Fraser CIC, severance is payable if either Messrs. Blanchard or Fraser employment is terminated (i) by the Company “without Cause” or (ii) by the Executive for “Good Reason” within six months preceding or two years following a Change in Control under certain circumstances. “Cause” means willful and continued failure of either Messrs. Blanchard or Fraser to perform his duties or either Messrs. Blanchard or Fraser willfully engaging in illegal conduct or gross misconduct that is harmful to the Company. “Good Reason” includes a material reduction in either Messrs. Blanchard or Fraser’s authorities, responsibilities, status, compensation or benefits (unless part of a cost reduction initiative that applies to all NEOs equally) or the failure of any successor company to assume the employment agreement. Mr. Blanchard’s Letter Agreement dated June 10, 2020 (the “KB Letter Agreement”) added additional circumstances that would constitute “Good Reason” for Mr. Blanchard; however, those conditions were not satisfied as of December 31, 2020.</w:t>
      </w:r>
    </w:p>
    <w:p>
      <w:pPr>
        <w:spacing w:after="0" w:line="178" w:lineRule="exact"/>
        <w:rPr>
          <w:sz w:val="20"/>
          <w:szCs w:val="20"/>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Blanchard CIC, Mr. Blanchard is entitled to 3x the sum of annual salary plus average annual cash incentive reduced by the portion of the Specified Amount (as defined in the KB Letter Agreement) paid on or before the date of termination. Under the Fraser CIC, Mr. Fraser is entitled to 2x the sum of annual salary plus average annual cash incentive. Under the Blanchard CIC and Fraser CIC, Messrs. Blanchard and Fraser’s average annual bonus for the prior three years is used for calculation purposes.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Continuation of health and dental benefits to the NEO and the NEO’s family requires that the NEO must continue to pay the monthly employee contribution for such benefits. Mr. Blanchard is entitled to receive three years continued welfare benefits under the Blanchard CIC. We are required to pay reasonable legal fees and expenses incurred by either Messrs. Blanchard or Fraser in any disputes regarding the Blanchard CIC or Fraser CIC, so long as either Messrs. Blanchard or Fraser undertakes to reimburse the Company for such amounts paid if either Messrs. Blanchard or Fraser is determined to have acted in bad faith in connection with the dispute.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Estimated Potential Payments Upon Termination or Change in Control</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2020. The following includes the various types of circumstances that would trigger payments and benefits under the CIC Severance Plan, the Blanchard CIC, the Fraser CIC or otherwise. Reasonable estimates are provided where appropriate. It is always possible that different arrangements could be negotiated in connection with an actual termination of employment or Change in Control, including in settlement. No information is provided in this table with regard to potential payments to former employees listed as NEOs if such NEO received payments prior to December 31, 2020; those actual payments are reflected in the Summary Compensation Table and related footnotes.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Performance</w:t>
            </w:r>
          </w:p>
        </w:tc>
        <w:tc>
          <w:tcPr>
            <w:tcW w:w="960" w:type="dxa"/>
            <w:vAlign w:val="bottom"/>
          </w:tcPr>
          <w:p>
            <w:pPr>
              <w:spacing w:after="0"/>
              <w:rPr>
                <w:sz w:val="14"/>
                <w:szCs w:val="14"/>
                <w:color w:val="auto"/>
              </w:rPr>
            </w:pPr>
          </w:p>
        </w:tc>
        <w:tc>
          <w:tcPr>
            <w:tcW w:w="112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Clawback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10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Share Units</w:t>
            </w:r>
          </w:p>
        </w:tc>
        <w:tc>
          <w:tcPr>
            <w:tcW w:w="960" w:type="dxa"/>
            <w:vAlign w:val="bottom"/>
          </w:tcPr>
          <w:p>
            <w:pPr>
              <w:spacing w:after="0"/>
              <w:rPr>
                <w:sz w:val="12"/>
                <w:szCs w:val="12"/>
                <w:color w:val="auto"/>
              </w:rPr>
            </w:pPr>
          </w:p>
        </w:tc>
        <w:tc>
          <w:tcPr>
            <w:tcW w:w="11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Sign-on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Long-Term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 Unvested</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Welfare and</w:t>
            </w:r>
          </w:p>
        </w:tc>
        <w:tc>
          <w:tcPr>
            <w:tcW w:w="11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Bonus and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320" w:type="dxa"/>
            <w:vAlign w:val="bottom"/>
            <w:vMerge w:val="restart"/>
          </w:tcPr>
          <w:p>
            <w:pPr>
              <w:jc w:val="center"/>
              <w:ind w:left="96"/>
              <w:spacing w:after="0" w:line="149" w:lineRule="exact"/>
              <w:rPr>
                <w:sz w:val="20"/>
                <w:szCs w:val="20"/>
                <w:color w:val="auto"/>
              </w:rPr>
            </w:pPr>
            <w:r>
              <w:rPr>
                <w:rFonts w:ascii="Arial" w:cs="Arial" w:eastAsia="Arial" w:hAnsi="Arial"/>
                <w:sz w:val="14"/>
                <w:szCs w:val="14"/>
                <w:b w:val="1"/>
                <w:bCs w:val="1"/>
                <w:color w:val="auto"/>
                <w:w w:val="93"/>
              </w:rPr>
              <w:t>Cash</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020" w:type="dxa"/>
            <w:vAlign w:val="bottom"/>
            <w:vMerge w:val="continue"/>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060" w:type="dxa"/>
            <w:vAlign w:val="bottom"/>
            <w:vMerge w:val="restart"/>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vMerge w:val="continue"/>
          </w:tcPr>
          <w:p>
            <w:pPr>
              <w:spacing w:after="0"/>
              <w:rPr>
                <w:sz w:val="7"/>
                <w:szCs w:val="7"/>
                <w:color w:val="auto"/>
              </w:rPr>
            </w:pPr>
          </w:p>
        </w:tc>
        <w:tc>
          <w:tcPr>
            <w:tcW w:w="112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Relocation</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8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rPr>
              <w:t>Name</w:t>
            </w:r>
          </w:p>
        </w:tc>
        <w:tc>
          <w:tcPr>
            <w:tcW w:w="1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Cash</w:t>
            </w:r>
          </w:p>
        </w:tc>
        <w:tc>
          <w:tcPr>
            <w:tcW w:w="9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1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20" w:type="dxa"/>
            <w:vAlign w:val="bottom"/>
            <w:vMerge w:val="continue"/>
          </w:tcPr>
          <w:p>
            <w:pPr>
              <w:spacing w:after="0"/>
              <w:rPr>
                <w:sz w:val="6"/>
                <w:szCs w:val="6"/>
                <w:color w:val="auto"/>
              </w:rPr>
            </w:pPr>
          </w:p>
        </w:tc>
        <w:tc>
          <w:tcPr>
            <w:tcW w:w="1320" w:type="dxa"/>
            <w:vAlign w:val="bottom"/>
            <w:vMerge w:val="restart"/>
          </w:tcPr>
          <w:p>
            <w:pPr>
              <w:jc w:val="center"/>
              <w:ind w:left="96"/>
              <w:spacing w:after="0" w:line="159" w:lineRule="exact"/>
              <w:rPr>
                <w:sz w:val="20"/>
                <w:szCs w:val="20"/>
                <w:color w:val="auto"/>
              </w:rPr>
            </w:pPr>
            <w:r>
              <w:rPr>
                <w:rFonts w:ascii="Arial" w:cs="Arial" w:eastAsia="Arial" w:hAnsi="Arial"/>
                <w:sz w:val="14"/>
                <w:szCs w:val="14"/>
                <w:b w:val="1"/>
                <w:bCs w:val="1"/>
                <w:color w:val="auto"/>
                <w:w w:val="91"/>
              </w:rPr>
              <w:t>Severance</w:t>
            </w:r>
          </w:p>
        </w:tc>
        <w:tc>
          <w:tcPr>
            <w:tcW w:w="110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vMerge w:val="continue"/>
          </w:tcPr>
          <w:p>
            <w:pPr>
              <w:spacing w:after="0"/>
              <w:rPr>
                <w:sz w:val="6"/>
                <w:szCs w:val="6"/>
                <w:color w:val="auto"/>
              </w:rPr>
            </w:pPr>
          </w:p>
        </w:tc>
        <w:tc>
          <w:tcPr>
            <w:tcW w:w="98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0"/>
              </w:rPr>
              <w:t>Accelerated</w:t>
            </w:r>
          </w:p>
        </w:tc>
        <w:tc>
          <w:tcPr>
            <w:tcW w:w="1060" w:type="dxa"/>
            <w:vAlign w:val="bottom"/>
            <w:vMerge w:val="restart"/>
          </w:tcPr>
          <w:p>
            <w:pPr>
              <w:jc w:val="center"/>
              <w:ind w:right="15"/>
              <w:spacing w:after="0" w:line="159" w:lineRule="exact"/>
              <w:rPr>
                <w:sz w:val="20"/>
                <w:szCs w:val="20"/>
                <w:color w:val="auto"/>
              </w:rPr>
            </w:pPr>
            <w:r>
              <w:rPr>
                <w:rFonts w:ascii="Arial" w:cs="Arial" w:eastAsia="Arial" w:hAnsi="Arial"/>
                <w:sz w:val="14"/>
                <w:szCs w:val="14"/>
                <w:b w:val="1"/>
                <w:bCs w:val="1"/>
                <w:color w:val="auto"/>
                <w:w w:val="93"/>
              </w:rPr>
              <w:t>Accelerated</w:t>
            </w:r>
          </w:p>
        </w:tc>
        <w:tc>
          <w:tcPr>
            <w:tcW w:w="960" w:type="dxa"/>
            <w:vAlign w:val="bottom"/>
            <w:vMerge w:val="continue"/>
          </w:tcPr>
          <w:p>
            <w:pPr>
              <w:spacing w:after="0"/>
              <w:rPr>
                <w:sz w:val="6"/>
                <w:szCs w:val="6"/>
                <w:color w:val="auto"/>
              </w:rPr>
            </w:pPr>
          </w:p>
        </w:tc>
        <w:tc>
          <w:tcPr>
            <w:tcW w:w="1120" w:type="dxa"/>
            <w:vAlign w:val="bottom"/>
            <w:vMerge w:val="restart"/>
          </w:tcPr>
          <w:p>
            <w:pPr>
              <w:jc w:val="center"/>
              <w:ind w:right="95"/>
              <w:spacing w:after="0" w:line="159" w:lineRule="exact"/>
              <w:rPr>
                <w:sz w:val="20"/>
                <w:szCs w:val="20"/>
                <w:color w:val="auto"/>
              </w:rPr>
            </w:pPr>
            <w:r>
              <w:rPr>
                <w:rFonts w:ascii="Arial" w:cs="Arial" w:eastAsia="Arial" w:hAnsi="Arial"/>
                <w:sz w:val="14"/>
                <w:szCs w:val="14"/>
                <w:b w:val="1"/>
                <w:bCs w:val="1"/>
                <w:color w:val="auto"/>
                <w:w w:val="88"/>
              </w:rPr>
              <w:t>Allowances</w:t>
            </w: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820" w:type="dxa"/>
            <w:vAlign w:val="bottom"/>
            <w:vMerge w:val="restart"/>
          </w:tcPr>
          <w:p>
            <w:pPr>
              <w:ind w:left="220"/>
              <w:spacing w:after="0" w:line="135" w:lineRule="exact"/>
              <w:rPr>
                <w:sz w:val="20"/>
                <w:szCs w:val="20"/>
                <w:color w:val="auto"/>
              </w:rPr>
            </w:pPr>
            <w:r>
              <w:rPr>
                <w:rFonts w:ascii="Arial" w:cs="Arial" w:eastAsia="Arial" w:hAnsi="Arial"/>
                <w:sz w:val="13"/>
                <w:szCs w:val="13"/>
                <w:b w:val="1"/>
                <w:bCs w:val="1"/>
                <w:color w:val="auto"/>
              </w:rPr>
              <w:t>Hypothetical</w:t>
            </w:r>
          </w:p>
        </w:tc>
        <w:tc>
          <w:tcPr>
            <w:tcW w:w="13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9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6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Benefits</w:t>
            </w:r>
          </w:p>
        </w:tc>
        <w:tc>
          <w:tcPr>
            <w:tcW w:w="1120" w:type="dxa"/>
            <w:vAlign w:val="bottom"/>
            <w:vMerge w:val="continue"/>
          </w:tcPr>
          <w:p>
            <w:pPr>
              <w:spacing w:after="0"/>
              <w:rPr>
                <w:sz w:val="7"/>
                <w:szCs w:val="7"/>
                <w:color w:val="auto"/>
              </w:rPr>
            </w:pPr>
          </w:p>
        </w:tc>
        <w:tc>
          <w:tcPr>
            <w:tcW w:w="860" w:type="dxa"/>
            <w:vAlign w:val="bottom"/>
            <w:vMerge w:val="restart"/>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9"/>
        </w:trPr>
        <w:tc>
          <w:tcPr>
            <w:tcW w:w="2820" w:type="dxa"/>
            <w:vAlign w:val="bottom"/>
            <w:vMerge w:val="continue"/>
          </w:tcPr>
          <w:p>
            <w:pPr>
              <w:spacing w:after="0"/>
              <w:rPr>
                <w:sz w:val="4"/>
                <w:szCs w:val="4"/>
                <w:color w:val="auto"/>
              </w:rPr>
            </w:pPr>
          </w:p>
        </w:tc>
        <w:tc>
          <w:tcPr>
            <w:tcW w:w="1320" w:type="dxa"/>
            <w:vAlign w:val="bottom"/>
            <w:vMerge w:val="restart"/>
          </w:tcPr>
          <w:p>
            <w:pPr>
              <w:jc w:val="center"/>
              <w:ind w:left="96"/>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100" w:type="dxa"/>
            <w:vAlign w:val="bottom"/>
            <w:vMerge w:val="restart"/>
          </w:tcPr>
          <w:p>
            <w:pPr>
              <w:jc w:val="center"/>
              <w:spacing w:after="0" w:line="20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020" w:type="dxa"/>
            <w:vAlign w:val="bottom"/>
            <w:vMerge w:val="continue"/>
          </w:tcPr>
          <w:p>
            <w:pPr>
              <w:spacing w:after="0"/>
              <w:rPr>
                <w:sz w:val="4"/>
                <w:szCs w:val="4"/>
                <w:color w:val="auto"/>
              </w:rPr>
            </w:pPr>
          </w:p>
        </w:tc>
        <w:tc>
          <w:tcPr>
            <w:tcW w:w="980" w:type="dxa"/>
            <w:vAlign w:val="bottom"/>
            <w:vMerge w:val="restart"/>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060" w:type="dxa"/>
            <w:vAlign w:val="bottom"/>
            <w:vMerge w:val="restart"/>
          </w:tcPr>
          <w:p>
            <w:pPr>
              <w:jc w:val="center"/>
              <w:ind w:right="15"/>
              <w:spacing w:after="0" w:line="20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(4)</w:t>
            </w:r>
          </w:p>
        </w:tc>
        <w:tc>
          <w:tcPr>
            <w:tcW w:w="960" w:type="dxa"/>
            <w:vAlign w:val="bottom"/>
            <w:vMerge w:val="continue"/>
          </w:tcPr>
          <w:p>
            <w:pPr>
              <w:spacing w:after="0"/>
              <w:rPr>
                <w:sz w:val="4"/>
                <w:szCs w:val="4"/>
                <w:color w:val="auto"/>
              </w:rPr>
            </w:pPr>
          </w:p>
        </w:tc>
        <w:tc>
          <w:tcPr>
            <w:tcW w:w="1120" w:type="dxa"/>
            <w:vAlign w:val="bottom"/>
            <w:vMerge w:val="restart"/>
          </w:tcPr>
          <w:p>
            <w:pPr>
              <w:jc w:val="center"/>
              <w:ind w:right="95"/>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Event</w:t>
            </w:r>
          </w:p>
        </w:tc>
        <w:tc>
          <w:tcPr>
            <w:tcW w:w="1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Girish K. Saligram</w:t>
            </w:r>
          </w:p>
        </w:tc>
        <w:tc>
          <w:tcPr>
            <w:tcW w:w="1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(92,682)</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778,099</w:t>
            </w:r>
          </w:p>
        </w:tc>
        <w:tc>
          <w:tcPr>
            <w:tcW w:w="980" w:type="dxa"/>
            <w:vAlign w:val="bottom"/>
          </w:tcPr>
          <w:p>
            <w:pPr>
              <w:jc w:val="right"/>
              <w:ind w:right="75"/>
              <w:spacing w:after="0" w:line="135" w:lineRule="exact"/>
              <w:rPr>
                <w:sz w:val="20"/>
                <w:szCs w:val="20"/>
                <w:color w:val="auto"/>
              </w:rPr>
            </w:pPr>
            <w:r>
              <w:rPr>
                <w:rFonts w:ascii="Arial" w:cs="Arial" w:eastAsia="Arial" w:hAnsi="Arial"/>
                <w:sz w:val="13"/>
                <w:szCs w:val="13"/>
                <w:color w:val="auto"/>
              </w:rPr>
              <w:t>1,016,946</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2,025,514</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1,856,250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45,330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2,208,898</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307,318</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3,712,500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1,016,946</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29,437</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5,066,201</w:t>
            </w:r>
          </w:p>
        </w:tc>
        <w:tc>
          <w:tcPr>
            <w:tcW w:w="0" w:type="dxa"/>
            <w:vAlign w:val="bottom"/>
          </w:tcPr>
          <w:p>
            <w:pPr>
              <w:spacing w:after="0"/>
              <w:rPr>
                <w:sz w:val="1"/>
                <w:szCs w:val="1"/>
                <w:color w:val="auto"/>
              </w:rPr>
            </w:pPr>
          </w:p>
        </w:tc>
      </w:tr>
      <w:tr>
        <w:trPr>
          <w:trHeight w:val="135"/>
        </w:trPr>
        <w:tc>
          <w:tcPr>
            <w:tcW w:w="2820" w:type="dxa"/>
            <w:vAlign w:val="bottom"/>
          </w:tcPr>
          <w:p>
            <w:pPr>
              <w:spacing w:after="0" w:line="135" w:lineRule="exact"/>
              <w:rPr>
                <w:sz w:val="20"/>
                <w:szCs w:val="20"/>
                <w:color w:val="auto"/>
              </w:rPr>
            </w:pPr>
            <w:r>
              <w:rPr>
                <w:rFonts w:ascii="Arial" w:cs="Arial" w:eastAsia="Arial" w:hAnsi="Arial"/>
                <w:sz w:val="13"/>
                <w:szCs w:val="13"/>
                <w:b w:val="1"/>
                <w:bCs w:val="1"/>
                <w:color w:val="auto"/>
              </w:rPr>
              <w:t>H. Keith Jennings</w:t>
            </w:r>
          </w:p>
        </w:tc>
        <w:tc>
          <w:tcPr>
            <w:tcW w:w="1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(179,463)</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378,870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545,537</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1,500,000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1,720,537</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220,537</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2,000,000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25,954</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2,246,491</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Scott C. Weatherholt</w:t>
            </w:r>
          </w:p>
        </w:tc>
        <w:tc>
          <w:tcPr>
            <w:tcW w:w="1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(200,000)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12,726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(200,000)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243,804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412,476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1,211,250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1,423,976</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212,726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1,615,000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26,820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1,854,546</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00" w:hanging="325"/>
        <w:spacing w:after="0" w:line="277"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zero (0) indicates either that there is no amount payable to the NEO, or the amount payable is generally available for both the NEOs and all salaried employees.</w:t>
      </w:r>
    </w:p>
    <w:p>
      <w:pPr>
        <w:spacing w:after="0" w:line="170"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EICP, (i) upon death or “Disability” annual cash incentive compensation is prorated to the date of the triggering event and based on actual performance and (ii) upon a “Change in Control” annual cash incentive compensation is paid at Target.</w:t>
      </w:r>
    </w:p>
    <w:p>
      <w:pPr>
        <w:spacing w:after="0" w:line="170" w:lineRule="exact"/>
        <w:rPr>
          <w:rFonts w:ascii="Arial" w:cs="Arial" w:eastAsia="Arial" w:hAnsi="Arial"/>
          <w:sz w:val="18"/>
          <w:szCs w:val="18"/>
          <w:color w:val="auto"/>
        </w:rPr>
      </w:pPr>
    </w:p>
    <w:p>
      <w:pPr>
        <w:ind w:left="400" w:hanging="325"/>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Ordinary Shares vested valued at the closing price on December 31, 2020.</w:t>
      </w:r>
    </w:p>
    <w:p>
      <w:pPr>
        <w:spacing w:after="0" w:line="225"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December 31, 2020, only Mr. Saligram had been granted PSUs and none of the performance measures for those PSUs had been attained and therefore none of the PSUs would have vested at that time.</w:t>
      </w:r>
    </w:p>
    <w:p>
      <w:pPr>
        <w:spacing w:after="0" w:line="170" w:lineRule="exact"/>
        <w:rPr>
          <w:rFonts w:ascii="Arial" w:cs="Arial" w:eastAsia="Arial" w:hAnsi="Arial"/>
          <w:sz w:val="18"/>
          <w:szCs w:val="18"/>
          <w:color w:val="auto"/>
        </w:rPr>
      </w:pPr>
    </w:p>
    <w:p>
      <w:pPr>
        <w:jc w:val="both"/>
        <w:ind w:left="400" w:hanging="325"/>
        <w:spacing w:after="0" w:line="255"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Mr. Saligram, amount represents the cash portion of his sign-on bonus paid upon commencement of employment that must be repaid in full if his employment is terminated other than for an involuntary termination “without Cause,” a voluntary resignation for “Good Reason,” or a termination due to death or “Disability” with the first 12 months of payment. For Mr. Jennings, amount represents the portions of his cash sign-on bonus and relocation allowance that must be repaid in full if he voluntarily resigns or is involuntarily terminated for “Cause” within the first 12 months of payment. For Mr. Weatherholt amount represents his cash sign-on bonus that must be repaid in full if he voluntarily resigns or is involuntarily terminated for “Cause” within the first 12 months of payment.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2020 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compensation paid to each of our independent directors for the year ended December 31, 2020. Information about Mr. Girishchandra K. Saligram, our President and Chief Executive Officer and Mr. Mark A. McCollum, our former President and Chief Executive Officer, can be found in “Item 6. – Executive Compensation – 2020 Summary Compensation Table” in this registration statement, which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4920" w:type="dxa"/>
            <w:vAlign w:val="bottom"/>
          </w:tcPr>
          <w:p>
            <w:pPr>
              <w:jc w:val="right"/>
              <w:ind w:right="370"/>
              <w:spacing w:after="0"/>
              <w:rPr>
                <w:sz w:val="20"/>
                <w:szCs w:val="20"/>
                <w:color w:val="auto"/>
              </w:rPr>
            </w:pPr>
            <w:r>
              <w:rPr>
                <w:rFonts w:ascii="Arial" w:cs="Arial" w:eastAsia="Arial" w:hAnsi="Arial"/>
                <w:sz w:val="18"/>
                <w:szCs w:val="18"/>
                <w:b w:val="1"/>
                <w:bCs w:val="1"/>
                <w:color w:val="auto"/>
              </w:rPr>
              <w:t>Fees Earned or</w:t>
            </w: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920" w:type="dxa"/>
            <w:vAlign w:val="bottom"/>
            <w:tcBorders>
              <w:bottom w:val="single" w:sz="8" w:color="auto"/>
            </w:tcBorders>
          </w:tcPr>
          <w:p>
            <w:pPr>
              <w:jc w:val="right"/>
              <w:ind w:right="210"/>
              <w:spacing w:after="0" w:line="270" w:lineRule="exact"/>
              <w:rPr>
                <w:sz w:val="20"/>
                <w:szCs w:val="20"/>
                <w:color w:val="auto"/>
              </w:rPr>
            </w:pPr>
            <w:r>
              <w:rPr>
                <w:rFonts w:ascii="Arial" w:cs="Arial" w:eastAsia="Arial" w:hAnsi="Arial"/>
                <w:sz w:val="18"/>
                <w:szCs w:val="18"/>
                <w:b w:val="1"/>
                <w:bCs w:val="1"/>
                <w:color w:val="auto"/>
              </w:rPr>
              <w:t>Paid in Cash ($)</w:t>
            </w:r>
            <w:r>
              <w:rPr>
                <w:rFonts w:ascii="Arial" w:cs="Arial" w:eastAsia="Arial" w:hAnsi="Arial"/>
                <w:sz w:val="29"/>
                <w:szCs w:val="29"/>
                <w:b w:val="1"/>
                <w:bCs w:val="1"/>
                <w:color w:val="auto"/>
                <w:vertAlign w:val="superscript"/>
              </w:rPr>
              <w:t>(1)</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50"/>
        </w:trPr>
        <w:tc>
          <w:tcPr>
            <w:tcW w:w="50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Charles M. Sledge</w:t>
            </w:r>
            <w:r>
              <w:rPr>
                <w:rFonts w:ascii="Arial" w:cs="Arial" w:eastAsia="Arial" w:hAnsi="Arial"/>
                <w:sz w:val="28"/>
                <w:szCs w:val="28"/>
                <w:color w:val="auto"/>
                <w:vertAlign w:val="superscript"/>
              </w:rPr>
              <w:t>(2)</w:t>
            </w:r>
          </w:p>
        </w:tc>
        <w:tc>
          <w:tcPr>
            <w:tcW w:w="4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636,335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636,335</w:t>
            </w:r>
          </w:p>
        </w:tc>
      </w:tr>
      <w:tr>
        <w:trPr>
          <w:trHeight w:val="257"/>
        </w:trPr>
        <w:tc>
          <w:tcPr>
            <w:tcW w:w="5080" w:type="dxa"/>
            <w:vAlign w:val="bottom"/>
          </w:tcPr>
          <w:p>
            <w:pPr>
              <w:spacing w:after="0" w:line="256" w:lineRule="exact"/>
              <w:rPr>
                <w:sz w:val="20"/>
                <w:szCs w:val="20"/>
                <w:color w:val="auto"/>
              </w:rPr>
            </w:pPr>
            <w:r>
              <w:rPr>
                <w:rFonts w:ascii="Arial" w:cs="Arial" w:eastAsia="Arial" w:hAnsi="Arial"/>
                <w:sz w:val="18"/>
                <w:szCs w:val="18"/>
                <w:color w:val="auto"/>
              </w:rPr>
              <w:t>Benjamin C. Duster, IV</w:t>
            </w:r>
            <w:r>
              <w:rPr>
                <w:rFonts w:ascii="Arial" w:cs="Arial" w:eastAsia="Arial" w:hAnsi="Arial"/>
                <w:sz w:val="29"/>
                <w:szCs w:val="29"/>
                <w:color w:val="auto"/>
                <w:vertAlign w:val="superscript"/>
              </w:rPr>
              <w:t>(3)</w:t>
            </w:r>
          </w:p>
        </w:tc>
        <w:tc>
          <w:tcPr>
            <w:tcW w:w="4920" w:type="dxa"/>
            <w:vAlign w:val="bottom"/>
          </w:tcPr>
          <w:p>
            <w:pPr>
              <w:jc w:val="right"/>
              <w:ind w:right="230"/>
              <w:spacing w:after="0"/>
              <w:rPr>
                <w:sz w:val="20"/>
                <w:szCs w:val="20"/>
                <w:color w:val="auto"/>
              </w:rPr>
            </w:pPr>
            <w:r>
              <w:rPr>
                <w:rFonts w:ascii="Arial" w:cs="Arial" w:eastAsia="Arial" w:hAnsi="Arial"/>
                <w:sz w:val="18"/>
                <w:szCs w:val="18"/>
                <w:color w:val="auto"/>
              </w:rPr>
              <w:t>380,366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380,366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4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523,712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523,712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Neal P. Goldman</w:t>
            </w:r>
          </w:p>
        </w:tc>
        <w:tc>
          <w:tcPr>
            <w:tcW w:w="4920" w:type="dxa"/>
            <w:vAlign w:val="bottom"/>
          </w:tcPr>
          <w:p>
            <w:pPr>
              <w:jc w:val="right"/>
              <w:ind w:right="230"/>
              <w:spacing w:after="0"/>
              <w:rPr>
                <w:sz w:val="20"/>
                <w:szCs w:val="20"/>
                <w:color w:val="auto"/>
              </w:rPr>
            </w:pPr>
            <w:r>
              <w:rPr>
                <w:rFonts w:ascii="Arial" w:cs="Arial" w:eastAsia="Arial" w:hAnsi="Arial"/>
                <w:sz w:val="18"/>
                <w:szCs w:val="18"/>
                <w:color w:val="auto"/>
              </w:rPr>
              <w:t>534,379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534,379</w:t>
            </w:r>
          </w:p>
        </w:tc>
      </w:tr>
      <w:tr>
        <w:trPr>
          <w:trHeight w:val="257"/>
        </w:trPr>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Thomas R. Bates Jr.</w:t>
            </w:r>
            <w:r>
              <w:rPr>
                <w:rFonts w:ascii="Arial" w:cs="Arial" w:eastAsia="Arial" w:hAnsi="Arial"/>
                <w:sz w:val="29"/>
                <w:szCs w:val="29"/>
                <w:color w:val="auto"/>
                <w:vertAlign w:val="superscript"/>
              </w:rPr>
              <w:t>(4)</w:t>
            </w:r>
          </w:p>
        </w:tc>
        <w:tc>
          <w:tcPr>
            <w:tcW w:w="4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431,316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431,316</w:t>
            </w:r>
          </w:p>
        </w:tc>
      </w:tr>
      <w:tr>
        <w:trPr>
          <w:trHeight w:val="257"/>
        </w:trPr>
        <w:tc>
          <w:tcPr>
            <w:tcW w:w="5080" w:type="dxa"/>
            <w:vAlign w:val="bottom"/>
          </w:tcPr>
          <w:p>
            <w:pPr>
              <w:spacing w:after="0" w:line="256" w:lineRule="exact"/>
              <w:rPr>
                <w:sz w:val="20"/>
                <w:szCs w:val="20"/>
                <w:color w:val="auto"/>
              </w:rPr>
            </w:pPr>
            <w:r>
              <w:rPr>
                <w:rFonts w:ascii="Arial" w:cs="Arial" w:eastAsia="Arial" w:hAnsi="Arial"/>
                <w:sz w:val="18"/>
                <w:szCs w:val="18"/>
                <w:color w:val="auto"/>
              </w:rPr>
              <w:t>John F. Glick</w:t>
            </w:r>
            <w:r>
              <w:rPr>
                <w:rFonts w:ascii="Arial" w:cs="Arial" w:eastAsia="Arial" w:hAnsi="Arial"/>
                <w:sz w:val="29"/>
                <w:szCs w:val="29"/>
                <w:color w:val="auto"/>
                <w:vertAlign w:val="superscript"/>
              </w:rPr>
              <w:t>(4)</w:t>
            </w:r>
          </w:p>
        </w:tc>
        <w:tc>
          <w:tcPr>
            <w:tcW w:w="4920" w:type="dxa"/>
            <w:vAlign w:val="bottom"/>
          </w:tcPr>
          <w:p>
            <w:pPr>
              <w:jc w:val="right"/>
              <w:ind w:right="230"/>
              <w:spacing w:after="0"/>
              <w:rPr>
                <w:sz w:val="20"/>
                <w:szCs w:val="20"/>
                <w:color w:val="auto"/>
              </w:rPr>
            </w:pPr>
            <w:r>
              <w:rPr>
                <w:rFonts w:ascii="Arial" w:cs="Arial" w:eastAsia="Arial" w:hAnsi="Arial"/>
                <w:sz w:val="18"/>
                <w:szCs w:val="18"/>
                <w:color w:val="auto"/>
              </w:rPr>
              <w:t>301,859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301,859</w:t>
            </w:r>
          </w:p>
        </w:tc>
      </w:tr>
      <w:tr>
        <w:trPr>
          <w:trHeight w:val="257"/>
        </w:trPr>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Gordon T. Hall</w:t>
            </w:r>
            <w:r>
              <w:rPr>
                <w:rFonts w:ascii="Arial" w:cs="Arial" w:eastAsia="Arial" w:hAnsi="Arial"/>
                <w:sz w:val="29"/>
                <w:szCs w:val="29"/>
                <w:color w:val="auto"/>
                <w:vertAlign w:val="superscript"/>
              </w:rPr>
              <w:t>(4)</w:t>
            </w:r>
          </w:p>
        </w:tc>
        <w:tc>
          <w:tcPr>
            <w:tcW w:w="4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301,859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Paid in Cash includes the annual $200,000 equity retainer converted to cash as described below for all directors, other than for the Non-Executive Chair of the Board for which the amount was $292,000.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 June 12, 2020, Mr. Sledge assumed the role of our Non-Executive Chair of the Board.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Appointed to the Board on June 16, 2020. Mr. Duster’s compensation has been prorated to reflect his tenure in 2020.</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our 2020 Annual General Meeting held on June 12, 2020, each of Messrs. Bates, Glick, and Hall had more votes “against” his re-election to the Board than votes “for” his re-election. On June 12, 2020, in accordance with the Company’s Articles, each of Messrs. Bates, Glick and Hall promptly tendered his resignation from the Board and the committees thereof, effective immediately, and the Board accepted such resignations.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Discussion of 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C&amp;HR Committee is responsible for reviewing and structuring our compensation policy regarding fees and compensation paid and granted to our independent directors.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emergence from bankruptcy in December 2019, the newly appointed C&amp;HR Committee retained LB&amp;Co. as its independent compensation consultant to advise on executive and independent, non-employee director compensation matters. Following an analysis and comprehensive review of our non-employee director compensation program by LB&amp;Co., on the recommendation of the C&amp;HR Committee, the Board approved the following compensation structure for our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New</w:t>
            </w:r>
          </w:p>
        </w:tc>
      </w:tr>
      <w:tr>
        <w:trPr>
          <w:trHeight w:val="234"/>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Fee</w:t>
            </w:r>
          </w:p>
        </w:tc>
        <w:tc>
          <w:tcPr>
            <w:tcW w:w="2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Regular Director Board service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Regular Director Board service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Non-Executive Chair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Audit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Human Resources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Compensation and Human Resources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Nominating and Governance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Safety, Environment and Sustainability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Safety, Environment and Sustainability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641"/>
        </w:trPr>
        <w:tc>
          <w:tcPr>
            <w:tcW w:w="786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50</w:t>
            </w: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301" w:lineRule="auto"/>
        <w:rPr>
          <w:sz w:val="20"/>
          <w:szCs w:val="20"/>
          <w:color w:val="auto"/>
        </w:rPr>
      </w:pPr>
      <w:r>
        <w:rPr>
          <w:rFonts w:ascii="Arial" w:cs="Arial" w:eastAsia="Arial" w:hAnsi="Arial"/>
          <w:sz w:val="16"/>
          <w:szCs w:val="16"/>
          <w:color w:val="auto"/>
        </w:rPr>
        <w:t>The above covers up to 10 meetings per year for the full Board or any of its committees, respectively. An additional fee of $1,500 per meeting is paid to each director for meetings exceeding that threshold. Cash retainers are paid quarterly, in advance. Equity compensation is structured as grants of RSUs determined using the grant date fair value under ASC 718 with a grant date to be selected for the current grant and for future years. The RSUs will vest on the first anniversary of the grant date with accelerated vesting in the event of death, disability and change in control.</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13, 2020, in response to the global COVID-19 pandemic and the sudden drop in oil and gas prices in March 2020, the Company’s non-employee directors voluntarily agreed to temporarily reduce their compensation in 2020. The annual cash retainer for Board service was temporarily reduced by $5,000 a quarter, equal to $20,000 annualized, effective July 1, 2020. All voluntary reductions were removed effective January 1, 2021.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were each paid in cash in lieu of RSU grants, and the amount with respect to the Annual Grant Period is subject to pro rata clawback in the event a non-employee director voluntarily resigns from the Board prior to the one-year anniversary of the Grant Date.</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27, 2020, the Board established a special committee comprised of all of the independent, non-employee directors. The special committee was established, in part, to conduct a fulsome search process to identify a new Chief Executive Officer. Members of the special committee received a monthly cash fee of $25,000, and the Board temporarily suspended the additional $1,500 per meeting fee for any meetings in excess of 10 meetings in 2020. On December 31, 2020, the special committee was dissolved and the per meeting fee was reinstated for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implemented an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established a pre-approval policy for all audit and non-audit services to be provided by our independent auditor, which was last reviewed and approved on February 25, 2021. This document is available on our website at www.weatherford.com, by clicking on “Investor Relations,” then “Company Information,” then “Corporate Governance,” then “Corporate Documents,” then selecting “Audit Committee Pre-Approval Policy.”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2020, all audit and non-audit services performed by the independent auditor were subject to, and were approved pursuant to, the pre-approval policy.</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63" w:lineRule="auto"/>
        <w:rPr>
          <w:sz w:val="20"/>
          <w:szCs w:val="20"/>
          <w:color w:val="auto"/>
        </w:rPr>
      </w:pPr>
      <w:r>
        <w:rPr>
          <w:rFonts w:ascii="Arial" w:cs="Arial" w:eastAsia="Arial" w:hAnsi="Arial"/>
          <w:sz w:val="18"/>
          <w:szCs w:val="18"/>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 director peer evaluation, and compliance with the Minimum Share Ownership Guidelines. The results of those evaluations are also considered as part of the Nominating and Governance Committee’s recommendations for committee service and rotation, as appropriate.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C&amp;HR Committee reviews our compensation plans and practices to ensure they do not encourage excessive risk-taking and, instead, encourage behaviors that support sustainable value creation.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Safety, Environment and Sustainability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had no related transactions that we must disclose in this registration statement.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policy regarding related person transactions as part of a comprehensive governance program. This policy regarding transactions between us or any of our affiliates and our employees, officers and directors is set forth in writing in our Corporate Governance Principles and our Code of Business Conduct. These documents are available on our website at www.weatherford.com, by clicking on “Investor Relations,” then “Company Information,” then “Corporate Governance,” then “Corporate Documents,” then selecting “Corporate Governance Principles” or “Code of Business Conduct,” as applicable. The Board believes these documents promote the effective functioning of the Board, its committees and management. Accordingly, they are periodically reviewed and revised, as appropriate.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conjunction with any Nasdaq listing, the Board will affirmatively determine that each non-employee director is independent under the rules of Nasdaq and the SEC. As contemplated by Nasdaq rules, the Board will also adopt categorical standards to assist it in making independence determinations. These standards will be available on our website at www.weatherford.com, by clicking on “Investor Relations,” then “Corporate Governance,” then “Corporate Documents,” then selecting “Corporate Governance Principles.” However, in making independence determinations, the Board considers and reviews all relationships with each director, whether or not they fall within the categorical standards. None of the independent directors has relationships relevant to an independence determination that were outside the scope of the Board’s categorical standards.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additional detail on the independence of the members on each of our committees and their satisfaction of the required qualification standards for membership on those committees, see “Item 5. – Directors and Executive Officers - Additional Board Information - Independence” and “Item 5. – Directors, Executive Officers - Additional Board Information - Committee Member Qualifications” of this registration statement, which are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information on the Cases, see “Part II – Item 8. – Financial Statements and Supplementary Data – Notes to Consolidated Financial Statements</w:t>
      </w:r>
    </w:p>
    <w:p>
      <w:pPr>
        <w:spacing w:after="0" w:line="46"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and “Item 1. – Business – Reorganization and Emergence from Bankruptcy Proceedings” of this registration statement, which are incorporated herein by reference.</w:t>
      </w:r>
    </w:p>
    <w:p>
      <w:pPr>
        <w:spacing w:after="0" w:line="192"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we are the subject of governmental and internal investigations related to alleged misconduct and violations of U.S. or International laws in the future, it could have a material adverse effect on our business, financial condition and results of operations. See “Part II – Item 8. – Financial Statements and Supplementary Data – Notes to Consolidated Financial Statements – Note 19 – Disputes, Litigation and Legal Contingencies” in the Form 10-K and “Part I – Item 1. – Financial Statements – Notes to Condensed Consolidated Financial Statements – Note 8 – Disputes, Litigation and Legal Contingencies” in the Form 10-Q, which are incorporated herein by reference.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are subject to various on-going litigation, we do not believe it is probable that any of our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April 17, 2020, the NYSE filed a Form 25 with the SEC. The delisting of our Ordinary Shares from the NYSE became effective on April 27, 2020. Our Ordinary Shares were deregistered under Section 12(b) of the Exchange Act on July 16, 2020. Our Ordinary Shares currently trade on the OTC Pink Marketplace under the ticker symbol “WFTLF”. We have filed a listing application to list our Ordinary Shares on Nasdaq under the symbol “WFRD”. See also “Item 11. – Description of Registrant’s Securities to be Registered” of this registration statement, which is incorporated herein by reference.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our Ordinary Share capitalization and Ordinary Share ownership, see “Item 11. – Description of Registrant's Securities to be Registered” in this registration statement, which is incorporated herein by reference.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part of our emergence from bankruptcy, outstanding awards under all predecessor equity incentive plans were cancelled, and pursuant to approval we received under the Plan, we adopted the 2019 EIP. The 2019 EIP permits the grant of options, Ordinary Share appreciation rights, restricted share awards, RSUs and other share-based and performance-based awards to any employee, consultant or non-employee director. The provisions of each award vary based on the type of award granted and are determined by the C&amp;HR Committee of our Board.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2020, about the number of Ordinary Shares to be issued upon vesting or exercise of equity awards as well as the number of Ordinary Shares remaining available for issuance under the 2019 EIP.</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w:t>
            </w:r>
          </w:p>
        </w:tc>
        <w:tc>
          <w:tcPr>
            <w:tcW w:w="5780" w:type="dxa"/>
            <w:vAlign w:val="bottom"/>
            <w:tcBorders>
              <w:bottom w:val="single" w:sz="8" w:color="auto"/>
            </w:tcBorders>
            <w:gridSpan w:val="3"/>
          </w:tcPr>
          <w:p>
            <w:pPr>
              <w:jc w:val="center"/>
              <w:ind w:left="2570"/>
              <w:spacing w:after="0"/>
              <w:rPr>
                <w:sz w:val="20"/>
                <w:szCs w:val="20"/>
                <w:color w:val="auto"/>
              </w:rPr>
            </w:pPr>
            <w:r>
              <w:rPr>
                <w:rFonts w:ascii="Arial" w:cs="Arial" w:eastAsia="Arial" w:hAnsi="Arial"/>
                <w:sz w:val="18"/>
                <w:szCs w:val="18"/>
                <w:b w:val="1"/>
                <w:bCs w:val="1"/>
                <w:color w:val="auto"/>
                <w:w w:val="91"/>
              </w:rPr>
              <w:t>Equity Compensation Plan Information</w:t>
            </w: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Arial" w:cs="Arial" w:eastAsia="Arial" w:hAnsi="Arial"/>
                <w:sz w:val="18"/>
                <w:szCs w:val="18"/>
                <w:b w:val="1"/>
                <w:bCs w:val="1"/>
                <w:color w:val="auto"/>
              </w:rPr>
              <w:t>Category</w:t>
            </w:r>
          </w:p>
        </w:tc>
        <w:tc>
          <w:tcPr>
            <w:tcW w:w="2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Numbers of Securities to be</w:t>
            </w:r>
          </w:p>
        </w:tc>
        <w:tc>
          <w:tcPr>
            <w:tcW w:w="260" w:type="dxa"/>
            <w:vAlign w:val="bottom"/>
          </w:tcPr>
          <w:p>
            <w:pPr>
              <w:spacing w:after="0"/>
              <w:rPr>
                <w:sz w:val="16"/>
                <w:szCs w:val="16"/>
                <w:color w:val="auto"/>
              </w:rPr>
            </w:pPr>
          </w:p>
        </w:tc>
        <w:tc>
          <w:tcPr>
            <w:tcW w:w="268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88"/>
              </w:rPr>
              <w:t>Weighted Average Exercise</w:t>
            </w:r>
          </w:p>
        </w:tc>
        <w:tc>
          <w:tcPr>
            <w:tcW w:w="26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Number of Securities Available</w:t>
            </w:r>
          </w:p>
        </w:tc>
        <w:tc>
          <w:tcPr>
            <w:tcW w:w="0" w:type="dxa"/>
            <w:vAlign w:val="bottom"/>
          </w:tcPr>
          <w:p>
            <w:pPr>
              <w:spacing w:after="0"/>
              <w:rPr>
                <w:sz w:val="1"/>
                <w:szCs w:val="1"/>
                <w:color w:val="auto"/>
              </w:rPr>
            </w:pPr>
          </w:p>
        </w:tc>
      </w:tr>
      <w:tr>
        <w:trPr>
          <w:trHeight w:val="180"/>
        </w:trPr>
        <w:tc>
          <w:tcPr>
            <w:tcW w:w="2820" w:type="dxa"/>
            <w:vAlign w:val="bottom"/>
          </w:tcPr>
          <w:p>
            <w:pPr>
              <w:spacing w:after="0" w:line="181" w:lineRule="exact"/>
              <w:rPr>
                <w:sz w:val="20"/>
                <w:szCs w:val="20"/>
                <w:color w:val="auto"/>
              </w:rPr>
            </w:pPr>
            <w:r>
              <w:rPr>
                <w:rFonts w:ascii="Arial" w:cs="Arial" w:eastAsia="Arial" w:hAnsi="Arial"/>
                <w:sz w:val="18"/>
                <w:szCs w:val="18"/>
                <w:i w:val="1"/>
                <w:iCs w:val="1"/>
                <w:color w:val="auto"/>
              </w:rPr>
              <w:t>(Ordinary</w:t>
            </w:r>
          </w:p>
        </w:tc>
        <w:tc>
          <w:tcPr>
            <w:tcW w:w="2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Issued Upon Exercise of</w:t>
            </w:r>
          </w:p>
        </w:tc>
        <w:tc>
          <w:tcPr>
            <w:tcW w:w="260" w:type="dxa"/>
            <w:vAlign w:val="bottom"/>
          </w:tcPr>
          <w:p>
            <w:pPr>
              <w:spacing w:after="0"/>
              <w:rPr>
                <w:sz w:val="15"/>
                <w:szCs w:val="15"/>
                <w:color w:val="auto"/>
              </w:rPr>
            </w:pPr>
          </w:p>
        </w:tc>
        <w:tc>
          <w:tcPr>
            <w:tcW w:w="2680" w:type="dxa"/>
            <w:vAlign w:val="bottom"/>
          </w:tcPr>
          <w:p>
            <w:pPr>
              <w:jc w:val="center"/>
              <w:ind w:right="390"/>
              <w:spacing w:after="0" w:line="181" w:lineRule="exact"/>
              <w:rPr>
                <w:sz w:val="20"/>
                <w:szCs w:val="20"/>
                <w:color w:val="auto"/>
              </w:rPr>
            </w:pPr>
            <w:r>
              <w:rPr>
                <w:rFonts w:ascii="Arial" w:cs="Arial" w:eastAsia="Arial" w:hAnsi="Arial"/>
                <w:sz w:val="18"/>
                <w:szCs w:val="18"/>
                <w:b w:val="1"/>
                <w:bCs w:val="1"/>
                <w:color w:val="auto"/>
                <w:w w:val="90"/>
              </w:rPr>
              <w:t>Price of Outstanding</w:t>
            </w: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i w:val="1"/>
                <w:iCs w:val="1"/>
                <w:color w:val="auto"/>
              </w:rPr>
              <w:t>Shares 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60" w:type="dxa"/>
            <w:vAlign w:val="bottom"/>
          </w:tcPr>
          <w:p>
            <w:pPr>
              <w:spacing w:after="0"/>
              <w:rPr>
                <w:sz w:val="18"/>
                <w:szCs w:val="18"/>
                <w:color w:val="auto"/>
              </w:rPr>
            </w:pPr>
          </w:p>
        </w:tc>
        <w:tc>
          <w:tcPr>
            <w:tcW w:w="268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Options, Warrants and</w:t>
            </w:r>
          </w:p>
        </w:tc>
        <w:tc>
          <w:tcPr>
            <w:tcW w:w="2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for Future Issuance Under</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Rights</w:t>
            </w:r>
          </w:p>
        </w:tc>
        <w:tc>
          <w:tcPr>
            <w:tcW w:w="2640" w:type="dxa"/>
            <w:vAlign w:val="bottom"/>
            <w:tcBorders>
              <w:bottom w:val="single" w:sz="8" w:color="auto"/>
            </w:tcBorders>
          </w:tcPr>
          <w:p>
            <w:pPr>
              <w:jc w:val="center"/>
              <w:ind w:right="70"/>
              <w:spacing w:after="0" w:line="270" w:lineRule="exact"/>
              <w:rPr>
                <w:sz w:val="20"/>
                <w:szCs w:val="20"/>
                <w:color w:val="auto"/>
              </w:rPr>
            </w:pPr>
            <w:r>
              <w:rPr>
                <w:rFonts w:ascii="Arial" w:cs="Arial" w:eastAsia="Arial" w:hAnsi="Arial"/>
                <w:sz w:val="18"/>
                <w:szCs w:val="18"/>
                <w:b w:val="1"/>
                <w:bCs w:val="1"/>
                <w:color w:val="auto"/>
                <w:w w:val="88"/>
              </w:rPr>
              <w:t>Equity Compensation Plans</w:t>
            </w:r>
            <w:r>
              <w:rPr>
                <w:rFonts w:ascii="Arial" w:cs="Arial" w:eastAsia="Arial" w:hAnsi="Arial"/>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Equity compensation plans</w:t>
            </w:r>
            <w:r>
              <w:rPr>
                <w:rFonts w:ascii="Arial" w:cs="Arial" w:eastAsia="Arial" w:hAnsi="Arial"/>
                <w:sz w:val="28"/>
                <w:szCs w:val="28"/>
                <w:color w:val="auto"/>
                <w:vertAlign w:val="superscript"/>
              </w:rPr>
              <w:t>(2)</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Excluding Ordinary Shares reflected in the first column of this table.</w:t>
      </w:r>
    </w:p>
    <w:p>
      <w:pPr>
        <w:spacing w:after="0" w:line="225" w:lineRule="exact"/>
        <w:rPr>
          <w:rFonts w:ascii="Arial" w:cs="Arial" w:eastAsia="Arial" w:hAnsi="Arial"/>
          <w:sz w:val="18"/>
          <w:szCs w:val="18"/>
          <w:color w:val="auto"/>
        </w:rPr>
      </w:pPr>
    </w:p>
    <w:p>
      <w:pPr>
        <w:ind w:right="20" w:firstLine="8"/>
        <w:spacing w:after="0" w:line="277"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2019 EIP, the adoption of which was approved in connection with our emergence from bankruptcy in December 2019. The 2019 EIP was amended and restated in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as part of the emergence from bankruptcy, the Company issued Warrants to holders of our old Ordinary Shares to purchase up to an aggregate of 7,777,779 our new Ordinary Shares at an exercise price of $99.96 per Ordinary Share. The Warrants are equity classified and, upon issuance, have a value of $31 million, which was recorded in “Capital in Excess of Par Value.” See “Item 10. – Recent Sales of Unregistered Securities” of this registration statement, which is incorporated herein by reference. These are Warrants issued pursuant to the Plan and were not issued pursuant to an equity compensation plan.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Irish stamp duty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Irish stamp duty (currently at the rate of 1% of the higher of the price paid or the market value of the shares acquired) may become payable in respect of transfers of our Ordinary Shares. However, a transfer of our Ordinary Shares from a seller who holds Ordinary Shares through the Depository Trust Company (“DTC”) to a buyer who holds the acquired Ordinary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The person accountable for payment of stamp duty is generally the buyer or, in the case of a transfer by way of a gift or for less than market value, all parties to the transfer.</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(or a shareholder who holds Ordinary Shares through DTC may transfer those Ordinary Shares out of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dividend withholding tax</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on our Ordinary Shares that are owned by residents of the U.S. and held beneficially through DTC will not be subject to dividend withholding tax (“DWT”) provided that the address of the beneficial owner of the Ordinary Shares in the records of the broker is in the U.S. Dividends on our Ordinary Shares that are owned by residents of the U.S. and held directly (outside of DTC) will not be subject to DWT provided that the shareholder has completed the appropriate Irish DWT form and this form remains valid or provides a Certification of U.S. Tax Residency, or Form IRS 6166. Such shareholders must provide the appropriate Irish DWT form or Form IRS 6166 to our transfer agent at least seven business days before the record date for the first dividend payment to which they are entitled. If any shareholder who is resident in the U.S. receives a dividend subject to DWT, he or she should generally be able to make an application for a refund from the Irish Revenue Commissioners on the prescribed form (DWT Claim Form 1). While the U.S./Ireland Double Tax Treaty contains provisions regarding withholding tax, due to the wide scope of the exemptions from DWT available under Irish domestic law, it would generally be unnecessary for a U.S. resident shareholder to rely on the treaty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Shareholders resident in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our or its transfer agent (in the case of shares held directly), with all the necessary documentation by the appropriate due date prior to payment of the dividend.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certain limited circumstances dividends received by Irish residents and certain other shareholders may be subject to a residual charge to Irish income tax. A shareholder who is neither resident nor ordinarily resident in Ireland and who is entitled to an exemption from DWT generally has no additional liability to Irish income tax or to the universal social charge on a dividend from us. 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Irish capital acquisitions tax</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Irish capital acquisitions tax (“CAT”) is composed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Children have a tax-free threshold which Irish Revenue typically updates annually in respect of taxable gifts or inheritances received from their parents (currently at €335,000). Our shareholders should consult their own tax advisers as to whether CAT is creditable or deductible in computing any domestic tax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capital gains tax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only Irish resident shareholders are subject to Irish capital gains tax (“CGT”) on a disposal of their shares. A shareholder who is neither resident nor ordinarily resident in Ireland and does not hold our Ordinary Shares in connection with a trade or business carried on by such shareholder in Ireland through a branch or agency should not be within the charge to Irish CGT on a disposal of our Ordinary Shares. In circumstances where a charge to Irish CGT arises the rate of CGT is currently 33% of the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Irish Restrictions on Import and Export of Capital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212529"/>
        </w:rPr>
        <w:t>Except as indicated below, there are no restrictions imposed specifically on non-residents of Ireland dealing in Irish domestic securities, which includes ordinary shares of Irish companies. Dividends and redemption proceeds also continue to be freely transferable to non-resident holders of such securities. The Financial Transfers Act 1992 (of Ireland)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Criminal Justice (Terrorist Offences) Act 2005 (as amended) (of Ireland) also gives the Minister of Finance of Ireland the power to take various measures, including the freezing or seizure of assets, in order to combat terrorism. At present the Financial Transfers Act 1992, certain EU regulations (as implemented into Irish law) and the Criminal Justice (Terrorist Offences) Act 2005 (as amended) (of Ireland) prohibit financial transfers involving certain persons and entities associated with the ISIL (Da’esh) and Al-Qaida organizations, the late Slobodan Milosevic and associated persons, Republic of Guinea-Bissau, Myanmar/Burma,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South Sudan, Sudan, Somalia, Republic of Guinea, Afghanistan, Egypt, Eritrea, Libya, Syria, Tunisia, Burundi, the Central African Republic, Ukraine, Yemen, Bosnia and Herzegovina, certain known terrorists and terrorist groups and countries that harbor certain terrorist groups, without the prior permission of the Central Bank of Ireland or the Minister of Finance of Ireland (as applicable).</w:t>
      </w:r>
    </w:p>
    <w:p>
      <w:pPr>
        <w:spacing w:after="0" w:line="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Any transfer of, or payment in respect of, a share or interest in a share involving the government of any country that is currently the subject of United Nations or EU sanctions, any person or body controlled by any of the foregoing, or by any person acting on behalf of the foregoing, may be subject to restrictions pursuant to such sanctions as implemented into Irish law.</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effectiveness of the Plan, all previously issued and outstanding equity interests in the Company were cancelled, and on the Effective Date the Company issued an aggregate of 69,999,954 new Ordinary Shares to the holders of the Company’s existing senior notes and holders of old Ordinary Shares. In addition, the Company issued Warrants to purchase up to an aggregate of 7,777,779 new Ordinary Shares to holders of old Ordinary Shares, subject to adjustment as set forth in the Warrant Agreement. For additional details regarding the Warrants, see “Part II – Item 7. – Management’s Discussion and Analysis of Financial Condition and Results of Operations” and “Part II – Item 8. – Financial Statements and Supplementary Data” of the Form 10-K, which are incorporated herein by reference.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issued in December 2019, the new Ordinary Shares and the Warrants were exempt from registration under the Securities Act, pursuant to Section 1145 of the Bankruptcy Code (which generally exempts from such registration requirements the issuance of securities under a plan of reorganization).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17, 2020 we granted our now former Chief Financial Officer an equity-based award of RSUs for 68,966 Ordinary Shares under the 2019 EIP. On April 17, 2020 we issued 17,390 of our Ordinary Shares upon the vesting of outstanding RSUs, net of Ordinary Shares withheld to satisfy statutory minimum tax withholding obligations. On November 17, 2020 we granted our Chief Executive Officer an equity-based award of 169,491 PSUs and 169,491 RSUs under the 2019 EIP. In 2021, we have granted to certain of our employees equity-based awards of 1,003,633 RSUs, 987,082 PSUs and 1,357,233 phantom share units under the 2019 EIP. During 2021, we have issued 102,797 of our Ordinary Shares upon the vesting of outstanding PSUs, net of Ordinary Shares withheld to satisfy statutory minimum tax withholding obligations. These securities were issued under the 2019 EIP without registration in reliance on the exemptions afforded by Section 4(a)(2) of the Securities Act and Rule 701 promulgated thereunder, as well as under analogous state “blue sky”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Description of Registrant’s Securities to be Registered.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description of our Ordinary Shares is a summary. The complete text of our Articles have been filed as exhibits to our periodic reports filed with the SEC, and each are incorporated by reference as exhibits to this registration statement. Our authorized share capital is $1,356,000 divided into 1,356,000,000 Ordinary Shares of $0.001 each. As of May 24, 2021, there were approximately 75 shareholders of record and 70,120,206 Ordinary Shares issued and outstanding. The actual number of shareholders is considerably greater than the number of shareholders of record and includes shareholders who are beneficial owners but whose Ordinary Shares are held in street name by brokers and other nominees.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the Company has a duty to make arrangements for shareholders of record to participate at the 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Director Elections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may be appointed by our shareholders at the Annual General Meeting or at any extraordinary general meeting called for that purpose and by our Board in accordance with our Articles.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of our directors shall (unless his or her office is earlier vacated in accordance with our Articles) serve for a one-year term concluding on the later of (i) the Annual General Meeting after such director was last appointed or re-appointed and (y) the date his or her successor is elected and qualified.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director retiring at an Annual General Meeting will be eligible for re-appointment.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our Articles,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Ordinary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allot (issue) Ordinary Shares subject to the maximum authorized share capital contained in our Articles. The authorized maximum may be increased or reduced by an ordinary resolution of shareholders. We may from time to time issue Ordinary Shares with such preferred or deferred or other special rights or such restrictions, whether in regard to dividend, voting, return of capital or otherwise, as determined by an ordinary resolution of the shareholders.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Irish law, our Board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6" w:lineRule="exact"/>
        <w:rPr>
          <w:sz w:val="20"/>
          <w:szCs w:val="20"/>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 to $87,000 (87,000,000 Ordinary Shares) for the purposes of allotting relevant securities contemplated in (i) the examiner’s scheme of arrangement under Part 10 of the Irish Companies Act approved by the Irish High Court on December 12, 2019 and (ii) the provisional liquidator’s scheme of arrangement in respect of Weatherford International Ltd. pursuant to the Companies Act 1981 of Bermuda.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that basis, taking account of Ordinary Shares that have been allotted or issued since December 10, 2019 or that are otherwise reserved for issuance, as of the date of this registration statement, our Board is authorized to issue an additional 83,622,214 Ordinary Shares without shareholder approval for the balance of the period of five years ending on December 9, 2024.</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when shares are to be issued for cash. As permitted under Irish law, we opted-out of these preemption rights in our Articles adopted at the time of emergence from bankruptcy in respect of the 170,000,000 Ordinary Shares our directors were authorized to allot pursuant to the allotment authority referenced above (of which, as referenced above, our Board remains, as of the date of this registration statement, authorized to issue an additional 83,622,214 Ordinary Shares without shareholder approval). Irish law requires this opt-out to be renewed at least every five years by a qualified 75% majority of the votes cast, in person or by proxy, at a general meeting of our shareholders at which a quorum is 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the Company and its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of Ordinary Shares are entitled to receive dividends which may be declared (i) at a general meeting of shareholders upon the recommendation of the Board or (ii) by the Board in such amount as appear to the directors to be justified by our profits, subject to applicable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the provisions of the Irish Companies Act as to preferential payments, upon winding up, our property shall be distributed among the members according to their rights and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Ordinary Shares are currently trading on the OTC Pink Marketplace under the ticker symbol “WFTLF”. We have filed a listing application to list our Ordinary Shares on Nasdaq under the symbol “WFRD”.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the Company.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include a provision which, subject to the provisions of the Irish Companies Act as aforesaid, entitles every present and former director and other officer of the Company and each other person who is or was serving at the request of the Company as a director, officer, employee or agent of another company, or of a partnership, joint venture, trust or non-profit entity, including service with respect to employee benefit plans maintained or sponsored by the Company (including the heirs, executors, administrators and estates of such persons) to be indemnified and held harmless by the Company to the fullest extent permitted by law against all costs, charges, losses, expenses and liabilities incurred by him, or her, in the execution and discharge of his, or her, duties or in relation thereto.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93" w:lineRule="auto"/>
        <w:rPr>
          <w:sz w:val="20"/>
          <w:szCs w:val="20"/>
          <w:color w:val="auto"/>
        </w:rPr>
      </w:pPr>
      <w:r>
        <w:rPr>
          <w:rFonts w:ascii="Arial" w:cs="Arial" w:eastAsia="Arial" w:hAnsi="Arial"/>
          <w:sz w:val="16"/>
          <w:szCs w:val="16"/>
          <w:color w:val="auto"/>
        </w:rPr>
        <w:t>In addition, the Company and Weatherford International Ltd., a Bermuda exempted company and wholly-owned, indirect subsidiary of the Company have entered (and/or, if required, any other subsidiary of the Company may enter) into indemnification agreements (or deed poll indemnities) with or as to each of Company’s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The obligations of the Company under such agreements are also subject to the limitations on indemnification under Irish law as aforesaid.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Irish law, the Company has also taken out directors’ and officers’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information required by this Item 13 is contained within the section titled “Part II – Item 8. – Financial Statements and Supplementary Data” in the Form 10-K and the section titled “Part I – Item 1. – Financial Statements” in the Form 10-Q, which are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Financial Statements and Exhibits.</w:t>
      </w:r>
    </w:p>
    <w:p>
      <w:pPr>
        <w:spacing w:after="0" w:line="229"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financial statements required by this Item 15 are contained within the section titled “Part II – Item 8. – Financial Statements and Supplementary Data” of the Form 10-K and the section title “Part I – Item 1. – Financial Statements” in the Form 10-Q, which are incorporated herein by reference:</w:t>
      </w:r>
    </w:p>
    <w:p>
      <w:pPr>
        <w:spacing w:after="0" w:line="183" w:lineRule="exact"/>
        <w:rPr>
          <w:rFonts w:ascii="Arial" w:cs="Arial" w:eastAsia="Arial" w:hAnsi="Arial"/>
          <w:sz w:val="18"/>
          <w:szCs w:val="18"/>
          <w:color w:val="auto"/>
        </w:rPr>
      </w:pPr>
    </w:p>
    <w:p>
      <w:pPr>
        <w:ind w:left="980" w:hanging="162"/>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pages </w:t>
      </w:r>
      <w:hyperlink r:id="rId105">
        <w:r>
          <w:rPr>
            <w:rFonts w:ascii="Arial" w:cs="Arial" w:eastAsia="Arial" w:hAnsi="Arial"/>
            <w:sz w:val="18"/>
            <w:szCs w:val="18"/>
            <w:u w:val="single" w:color="auto"/>
            <w:color w:val="0000EE"/>
          </w:rPr>
          <w:t>42 - 96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r:id="rId105">
        <w:r>
          <w:rPr>
            <w:rFonts w:ascii="Arial" w:cs="Arial" w:eastAsia="Arial" w:hAnsi="Arial"/>
            <w:sz w:val="18"/>
            <w:szCs w:val="18"/>
            <w:u w:val="single" w:color="auto"/>
            <w:color w:val="0000EE"/>
          </w:rPr>
          <w:t>106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hanging="262"/>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Condensed Consolidated Financial Statements (Unaudited) of the Company listed on pages </w:t>
      </w:r>
      <w:hyperlink r:id="rId106">
        <w:r>
          <w:rPr>
            <w:rFonts w:ascii="Arial" w:cs="Arial" w:eastAsia="Arial" w:hAnsi="Arial"/>
            <w:sz w:val="18"/>
            <w:szCs w:val="18"/>
            <w:u w:val="single" w:color="auto"/>
            <w:color w:val="0000EE"/>
          </w:rPr>
          <w:t>2 - 15 of the Form 10-Q</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are all incorporated herein by reference to a prior SEC filing unless designated by a dagger (†):</w:t>
      </w:r>
    </w:p>
    <w:p>
      <w:pPr>
        <w:spacing w:after="0" w:line="386"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20" w:type="dxa"/>
            <w:vAlign w:val="bottom"/>
            <w:gridSpan w:val="12"/>
          </w:tcPr>
          <w:p>
            <w:pPr>
              <w:ind w:left="100"/>
              <w:spacing w:after="0"/>
              <w:rPr>
                <w:sz w:val="20"/>
                <w:szCs w:val="20"/>
                <w:color w:val="auto"/>
              </w:rPr>
            </w:pPr>
            <w:r>
              <w:rPr>
                <w:rFonts w:ascii="Arial" w:cs="Arial" w:eastAsia="Arial" w:hAnsi="Arial"/>
                <w:sz w:val="18"/>
                <w:szCs w:val="18"/>
                <w:b w:val="1"/>
                <w:bCs w:val="1"/>
                <w:color w:val="auto"/>
              </w:rPr>
              <w:t>Description</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Original Filed Exhibit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File Number</w:t>
            </w:r>
          </w:p>
        </w:tc>
      </w:tr>
      <w:tr>
        <w:trPr>
          <w:trHeight w:val="169"/>
        </w:trPr>
        <w:tc>
          <w:tcPr>
            <w:tcW w:w="92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80" w:type="dxa"/>
            <w:vAlign w:val="bottom"/>
            <w:tcBorders>
              <w:top w:val="single" w:sz="8" w:color="auto"/>
              <w:bottom w:val="single" w:sz="8" w:color="0000EE"/>
            </w:tcBorders>
            <w:gridSpan w:val="9"/>
            <w:shd w:val="clear" w:color="auto" w:fill="CCEEFF"/>
          </w:tcPr>
          <w:p>
            <w:pPr>
              <w:spacing w:after="0" w:line="169"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Memorandum and Articles of Association of Weatherford</w:t>
              </w:r>
            </w:hyperlink>
          </w:p>
        </w:tc>
        <w:tc>
          <w:tcPr>
            <w:tcW w:w="640" w:type="dxa"/>
            <w:vAlign w:val="bottom"/>
            <w:tcBorders>
              <w:top w:val="single" w:sz="8" w:color="auto"/>
              <w:bottom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8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Exhibit 3.1 of the</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International public limited company.</w:t>
              </w:r>
            </w:hyperlink>
          </w:p>
        </w:tc>
        <w:tc>
          <w:tcPr>
            <w:tcW w:w="25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shd w:val="clear" w:color="auto" w:fill="CCEEFF"/>
              </w:rPr>
            </w:pPr>
            <w:hyperlink r:id="rId109">
              <w:r>
                <w:rPr>
                  <w:rFonts w:ascii="Arial" w:cs="Arial" w:eastAsia="Arial" w:hAnsi="Arial"/>
                  <w:sz w:val="18"/>
                  <w:szCs w:val="18"/>
                  <w:color w:val="0000EE"/>
                  <w:w w:val="89"/>
                  <w:shd w:val="clear" w:color="auto" w:fill="CCEEFF"/>
                </w:rPr>
                <w:t>Indenture, dated December 13, 2019, by and among Weatherford International Ltd., as</w:t>
              </w:r>
            </w:hyperlink>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3"/>
              </w:rPr>
              <w:t>Exhibit 4.1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8"/>
                <w:shd w:val="clear" w:color="auto" w:fill="CCEEFF"/>
              </w:rPr>
            </w:pPr>
            <w:hyperlink r:id="rId109">
              <w:r>
                <w:rPr>
                  <w:rFonts w:ascii="Arial" w:cs="Arial" w:eastAsia="Arial" w:hAnsi="Arial"/>
                  <w:sz w:val="18"/>
                  <w:szCs w:val="18"/>
                  <w:color w:val="0000EE"/>
                  <w:w w:val="88"/>
                  <w:shd w:val="clear" w:color="auto" w:fill="CCEEFF"/>
                </w:rPr>
                <w:t>issuer, the guarantors thereto and Deutsche Bank Trust Company Americas, as trustee.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9"/>
                <w:szCs w:val="19"/>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Form of Senior Note (included in Exhibit 4.1).</w:t>
              </w:r>
            </w:hyperlink>
          </w:p>
        </w:tc>
        <w:tc>
          <w:tcPr>
            <w:tcW w:w="258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3"/>
              </w:rPr>
              <w:t>Included in Exhibit 4.1 of the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4.3</w:t>
            </w:r>
          </w:p>
        </w:tc>
        <w:tc>
          <w:tcPr>
            <w:tcW w:w="12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shd w:val="clear" w:color="auto" w:fill="CCEEFF"/>
              </w:rPr>
            </w:pPr>
            <w:hyperlink r:id="rId110">
              <w:r>
                <w:rPr>
                  <w:rFonts w:ascii="Arial" w:cs="Arial" w:eastAsia="Arial" w:hAnsi="Arial"/>
                  <w:sz w:val="18"/>
                  <w:szCs w:val="18"/>
                  <w:color w:val="0000EE"/>
                  <w:w w:val="92"/>
                  <w:shd w:val="clear" w:color="auto" w:fill="CCEEFF"/>
                </w:rPr>
                <w:t>Form of Warrant Certificate (included in Exhibit 10.30).</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3"/>
              </w:rPr>
              <w:t>Included in Exhibit 10.4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4.4</w:t>
            </w:r>
          </w:p>
        </w:tc>
        <w:tc>
          <w:tcPr>
            <w:tcW w:w="120" w:type="dxa"/>
            <w:vAlign w:val="bottom"/>
            <w:tcBorders>
              <w:bottom w:val="single" w:sz="8" w:color="CCEEFF"/>
            </w:tcBorders>
            <w:shd w:val="clear" w:color="auto" w:fill="CCEEFF"/>
          </w:tcPr>
          <w:p>
            <w:pPr>
              <w:spacing w:after="0"/>
              <w:rPr>
                <w:sz w:val="15"/>
                <w:szCs w:val="15"/>
                <w:color w:val="auto"/>
              </w:rPr>
            </w:pPr>
          </w:p>
        </w:tc>
        <w:tc>
          <w:tcPr>
            <w:tcW w:w="65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Indenture, dated August 28, 2020, by and among Weatherford International Ltd., as issuer,</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Exhibit 4.1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the guarantors party thereto and Wilmington Trust, National Association, as trustee and</w:t>
              </w:r>
            </w:hyperlink>
          </w:p>
        </w:tc>
        <w:tc>
          <w:tcPr>
            <w:tcW w:w="25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collateral agent.</w:t>
              </w:r>
            </w:hyperlink>
          </w:p>
        </w:tc>
        <w:tc>
          <w:tcPr>
            <w:tcW w:w="340" w:type="dxa"/>
            <w:vAlign w:val="bottom"/>
            <w:tcBorders>
              <w:top w:val="single" w:sz="8" w:color="CCEEFF"/>
            </w:tcBorders>
            <w:gridSpan w:val="3"/>
            <w:shd w:val="clear" w:color="auto" w:fill="CCEEFF"/>
          </w:tcPr>
          <w:p>
            <w:pPr>
              <w:spacing w:after="0"/>
              <w:rPr>
                <w:sz w:val="17"/>
                <w:szCs w:val="17"/>
                <w:color w:val="auto"/>
              </w:rPr>
            </w:pPr>
          </w:p>
        </w:tc>
        <w:tc>
          <w:tcPr>
            <w:tcW w:w="258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7"/>
                <w:szCs w:val="17"/>
                <w:color w:val="auto"/>
              </w:rPr>
            </w:pPr>
          </w:p>
        </w:tc>
      </w:tr>
      <w:tr>
        <w:trPr>
          <w:trHeight w:val="236"/>
        </w:trPr>
        <w:tc>
          <w:tcPr>
            <w:tcW w:w="9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28, 2020</w:t>
            </w:r>
          </w:p>
        </w:tc>
        <w:tc>
          <w:tcPr>
            <w:tcW w:w="1000" w:type="dxa"/>
            <w:vAlign w:val="bottom"/>
            <w:tcBorders>
              <w:top w:val="single" w:sz="8" w:color="CCEEFF"/>
            </w:tcBorders>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Form of Senior Note (included in Exhibit 4.4).</w:t>
              </w:r>
            </w:hyperlink>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Included in Exhibit 4.1 of</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the Company’s Current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28,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Employment Letter, dated March 3, 2017, between Weatherford International plc and</w:t>
              </w:r>
            </w:hyperlink>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Exhibit 10.3 to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Mark A. McCollum</w:t>
              </w:r>
              <w:r>
                <w:rPr>
                  <w:rFonts w:ascii="Arial" w:cs="Arial" w:eastAsia="Arial" w:hAnsi="Arial"/>
                  <w:sz w:val="18"/>
                  <w:szCs w:val="18"/>
                  <w:color w:val="000000"/>
                </w:rPr>
                <w:t>.</w:t>
              </w:r>
            </w:hyperlink>
          </w:p>
        </w:tc>
        <w:tc>
          <w:tcPr>
            <w:tcW w:w="258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Company's Quarterly</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tcBorders>
              <w:top w:val="single" w:sz="8" w:color="CCEEFF"/>
            </w:tcBorders>
            <w:shd w:val="clear" w:color="auto" w:fill="CCEEFF"/>
          </w:tcPr>
          <w:p>
            <w:pPr>
              <w:spacing w:after="0"/>
              <w:rPr>
                <w:sz w:val="19"/>
                <w:szCs w:val="19"/>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March 31, 2017 filed</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28, 2017</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55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shd w:val="clear" w:color="auto" w:fill="CCEEFF"/>
              </w:rPr>
            </w:pPr>
            <w:hyperlink r:id="rId113">
              <w:r>
                <w:rPr>
                  <w:rFonts w:ascii="Arial" w:cs="Arial" w:eastAsia="Arial" w:hAnsi="Arial"/>
                  <w:sz w:val="18"/>
                  <w:szCs w:val="18"/>
                  <w:color w:val="0000EE"/>
                  <w:w w:val="91"/>
                  <w:shd w:val="clear" w:color="auto" w:fill="CCEEFF"/>
                </w:rPr>
                <w:t>Offer Letter between Weatherford International Ltd. and Christian A. Garcia.</w:t>
              </w:r>
            </w:hyperlink>
          </w:p>
        </w:tc>
        <w:tc>
          <w:tcPr>
            <w:tcW w:w="1080" w:type="dxa"/>
            <w:vAlign w:val="bottom"/>
            <w:tcBorders>
              <w:bottom w:val="single" w:sz="8" w:color="CCEEFF"/>
            </w:tcBorders>
            <w:gridSpan w:val="7"/>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Company’s 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Report on Form 10-K</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for the year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filed March 16,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*10.3</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Letter Agreement with Karl Blanchard, dated June 10, 2020.</w:t>
              </w:r>
            </w:hyperlink>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10.6 of the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Company’s Quarterly</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30, 2020</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14,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4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shd w:val="clear" w:color="auto" w:fill="CCEEFF"/>
              </w:rPr>
            </w:pPr>
            <w:hyperlink r:id="rId115">
              <w:r>
                <w:rPr>
                  <w:rFonts w:ascii="Arial" w:cs="Arial" w:eastAsia="Arial" w:hAnsi="Arial"/>
                  <w:sz w:val="18"/>
                  <w:szCs w:val="18"/>
                  <w:color w:val="0000EE"/>
                  <w:w w:val="91"/>
                  <w:shd w:val="clear" w:color="auto" w:fill="CCEEFF"/>
                </w:rPr>
                <w:t>Offer Letter to H. Keith Jennings, dated August 6, 2020.</w:t>
              </w:r>
            </w:hyperlink>
          </w:p>
        </w:tc>
        <w:tc>
          <w:tcPr>
            <w:tcW w:w="2560" w:type="dxa"/>
            <w:vAlign w:val="bottom"/>
            <w:tcBorders>
              <w:bottom w:val="single" w:sz="8" w:color="CCEEFF"/>
            </w:tcBorders>
            <w:gridSpan w:val="9"/>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10.4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Company’s Quarterly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30, 2020</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November 4, 2020</w:t>
            </w:r>
          </w:p>
        </w:tc>
        <w:tc>
          <w:tcPr>
            <w:tcW w:w="1000" w:type="dxa"/>
            <w:vAlign w:val="bottom"/>
            <w:shd w:val="clear" w:color="auto" w:fill="CCEEFF"/>
          </w:tcPr>
          <w:p>
            <w:pPr>
              <w:spacing w:after="0"/>
              <w:rPr>
                <w:sz w:val="20"/>
                <w:szCs w:val="20"/>
                <w:color w:val="auto"/>
              </w:rPr>
            </w:pPr>
          </w:p>
        </w:tc>
      </w:tr>
      <w:tr>
        <w:trPr>
          <w:trHeight w:val="648"/>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8"/>
          </w:tcPr>
          <w:p>
            <w:pPr>
              <w:ind w:left="4480"/>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*10.5</w:t>
            </w:r>
          </w:p>
        </w:tc>
        <w:tc>
          <w:tcPr>
            <w:tcW w:w="6560" w:type="dxa"/>
            <w:vAlign w:val="bottom"/>
            <w:gridSpan w:val="17"/>
            <w:shd w:val="clear" w:color="auto" w:fill="CCEEFF"/>
          </w:tcPr>
          <w:p>
            <w:pPr>
              <w:spacing w:after="0"/>
              <w:rPr>
                <w:rFonts w:ascii="Arial" w:cs="Arial" w:eastAsia="Arial" w:hAnsi="Arial"/>
                <w:sz w:val="18"/>
                <w:szCs w:val="18"/>
                <w:color w:val="0000EE"/>
              </w:rPr>
            </w:pPr>
            <w:hyperlink r:id="rId116">
              <w:r>
                <w:rPr>
                  <w:rFonts w:ascii="Arial" w:cs="Arial" w:eastAsia="Arial" w:hAnsi="Arial"/>
                  <w:sz w:val="18"/>
                  <w:szCs w:val="18"/>
                  <w:color w:val="0000EE"/>
                </w:rPr>
                <w:t>Offer Letter to Girishchandra K. Saligram, dated September 9, 2020.</w:t>
              </w:r>
            </w:hyperlink>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10.5 of the</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Company’s Quarterly</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10-Q</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 the third quarter ended</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2020</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*10.6</w:t>
            </w:r>
          </w:p>
        </w:tc>
        <w:tc>
          <w:tcPr>
            <w:tcW w:w="64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shd w:val="clear" w:color="auto" w:fill="CCEEFF"/>
              </w:rPr>
            </w:pPr>
            <w:hyperlink r:id="rId117">
              <w:r>
                <w:rPr>
                  <w:rFonts w:ascii="Arial" w:cs="Arial" w:eastAsia="Arial" w:hAnsi="Arial"/>
                  <w:sz w:val="18"/>
                  <w:szCs w:val="18"/>
                  <w:color w:val="0000EE"/>
                  <w:w w:val="91"/>
                  <w:shd w:val="clear" w:color="auto" w:fill="CCEEFF"/>
                </w:rPr>
                <w:t>Form of Deed of Indemnity of Weatherford International plc entered into by each director</w:t>
              </w:r>
            </w:hyperlink>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Exhibit 10.11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shd w:val="clear" w:color="auto" w:fill="CCEEFF"/>
              </w:rPr>
            </w:pPr>
            <w:hyperlink r:id="rId117">
              <w:r>
                <w:rPr>
                  <w:rFonts w:ascii="Arial" w:cs="Arial" w:eastAsia="Arial" w:hAnsi="Arial"/>
                  <w:sz w:val="18"/>
                  <w:szCs w:val="18"/>
                  <w:color w:val="0000EE"/>
                  <w:w w:val="92"/>
                  <w:shd w:val="clear" w:color="auto" w:fill="CCEEFF"/>
                </w:rPr>
                <w:t>of Weatherford International plc and each of the following executive officers of</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shd w:val="clear" w:color="auto" w:fill="CCEEFF"/>
          </w:tcPr>
          <w:p>
            <w:pPr>
              <w:spacing w:after="0"/>
              <w:rPr>
                <w:sz w:val="17"/>
                <w:szCs w:val="17"/>
                <w:color w:val="auto"/>
              </w:rPr>
            </w:pPr>
          </w:p>
        </w:tc>
        <w:tc>
          <w:tcPr>
            <w:tcW w:w="6360" w:type="dxa"/>
            <w:vAlign w:val="bottom"/>
            <w:gridSpan w:val="13"/>
            <w:shd w:val="clear" w:color="auto" w:fill="CCEEFF"/>
          </w:tcPr>
          <w:p>
            <w:pPr>
              <w:spacing w:after="0" w:line="196" w:lineRule="exact"/>
              <w:rPr>
                <w:rFonts w:ascii="Arial" w:cs="Arial" w:eastAsia="Arial" w:hAnsi="Arial"/>
                <w:sz w:val="18"/>
                <w:szCs w:val="18"/>
                <w:color w:val="0000EE"/>
                <w:w w:val="92"/>
                <w:shd w:val="clear" w:color="auto" w:fill="CCEEFF"/>
              </w:rPr>
            </w:pPr>
            <w:hyperlink r:id="rId117">
              <w:r>
                <w:rPr>
                  <w:rFonts w:ascii="Arial" w:cs="Arial" w:eastAsia="Arial" w:hAnsi="Arial"/>
                  <w:sz w:val="18"/>
                  <w:szCs w:val="18"/>
                  <w:color w:val="0000EE"/>
                  <w:w w:val="92"/>
                  <w:shd w:val="clear" w:color="auto" w:fill="CCEEFF"/>
                </w:rPr>
                <w:t>Weatherford International plc: Karl Blanchard (August 21, 2017), Scott C. Weatherholt</w:t>
              </w:r>
            </w:hyperlink>
          </w:p>
        </w:tc>
        <w:tc>
          <w:tcPr>
            <w:tcW w:w="12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shd w:val="clear" w:color="auto" w:fill="CCEEFF"/>
          </w:tcPr>
          <w:p>
            <w:pPr>
              <w:spacing w:after="0"/>
              <w:rPr>
                <w:sz w:val="17"/>
                <w:szCs w:val="17"/>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shd w:val="clear" w:color="auto" w:fill="CCEEFF"/>
              </w:rPr>
            </w:pPr>
            <w:hyperlink r:id="rId117">
              <w:r>
                <w:rPr>
                  <w:rFonts w:ascii="Arial" w:cs="Arial" w:eastAsia="Arial" w:hAnsi="Arial"/>
                  <w:sz w:val="18"/>
                  <w:szCs w:val="18"/>
                  <w:color w:val="0000EE"/>
                  <w:w w:val="90"/>
                  <w:shd w:val="clear" w:color="auto" w:fill="CCEEFF"/>
                </w:rPr>
                <w:t>(July 23, 2020), H. Keith Jennings (September 18, 2020) and Girish K. Saligram (October</w:t>
              </w:r>
            </w:hyperlink>
          </w:p>
        </w:tc>
        <w:tc>
          <w:tcPr>
            <w:tcW w:w="20" w:type="dxa"/>
            <w:vAlign w:val="bottom"/>
            <w:tcBorders>
              <w:bottom w:val="single" w:sz="8" w:color="0000EE"/>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tcBorders>
              <w:bottom w:val="single" w:sz="8" w:color="CCEEFF"/>
            </w:tcBorders>
            <w:shd w:val="clear" w:color="auto" w:fill="CCEEFF"/>
          </w:tcPr>
          <w:p>
            <w:pPr>
              <w:spacing w:after="0"/>
              <w:rPr>
                <w:sz w:val="17"/>
                <w:szCs w:val="17"/>
                <w:color w:val="auto"/>
              </w:rPr>
            </w:pPr>
          </w:p>
        </w:tc>
      </w:tr>
      <w:tr>
        <w:trPr>
          <w:trHeight w:val="222"/>
        </w:trPr>
        <w:tc>
          <w:tcPr>
            <w:tcW w:w="10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shd w:val="clear" w:color="auto" w:fill="CCEEFF"/>
              </w:rPr>
            </w:pPr>
            <w:hyperlink r:id="rId117">
              <w:r>
                <w:rPr>
                  <w:rFonts w:ascii="Arial" w:cs="Arial" w:eastAsia="Arial" w:hAnsi="Arial"/>
                  <w:sz w:val="18"/>
                  <w:szCs w:val="18"/>
                  <w:color w:val="0000EE"/>
                  <w:w w:val="86"/>
                  <w:shd w:val="clear" w:color="auto" w:fill="CCEEFF"/>
                </w:rPr>
                <w:t>12, 2020).</w:t>
              </w:r>
            </w:hyperlink>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*10.7</w:t>
            </w:r>
          </w:p>
        </w:tc>
        <w:tc>
          <w:tcPr>
            <w:tcW w:w="6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Form of Deed of Indemnity of Weatherford International Ltd entered into by each director</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Exhibit 10.12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of Weatherford International plc and each of the following executive officers of</w:t>
              </w:r>
            </w:hyperlink>
          </w:p>
        </w:tc>
        <w:tc>
          <w:tcPr>
            <w:tcW w:w="840" w:type="dxa"/>
            <w:vAlign w:val="bottom"/>
            <w:tcBorders>
              <w:bottom w:val="single" w:sz="8" w:color="CCEEFF"/>
            </w:tcBorders>
            <w:gridSpan w:val="8"/>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Weatherford International plc: Scott C. Weatherholt (July 23, 2020), H. Keith Jennings</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tcBorders>
              <w:bottom w:val="single" w:sz="8" w:color="CCEEFF"/>
            </w:tcBorders>
            <w:shd w:val="clear" w:color="auto" w:fill="CCEEFF"/>
          </w:tcPr>
          <w:p>
            <w:pPr>
              <w:spacing w:after="0"/>
              <w:rPr>
                <w:sz w:val="17"/>
                <w:szCs w:val="17"/>
                <w:color w:val="auto"/>
              </w:rPr>
            </w:pPr>
          </w:p>
        </w:tc>
      </w:tr>
      <w:tr>
        <w:trPr>
          <w:trHeight w:val="217"/>
        </w:trPr>
        <w:tc>
          <w:tcPr>
            <w:tcW w:w="1040" w:type="dxa"/>
            <w:vAlign w:val="bottom"/>
            <w:shd w:val="clear" w:color="auto" w:fill="CCEEFF"/>
          </w:tcPr>
          <w:p>
            <w:pPr>
              <w:spacing w:after="0"/>
              <w:rPr>
                <w:sz w:val="18"/>
                <w:szCs w:val="18"/>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(September 18, 2020) and Girishchandra K. Saligram (October 12, 2020).</w:t>
              </w:r>
            </w:hyperlink>
          </w:p>
        </w:tc>
        <w:tc>
          <w:tcPr>
            <w:tcW w:w="268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*10.8</w:t>
            </w:r>
          </w:p>
        </w:tc>
        <w:tc>
          <w:tcPr>
            <w:tcW w:w="626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Form of Change in Control Agreement entered into by each of the following executive</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2"/>
              </w:rPr>
              <w:t>Exhibit 10.1 of the Company’s</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officers of Weatherford International plc: Karl Blanchard (August 21, 2017) and Stuart</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Fraser (April 15, 2018).</w:t>
              </w:r>
            </w:hyperlink>
          </w:p>
        </w:tc>
        <w:tc>
          <w:tcPr>
            <w:tcW w:w="300" w:type="dxa"/>
            <w:vAlign w:val="bottom"/>
            <w:tcBorders>
              <w:top w:val="single" w:sz="8" w:color="CCEEFF"/>
            </w:tcBorders>
            <w:gridSpan w:val="5"/>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December 15, 2016</w:t>
            </w:r>
          </w:p>
        </w:tc>
        <w:tc>
          <w:tcPr>
            <w:tcW w:w="960" w:type="dxa"/>
            <w:vAlign w:val="bottom"/>
            <w:tcBorders>
              <w:top w:val="single" w:sz="8" w:color="CCEEFF"/>
            </w:tcBorders>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*10.9</w:t>
            </w:r>
          </w:p>
        </w:tc>
        <w:tc>
          <w:tcPr>
            <w:tcW w:w="5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Form of Amendment to Change in Control Agreement entered into by each of the</w:t>
              </w:r>
            </w:hyperlink>
          </w:p>
        </w:tc>
        <w:tc>
          <w:tcPr>
            <w:tcW w:w="680" w:type="dxa"/>
            <w:vAlign w:val="bottom"/>
            <w:tcBorders>
              <w:bottom w:val="single" w:sz="8" w:color="CCEEFF"/>
            </w:tcBorders>
            <w:gridSpan w:val="6"/>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10.7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following executive officers of Weatherford International plc: Karl Blanchard and Stuart</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Company’s Quarterly</w:t>
            </w:r>
          </w:p>
        </w:tc>
        <w:tc>
          <w:tcPr>
            <w:tcW w:w="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36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Fraser, each such amendment effective as of December 13, 2019.</w:t>
              </w:r>
            </w:hyperlink>
          </w:p>
        </w:tc>
        <w:tc>
          <w:tcPr>
            <w:tcW w:w="200" w:type="dxa"/>
            <w:vAlign w:val="bottom"/>
            <w:tcBorders>
              <w:top w:val="single" w:sz="8" w:color="CCEEFF"/>
            </w:tcBorders>
            <w:gridSpan w:val="4"/>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Report on Form 10-Q</w:t>
            </w:r>
          </w:p>
        </w:tc>
        <w:tc>
          <w:tcPr>
            <w:tcW w:w="960" w:type="dxa"/>
            <w:vAlign w:val="bottom"/>
            <w:tcBorders>
              <w:top w:val="single" w:sz="8" w:color="CCEEFF"/>
            </w:tcBorders>
            <w:shd w:val="clear" w:color="auto" w:fill="CCEEFF"/>
          </w:tcPr>
          <w:p>
            <w:pPr>
              <w:spacing w:after="0"/>
              <w:rPr>
                <w:sz w:val="17"/>
                <w:szCs w:val="17"/>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for the quarter ended</w:t>
            </w:r>
          </w:p>
        </w:tc>
        <w:tc>
          <w:tcPr>
            <w:tcW w:w="960" w:type="dxa"/>
            <w:vAlign w:val="bottom"/>
            <w:tcBorders>
              <w:top w:val="single" w:sz="8" w:color="CCEEFF"/>
            </w:tcBorders>
            <w:shd w:val="clear" w:color="auto" w:fill="CCEEFF"/>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August 14,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*10.10</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Weatherford International Change in Control Severance Plan.</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*10.11</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2019 Executive Bonus Plan.</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99.1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6"/>
              </w:rPr>
              <w:t>filed April 2, 2019</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*10.12</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Form of Retention Award.</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99.2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Company’s Form 8-K filed</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2, 2019</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*10.13</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Executive Non-Equity Incentive Compensation Plan (as Amended and Restated).</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filed April 15, 2020</w:t>
            </w:r>
          </w:p>
        </w:tc>
        <w:tc>
          <w:tcPr>
            <w:tcW w:w="960" w:type="dxa"/>
            <w:vAlign w:val="bottom"/>
            <w:shd w:val="clear" w:color="auto" w:fill="CCEEFF"/>
          </w:tcPr>
          <w:p>
            <w:pPr>
              <w:spacing w:after="0"/>
              <w:rPr>
                <w:sz w:val="20"/>
                <w:szCs w:val="20"/>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6"/>
          </w:tcPr>
          <w:p>
            <w:pPr>
              <w:ind w:left="4480"/>
              <w:spacing w:after="0"/>
              <w:rPr>
                <w:sz w:val="20"/>
                <w:szCs w:val="20"/>
                <w:color w:val="auto"/>
              </w:rPr>
            </w:pPr>
            <w:r>
              <w:rPr>
                <w:rFonts w:ascii="Arial" w:cs="Arial" w:eastAsia="Arial" w:hAnsi="Arial"/>
                <w:sz w:val="18"/>
                <w:szCs w:val="18"/>
                <w:color w:val="auto"/>
                <w:w w:val="89"/>
              </w:rPr>
              <w:t>61</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*10.14</w:t>
            </w:r>
          </w:p>
        </w:tc>
        <w:tc>
          <w:tcPr>
            <w:tcW w:w="64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Weatherford International plc Second Amended and Restated 2019 Equity Incentive Plan,</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Exhibit 10.6 of the</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820" w:type="dxa"/>
            <w:vAlign w:val="bottom"/>
            <w:gridSpan w:val="8"/>
            <w:shd w:val="clear" w:color="auto" w:fill="CCEEFF"/>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dated October 30, 2020.</w:t>
              </w:r>
            </w:hyperlink>
          </w:p>
        </w:tc>
        <w:tc>
          <w:tcPr>
            <w:tcW w:w="2420" w:type="dxa"/>
            <w:vAlign w:val="bottom"/>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92"/>
              </w:rPr>
              <w:t>Company’s Quarterly</w:t>
            </w:r>
          </w:p>
        </w:tc>
        <w:tc>
          <w:tcPr>
            <w:tcW w:w="9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1-36504</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Report on Form 10-Q</w:t>
            </w:r>
          </w:p>
        </w:tc>
        <w:tc>
          <w:tcPr>
            <w:tcW w:w="960" w:type="dxa"/>
            <w:vAlign w:val="bottom"/>
            <w:tcBorders>
              <w:top w:val="single" w:sz="8" w:color="CCEEFF"/>
            </w:tcBorders>
            <w:shd w:val="clear" w:color="auto" w:fill="CCEEFF"/>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September 30, 2020 filed</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*10.15</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Form of Restricted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10.3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*10.16</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Form of Performance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10.4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*10.17</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Form of Restricted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*10.18</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Form of Performance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10.3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*10.19</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Form of Phantom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10.4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392"/>
        </w:trPr>
        <w:tc>
          <w:tcPr>
            <w:tcW w:w="1040" w:type="dxa"/>
            <w:vAlign w:val="bottom"/>
          </w:tcPr>
          <w:p>
            <w:pPr>
              <w:jc w:val="right"/>
              <w:ind w:right="250"/>
              <w:spacing w:after="0"/>
              <w:rPr>
                <w:sz w:val="20"/>
                <w:szCs w:val="20"/>
                <w:color w:val="auto"/>
              </w:rPr>
            </w:pPr>
            <w:r>
              <w:rPr>
                <w:rFonts w:ascii="Arial" w:cs="Arial" w:eastAsia="Arial" w:hAnsi="Arial"/>
                <w:sz w:val="18"/>
                <w:szCs w:val="18"/>
                <w:color w:val="auto"/>
              </w:rPr>
              <w:t>*10.20</w:t>
            </w:r>
          </w:p>
        </w:tc>
        <w:tc>
          <w:tcPr>
            <w:tcW w:w="6820" w:type="dxa"/>
            <w:vAlign w:val="bottom"/>
            <w:gridSpan w:val="8"/>
          </w:tcPr>
          <w:p>
            <w:pPr>
              <w:spacing w:after="0"/>
              <w:rPr>
                <w:rFonts w:ascii="Arial" w:cs="Arial" w:eastAsia="Arial" w:hAnsi="Arial"/>
                <w:sz w:val="18"/>
                <w:szCs w:val="18"/>
                <w:color w:val="0000EE"/>
                <w:w w:val="96"/>
              </w:rPr>
            </w:pPr>
            <w:hyperlink r:id="rId131">
              <w:r>
                <w:rPr>
                  <w:rFonts w:ascii="Arial" w:cs="Arial" w:eastAsia="Arial" w:hAnsi="Arial"/>
                  <w:sz w:val="18"/>
                  <w:szCs w:val="18"/>
                  <w:color w:val="0000EE"/>
                  <w:w w:val="96"/>
                </w:rPr>
                <w:t>Amended and Restated Performance Share Unit Award Agreement - Girish K. Saligram,</w:t>
              </w:r>
            </w:hyperlink>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Exhibit 10.24 of the</w:t>
            </w:r>
          </w:p>
        </w:tc>
        <w:tc>
          <w:tcPr>
            <w:tcW w:w="960" w:type="dxa"/>
            <w:vAlign w:val="bottom"/>
          </w:tcPr>
          <w:p>
            <w:pPr>
              <w:ind w:left="280"/>
              <w:spacing w:after="0"/>
              <w:rPr>
                <w:sz w:val="20"/>
                <w:szCs w:val="20"/>
                <w:color w:val="auto"/>
              </w:rPr>
            </w:pPr>
            <w:r>
              <w:rPr>
                <w:rFonts w:ascii="Arial" w:cs="Arial" w:eastAsia="Arial" w:hAnsi="Arial"/>
                <w:sz w:val="18"/>
                <w:szCs w:val="18"/>
                <w:color w:val="auto"/>
              </w:rPr>
              <w:t>File No.</w:t>
            </w:r>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dated February 17, 2021.</w:t>
              </w:r>
            </w:hyperlink>
          </w:p>
        </w:tc>
        <w:tc>
          <w:tcPr>
            <w:tcW w:w="460" w:type="dxa"/>
            <w:vAlign w:val="bottom"/>
            <w:gridSpan w:val="2"/>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2"/>
              </w:rPr>
              <w:t>Company’s Annual</w:t>
            </w:r>
          </w:p>
        </w:tc>
        <w:tc>
          <w:tcPr>
            <w:tcW w:w="960" w:type="dxa"/>
            <w:vAlign w:val="bottom"/>
          </w:tcPr>
          <w:p>
            <w:pPr>
              <w:ind w:left="260"/>
              <w:spacing w:after="0" w:line="196" w:lineRule="exact"/>
              <w:rPr>
                <w:sz w:val="20"/>
                <w:szCs w:val="20"/>
                <w:color w:val="auto"/>
              </w:rPr>
            </w:pPr>
            <w:r>
              <w:rPr>
                <w:rFonts w:ascii="Arial" w:cs="Arial" w:eastAsia="Arial" w:hAnsi="Arial"/>
                <w:sz w:val="18"/>
                <w:szCs w:val="18"/>
                <w:color w:val="auto"/>
              </w:rPr>
              <w:t>1-65304</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2"/>
              </w:rPr>
              <w:t>Report on Form 10-K</w:t>
            </w:r>
          </w:p>
        </w:tc>
        <w:tc>
          <w:tcPr>
            <w:tcW w:w="96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for the year ended</w:t>
            </w: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22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8"/>
          <w:szCs w:val="18"/>
          <w:color w:val="auto"/>
        </w:rPr>
        <w:t>December 31, 2020</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filed March 16, 2020</w:t>
      </w:r>
    </w:p>
    <w:p>
      <w:pPr>
        <w:sectPr>
          <w:pgSz w:w="11900" w:h="16838" w:orient="portrait"/>
          <w:cols w:equalWidth="0" w:num="1">
            <w:col w:w="11240"/>
          </w:cols>
          <w:pgMar w:left="320" w:top="891" w:right="339" w:bottom="1440" w:gutter="0" w:footer="0" w:header="0"/>
        </w:sectPr>
      </w:pPr>
    </w:p>
    <w:p>
      <w:pPr>
        <w:spacing w:after="0" w:line="211"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33">
        <w:r>
          <w:rPr>
            <w:rFonts w:ascii="Arial" w:cs="Arial" w:eastAsia="Arial" w:hAnsi="Arial"/>
            <w:sz w:val="16"/>
            <w:szCs w:val="16"/>
            <w:u w:val="single" w:color="auto"/>
            <w:color w:val="0000EE"/>
          </w:rPr>
          <w:t>Weatherford International plc Short-Term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ind w:right="270"/>
              <w:spacing w:after="0"/>
              <w:rPr>
                <w:sz w:val="20"/>
                <w:szCs w:val="20"/>
                <w:color w:val="auto"/>
              </w:rPr>
            </w:pPr>
            <w:r>
              <w:rPr>
                <w:rFonts w:ascii="Arial" w:cs="Arial" w:eastAsia="Arial" w:hAnsi="Arial"/>
                <w:sz w:val="18"/>
                <w:szCs w:val="18"/>
                <w:color w:val="auto"/>
                <w:w w:val="92"/>
              </w:rPr>
              <w:t>Exhibit 10.1 of the</w:t>
            </w:r>
          </w:p>
        </w:tc>
        <w:tc>
          <w:tcPr>
            <w:tcW w:w="920" w:type="dxa"/>
            <w:vAlign w:val="bottom"/>
          </w:tcPr>
          <w:p>
            <w:pPr>
              <w:ind w:left="340"/>
              <w:spacing w:after="0"/>
              <w:rPr>
                <w:sz w:val="20"/>
                <w:szCs w:val="20"/>
                <w:color w:val="auto"/>
              </w:rPr>
            </w:pPr>
            <w:r>
              <w:rPr>
                <w:rFonts w:ascii="Arial" w:cs="Arial" w:eastAsia="Arial" w:hAnsi="Arial"/>
                <w:sz w:val="18"/>
                <w:szCs w:val="18"/>
                <w:color w:val="auto"/>
                <w:w w:val="90"/>
              </w:rPr>
              <w:t>File No.</w:t>
            </w:r>
          </w:p>
        </w:tc>
      </w:tr>
      <w:tr>
        <w:trPr>
          <w:trHeight w:val="216"/>
        </w:trPr>
        <w:tc>
          <w:tcPr>
            <w:tcW w:w="1860" w:type="dxa"/>
            <w:vAlign w:val="bottom"/>
          </w:tcPr>
          <w:p>
            <w:pPr>
              <w:jc w:val="center"/>
              <w:ind w:right="270"/>
              <w:spacing w:after="0"/>
              <w:rPr>
                <w:sz w:val="20"/>
                <w:szCs w:val="20"/>
                <w:color w:val="auto"/>
              </w:rPr>
            </w:pPr>
            <w:r>
              <w:rPr>
                <w:rFonts w:ascii="Arial" w:cs="Arial" w:eastAsia="Arial" w:hAnsi="Arial"/>
                <w:sz w:val="18"/>
                <w:szCs w:val="18"/>
                <w:color w:val="auto"/>
                <w:w w:val="91"/>
              </w:rPr>
              <w:t>Company’s Current</w:t>
            </w:r>
          </w:p>
        </w:tc>
        <w:tc>
          <w:tcPr>
            <w:tcW w:w="920" w:type="dxa"/>
            <w:vAlign w:val="bottom"/>
          </w:tcPr>
          <w:p>
            <w:pPr>
              <w:ind w:left="320"/>
              <w:spacing w:after="0"/>
              <w:rPr>
                <w:sz w:val="20"/>
                <w:szCs w:val="20"/>
                <w:color w:val="auto"/>
              </w:rPr>
            </w:pPr>
            <w:r>
              <w:rPr>
                <w:rFonts w:ascii="Arial" w:cs="Arial" w:eastAsia="Arial" w:hAnsi="Arial"/>
                <w:sz w:val="18"/>
                <w:szCs w:val="18"/>
                <w:color w:val="auto"/>
                <w:w w:val="87"/>
              </w:rPr>
              <w:t>1-36504</w:t>
            </w:r>
          </w:p>
        </w:tc>
      </w:tr>
      <w:tr>
        <w:trPr>
          <w:trHeight w:val="216"/>
        </w:trPr>
        <w:tc>
          <w:tcPr>
            <w:tcW w:w="1860" w:type="dxa"/>
            <w:vAlign w:val="bottom"/>
          </w:tcPr>
          <w:p>
            <w:pPr>
              <w:jc w:val="center"/>
              <w:ind w:right="250"/>
              <w:spacing w:after="0"/>
              <w:rPr>
                <w:sz w:val="20"/>
                <w:szCs w:val="20"/>
                <w:color w:val="auto"/>
              </w:rPr>
            </w:pPr>
            <w:r>
              <w:rPr>
                <w:rFonts w:ascii="Arial" w:cs="Arial" w:eastAsia="Arial" w:hAnsi="Arial"/>
                <w:sz w:val="18"/>
                <w:szCs w:val="18"/>
                <w:color w:val="auto"/>
                <w:w w:val="93"/>
              </w:rPr>
              <w:t>Report on Form 8-K</w:t>
            </w:r>
          </w:p>
        </w:tc>
        <w:tc>
          <w:tcPr>
            <w:tcW w:w="920" w:type="dxa"/>
            <w:vAlign w:val="bottom"/>
          </w:tcPr>
          <w:p>
            <w:pPr>
              <w:spacing w:after="0"/>
              <w:rPr>
                <w:sz w:val="18"/>
                <w:szCs w:val="18"/>
                <w:color w:val="auto"/>
              </w:rPr>
            </w:pPr>
          </w:p>
        </w:tc>
      </w:tr>
      <w:tr>
        <w:trPr>
          <w:trHeight w:val="230"/>
        </w:trPr>
        <w:tc>
          <w:tcPr>
            <w:tcW w:w="1860" w:type="dxa"/>
            <w:vAlign w:val="bottom"/>
          </w:tcPr>
          <w:p>
            <w:pPr>
              <w:jc w:val="center"/>
              <w:ind w:right="250"/>
              <w:spacing w:after="0"/>
              <w:rPr>
                <w:sz w:val="20"/>
                <w:szCs w:val="20"/>
                <w:color w:val="auto"/>
              </w:rPr>
            </w:pPr>
            <w:r>
              <w:rPr>
                <w:rFonts w:ascii="Arial" w:cs="Arial" w:eastAsia="Arial" w:hAnsi="Arial"/>
                <w:sz w:val="18"/>
                <w:szCs w:val="18"/>
                <w:color w:val="auto"/>
                <w:w w:val="90"/>
              </w:rPr>
              <w:t>filed January 8, 2021</w:t>
            </w:r>
          </w:p>
        </w:tc>
        <w:tc>
          <w:tcPr>
            <w:tcW w:w="9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891" w:right="339" w:bottom="1440" w:gutter="0" w:footer="0" w:header="0"/>
          <w:type w:val="continuous"/>
        </w:sectPr>
      </w:pPr>
    </w:p>
    <w:p>
      <w:pPr>
        <w:spacing w:after="0" w:line="2" w:lineRule="exact"/>
        <w:rPr>
          <w:sz w:val="20"/>
          <w:szCs w:val="20"/>
          <w:color w:val="auto"/>
        </w:rPr>
      </w:pPr>
    </w:p>
    <w:p>
      <w:pPr>
        <w:ind w:left="2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35">
        <w:r>
          <w:rPr>
            <w:rFonts w:ascii="Arial" w:cs="Arial" w:eastAsia="Arial" w:hAnsi="Arial"/>
            <w:sz w:val="16"/>
            <w:szCs w:val="16"/>
            <w:u w:val="single" w:color="auto"/>
            <w:color w:val="0000EE"/>
          </w:rPr>
          <w:t>Weatherford International plc 2020 Long-Term Cash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jc w:val="center"/>
              <w:ind w:right="270"/>
              <w:spacing w:after="0"/>
              <w:rPr>
                <w:sz w:val="20"/>
                <w:szCs w:val="20"/>
                <w:color w:val="auto"/>
              </w:rPr>
            </w:pPr>
            <w:r>
              <w:rPr>
                <w:rFonts w:ascii="Arial" w:cs="Arial" w:eastAsia="Arial" w:hAnsi="Arial"/>
                <w:sz w:val="18"/>
                <w:szCs w:val="18"/>
                <w:color w:val="auto"/>
                <w:w w:val="92"/>
              </w:rPr>
              <w:t>Exhibit 10.1 of the</w:t>
            </w:r>
          </w:p>
        </w:tc>
        <w:tc>
          <w:tcPr>
            <w:tcW w:w="940" w:type="dxa"/>
            <w:vAlign w:val="bottom"/>
          </w:tcPr>
          <w:p>
            <w:pPr>
              <w:ind w:left="360"/>
              <w:spacing w:after="0"/>
              <w:rPr>
                <w:sz w:val="20"/>
                <w:szCs w:val="20"/>
                <w:color w:val="auto"/>
              </w:rPr>
            </w:pPr>
            <w:r>
              <w:rPr>
                <w:rFonts w:ascii="Arial" w:cs="Arial" w:eastAsia="Arial" w:hAnsi="Arial"/>
                <w:sz w:val="18"/>
                <w:szCs w:val="18"/>
                <w:color w:val="auto"/>
                <w:w w:val="90"/>
              </w:rPr>
              <w:t>File No.</w:t>
            </w:r>
          </w:p>
        </w:tc>
      </w:tr>
      <w:tr>
        <w:trPr>
          <w:trHeight w:val="216"/>
        </w:trPr>
        <w:tc>
          <w:tcPr>
            <w:tcW w:w="1820" w:type="dxa"/>
            <w:vAlign w:val="bottom"/>
          </w:tcPr>
          <w:p>
            <w:pPr>
              <w:jc w:val="center"/>
              <w:ind w:right="270"/>
              <w:spacing w:after="0"/>
              <w:rPr>
                <w:sz w:val="20"/>
                <w:szCs w:val="20"/>
                <w:color w:val="auto"/>
              </w:rPr>
            </w:pPr>
            <w:r>
              <w:rPr>
                <w:rFonts w:ascii="Arial" w:cs="Arial" w:eastAsia="Arial" w:hAnsi="Arial"/>
                <w:sz w:val="18"/>
                <w:szCs w:val="18"/>
                <w:color w:val="auto"/>
                <w:w w:val="91"/>
              </w:rPr>
              <w:t>Company’s Current</w:t>
            </w:r>
          </w:p>
        </w:tc>
        <w:tc>
          <w:tcPr>
            <w:tcW w:w="940" w:type="dxa"/>
            <w:vAlign w:val="bottom"/>
          </w:tcPr>
          <w:p>
            <w:pPr>
              <w:ind w:left="340"/>
              <w:spacing w:after="0"/>
              <w:rPr>
                <w:sz w:val="20"/>
                <w:szCs w:val="20"/>
                <w:color w:val="auto"/>
              </w:rPr>
            </w:pPr>
            <w:r>
              <w:rPr>
                <w:rFonts w:ascii="Arial" w:cs="Arial" w:eastAsia="Arial" w:hAnsi="Arial"/>
                <w:sz w:val="18"/>
                <w:szCs w:val="18"/>
                <w:color w:val="auto"/>
                <w:w w:val="87"/>
              </w:rPr>
              <w:t>1-36504</w:t>
            </w:r>
          </w:p>
        </w:tc>
      </w:tr>
      <w:tr>
        <w:trPr>
          <w:trHeight w:val="216"/>
        </w:trPr>
        <w:tc>
          <w:tcPr>
            <w:tcW w:w="1820" w:type="dxa"/>
            <w:vAlign w:val="bottom"/>
          </w:tcPr>
          <w:p>
            <w:pPr>
              <w:jc w:val="center"/>
              <w:ind w:right="250"/>
              <w:spacing w:after="0"/>
              <w:rPr>
                <w:sz w:val="20"/>
                <w:szCs w:val="20"/>
                <w:color w:val="auto"/>
              </w:rPr>
            </w:pPr>
            <w:r>
              <w:rPr>
                <w:rFonts w:ascii="Arial" w:cs="Arial" w:eastAsia="Arial" w:hAnsi="Arial"/>
                <w:sz w:val="18"/>
                <w:szCs w:val="18"/>
                <w:color w:val="auto"/>
                <w:w w:val="93"/>
              </w:rPr>
              <w:t>Report on Form 8-K</w:t>
            </w:r>
          </w:p>
        </w:tc>
        <w:tc>
          <w:tcPr>
            <w:tcW w:w="940" w:type="dxa"/>
            <w:vAlign w:val="bottom"/>
          </w:tcPr>
          <w:p>
            <w:pPr>
              <w:spacing w:after="0"/>
              <w:rPr>
                <w:sz w:val="18"/>
                <w:szCs w:val="18"/>
                <w:color w:val="auto"/>
              </w:rPr>
            </w:pPr>
          </w:p>
        </w:tc>
      </w:tr>
      <w:tr>
        <w:trPr>
          <w:trHeight w:val="230"/>
        </w:trPr>
        <w:tc>
          <w:tcPr>
            <w:tcW w:w="1820" w:type="dxa"/>
            <w:vAlign w:val="bottom"/>
          </w:tcPr>
          <w:p>
            <w:pPr>
              <w:jc w:val="center"/>
              <w:ind w:right="270"/>
              <w:spacing w:after="0"/>
              <w:rPr>
                <w:sz w:val="20"/>
                <w:szCs w:val="20"/>
                <w:color w:val="auto"/>
              </w:rPr>
            </w:pPr>
            <w:r>
              <w:rPr>
                <w:rFonts w:ascii="Arial" w:cs="Arial" w:eastAsia="Arial" w:hAnsi="Arial"/>
                <w:sz w:val="18"/>
                <w:szCs w:val="18"/>
                <w:color w:val="auto"/>
                <w:w w:val="95"/>
              </w:rPr>
              <w:t>filed April 24, 2020</w:t>
            </w:r>
          </w:p>
        </w:tc>
        <w:tc>
          <w:tcPr>
            <w:tcW w:w="940" w:type="dxa"/>
            <w:vAlign w:val="bottom"/>
          </w:tcPr>
          <w:p>
            <w:pPr>
              <w:spacing w:after="0"/>
              <w:rPr>
                <w:sz w:val="20"/>
                <w:szCs w:val="20"/>
                <w:color w:val="auto"/>
              </w:rPr>
            </w:pPr>
          </w:p>
        </w:tc>
      </w:tr>
    </w:tbl>
    <w:p>
      <w:pPr>
        <w:spacing w:after="0" w:line="185" w:lineRule="exact"/>
        <w:rPr>
          <w:sz w:val="20"/>
          <w:szCs w:val="20"/>
          <w:color w:val="auto"/>
        </w:rPr>
      </w:pPr>
    </w:p>
    <w:p>
      <w:pPr>
        <w:sectPr>
          <w:pgSz w:w="11900" w:h="16838" w:orient="portrait"/>
          <w:cols w:equalWidth="0" w:num="2">
            <w:col w:w="7660" w:space="720"/>
            <w:col w:w="28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w:t>
            </w:r>
          </w:p>
        </w:tc>
        <w:tc>
          <w:tcPr>
            <w:tcW w:w="4400" w:type="dxa"/>
            <w:vAlign w:val="bottom"/>
            <w:gridSpan w:val="2"/>
            <w:shd w:val="clear" w:color="auto" w:fill="CCEEFF"/>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Form of Long-Term Cash Incentive Plan Award Agreement.</w:t>
              </w:r>
            </w:hyperlink>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4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5"/>
              </w:rPr>
              <w:t>filed April 24,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*10.24</w:t>
            </w:r>
          </w:p>
        </w:tc>
        <w:tc>
          <w:tcPr>
            <w:tcW w:w="4400" w:type="dxa"/>
            <w:vAlign w:val="bottom"/>
            <w:gridSpan w:val="2"/>
            <w:shd w:val="clear" w:color="auto" w:fill="CCEEFF"/>
          </w:tcPr>
          <w:p>
            <w:pPr>
              <w:spacing w:after="0" w:line="17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Form of Long-Term Cash Incentive Plan Award Agreement.</w:t>
              </w:r>
            </w:hyperlink>
          </w:p>
        </w:tc>
        <w:tc>
          <w:tcPr>
            <w:tcW w:w="4840" w:type="dxa"/>
            <w:vAlign w:val="bottom"/>
            <w:shd w:val="clear" w:color="auto" w:fill="CCEEFF"/>
          </w:tcPr>
          <w:p>
            <w:pPr>
              <w:jc w:val="center"/>
              <w:ind w:left="2410"/>
              <w:spacing w:after="0" w:line="176" w:lineRule="exact"/>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4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449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type w:val="continuous"/>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10.25</w:t>
            </w:r>
          </w:p>
        </w:tc>
        <w:tc>
          <w:tcPr>
            <w:tcW w:w="6580" w:type="dxa"/>
            <w:vAlign w:val="bottom"/>
            <w:gridSpan w:val="23"/>
            <w:shd w:val="clear" w:color="auto" w:fill="CCEEFF"/>
          </w:tcPr>
          <w:p>
            <w:pPr>
              <w:spacing w:after="0"/>
              <w:rPr>
                <w:rFonts w:ascii="Arial" w:cs="Arial" w:eastAsia="Arial" w:hAnsi="Arial"/>
                <w:sz w:val="18"/>
                <w:szCs w:val="18"/>
                <w:color w:val="0000EE"/>
              </w:rPr>
            </w:pPr>
            <w:hyperlink r:id="rId138">
              <w:r>
                <w:rPr>
                  <w:rFonts w:ascii="Arial" w:cs="Arial" w:eastAsia="Arial" w:hAnsi="Arial"/>
                  <w:sz w:val="18"/>
                  <w:szCs w:val="18"/>
                  <w:color w:val="0000EE"/>
                </w:rPr>
                <w:t>ABL Credit Agreement, dated December 13, 2019, by and among Weatherford</w:t>
              </w:r>
            </w:hyperlink>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10.1 of the</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International Ltd., Weatherford International plc, Weatherford International LLC, Wells</w:t>
              </w:r>
            </w:hyperlink>
          </w:p>
        </w:tc>
        <w:tc>
          <w:tcPr>
            <w:tcW w:w="280" w:type="dxa"/>
            <w:vAlign w:val="bottom"/>
            <w:tcBorders>
              <w:bottom w:val="single" w:sz="8" w:color="CCEEFF"/>
            </w:tcBorders>
            <w:gridSpan w:val="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Fargo Bank, N.A. and the lenders party thereto from time to time.</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10.26</w:t>
            </w:r>
          </w:p>
        </w:tc>
        <w:tc>
          <w:tcPr>
            <w:tcW w:w="6580" w:type="dxa"/>
            <w:vAlign w:val="bottom"/>
            <w:gridSpan w:val="23"/>
            <w:shd w:val="clear" w:color="auto" w:fill="CCEEFF"/>
          </w:tcPr>
          <w:p>
            <w:pPr>
              <w:spacing w:after="0" w:line="17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LC Credit Agreement, dated December 13, 2019 (as amended by Amendment No.1, dated</w:t>
              </w:r>
            </w:hyperlink>
          </w:p>
        </w:tc>
        <w:tc>
          <w:tcPr>
            <w:tcW w:w="2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48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August 28, 2020), by and among Weatherford International Ltd., Weatherford</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International plc, Weatherford International LLC, Deutsche Bank Trust Company</w:t>
              </w:r>
            </w:hyperlink>
          </w:p>
        </w:tc>
        <w:tc>
          <w:tcPr>
            <w:tcW w:w="720" w:type="dxa"/>
            <w:vAlign w:val="bottom"/>
            <w:tcBorders>
              <w:bottom w:val="single" w:sz="8" w:color="CCEEFF"/>
            </w:tcBorders>
            <w:gridSpan w:val="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Americas and the lenders party thereto from time to time.</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10.27</w:t>
            </w:r>
          </w:p>
        </w:tc>
        <w:tc>
          <w:tcPr>
            <w:tcW w:w="61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Amendment No. 1 to LC Credit Agreement and Amendment No. 1. To U.S. Security</w:t>
              </w:r>
            </w:hyperlink>
          </w:p>
        </w:tc>
        <w:tc>
          <w:tcPr>
            <w:tcW w:w="480" w:type="dxa"/>
            <w:vAlign w:val="bottom"/>
            <w:tcBorders>
              <w:bottom w:val="single" w:sz="8" w:color="CCEEFF"/>
            </w:tcBorders>
            <w:gridSpan w:val="7"/>
            <w:shd w:val="clear" w:color="auto" w:fill="CCEEFF"/>
          </w:tcPr>
          <w:p>
            <w:pPr>
              <w:spacing w:after="0"/>
              <w:rPr>
                <w:sz w:val="15"/>
                <w:szCs w:val="15"/>
                <w:color w:val="auto"/>
              </w:rPr>
            </w:pPr>
          </w:p>
        </w:tc>
        <w:tc>
          <w:tcPr>
            <w:tcW w:w="26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1000" w:type="dxa"/>
            <w:vAlign w:val="bottom"/>
            <w:tcBorders>
              <w:bottom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Agreement, dated August 28, 2020, by and among Weatherford International Ltd.,</w:t>
              </w:r>
            </w:hyperlink>
          </w:p>
        </w:tc>
        <w:tc>
          <w:tcPr>
            <w:tcW w:w="66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Weatherford International plc, Weatherford International LLC, the other guarantors of the</w:t>
              </w:r>
            </w:hyperlink>
          </w:p>
        </w:tc>
        <w:tc>
          <w:tcPr>
            <w:tcW w:w="14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50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LC Credit Agreement, Deutsche Bank Trust Company Americas and the lenders under the</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filed August 28, 2020</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LC Credit Agreement.</w:t>
              </w:r>
            </w:hyperlink>
          </w:p>
        </w:tc>
        <w:tc>
          <w:tcPr>
            <w:tcW w:w="2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10.28</w:t>
            </w:r>
          </w:p>
        </w:tc>
        <w:tc>
          <w:tcPr>
            <w:tcW w:w="6580" w:type="dxa"/>
            <w:vAlign w:val="bottom"/>
            <w:gridSpan w:val="23"/>
            <w:shd w:val="clear" w:color="auto" w:fill="CCEEFF"/>
          </w:tcPr>
          <w:p>
            <w:pPr>
              <w:spacing w:after="0" w:line="17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Intercreditor Agreement, dated December 13, 2019, by and among Wells Fargo Bank,</w:t>
              </w:r>
            </w:hyperlink>
          </w:p>
        </w:tc>
        <w:tc>
          <w:tcPr>
            <w:tcW w:w="2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N.A., Deutsche Bank Trust Company Americas, Weatherford International plc and the</w:t>
              </w:r>
            </w:hyperlink>
          </w:p>
        </w:tc>
        <w:tc>
          <w:tcPr>
            <w:tcW w:w="320" w:type="dxa"/>
            <w:vAlign w:val="bottom"/>
            <w:tcBorders>
              <w:bottom w:val="single" w:sz="8" w:color="CCEEFF"/>
            </w:tcBorders>
            <w:gridSpan w:val="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grantors party there to from time to time.</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10.29</w:t>
            </w:r>
          </w:p>
        </w:tc>
        <w:tc>
          <w:tcPr>
            <w:tcW w:w="6580" w:type="dxa"/>
            <w:vAlign w:val="bottom"/>
            <w:gridSpan w:val="23"/>
            <w:shd w:val="clear" w:color="auto" w:fill="CCEEFF"/>
          </w:tcPr>
          <w:p>
            <w:pPr>
              <w:spacing w:after="0" w:line="17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Intercreditor Agreement, dated August 28, 2020, by and among Deutsche Bank Trust</w:t>
              </w:r>
            </w:hyperlink>
          </w:p>
        </w:tc>
        <w:tc>
          <w:tcPr>
            <w:tcW w:w="2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tcBorders>
              <w:right w:val="single" w:sz="8" w:color="CCEEFF"/>
            </w:tcBorders>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w w:val="95"/>
              </w:rPr>
            </w:pPr>
            <w:hyperlink r:id="rId142">
              <w:r>
                <w:rPr>
                  <w:rFonts w:ascii="Arial" w:cs="Arial" w:eastAsia="Arial" w:hAnsi="Arial"/>
                  <w:sz w:val="18"/>
                  <w:szCs w:val="18"/>
                  <w:color w:val="0000EE"/>
                  <w:w w:val="95"/>
                </w:rPr>
                <w:t>Company Americas, Wilmington Trust National Association, BTA Institutional Services</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6260" w:type="dxa"/>
            <w:vAlign w:val="bottom"/>
            <w:tcBorders>
              <w:top w:val="single" w:sz="8" w:color="0000EE"/>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Australia Limited, Weatherford International plc and the grantors parties there to from</w:t>
              </w:r>
            </w:hyperlink>
          </w:p>
        </w:tc>
        <w:tc>
          <w:tcPr>
            <w:tcW w:w="1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6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580" w:type="dxa"/>
            <w:vAlign w:val="bottom"/>
            <w:gridSpan w:val="23"/>
            <w:shd w:val="clear" w:color="auto" w:fill="CCEEFF"/>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time to time.</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filed August 28, 2020</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10.30</w:t>
            </w:r>
          </w:p>
        </w:tc>
        <w:tc>
          <w:tcPr>
            <w:tcW w:w="658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Warrant Agreement by and between Weatherford International plc and American Stock</w:t>
              </w:r>
            </w:hyperlink>
          </w:p>
        </w:tc>
        <w:tc>
          <w:tcPr>
            <w:tcW w:w="2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10.4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Transfer &amp; Trust Company, LLC, dated December 13, 2019.</w:t>
              </w:r>
            </w:hyperlink>
          </w:p>
        </w:tc>
        <w:tc>
          <w:tcPr>
            <w:tcW w:w="320" w:type="dxa"/>
            <w:vAlign w:val="bottom"/>
            <w:tcBorders>
              <w:top w:val="single" w:sz="8" w:color="CCEEFF"/>
            </w:tcBorders>
            <w:gridSpan w:val="6"/>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10.31</w:t>
            </w:r>
          </w:p>
        </w:tc>
        <w:tc>
          <w:tcPr>
            <w:tcW w:w="658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Registration Rights Agreement, dated December 13, 2019, by and among Weatherford</w:t>
              </w:r>
            </w:hyperlink>
          </w:p>
        </w:tc>
        <w:tc>
          <w:tcPr>
            <w:tcW w:w="2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10.5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International plc and certain stockholders thereto.</w:t>
              </w:r>
            </w:hyperlink>
          </w:p>
        </w:tc>
        <w:tc>
          <w:tcPr>
            <w:tcW w:w="320" w:type="dxa"/>
            <w:vAlign w:val="bottom"/>
            <w:tcBorders>
              <w:top w:val="single" w:sz="8" w:color="CCEEFF"/>
            </w:tcBorders>
            <w:gridSpan w:val="6"/>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*10.32</w:t>
            </w:r>
          </w:p>
        </w:tc>
        <w:tc>
          <w:tcPr>
            <w:tcW w:w="6580" w:type="dxa"/>
            <w:vAlign w:val="bottom"/>
            <w:gridSpan w:val="23"/>
            <w:shd w:val="clear" w:color="auto" w:fill="CCEEFF"/>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Offer Letter to Scott C. Weatherholt, dated July 8, 2020.</w:t>
              </w:r>
            </w:hyperlink>
          </w:p>
        </w:tc>
        <w:tc>
          <w:tcPr>
            <w:tcW w:w="262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Exhibit 10.36 of the Company’s</w:t>
            </w: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14"/>
        </w:trPr>
        <w:tc>
          <w:tcPr>
            <w:tcW w:w="10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0000EE"/>
            </w:tcBorders>
            <w:shd w:val="clear" w:color="auto" w:fill="CCEEFF"/>
          </w:tcPr>
          <w:p>
            <w:pPr>
              <w:spacing w:after="0"/>
              <w:rPr>
                <w:sz w:val="9"/>
                <w:szCs w:val="9"/>
                <w:color w:val="auto"/>
              </w:rPr>
            </w:pPr>
          </w:p>
        </w:tc>
        <w:tc>
          <w:tcPr>
            <w:tcW w:w="700" w:type="dxa"/>
            <w:vAlign w:val="bottom"/>
            <w:tcBorders>
              <w:top w:val="single" w:sz="8" w:color="0000EE"/>
            </w:tcBorders>
            <w:shd w:val="clear" w:color="auto" w:fill="CCEEFF"/>
          </w:tcPr>
          <w:p>
            <w:pPr>
              <w:spacing w:after="0"/>
              <w:rPr>
                <w:sz w:val="9"/>
                <w:szCs w:val="9"/>
                <w:color w:val="auto"/>
              </w:rPr>
            </w:pPr>
          </w:p>
        </w:tc>
        <w:tc>
          <w:tcPr>
            <w:tcW w:w="1340" w:type="dxa"/>
            <w:vAlign w:val="bottom"/>
            <w:tcBorders>
              <w:top w:val="single" w:sz="8" w:color="0000EE"/>
            </w:tcBorders>
            <w:shd w:val="clear" w:color="auto" w:fill="CCEEFF"/>
          </w:tcPr>
          <w:p>
            <w:pPr>
              <w:spacing w:after="0"/>
              <w:rPr>
                <w:sz w:val="9"/>
                <w:szCs w:val="9"/>
                <w:color w:val="auto"/>
              </w:rPr>
            </w:pPr>
          </w:p>
        </w:tc>
        <w:tc>
          <w:tcPr>
            <w:tcW w:w="620" w:type="dxa"/>
            <w:vAlign w:val="bottom"/>
            <w:tcBorders>
              <w:top w:val="single" w:sz="8" w:color="0000EE"/>
            </w:tcBorders>
            <w:shd w:val="clear" w:color="auto" w:fill="CCEEFF"/>
          </w:tcPr>
          <w:p>
            <w:pPr>
              <w:spacing w:after="0"/>
              <w:rPr>
                <w:sz w:val="9"/>
                <w:szCs w:val="9"/>
                <w:color w:val="auto"/>
              </w:rPr>
            </w:pPr>
          </w:p>
        </w:tc>
        <w:tc>
          <w:tcPr>
            <w:tcW w:w="480" w:type="dxa"/>
            <w:vAlign w:val="bottom"/>
            <w:tcBorders>
              <w:top w:val="single" w:sz="8" w:color="0000EE"/>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2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Annual Report on Form 10-K/A</w:t>
            </w:r>
          </w:p>
        </w:tc>
        <w:tc>
          <w:tcPr>
            <w:tcW w:w="100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20" w:type="dxa"/>
            <w:vAlign w:val="bottom"/>
            <w:vMerge w:val="continue"/>
            <w:shd w:val="clear" w:color="auto" w:fill="CCEEFF"/>
          </w:tcPr>
          <w:p>
            <w:pPr>
              <w:spacing w:after="0"/>
              <w:rPr>
                <w:sz w:val="9"/>
                <w:szCs w:val="9"/>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filed March 18, 2021</w:t>
            </w: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2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*10.33</w:t>
            </w:r>
          </w:p>
        </w:tc>
        <w:tc>
          <w:tcPr>
            <w:tcW w:w="6580" w:type="dxa"/>
            <w:vAlign w:val="bottom"/>
            <w:gridSpan w:val="23"/>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LTCIP Amended Award Agreement, adopted March 17, 2021.</w:t>
              </w:r>
            </w:hyperlink>
          </w:p>
        </w:tc>
        <w:tc>
          <w:tcPr>
            <w:tcW w:w="262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Exhibit 10.37 of the Company’s</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Annual Report on Form 10-K/A</w:t>
            </w:r>
          </w:p>
        </w:tc>
        <w:tc>
          <w:tcPr>
            <w:tcW w:w="1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March 18, 2021</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*10.34</w:t>
            </w:r>
          </w:p>
        </w:tc>
        <w:tc>
          <w:tcPr>
            <w:tcW w:w="6580" w:type="dxa"/>
            <w:vAlign w:val="bottom"/>
            <w:gridSpan w:val="23"/>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Offer Letter to Desmond Mills, dated February 24, 2021.</w:t>
              </w:r>
            </w:hyperlink>
          </w:p>
        </w:tc>
        <w:tc>
          <w:tcPr>
            <w:tcW w:w="262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Exhibit 10.7 of the Company’s</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Quarterly Report on Form 10-Q</w:t>
            </w:r>
          </w:p>
        </w:tc>
        <w:tc>
          <w:tcPr>
            <w:tcW w:w="1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May 6, 2021</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6"/>
              </w:rPr>
              <w:t>†*10.35</w:t>
            </w:r>
          </w:p>
        </w:tc>
        <w:tc>
          <w:tcPr>
            <w:tcW w:w="4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Offer Letter to Joseph Mongrain, dated March 11, 2021.</w:t>
              </w:r>
            </w:hyperlink>
          </w:p>
        </w:tc>
        <w:tc>
          <w:tcPr>
            <w:tcW w:w="2540" w:type="dxa"/>
            <w:vAlign w:val="bottom"/>
            <w:tcBorders>
              <w:bottom w:val="single" w:sz="8" w:color="CCEEFF"/>
            </w:tcBorders>
            <w:gridSpan w:val="1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6580" w:type="dxa"/>
            <w:vAlign w:val="bottom"/>
            <w:gridSpan w:val="2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Significant Subsidiaries of Weatherford International plc.</w:t>
              </w:r>
            </w:hyperlink>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2"/>
              </w:rPr>
              <w:t>Exhibit 21.1 of the Company’s</w:t>
            </w:r>
          </w:p>
        </w:tc>
        <w:tc>
          <w:tcPr>
            <w:tcW w:w="1000" w:type="dxa"/>
            <w:vAlign w:val="bottom"/>
            <w:vMerge w:val="restart"/>
          </w:tcPr>
          <w:p>
            <w:pPr>
              <w:ind w:left="200"/>
              <w:spacing w:after="0"/>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134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jc w:val="center"/>
              <w:ind w:right="30"/>
              <w:spacing w:after="0" w:line="131" w:lineRule="exact"/>
              <w:rPr>
                <w:sz w:val="20"/>
                <w:szCs w:val="20"/>
                <w:color w:val="auto"/>
              </w:rPr>
            </w:pPr>
            <w:r>
              <w:rPr>
                <w:rFonts w:ascii="Arial" w:cs="Arial" w:eastAsia="Arial" w:hAnsi="Arial"/>
                <w:sz w:val="15"/>
                <w:szCs w:val="15"/>
                <w:color w:val="auto"/>
              </w:rPr>
              <w:t>Annual Report on Form 10-K</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100" w:type="dxa"/>
            <w:vAlign w:val="bottom"/>
            <w:vMerge w:val="restart"/>
          </w:tcPr>
          <w:p>
            <w:pPr>
              <w:jc w:val="right"/>
              <w:ind w:right="270"/>
              <w:spacing w:after="0"/>
              <w:rPr>
                <w:sz w:val="20"/>
                <w:szCs w:val="20"/>
                <w:color w:val="auto"/>
              </w:rPr>
            </w:pPr>
            <w:r>
              <w:rPr>
                <w:rFonts w:ascii="Arial" w:cs="Arial" w:eastAsia="Arial" w:hAnsi="Arial"/>
                <w:sz w:val="18"/>
                <w:szCs w:val="18"/>
                <w:color w:val="auto"/>
              </w:rPr>
              <w:t>filed February 19, 2021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92"/>
        </w:trPr>
        <w:tc>
          <w:tcPr>
            <w:tcW w:w="101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100" w:type="dxa"/>
            <w:vAlign w:val="bottom"/>
          </w:tcPr>
          <w:p>
            <w:pPr>
              <w:jc w:val="right"/>
              <w:ind w:right="5190"/>
              <w:spacing w:after="0"/>
              <w:rPr>
                <w:sz w:val="20"/>
                <w:szCs w:val="20"/>
                <w:color w:val="auto"/>
              </w:rPr>
            </w:pPr>
            <w:r>
              <w:rPr>
                <w:rFonts w:ascii="Arial" w:cs="Arial" w:eastAsia="Arial" w:hAnsi="Arial"/>
                <w:sz w:val="18"/>
                <w:szCs w:val="18"/>
                <w:color w:val="auto"/>
                <w:w w:val="96"/>
              </w:rPr>
              <w:t>* Management contract or compensatory plan or arrangement.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010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63</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this registration statement has been signed by the following person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Signatures</w:t>
            </w:r>
          </w:p>
        </w:tc>
        <w:tc>
          <w:tcPr>
            <w:tcW w:w="3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Title</w:t>
            </w:r>
          </w:p>
        </w:tc>
        <w:tc>
          <w:tcPr>
            <w:tcW w:w="3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 Keith Jennings</w:t>
            </w:r>
          </w:p>
        </w:tc>
        <w:tc>
          <w:tcPr>
            <w:tcW w:w="3980" w:type="dxa"/>
            <w:vAlign w:val="bottom"/>
          </w:tcPr>
          <w:p>
            <w:pPr>
              <w:jc w:val="center"/>
              <w:ind w:right="170"/>
              <w:spacing w:after="0"/>
              <w:rPr>
                <w:sz w:val="20"/>
                <w:szCs w:val="20"/>
                <w:color w:val="auto"/>
              </w:rPr>
            </w:pPr>
            <w:r>
              <w:rPr>
                <w:rFonts w:ascii="Arial" w:cs="Arial" w:eastAsia="Arial" w:hAnsi="Arial"/>
                <w:sz w:val="18"/>
                <w:szCs w:val="18"/>
                <w:color w:val="auto"/>
                <w:w w:val="90"/>
              </w:rPr>
              <w:t>Executive Vice President and</w:t>
            </w:r>
          </w:p>
        </w:tc>
        <w:tc>
          <w:tcPr>
            <w:tcW w:w="3440" w:type="dxa"/>
            <w:vAlign w:val="bottom"/>
          </w:tcPr>
          <w:p>
            <w:pPr>
              <w:jc w:val="center"/>
              <w:ind w:right="190"/>
              <w:spacing w:after="0"/>
              <w:rPr>
                <w:sz w:val="20"/>
                <w:szCs w:val="20"/>
                <w:color w:val="auto"/>
              </w:rPr>
            </w:pPr>
            <w:r>
              <w:rPr>
                <w:rFonts w:ascii="Arial" w:cs="Arial" w:eastAsia="Arial" w:hAnsi="Arial"/>
                <w:sz w:val="18"/>
                <w:szCs w:val="18"/>
                <w:color w:val="auto"/>
                <w:w w:val="91"/>
              </w:rPr>
              <w:t>May 26, 2021</w:t>
            </w:r>
          </w:p>
        </w:tc>
        <w:tc>
          <w:tcPr>
            <w:tcW w:w="100" w:type="dxa"/>
            <w:vAlign w:val="bottom"/>
          </w:tcPr>
          <w:p>
            <w:pPr>
              <w:spacing w:after="0"/>
              <w:rPr>
                <w:sz w:val="24"/>
                <w:szCs w:val="24"/>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H. Keith Jennings</w:t>
            </w:r>
          </w:p>
        </w:tc>
        <w:tc>
          <w:tcPr>
            <w:tcW w:w="398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4"/>
              </w:rPr>
              <w:t>Chief Financial Officer</w:t>
            </w: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3980" w:type="dxa"/>
            <w:vAlign w:val="bottom"/>
          </w:tcPr>
          <w:p>
            <w:pPr>
              <w:jc w:val="center"/>
              <w:ind w:right="170"/>
              <w:spacing w:after="0"/>
              <w:rPr>
                <w:sz w:val="20"/>
                <w:szCs w:val="20"/>
                <w:color w:val="auto"/>
              </w:rPr>
            </w:pPr>
            <w:r>
              <w:rPr>
                <w:rFonts w:ascii="Arial" w:cs="Arial" w:eastAsia="Arial" w:hAnsi="Arial"/>
                <w:sz w:val="18"/>
                <w:szCs w:val="18"/>
                <w:color w:val="auto"/>
                <w:w w:val="94"/>
              </w:rPr>
              <w:t>(Principal Financial Officer)</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64"/>
        </w:trPr>
        <w:tc>
          <w:tcPr>
            <w:tcW w:w="3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64</w:t>
            </w:r>
          </w:p>
        </w:tc>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41148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Joe Mongrain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Weatherford, we have an exceptional team of people working together in more than 70 countries around the world to solve the toughest energy challenges through a unique portfolio of technologies and safe, efficient processes.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delighted to extend you the following job offer to join Weatherford as our Senior Vice President &amp; Chief Human Resources Officer.</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look forward to working with you and believe that you can make a very significant, positive contribution to the success of Weatherford. Our company offers you an opportunity to put your experience, abilities, dedication, energy and creativity to excellent use. Welcome to the Team!</w:t>
      </w:r>
    </w:p>
    <w:p>
      <w:pPr>
        <w:spacing w:after="0" w:line="14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appreciate your careful consideration of the terms and conditions included in this offer letter. A summary of your benefits can be found on the following pages.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Please review the enclosed information and contact Scott Weatherholt, our Executive Vice President &amp; General Counsel or me if you have any questions or concerns. I would appreciate your acceptance of this new opportunity by signing below and returning your signed copy as soon as possible. The offer will remain open for 5 business days, after which time it will automatically expire.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welcoming you to Weatherford.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1903095" cy="625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190309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Girish K. Saligram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behalf of Weatherford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03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1148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CE0E41"/>
        </w:rPr>
        <w:t>PERSONAL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BFBFBF"/>
            </w:tcBorders>
          </w:tcPr>
          <w:p>
            <w:pPr>
              <w:ind w:left="100"/>
              <w:spacing w:after="0"/>
              <w:rPr>
                <w:sz w:val="20"/>
                <w:szCs w:val="20"/>
                <w:color w:val="auto"/>
              </w:rPr>
            </w:pPr>
            <w:r>
              <w:rPr>
                <w:rFonts w:ascii="Arial" w:cs="Arial" w:eastAsia="Arial" w:hAnsi="Arial"/>
                <w:sz w:val="18"/>
                <w:szCs w:val="18"/>
                <w:color w:val="auto"/>
              </w:rPr>
              <w:t>Name</w:t>
            </w:r>
          </w:p>
        </w:tc>
        <w:tc>
          <w:tcPr>
            <w:tcW w:w="6620" w:type="dxa"/>
            <w:vAlign w:val="bottom"/>
            <w:tcBorders>
              <w:top w:val="single" w:sz="8" w:color="BFBFBF"/>
              <w:left w:val="single" w:sz="8" w:color="BFBFBF"/>
            </w:tcBorders>
          </w:tcPr>
          <w:p>
            <w:pPr>
              <w:ind w:left="100"/>
              <w:spacing w:after="0"/>
              <w:rPr>
                <w:sz w:val="20"/>
                <w:szCs w:val="20"/>
                <w:color w:val="auto"/>
              </w:rPr>
            </w:pPr>
            <w:r>
              <w:rPr>
                <w:rFonts w:ascii="Arial" w:cs="Arial" w:eastAsia="Arial" w:hAnsi="Arial"/>
                <w:sz w:val="18"/>
                <w:szCs w:val="18"/>
                <w:color w:val="CE0E41"/>
              </w:rPr>
              <w:t>Joe Mongrain</w:t>
            </w:r>
          </w:p>
        </w:tc>
        <w:tc>
          <w:tcPr>
            <w:tcW w:w="0" w:type="dxa"/>
            <w:vAlign w:val="bottom"/>
          </w:tcPr>
          <w:p>
            <w:pPr>
              <w:spacing w:after="0"/>
              <w:rPr>
                <w:sz w:val="1"/>
                <w:szCs w:val="1"/>
                <w:color w:val="auto"/>
              </w:rPr>
            </w:pPr>
          </w:p>
        </w:tc>
      </w:tr>
      <w:tr>
        <w:trPr>
          <w:trHeight w:val="27"/>
        </w:trPr>
        <w:tc>
          <w:tcPr>
            <w:tcW w:w="4620" w:type="dxa"/>
            <w:vAlign w:val="bottom"/>
            <w:tcBorders>
              <w:bottom w:val="single" w:sz="8" w:color="BFBFBF"/>
            </w:tcBorders>
          </w:tcPr>
          <w:p>
            <w:pPr>
              <w:spacing w:after="0"/>
              <w:rPr>
                <w:sz w:val="2"/>
                <w:szCs w:val="2"/>
                <w:color w:val="auto"/>
              </w:rPr>
            </w:pPr>
          </w:p>
        </w:tc>
        <w:tc>
          <w:tcPr>
            <w:tcW w:w="6620" w:type="dxa"/>
            <w:vAlign w:val="bottom"/>
            <w:tcBorders>
              <w:left w:val="single" w:sz="8" w:color="BFBFBF"/>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Position Title</w:t>
            </w: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Senior Vice President &amp; Chief Human Resources Officer</w:t>
            </w:r>
          </w:p>
        </w:tc>
        <w:tc>
          <w:tcPr>
            <w:tcW w:w="0" w:type="dxa"/>
            <w:vAlign w:val="bottom"/>
          </w:tcPr>
          <w:p>
            <w:pPr>
              <w:spacing w:after="0"/>
              <w:rPr>
                <w:sz w:val="1"/>
                <w:szCs w:val="1"/>
                <w:color w:val="auto"/>
              </w:rPr>
            </w:pPr>
          </w:p>
        </w:tc>
      </w:tr>
      <w:tr>
        <w:trPr>
          <w:trHeight w:val="27"/>
        </w:trPr>
        <w:tc>
          <w:tcPr>
            <w:tcW w:w="4620" w:type="dxa"/>
            <w:vAlign w:val="bottom"/>
            <w:tcBorders>
              <w:bottom w:val="single" w:sz="8" w:color="BFBFBF"/>
            </w:tcBorders>
          </w:tcPr>
          <w:p>
            <w:pPr>
              <w:spacing w:after="0"/>
              <w:rPr>
                <w:sz w:val="2"/>
                <w:szCs w:val="2"/>
                <w:color w:val="auto"/>
              </w:rPr>
            </w:pPr>
          </w:p>
        </w:tc>
        <w:tc>
          <w:tcPr>
            <w:tcW w:w="6620" w:type="dxa"/>
            <w:vAlign w:val="bottom"/>
            <w:tcBorders>
              <w:left w:val="single" w:sz="8" w:color="BFBFBF"/>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Location</w:t>
            </w: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2000 St. James Place</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Houston, TX 77056</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USA</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CE0E41"/>
              </w:rPr>
              <w:t>POINT OF CONTACT</w:t>
            </w:r>
          </w:p>
        </w:tc>
        <w:tc>
          <w:tcPr>
            <w:tcW w:w="6620" w:type="dxa"/>
            <w:vAlign w:val="bottom"/>
            <w:tcBorders>
              <w:left w:val="single" w:sz="8" w:color="BFBFBF"/>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6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20" w:type="dxa"/>
            <w:vAlign w:val="bottom"/>
            <w:tcBorders>
              <w:bottom w:val="single" w:sz="8" w:color="BFBFBF"/>
            </w:tcBorders>
          </w:tcPr>
          <w:p>
            <w:pPr>
              <w:spacing w:after="0"/>
              <w:rPr>
                <w:sz w:val="24"/>
                <w:szCs w:val="24"/>
                <w:color w:val="auto"/>
              </w:rPr>
            </w:pPr>
          </w:p>
        </w:tc>
        <w:tc>
          <w:tcPr>
            <w:tcW w:w="66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Girish Saligram</w:t>
            </w:r>
          </w:p>
        </w:tc>
        <w:tc>
          <w:tcPr>
            <w:tcW w:w="0" w:type="dxa"/>
            <w:vAlign w:val="bottom"/>
          </w:tcPr>
          <w:p>
            <w:pPr>
              <w:spacing w:after="0"/>
              <w:rPr>
                <w:sz w:val="1"/>
                <w:szCs w:val="1"/>
                <w:color w:val="auto"/>
              </w:rPr>
            </w:pPr>
          </w:p>
        </w:tc>
      </w:tr>
      <w:tr>
        <w:trPr>
          <w:trHeight w:val="27"/>
        </w:trPr>
        <w:tc>
          <w:tcPr>
            <w:tcW w:w="4620" w:type="dxa"/>
            <w:vAlign w:val="bottom"/>
            <w:tcBorders>
              <w:bottom w:val="single" w:sz="8" w:color="BFBFBF"/>
            </w:tcBorders>
          </w:tcPr>
          <w:p>
            <w:pPr>
              <w:spacing w:after="0"/>
              <w:rPr>
                <w:sz w:val="2"/>
                <w:szCs w:val="2"/>
                <w:color w:val="auto"/>
              </w:rPr>
            </w:pPr>
          </w:p>
        </w:tc>
        <w:tc>
          <w:tcPr>
            <w:tcW w:w="6620" w:type="dxa"/>
            <w:vAlign w:val="bottom"/>
            <w:tcBorders>
              <w:left w:val="single" w:sz="8" w:color="BFBFBF"/>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Human Resources Matters</w:t>
            </w:r>
          </w:p>
        </w:tc>
        <w:tc>
          <w:tcPr>
            <w:tcW w:w="6620" w:type="dxa"/>
            <w:vAlign w:val="bottom"/>
            <w:tcBorders>
              <w:left w:val="single" w:sz="8" w:color="BFBFBF"/>
            </w:tcBorders>
          </w:tcPr>
          <w:p>
            <w:pPr>
              <w:ind w:left="100"/>
              <w:spacing w:after="0"/>
              <w:rPr>
                <w:sz w:val="20"/>
                <w:szCs w:val="20"/>
                <w:color w:val="auto"/>
              </w:rPr>
            </w:pPr>
            <w:r>
              <w:rPr>
                <w:rFonts w:ascii="Arial" w:cs="Arial" w:eastAsia="Arial" w:hAnsi="Arial"/>
                <w:sz w:val="18"/>
                <w:szCs w:val="18"/>
                <w:color w:val="CE0E41"/>
              </w:rPr>
              <w:t>Scott Weatherholt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BFBFBF"/>
            </w:tcBorders>
          </w:tcPr>
          <w:p>
            <w:pPr>
              <w:spacing w:after="0"/>
              <w:rPr>
                <w:sz w:val="2"/>
                <w:szCs w:val="2"/>
                <w:color w:val="auto"/>
              </w:rPr>
            </w:pPr>
          </w:p>
        </w:tc>
        <w:tc>
          <w:tcPr>
            <w:tcW w:w="6620" w:type="dxa"/>
            <w:vAlign w:val="bottom"/>
            <w:tcBorders>
              <w:left w:val="single" w:sz="8" w:color="BFBFBF"/>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EMPLOYMENT PACKAGE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BASE SALARY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US $370,000 ANNUALLY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base salary will be paid semi-monthly via the Company’s normal payroll cycle.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START DATE</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Your start date will be March 22, 2021, subject to the successful completion of all pre-employment testing and, if applicable, on the obtaining of any necessary immigration documentation required to allow you to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ANNUAL SHORT-TERM INCENTIVE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UP TO 65% “ON TARGET” PARTICIPATION RATE</w:t>
      </w:r>
    </w:p>
    <w:p>
      <w:pPr>
        <w:spacing w:after="0" w:line="9"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You are eligible to participate in the Weatherford Annual Short-Term Incentive Plan (the “Plan”) applicable to your role. The “on target” participation rate is subject to the rules of the Plan. Depending upon company and personal performance in any given plan year, your maximum potential payout could be up to 200% of the “on target” award. Any incentive payout from the Plan will be prorated for your period of employment, calculated from your hire date. If you join on or after 1 October of a calendar year, you will not be eligible to participate in the Plan for that year. Any payout from the Plan is subject to the company’s and your own personal performance, and you must be employed with Weatherford at the time of the incentive payment in order to be entitled to the same.</w:t>
      </w:r>
    </w:p>
    <w:p>
      <w:pPr>
        <w:spacing w:after="0" w:line="19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Plan is non -contractual. The Plan is operated at the discretion of the company and can be changed or removed at any time. Participation in the Plan in one year does not guarantee participation or a right to participate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1148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CE0E41"/>
        </w:rPr>
        <w:t>LONG TERM INCENTIVE (LTI)</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2021 and subsequent years, you are eligible for consideration under Weatherford’s Annual Long-Term Incentive (“LTI”) program or other long-term incentive plans that may be approved by the Board. Your eligibility to receive Awards under the LTI program or any other long-term incentive plan is subject to approval by the Board of Directors of Weatherford International (or a committee thereof) and subject always to the terms and conditions of Weatherford International plc 2019 Equity Incentive Plan, as may be amended from time to time by Weatherford International or any other long term incentive plan that may be adopted by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You will be granted awards within 30 days of your commencement date in the following amounts: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22,565 Performance Share Units (Target Award) – Awards made under the Performance Share Unit (“PSU”) award agreement will cliff vest following a 2-year performance period. The “Performance Period” shall mean the two fiscal-year period commencing on the first day of the fiscal year of the Company in which the Grant Date occurs. The actual number of PSUs that are earned, if any, pursuant to the terms and conditions of the applicable award agreement may differ from the Target Award number and are subject to increase or decrease based on the Company’s actual performance against the performance goals set forth below and may range from 0% to 200% of the target award, rounded to the nearest whole Share: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Goals / Metrics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Weighting of Metrics</w:t>
      </w:r>
    </w:p>
    <w:p>
      <w:pPr>
        <w:spacing w:after="0" w:line="219"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WEIGHT</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THRESHOLD</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TARGET</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r>
      <w:tr>
        <w:trPr>
          <w:trHeight w:val="210"/>
        </w:trPr>
        <w:tc>
          <w:tcPr>
            <w:tcW w:w="17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EBITDA %</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200%</w:t>
            </w:r>
          </w:p>
        </w:tc>
      </w:tr>
      <w:tr>
        <w:trPr>
          <w:trHeight w:val="210"/>
        </w:trPr>
        <w:tc>
          <w:tcPr>
            <w:tcW w:w="17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OCF CONV %</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200%</w:t>
            </w:r>
          </w:p>
        </w:tc>
      </w:tr>
    </w:tbl>
    <w:p>
      <w:pPr>
        <w:spacing w:after="0" w:line="202" w:lineRule="exact"/>
        <w:rPr>
          <w:sz w:val="20"/>
          <w:szCs w:val="20"/>
          <w:color w:val="auto"/>
        </w:rPr>
      </w:pPr>
    </w:p>
    <w:p>
      <w:pPr>
        <w:jc w:val="both"/>
        <w:ind w:left="980" w:hanging="324"/>
        <w:spacing w:after="0" w:line="19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45,130 Restricted Stock Units – Awards made under the Restricted Stock Unit (“RSU”) award agreement will vest in equal tranches over a two-year period and will vest one half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anniversary of the grant date, and the remaining one-half vesting upon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1148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jc w:val="both"/>
        <w:ind w:left="980" w:hanging="324"/>
        <w:spacing w:after="0" w:line="231"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33,101 Phantom RSUs – Awards made under the Phantom Unit award agreement will track the company’s stock price and will vest in equal installments over a two-year period and vest one half on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anniversary of the grant date, and the remaining one half vesting upon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of the grant date. Phantom RSUs may settle (i) in cash, (ii) Company shares or (iii) any combination of cash and Company shares, each at the Company’s sole discretion, and will be subject to a payout maximum equal to 200% of the grant date fair value of the underlying award. The Board of Directors approved this grant on January 4, 2021 and the closing price of the company’s stock on January 4, 2021 ($5.71/share) will be used as the basis for any cash settlement and maximum payout calculations. Further, any cash settlement will use a 30-day volume weighted average price of the Company’s stock price at each vesting.</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awards are subject in all respects to the terms and provisions of the applicable award agreements. To the extent of a conflict between the terms of this offer letter and the award agreements, the terms and provisions of the applicable award agreements shall prevail.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awards granted in 2021 will be subject to a 2-year vesting or performance period. Any future grants, annual or otherwise, will be at the discretion of the Board and subject to the terms and conditions of the current or future Long-Term Incentive Program in place. Future grants may have different vesting periods or be subject to performance or other metrics that vary from the awards that you will be granted by way of your acceptance of this offer. The award of any incentive is discretionary, and all awards are subject to approval of the company’s management and to the terms and conditions of the applicable award agreement(s).</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Any future grants, annual and otherwise, will be at the discretion of the Board or Company Management and subject to the terms and conditions of the current or future Long-Term Incentive Program then in place. The award of any incentive is discretionary, and subject to approval of the Board of Directors (or a committee thereof) or Company Management and to the terms and conditions of the applicable Award Agreement which shall be consistent with this letter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ANNUAL LEAVE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25 DAYS PER YEAR</w:t>
      </w:r>
    </w:p>
    <w:p>
      <w:pPr>
        <w:spacing w:after="0" w:line="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Your annual leave will accrue on a calendar year basis and will be pro-rated in the first year of employment in line with your employment start date. The Company will also provide you with an additional ten (10) Company designated holidays.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CE0E41"/>
        </w:rPr>
        <w:t>BENEFITS PROGRAM</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are pleased to offer you participation in Weatherford’s benefits program on your first day of employment. Please see enclosed Weatherford Benefits Summary.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You will receive a Welcome Letter from our Benefits Department within 2 to 3 weeks of your start date, providing you with your access ID and instructions to complete your enrollment online. You will have 31 days from date of hire to enroll otherwise your plan will default to the basic single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offer of employment, you certify that:</w:t>
      </w:r>
    </w:p>
    <w:p>
      <w:pPr>
        <w:spacing w:after="0" w:line="225" w:lineRule="exact"/>
        <w:rPr>
          <w:sz w:val="20"/>
          <w:szCs w:val="20"/>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will abide by the terms of any enforceable non-competition agreement you have with your current employer and confirm the fact that you will not bring with you to Weatherford, nor at any time attempt to use, any confidential, non-public information of your current or past employers in the performance of your work for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1148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This letter does not represent an offer of employment for any specified term. Your employment will be at will, which means that either you or Weatherford may terminate your employment at any time for any reason or no reason whatsoever.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confirm your acceptance of this offer by electronically signing this offer letter below. Upon your acceptance of this offer, you will be contacted to schedule a convenient time and location for the company medical / drug and alcohol test.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excited to have you join us and look forward to working together to make Weatherford a leader in the oilfield service marketplace.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960" w:type="dxa"/>
            <w:vAlign w:val="bottom"/>
            <w:tcBorders>
              <w:top w:val="single" w:sz="8" w:color="BFBFBF"/>
              <w:right w:val="single" w:sz="8" w:color="BFBFBF"/>
            </w:tcBorders>
          </w:tcPr>
          <w:p>
            <w:pPr>
              <w:ind w:left="100"/>
              <w:spacing w:after="0"/>
              <w:rPr>
                <w:sz w:val="20"/>
                <w:szCs w:val="20"/>
                <w:color w:val="auto"/>
              </w:rPr>
            </w:pPr>
            <w:r>
              <w:rPr>
                <w:rFonts w:ascii="Arial" w:cs="Arial" w:eastAsia="Arial" w:hAnsi="Arial"/>
                <w:sz w:val="18"/>
                <w:szCs w:val="18"/>
                <w:color w:val="auto"/>
              </w:rPr>
              <w:t>Printed Name</w:t>
            </w:r>
          </w:p>
        </w:tc>
        <w:tc>
          <w:tcPr>
            <w:tcW w:w="7280" w:type="dxa"/>
            <w:vAlign w:val="bottom"/>
            <w:tcBorders>
              <w:top w:val="single" w:sz="8" w:color="BFBFBF"/>
            </w:tcBorders>
          </w:tcPr>
          <w:p>
            <w:pPr>
              <w:ind w:left="40"/>
              <w:spacing w:after="0"/>
              <w:rPr>
                <w:sz w:val="20"/>
                <w:szCs w:val="20"/>
                <w:color w:val="auto"/>
              </w:rPr>
            </w:pPr>
            <w:r>
              <w:rPr>
                <w:rFonts w:ascii="Arial" w:cs="Arial" w:eastAsia="Arial" w:hAnsi="Arial"/>
                <w:sz w:val="18"/>
                <w:szCs w:val="18"/>
                <w:color w:val="auto"/>
              </w:rPr>
              <w:t>Joseph Mongrain</w:t>
            </w:r>
          </w:p>
        </w:tc>
      </w:tr>
      <w:tr>
        <w:trPr>
          <w:trHeight w:val="81"/>
        </w:trPr>
        <w:tc>
          <w:tcPr>
            <w:tcW w:w="3960" w:type="dxa"/>
            <w:vAlign w:val="bottom"/>
            <w:tcBorders>
              <w:bottom w:val="single" w:sz="8" w:color="BFBFBF"/>
              <w:right w:val="single" w:sz="8" w:color="BFBFBF"/>
            </w:tcBorders>
          </w:tcPr>
          <w:p>
            <w:pPr>
              <w:spacing w:after="0"/>
              <w:rPr>
                <w:sz w:val="7"/>
                <w:szCs w:val="7"/>
                <w:color w:val="auto"/>
              </w:rPr>
            </w:pPr>
          </w:p>
        </w:tc>
        <w:tc>
          <w:tcPr>
            <w:tcW w:w="7280" w:type="dxa"/>
            <w:vAlign w:val="bottom"/>
            <w:tcBorders>
              <w:bottom w:val="single" w:sz="8" w:color="BFBFBF"/>
            </w:tcBorders>
          </w:tcPr>
          <w:p>
            <w:pPr>
              <w:spacing w:after="0"/>
              <w:rPr>
                <w:sz w:val="7"/>
                <w:szCs w:val="7"/>
                <w:color w:val="auto"/>
              </w:rPr>
            </w:pPr>
          </w:p>
        </w:tc>
      </w:tr>
      <w:tr>
        <w:trPr>
          <w:trHeight w:val="426"/>
        </w:trPr>
        <w:tc>
          <w:tcPr>
            <w:tcW w:w="3960" w:type="dxa"/>
            <w:vAlign w:val="bottom"/>
            <w:tcBorders>
              <w:right w:val="single" w:sz="8" w:color="BFBFBF"/>
            </w:tcBorders>
          </w:tcPr>
          <w:p>
            <w:pPr>
              <w:ind w:left="100"/>
              <w:spacing w:after="0"/>
              <w:rPr>
                <w:sz w:val="20"/>
                <w:szCs w:val="20"/>
                <w:color w:val="auto"/>
              </w:rPr>
            </w:pPr>
            <w:r>
              <w:rPr>
                <w:rFonts w:ascii="Arial" w:cs="Arial" w:eastAsia="Arial" w:hAnsi="Arial"/>
                <w:sz w:val="18"/>
                <w:szCs w:val="18"/>
                <w:color w:val="auto"/>
              </w:rPr>
              <w:t>Signature</w:t>
            </w:r>
          </w:p>
        </w:tc>
        <w:tc>
          <w:tcPr>
            <w:tcW w:w="7280" w:type="dxa"/>
            <w:vAlign w:val="bottom"/>
          </w:tcPr>
          <w:p>
            <w:pPr>
              <w:ind w:left="40"/>
              <w:spacing w:after="0"/>
              <w:rPr>
                <w:sz w:val="20"/>
                <w:szCs w:val="20"/>
                <w:color w:val="auto"/>
              </w:rPr>
            </w:pPr>
            <w:r>
              <w:rPr>
                <w:rFonts w:ascii="Arial" w:cs="Arial" w:eastAsia="Arial" w:hAnsi="Arial"/>
                <w:sz w:val="18"/>
                <w:szCs w:val="18"/>
                <w:color w:val="auto"/>
              </w:rPr>
              <w:t>/s/ Joseph Mongrain</w:t>
            </w:r>
          </w:p>
        </w:tc>
      </w:tr>
      <w:tr>
        <w:trPr>
          <w:trHeight w:val="216"/>
        </w:trPr>
        <w:tc>
          <w:tcPr>
            <w:tcW w:w="3960" w:type="dxa"/>
            <w:vAlign w:val="bottom"/>
            <w:tcBorders>
              <w:bottom w:val="single" w:sz="8" w:color="BFBFBF"/>
              <w:right w:val="single" w:sz="8" w:color="BFBFBF"/>
            </w:tcBorders>
          </w:tcPr>
          <w:p>
            <w:pPr>
              <w:spacing w:after="0"/>
              <w:rPr>
                <w:sz w:val="18"/>
                <w:szCs w:val="18"/>
                <w:color w:val="auto"/>
              </w:rPr>
            </w:pPr>
          </w:p>
        </w:tc>
        <w:tc>
          <w:tcPr>
            <w:tcW w:w="7280" w:type="dxa"/>
            <w:vAlign w:val="bottom"/>
            <w:tcBorders>
              <w:bottom w:val="single" w:sz="8" w:color="BFBFBF"/>
            </w:tcBorders>
          </w:tcPr>
          <w:p>
            <w:pPr>
              <w:spacing w:after="0"/>
              <w:rPr>
                <w:sz w:val="18"/>
                <w:szCs w:val="18"/>
                <w:color w:val="auto"/>
              </w:rPr>
            </w:pPr>
          </w:p>
        </w:tc>
      </w:tr>
      <w:tr>
        <w:trPr>
          <w:trHeight w:val="426"/>
        </w:trPr>
        <w:tc>
          <w:tcPr>
            <w:tcW w:w="3960" w:type="dxa"/>
            <w:vAlign w:val="bottom"/>
            <w:tcBorders>
              <w:right w:val="single" w:sz="8" w:color="BFBFBF"/>
            </w:tcBorders>
          </w:tcPr>
          <w:p>
            <w:pPr>
              <w:ind w:left="100"/>
              <w:spacing w:after="0"/>
              <w:rPr>
                <w:sz w:val="20"/>
                <w:szCs w:val="20"/>
                <w:color w:val="auto"/>
              </w:rPr>
            </w:pPr>
            <w:r>
              <w:rPr>
                <w:rFonts w:ascii="Arial" w:cs="Arial" w:eastAsia="Arial" w:hAnsi="Arial"/>
                <w:sz w:val="18"/>
                <w:szCs w:val="18"/>
                <w:color w:val="auto"/>
              </w:rPr>
              <w:t>Date</w:t>
            </w:r>
          </w:p>
        </w:tc>
        <w:tc>
          <w:tcPr>
            <w:tcW w:w="7280" w:type="dxa"/>
            <w:vAlign w:val="bottom"/>
          </w:tcPr>
          <w:p>
            <w:pPr>
              <w:spacing w:after="0"/>
              <w:rPr>
                <w:sz w:val="24"/>
                <w:szCs w:val="24"/>
                <w:color w:val="auto"/>
              </w:rPr>
            </w:pPr>
          </w:p>
        </w:tc>
      </w:tr>
      <w:tr>
        <w:trPr>
          <w:trHeight w:val="216"/>
        </w:trPr>
        <w:tc>
          <w:tcPr>
            <w:tcW w:w="3960" w:type="dxa"/>
            <w:vAlign w:val="bottom"/>
            <w:tcBorders>
              <w:bottom w:val="single" w:sz="8" w:color="BFBFBF"/>
              <w:right w:val="single" w:sz="8" w:color="BFBFBF"/>
            </w:tcBorders>
          </w:tcPr>
          <w:p>
            <w:pPr>
              <w:spacing w:after="0"/>
              <w:rPr>
                <w:sz w:val="18"/>
                <w:szCs w:val="18"/>
                <w:color w:val="auto"/>
              </w:rPr>
            </w:pPr>
          </w:p>
        </w:tc>
        <w:tc>
          <w:tcPr>
            <w:tcW w:w="7280" w:type="dxa"/>
            <w:vAlign w:val="bottom"/>
            <w:tcBorders>
              <w:bottom w:val="single" w:sz="8" w:color="BFBFBF"/>
            </w:tcBorders>
          </w:tcPr>
          <w:p>
            <w:pPr>
              <w:spacing w:after="0"/>
              <w:rPr>
                <w:sz w:val="18"/>
                <w:szCs w:val="18"/>
                <w:color w:val="auto"/>
              </w:rPr>
            </w:pPr>
          </w:p>
        </w:tc>
      </w:tr>
      <w:tr>
        <w:trPr>
          <w:trHeight w:val="695"/>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upperLetter"/>
      <w:start w:val="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6"/>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lvl w:ilvl="1">
      <w:lvlJc w:val="left"/>
      <w:lvlText w:val="%2."/>
      <w:numFmt w:val="lowerRoman"/>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32" Type="http://schemas.openxmlformats.org/officeDocument/2006/relationships/image" Target="media/image99.png"/><Relationship Id="rId134" Type="http://schemas.openxmlformats.org/officeDocument/2006/relationships/image" Target="media/image100.png"/><Relationship Id="rId136"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jpeg"/><Relationship Id="rId150" Type="http://schemas.openxmlformats.org/officeDocument/2006/relationships/image" Target="media/image104.jpe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jpe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jpeg"/><Relationship Id="rId157" Type="http://schemas.openxmlformats.org/officeDocument/2006/relationships/image" Target="media/image111.png"/><Relationship Id="rId158" Type="http://schemas.openxmlformats.org/officeDocument/2006/relationships/image" Target="media/image112.jpeg"/><Relationship Id="rId159" Type="http://schemas.openxmlformats.org/officeDocument/2006/relationships/image" Target="media/image113.png"/><Relationship Id="rId160" Type="http://schemas.openxmlformats.org/officeDocument/2006/relationships/image" Target="media/image114.jpeg"/><Relationship Id="rId105" Type="http://schemas.openxmlformats.org/officeDocument/2006/relationships/hyperlink" Target="http://www.sec.gov/Archives/edgar/data/1603923/000160392321000013/wft-20201231.htm" TargetMode="External"/><Relationship Id="rId106" Type="http://schemas.openxmlformats.org/officeDocument/2006/relationships/hyperlink" Target="https://www.sec.gov/ix?doc=/Archives/edgar/data/1603923/000160392321000036/wft-20210331.htm" TargetMode="External"/><Relationship Id="rId108" Type="http://schemas.openxmlformats.org/officeDocument/2006/relationships/hyperlink" Target="http://www.sec.gov/Archives/edgar/data/1603923/000110465919073841/tm1925198d1_ex3-1.htm" TargetMode="External"/><Relationship Id="rId109" Type="http://schemas.openxmlformats.org/officeDocument/2006/relationships/hyperlink" Target="http://www.sec.gov/Archives/edgar/data/1603923/000110465919073841/tm1925198d1_ex4-1.htm" TargetMode="External"/><Relationship Id="rId110" Type="http://schemas.openxmlformats.org/officeDocument/2006/relationships/hyperlink" Target="http://www.sec.gov/Archives/edgar/data/1603923/000110465919073841/tm1925198d1_ex10-4.htm" TargetMode="External"/><Relationship Id="rId111" Type="http://schemas.openxmlformats.org/officeDocument/2006/relationships/hyperlink" Target="http://www.sec.gov/Archives/edgar/data/1603923/000095014220002112/eh2001109_ex0401.htm" TargetMode="External"/><Relationship Id="rId112" Type="http://schemas.openxmlformats.org/officeDocument/2006/relationships/hyperlink" Target="http://www.sec.gov/Archives/edgar/data/1603923/000160392317000076/wftceoofferletter.htm" TargetMode="External"/><Relationship Id="rId113" Type="http://schemas.openxmlformats.org/officeDocument/2006/relationships/hyperlink" Target="http://www.sec.gov/Archives/edgar/data/1603923/000160392320000017/exhibit103offerletterb.htm" TargetMode="External"/><Relationship Id="rId114" Type="http://schemas.openxmlformats.org/officeDocument/2006/relationships/hyperlink" Target="http://www.sec.gov/Archives/edgar/data/1603923/000160392320000064/ex106letteragreement-k.htm" TargetMode="External"/><Relationship Id="rId115" Type="http://schemas.openxmlformats.org/officeDocument/2006/relationships/hyperlink" Target="http://www.sec.gov/Archives/edgar/data/1603923/000160392320000075/ex104keithjenningsoffe.htm" TargetMode="External"/><Relationship Id="rId116" Type="http://schemas.openxmlformats.org/officeDocument/2006/relationships/hyperlink" Target="http://www.sec.gov/Archives/edgar/data/1603923/000160392320000075/ex105offerlettertogiri.htm" TargetMode="External"/><Relationship Id="rId117" Type="http://schemas.openxmlformats.org/officeDocument/2006/relationships/hyperlink" Target="http://www.sec.gov/Archives/edgar/data/1603923/000160392314000013/exhibit1011deedofindemnifi.htm" TargetMode="External"/><Relationship Id="rId118" Type="http://schemas.openxmlformats.org/officeDocument/2006/relationships/hyperlink" Target="http://www.sec.gov/Archives/edgar/data/1603923/000160392314000013/exhibit1012deedofindemnifi.htm" TargetMode="External"/><Relationship Id="rId119" Type="http://schemas.openxmlformats.org/officeDocument/2006/relationships/hyperlink" Target="http://www.sec.gov/Archives/edgar/data/1603923/000160392316000287/ex101formofchangeincontrol.htm" TargetMode="External"/><Relationship Id="rId120" Type="http://schemas.openxmlformats.org/officeDocument/2006/relationships/hyperlink" Target="http://www.sec.gov/Archives/edgar/data/1603923/000160392320000064/ex107amendmenttochange.htm" TargetMode="External"/><Relationship Id="rId121" Type="http://schemas.openxmlformats.org/officeDocument/2006/relationships/hyperlink" Target="http://www.sec.gov/Archives/edgar/data/1603923/000160392320000079/ex101-weatherfordinter.htm" TargetMode="External"/><Relationship Id="rId122" Type="http://schemas.openxmlformats.org/officeDocument/2006/relationships/hyperlink" Target="http://www.sec.gov/Archives/edgar/data/1603923/000160392319000036/ex991ebp-2019executivebonu.htm" TargetMode="External"/><Relationship Id="rId123" Type="http://schemas.openxmlformats.org/officeDocument/2006/relationships/hyperlink" Target="http://www.sec.gov/Archives/edgar/data/1603923/000160392319000036/ex992ra-formofretentionbon.htm" TargetMode="External"/><Relationship Id="rId124" Type="http://schemas.openxmlformats.org/officeDocument/2006/relationships/hyperlink" Target="http://www.sec.gov/Archives/edgar/data/1603923/000110465920046579/tm2015956d1_ex10-2.htm" TargetMode="External"/><Relationship Id="rId125" Type="http://schemas.openxmlformats.org/officeDocument/2006/relationships/hyperlink" Target="http://www.sec.gov/Archives/edgar/data/1603923/000160392320000075/ex106secondamendmentto.htm" TargetMode="External"/><Relationship Id="rId126" Type="http://schemas.openxmlformats.org/officeDocument/2006/relationships/hyperlink" Target="http://www.sec.gov/Archives/edgar/data/1603923/000160392320000079/ex103-formofrestricted.htm" TargetMode="External"/><Relationship Id="rId127" Type="http://schemas.openxmlformats.org/officeDocument/2006/relationships/hyperlink" Target="http://www.sec.gov/Archives/edgar/data/1603923/000160392320000079/ex104-formofperformanc.htm" TargetMode="External"/><Relationship Id="rId128" Type="http://schemas.openxmlformats.org/officeDocument/2006/relationships/hyperlink" Target="http://www.sec.gov/Archives/edgar/data/1603923/000095014221000038/eh210124017_ex1002.htm" TargetMode="External"/><Relationship Id="rId129" Type="http://schemas.openxmlformats.org/officeDocument/2006/relationships/hyperlink" Target="http://www.sec.gov/Archives/edgar/data/1603923/000095014221000038/eh210124017_ex1003.htm" TargetMode="External"/><Relationship Id="rId130" Type="http://schemas.openxmlformats.org/officeDocument/2006/relationships/hyperlink" Target="http://www.sec.gov/Archives/edgar/data/1603923/000095014221000038/eh210124017_ex1004.htm" TargetMode="External"/><Relationship Id="rId131" Type="http://schemas.openxmlformats.org/officeDocument/2006/relationships/hyperlink" Target="http://www.sec.gov/Archives/edgar/data/1603923/000160392321000013/exhibit1024amendedandresta.htm" TargetMode="External"/><Relationship Id="rId133" Type="http://schemas.openxmlformats.org/officeDocument/2006/relationships/hyperlink" Target="http://www.sec.gov/Archives/edgar/data/1603923/000095014221000038/eh210124017_ex1001.htm" TargetMode="External"/><Relationship Id="rId135" Type="http://schemas.openxmlformats.org/officeDocument/2006/relationships/hyperlink" Target="http://www.sec.gov/Archives/edgar/data/1603923/000160392320000025/exhibit101-weatherford.htm" TargetMode="External"/><Relationship Id="rId137" Type="http://schemas.openxmlformats.org/officeDocument/2006/relationships/hyperlink" Target="http://www.sec.gov/Archives/edgar/data/1603923/000160392320000079/ex102-formoflongxtermc.htm" TargetMode="External"/><Relationship Id="rId138" Type="http://schemas.openxmlformats.org/officeDocument/2006/relationships/hyperlink" Target="http://www.sec.gov/Archives/edgar/data/1603923/000110465919073841/tm1925198d1_ex10-1.htm" TargetMode="External"/><Relationship Id="rId139" Type="http://schemas.openxmlformats.org/officeDocument/2006/relationships/hyperlink" Target="http://www.sec.gov/Archives/edgar/data/1603923/000110465919073841/tm1925198d1_ex10-2.htm" TargetMode="External"/><Relationship Id="rId140" Type="http://schemas.openxmlformats.org/officeDocument/2006/relationships/hyperlink" Target="http://www.sec.gov/Archives/edgar/data/1603923/000095014220002112/eh2001109_ex1001.htm" TargetMode="External"/><Relationship Id="rId141" Type="http://schemas.openxmlformats.org/officeDocument/2006/relationships/hyperlink" Target="http://www.sec.gov/Archives/edgar/data/1603923/000110465919073841/tm1925198d1_ex10-3.htm" TargetMode="External"/><Relationship Id="rId142" Type="http://schemas.openxmlformats.org/officeDocument/2006/relationships/hyperlink" Target="http://www.sec.gov/Archives/edgar/data/1603923/000095014220002112/eh2001109_ex1003.htm" TargetMode="External"/><Relationship Id="rId143" Type="http://schemas.openxmlformats.org/officeDocument/2006/relationships/hyperlink" Target="http://www.sec.gov/Archives/edgar/data/1603923/000110465919073841/tm1925198d1_ex10-5.htm" TargetMode="External"/><Relationship Id="rId144" Type="http://schemas.openxmlformats.org/officeDocument/2006/relationships/hyperlink" Target="http://www.sec.gov/Archives/edgar/data/1603923/000160392321000018/exhibit1036offerlettertosc.htm" TargetMode="External"/><Relationship Id="rId145" Type="http://schemas.openxmlformats.org/officeDocument/2006/relationships/hyperlink" Target="http://www.sec.gov/Archives/edgar/data/1603923/000160392321000018/exhibit1037ltcipamendedawa.htm" TargetMode="External"/><Relationship Id="rId146" Type="http://schemas.openxmlformats.org/officeDocument/2006/relationships/hyperlink" Target="http://www.sec.gov/Archives/edgar/data/1603923/000160392321000036/ex107caoofferletter.htm" TargetMode="External"/><Relationship Id="rId147" Type="http://schemas.openxmlformats.org/officeDocument/2006/relationships/hyperlink" Target="http://www.sec.gov/Archives/edgar/data/1603923/000160392321000013/ex211-sigsubswft123120xw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2021-05-26T17:17:54Z</dcterms:created>
  <dcterms:modified xsi:type="dcterms:W3CDTF">2021-05-26T17:17:54Z</dcterms:modified>
</cp:coreProperties>
</file>