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13, 2018</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274955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February 13, 2018 at 10:55 a.m. Mountain Time, Weatherford International plc will present to certain investors at the 23rd Annual Credit Suisse Energy Summit held in Vail, Colorado. The presentation materials will be available on Weatherford’s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in the Investor Relations section on the date of the event.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Weatherford International plc</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February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48895</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8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 Executive Vice President, General Counsel, Chief Compliance</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Officer and Corporate Secretary</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2019-12-08T10:15:43Z</dcterms:created>
  <dcterms:modified xsi:type="dcterms:W3CDTF">2019-12-08T10:15:43Z</dcterms:modified>
</cp:coreProperties>
</file>