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November 16, 2016</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6"/>
          <w:szCs w:val="16"/>
          <w:b w:val="1"/>
          <w:bCs w:val="1"/>
          <w:color w:val="auto"/>
        </w:rPr>
        <w:t>Registration No. 333-194431</w:t>
      </w:r>
    </w:p>
    <w:p>
      <w:pPr>
        <w:spacing w:after="0" w:line="32" w:lineRule="exact"/>
        <w:rPr>
          <w:sz w:val="24"/>
          <w:szCs w:val="24"/>
          <w:color w:val="auto"/>
        </w:rPr>
      </w:pPr>
    </w:p>
    <w:p>
      <w:pPr>
        <w:ind w:left="9000"/>
        <w:spacing w:after="0"/>
        <w:rPr>
          <w:sz w:val="20"/>
          <w:szCs w:val="20"/>
          <w:color w:val="auto"/>
        </w:rPr>
      </w:pPr>
      <w:r>
        <w:rPr>
          <w:rFonts w:ascii="Arial" w:cs="Arial" w:eastAsia="Arial" w:hAnsi="Arial"/>
          <w:sz w:val="16"/>
          <w:szCs w:val="16"/>
          <w:b w:val="1"/>
          <w:bCs w:val="1"/>
          <w:color w:val="auto"/>
        </w:rPr>
        <w:t>Registration No. 333-194431-01</w:t>
      </w:r>
    </w:p>
    <w:p>
      <w:pPr>
        <w:spacing w:after="0" w:line="32" w:lineRule="exact"/>
        <w:rPr>
          <w:sz w:val="24"/>
          <w:szCs w:val="24"/>
          <w:color w:val="auto"/>
        </w:rPr>
      </w:pPr>
    </w:p>
    <w:p>
      <w:pPr>
        <w:ind w:left="9000"/>
        <w:spacing w:after="0"/>
        <w:rPr>
          <w:sz w:val="20"/>
          <w:szCs w:val="20"/>
          <w:color w:val="auto"/>
        </w:rPr>
      </w:pPr>
      <w:r>
        <w:rPr>
          <w:rFonts w:ascii="Arial" w:cs="Arial" w:eastAsia="Arial" w:hAnsi="Arial"/>
          <w:sz w:val="16"/>
          <w:szCs w:val="16"/>
          <w:b w:val="1"/>
          <w:bCs w:val="1"/>
          <w:color w:val="auto"/>
        </w:rPr>
        <w:t>Registration No. 333-194431-02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POST-EFFECTIVE AMENDMENT NO. 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 FORM S-3</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jc w:val="center"/>
        <w:spacing w:after="0" w:line="231"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Ireland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98-0606750</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(I.R.S. Employer Identification Number)</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Bahnhofstrasse 1, 6340 Baar, Switzerland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40"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5580" w:type="dxa"/>
            <w:vAlign w:val="bottom"/>
          </w:tcPr>
          <w:p>
            <w:pPr>
              <w:jc w:val="center"/>
              <w:ind w:right="133"/>
              <w:spacing w:after="0"/>
              <w:rPr>
                <w:sz w:val="20"/>
                <w:szCs w:val="20"/>
                <w:color w:val="auto"/>
              </w:rPr>
            </w:pPr>
            <w:r>
              <w:rPr>
                <w:rFonts w:ascii="Arial" w:cs="Arial" w:eastAsia="Arial" w:hAnsi="Arial"/>
                <w:sz w:val="14"/>
                <w:szCs w:val="14"/>
                <w:b w:val="1"/>
                <w:bCs w:val="1"/>
                <w:color w:val="auto"/>
                <w:w w:val="97"/>
              </w:rPr>
              <w:t>Weatherford International Ltd.</w:t>
            </w:r>
          </w:p>
        </w:tc>
        <w:tc>
          <w:tcPr>
            <w:tcW w:w="5560" w:type="dxa"/>
            <w:vAlign w:val="bottom"/>
          </w:tcPr>
          <w:p>
            <w:pPr>
              <w:jc w:val="center"/>
              <w:ind w:left="113"/>
              <w:spacing w:after="0"/>
              <w:rPr>
                <w:sz w:val="20"/>
                <w:szCs w:val="20"/>
                <w:color w:val="auto"/>
              </w:rPr>
            </w:pPr>
            <w:r>
              <w:rPr>
                <w:rFonts w:ascii="Arial" w:cs="Arial" w:eastAsia="Arial" w:hAnsi="Arial"/>
                <w:sz w:val="14"/>
                <w:szCs w:val="14"/>
                <w:b w:val="1"/>
                <w:bCs w:val="1"/>
                <w:color w:val="auto"/>
                <w:w w:val="98"/>
              </w:rPr>
              <w:t>Weatherford International, LLC</w:t>
            </w:r>
          </w:p>
        </w:tc>
      </w:tr>
      <w:tr>
        <w:trPr>
          <w:trHeight w:val="131"/>
        </w:trPr>
        <w:tc>
          <w:tcPr>
            <w:tcW w:w="5580" w:type="dxa"/>
            <w:vAlign w:val="bottom"/>
          </w:tcPr>
          <w:p>
            <w:pPr>
              <w:jc w:val="center"/>
              <w:ind w:right="133"/>
              <w:spacing w:after="0" w:line="131" w:lineRule="exact"/>
              <w:rPr>
                <w:sz w:val="20"/>
                <w:szCs w:val="20"/>
                <w:color w:val="auto"/>
              </w:rPr>
            </w:pPr>
            <w:r>
              <w:rPr>
                <w:rFonts w:ascii="Arial" w:cs="Arial" w:eastAsia="Arial" w:hAnsi="Arial"/>
                <w:sz w:val="13"/>
                <w:szCs w:val="13"/>
                <w:b w:val="1"/>
                <w:bCs w:val="1"/>
                <w:color w:val="auto"/>
                <w:w w:val="86"/>
              </w:rPr>
              <w:t>(Exact name of co-registrant as specified in its charter)</w:t>
            </w:r>
          </w:p>
        </w:tc>
        <w:tc>
          <w:tcPr>
            <w:tcW w:w="5560" w:type="dxa"/>
            <w:vAlign w:val="bottom"/>
          </w:tcPr>
          <w:p>
            <w:pPr>
              <w:jc w:val="center"/>
              <w:ind w:left="113"/>
              <w:spacing w:after="0" w:line="131" w:lineRule="exact"/>
              <w:rPr>
                <w:sz w:val="20"/>
                <w:szCs w:val="20"/>
                <w:color w:val="auto"/>
              </w:rPr>
            </w:pPr>
            <w:r>
              <w:rPr>
                <w:rFonts w:ascii="Arial" w:cs="Arial" w:eastAsia="Arial" w:hAnsi="Arial"/>
                <w:sz w:val="13"/>
                <w:szCs w:val="13"/>
                <w:b w:val="1"/>
                <w:bCs w:val="1"/>
                <w:color w:val="auto"/>
                <w:w w:val="86"/>
              </w:rPr>
              <w:t>(Exact name of co-registrant as specified in its charter)</w:t>
            </w:r>
          </w:p>
        </w:tc>
      </w:tr>
      <w:tr>
        <w:trPr>
          <w:trHeight w:val="153"/>
        </w:trPr>
        <w:tc>
          <w:tcPr>
            <w:tcW w:w="5580" w:type="dxa"/>
            <w:vAlign w:val="bottom"/>
          </w:tcPr>
          <w:p>
            <w:pPr>
              <w:jc w:val="center"/>
              <w:ind w:right="133"/>
              <w:spacing w:after="0" w:line="153" w:lineRule="exact"/>
              <w:rPr>
                <w:sz w:val="20"/>
                <w:szCs w:val="20"/>
                <w:color w:val="auto"/>
              </w:rPr>
            </w:pPr>
            <w:r>
              <w:rPr>
                <w:rFonts w:ascii="Arial" w:cs="Arial" w:eastAsia="Arial" w:hAnsi="Arial"/>
                <w:sz w:val="14"/>
                <w:szCs w:val="14"/>
                <w:b w:val="1"/>
                <w:bCs w:val="1"/>
                <w:color w:val="auto"/>
                <w:w w:val="95"/>
              </w:rPr>
              <w:t>Bermuda</w:t>
            </w:r>
          </w:p>
        </w:tc>
        <w:tc>
          <w:tcPr>
            <w:tcW w:w="5560" w:type="dxa"/>
            <w:vAlign w:val="bottom"/>
          </w:tcPr>
          <w:p>
            <w:pPr>
              <w:jc w:val="center"/>
              <w:ind w:left="113"/>
              <w:spacing w:after="0" w:line="153" w:lineRule="exact"/>
              <w:rPr>
                <w:sz w:val="20"/>
                <w:szCs w:val="20"/>
                <w:color w:val="auto"/>
              </w:rPr>
            </w:pPr>
            <w:r>
              <w:rPr>
                <w:rFonts w:ascii="Arial" w:cs="Arial" w:eastAsia="Arial" w:hAnsi="Arial"/>
                <w:sz w:val="14"/>
                <w:szCs w:val="14"/>
                <w:b w:val="1"/>
                <w:bCs w:val="1"/>
                <w:color w:val="auto"/>
                <w:w w:val="94"/>
              </w:rPr>
              <w:t>Delaware</w:t>
            </w:r>
          </w:p>
        </w:tc>
      </w:tr>
      <w:tr>
        <w:trPr>
          <w:trHeight w:val="131"/>
        </w:trPr>
        <w:tc>
          <w:tcPr>
            <w:tcW w:w="5580" w:type="dxa"/>
            <w:vAlign w:val="bottom"/>
          </w:tcPr>
          <w:p>
            <w:pPr>
              <w:jc w:val="center"/>
              <w:ind w:right="133"/>
              <w:spacing w:after="0" w:line="131" w:lineRule="exact"/>
              <w:rPr>
                <w:sz w:val="20"/>
                <w:szCs w:val="20"/>
                <w:color w:val="auto"/>
              </w:rPr>
            </w:pPr>
            <w:r>
              <w:rPr>
                <w:rFonts w:ascii="Arial" w:cs="Arial" w:eastAsia="Arial" w:hAnsi="Arial"/>
                <w:sz w:val="13"/>
                <w:szCs w:val="13"/>
                <w:b w:val="1"/>
                <w:bCs w:val="1"/>
                <w:color w:val="auto"/>
                <w:w w:val="88"/>
              </w:rPr>
              <w:t>(State or other jurisdiction of incorporation or organization)</w:t>
            </w:r>
          </w:p>
        </w:tc>
        <w:tc>
          <w:tcPr>
            <w:tcW w:w="5560" w:type="dxa"/>
            <w:vAlign w:val="bottom"/>
          </w:tcPr>
          <w:p>
            <w:pPr>
              <w:jc w:val="center"/>
              <w:ind w:left="113"/>
              <w:spacing w:after="0" w:line="131" w:lineRule="exact"/>
              <w:rPr>
                <w:sz w:val="20"/>
                <w:szCs w:val="20"/>
                <w:color w:val="auto"/>
              </w:rPr>
            </w:pPr>
            <w:r>
              <w:rPr>
                <w:rFonts w:ascii="Arial" w:cs="Arial" w:eastAsia="Arial" w:hAnsi="Arial"/>
                <w:sz w:val="13"/>
                <w:szCs w:val="13"/>
                <w:b w:val="1"/>
                <w:bCs w:val="1"/>
                <w:color w:val="auto"/>
                <w:w w:val="88"/>
              </w:rPr>
              <w:t>(State or other jurisdiction of incorporation or organization)</w:t>
            </w:r>
          </w:p>
        </w:tc>
      </w:tr>
      <w:tr>
        <w:trPr>
          <w:trHeight w:val="153"/>
        </w:trPr>
        <w:tc>
          <w:tcPr>
            <w:tcW w:w="5580" w:type="dxa"/>
            <w:vAlign w:val="bottom"/>
          </w:tcPr>
          <w:p>
            <w:pPr>
              <w:jc w:val="right"/>
              <w:ind w:right="2473"/>
              <w:spacing w:after="0" w:line="153" w:lineRule="exact"/>
              <w:rPr>
                <w:sz w:val="20"/>
                <w:szCs w:val="20"/>
                <w:color w:val="auto"/>
              </w:rPr>
            </w:pPr>
            <w:r>
              <w:rPr>
                <w:rFonts w:ascii="Arial" w:cs="Arial" w:eastAsia="Arial" w:hAnsi="Arial"/>
                <w:sz w:val="14"/>
                <w:szCs w:val="14"/>
                <w:b w:val="1"/>
                <w:bCs w:val="1"/>
                <w:color w:val="auto"/>
              </w:rPr>
              <w:t>98-0371344</w:t>
            </w:r>
          </w:p>
        </w:tc>
        <w:tc>
          <w:tcPr>
            <w:tcW w:w="5560" w:type="dxa"/>
            <w:vAlign w:val="bottom"/>
          </w:tcPr>
          <w:p>
            <w:pPr>
              <w:jc w:val="right"/>
              <w:ind w:right="2273"/>
              <w:spacing w:after="0" w:line="153" w:lineRule="exact"/>
              <w:rPr>
                <w:sz w:val="20"/>
                <w:szCs w:val="20"/>
                <w:color w:val="auto"/>
              </w:rPr>
            </w:pPr>
            <w:r>
              <w:rPr>
                <w:rFonts w:ascii="Arial" w:cs="Arial" w:eastAsia="Arial" w:hAnsi="Arial"/>
                <w:sz w:val="14"/>
                <w:szCs w:val="14"/>
                <w:b w:val="1"/>
                <w:bCs w:val="1"/>
                <w:color w:val="auto"/>
              </w:rPr>
              <w:t>33-0430755</w:t>
            </w:r>
          </w:p>
        </w:tc>
      </w:tr>
      <w:tr>
        <w:trPr>
          <w:trHeight w:val="131"/>
        </w:trPr>
        <w:tc>
          <w:tcPr>
            <w:tcW w:w="5580" w:type="dxa"/>
            <w:vAlign w:val="bottom"/>
          </w:tcPr>
          <w:p>
            <w:pPr>
              <w:jc w:val="center"/>
              <w:ind w:right="133"/>
              <w:spacing w:after="0" w:line="131" w:lineRule="exact"/>
              <w:rPr>
                <w:sz w:val="20"/>
                <w:szCs w:val="20"/>
                <w:color w:val="auto"/>
              </w:rPr>
            </w:pPr>
            <w:r>
              <w:rPr>
                <w:rFonts w:ascii="Arial" w:cs="Arial" w:eastAsia="Arial" w:hAnsi="Arial"/>
                <w:sz w:val="13"/>
                <w:szCs w:val="13"/>
                <w:b w:val="1"/>
                <w:bCs w:val="1"/>
                <w:color w:val="auto"/>
                <w:w w:val="90"/>
              </w:rPr>
              <w:t>(I.R.S. Employer Identification Number)</w:t>
            </w:r>
          </w:p>
        </w:tc>
        <w:tc>
          <w:tcPr>
            <w:tcW w:w="5560" w:type="dxa"/>
            <w:vAlign w:val="bottom"/>
          </w:tcPr>
          <w:p>
            <w:pPr>
              <w:jc w:val="center"/>
              <w:ind w:left="113"/>
              <w:spacing w:after="0" w:line="131" w:lineRule="exact"/>
              <w:rPr>
                <w:sz w:val="20"/>
                <w:szCs w:val="20"/>
                <w:color w:val="auto"/>
              </w:rPr>
            </w:pPr>
            <w:r>
              <w:rPr>
                <w:rFonts w:ascii="Arial" w:cs="Arial" w:eastAsia="Arial" w:hAnsi="Arial"/>
                <w:sz w:val="13"/>
                <w:szCs w:val="13"/>
                <w:b w:val="1"/>
                <w:bCs w:val="1"/>
                <w:color w:val="auto"/>
                <w:w w:val="90"/>
              </w:rPr>
              <w:t>(I.R.S. Employer Identification Number)</w:t>
            </w:r>
          </w:p>
        </w:tc>
      </w:tr>
      <w:tr>
        <w:trPr>
          <w:trHeight w:val="149"/>
        </w:trPr>
        <w:tc>
          <w:tcPr>
            <w:tcW w:w="558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0"/>
              </w:rPr>
              <w:t>2000 St. James Place, Houston, Texas 77056</w:t>
            </w:r>
          </w:p>
        </w:tc>
        <w:tc>
          <w:tcPr>
            <w:tcW w:w="5560" w:type="dxa"/>
            <w:vAlign w:val="bottom"/>
          </w:tcPr>
          <w:p>
            <w:pPr>
              <w:jc w:val="center"/>
              <w:ind w:left="133"/>
              <w:spacing w:after="0" w:line="149" w:lineRule="exact"/>
              <w:rPr>
                <w:sz w:val="20"/>
                <w:szCs w:val="20"/>
                <w:color w:val="auto"/>
              </w:rPr>
            </w:pPr>
            <w:r>
              <w:rPr>
                <w:rFonts w:ascii="Arial" w:cs="Arial" w:eastAsia="Arial" w:hAnsi="Arial"/>
                <w:sz w:val="14"/>
                <w:szCs w:val="14"/>
                <w:b w:val="1"/>
                <w:bCs w:val="1"/>
                <w:color w:val="auto"/>
                <w:w w:val="90"/>
              </w:rPr>
              <w:t>2000 St. James Place, Houston, Texas 77056</w:t>
            </w:r>
          </w:p>
        </w:tc>
      </w:tr>
      <w:tr>
        <w:trPr>
          <w:trHeight w:val="153"/>
        </w:trPr>
        <w:tc>
          <w:tcPr>
            <w:tcW w:w="5580" w:type="dxa"/>
            <w:vAlign w:val="bottom"/>
          </w:tcPr>
          <w:p>
            <w:pPr>
              <w:jc w:val="right"/>
              <w:ind w:right="2373"/>
              <w:spacing w:after="0" w:line="153" w:lineRule="exact"/>
              <w:rPr>
                <w:sz w:val="20"/>
                <w:szCs w:val="20"/>
                <w:color w:val="auto"/>
              </w:rPr>
            </w:pPr>
            <w:r>
              <w:rPr>
                <w:rFonts w:ascii="Arial" w:cs="Arial" w:eastAsia="Arial" w:hAnsi="Arial"/>
                <w:sz w:val="14"/>
                <w:szCs w:val="14"/>
                <w:b w:val="1"/>
                <w:bCs w:val="1"/>
                <w:color w:val="auto"/>
              </w:rPr>
              <w:t>(713) 836-4000</w:t>
            </w:r>
          </w:p>
        </w:tc>
        <w:tc>
          <w:tcPr>
            <w:tcW w:w="5560" w:type="dxa"/>
            <w:vAlign w:val="bottom"/>
          </w:tcPr>
          <w:p>
            <w:pPr>
              <w:jc w:val="right"/>
              <w:ind w:right="2173"/>
              <w:spacing w:after="0" w:line="153" w:lineRule="exact"/>
              <w:rPr>
                <w:sz w:val="20"/>
                <w:szCs w:val="20"/>
                <w:color w:val="auto"/>
              </w:rPr>
            </w:pPr>
            <w:r>
              <w:rPr>
                <w:rFonts w:ascii="Arial" w:cs="Arial" w:eastAsia="Arial" w:hAnsi="Arial"/>
                <w:sz w:val="14"/>
                <w:szCs w:val="14"/>
                <w:b w:val="1"/>
                <w:bCs w:val="1"/>
                <w:color w:val="auto"/>
              </w:rPr>
              <w:t>(713) 836-4000</w:t>
            </w:r>
          </w:p>
        </w:tc>
      </w:tr>
      <w:tr>
        <w:trPr>
          <w:trHeight w:val="135"/>
        </w:trPr>
        <w:tc>
          <w:tcPr>
            <w:tcW w:w="5580" w:type="dxa"/>
            <w:vAlign w:val="bottom"/>
          </w:tcPr>
          <w:p>
            <w:pPr>
              <w:jc w:val="center"/>
              <w:ind w:right="133"/>
              <w:spacing w:after="0" w:line="135" w:lineRule="exact"/>
              <w:rPr>
                <w:sz w:val="20"/>
                <w:szCs w:val="20"/>
                <w:color w:val="auto"/>
              </w:rPr>
            </w:pPr>
            <w:r>
              <w:rPr>
                <w:rFonts w:ascii="Arial" w:cs="Arial" w:eastAsia="Arial" w:hAnsi="Arial"/>
                <w:sz w:val="13"/>
                <w:szCs w:val="13"/>
                <w:b w:val="1"/>
                <w:bCs w:val="1"/>
                <w:color w:val="auto"/>
                <w:w w:val="86"/>
              </w:rPr>
              <w:t>(Address, including zip code, and telephone number, including area code, of co-registrant’s principal</w:t>
            </w:r>
          </w:p>
        </w:tc>
        <w:tc>
          <w:tcPr>
            <w:tcW w:w="5560" w:type="dxa"/>
            <w:vAlign w:val="bottom"/>
          </w:tcPr>
          <w:p>
            <w:pPr>
              <w:jc w:val="center"/>
              <w:ind w:left="113"/>
              <w:spacing w:after="0" w:line="135" w:lineRule="exact"/>
              <w:rPr>
                <w:sz w:val="20"/>
                <w:szCs w:val="20"/>
                <w:color w:val="auto"/>
              </w:rPr>
            </w:pPr>
            <w:r>
              <w:rPr>
                <w:rFonts w:ascii="Arial" w:cs="Arial" w:eastAsia="Arial" w:hAnsi="Arial"/>
                <w:sz w:val="13"/>
                <w:szCs w:val="13"/>
                <w:b w:val="1"/>
                <w:bCs w:val="1"/>
                <w:color w:val="auto"/>
                <w:w w:val="86"/>
              </w:rPr>
              <w:t>(Address, including zip code, and telephone number, including area code, of co-registrant’s principal</w:t>
            </w:r>
          </w:p>
        </w:tc>
      </w:tr>
      <w:tr>
        <w:trPr>
          <w:trHeight w:val="164"/>
        </w:trPr>
        <w:tc>
          <w:tcPr>
            <w:tcW w:w="5580" w:type="dxa"/>
            <w:vAlign w:val="bottom"/>
          </w:tcPr>
          <w:p>
            <w:pPr>
              <w:jc w:val="center"/>
              <w:ind w:right="133"/>
              <w:spacing w:after="0"/>
              <w:rPr>
                <w:sz w:val="20"/>
                <w:szCs w:val="20"/>
                <w:color w:val="auto"/>
              </w:rPr>
            </w:pPr>
            <w:r>
              <w:rPr>
                <w:rFonts w:ascii="Arial" w:cs="Arial" w:eastAsia="Arial" w:hAnsi="Arial"/>
                <w:sz w:val="13"/>
                <w:szCs w:val="13"/>
                <w:b w:val="1"/>
                <w:bCs w:val="1"/>
                <w:color w:val="auto"/>
                <w:w w:val="82"/>
              </w:rPr>
              <w:t>executive offices)</w:t>
            </w:r>
          </w:p>
        </w:tc>
        <w:tc>
          <w:tcPr>
            <w:tcW w:w="5560" w:type="dxa"/>
            <w:vAlign w:val="bottom"/>
          </w:tcPr>
          <w:p>
            <w:pPr>
              <w:jc w:val="center"/>
              <w:ind w:left="113"/>
              <w:spacing w:after="0"/>
              <w:rPr>
                <w:sz w:val="20"/>
                <w:szCs w:val="20"/>
                <w:color w:val="auto"/>
              </w:rPr>
            </w:pPr>
            <w:r>
              <w:rPr>
                <w:rFonts w:ascii="Arial" w:cs="Arial" w:eastAsia="Arial" w:hAnsi="Arial"/>
                <w:sz w:val="13"/>
                <w:szCs w:val="13"/>
                <w:b w:val="1"/>
                <w:bCs w:val="1"/>
                <w:color w:val="auto"/>
                <w:w w:val="82"/>
              </w:rPr>
              <w:t>executive 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130175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Christina M. Ibrahim</w:t>
      </w:r>
    </w:p>
    <w:p>
      <w:pPr>
        <w:jc w:val="center"/>
        <w:spacing w:after="0" w:line="226" w:lineRule="auto"/>
        <w:rPr>
          <w:sz w:val="20"/>
          <w:szCs w:val="20"/>
          <w:color w:val="auto"/>
        </w:rPr>
      </w:pPr>
      <w:r>
        <w:rPr>
          <w:rFonts w:ascii="Arial" w:cs="Arial" w:eastAsia="Arial" w:hAnsi="Arial"/>
          <w:sz w:val="14"/>
          <w:szCs w:val="14"/>
          <w:b w:val="1"/>
          <w:bCs w:val="1"/>
          <w:color w:val="auto"/>
        </w:rPr>
        <w:t>Weatherford International plc</w:t>
      </w:r>
    </w:p>
    <w:p>
      <w:pPr>
        <w:jc w:val="center"/>
        <w:spacing w:after="0" w:line="222" w:lineRule="auto"/>
        <w:rPr>
          <w:sz w:val="20"/>
          <w:szCs w:val="20"/>
          <w:color w:val="auto"/>
        </w:rPr>
      </w:pPr>
      <w:r>
        <w:rPr>
          <w:rFonts w:ascii="Arial" w:cs="Arial" w:eastAsia="Arial" w:hAnsi="Arial"/>
          <w:sz w:val="14"/>
          <w:szCs w:val="14"/>
          <w:b w:val="1"/>
          <w:bCs w:val="1"/>
          <w:color w:val="auto"/>
        </w:rPr>
        <w:t>Executive Vice President, General Counsel and Corporate Secretary</w:t>
      </w:r>
    </w:p>
    <w:p>
      <w:pPr>
        <w:jc w:val="center"/>
        <w:spacing w:after="0" w:line="221" w:lineRule="auto"/>
        <w:rPr>
          <w:sz w:val="20"/>
          <w:szCs w:val="20"/>
          <w:color w:val="auto"/>
        </w:rPr>
      </w:pPr>
      <w:r>
        <w:rPr>
          <w:rFonts w:ascii="Arial" w:cs="Arial" w:eastAsia="Arial" w:hAnsi="Arial"/>
          <w:sz w:val="14"/>
          <w:szCs w:val="14"/>
          <w:b w:val="1"/>
          <w:bCs w:val="1"/>
          <w:color w:val="auto"/>
        </w:rPr>
        <w:t>2000 St. James Place</w:t>
      </w:r>
    </w:p>
    <w:p>
      <w:pPr>
        <w:jc w:val="center"/>
        <w:spacing w:after="0" w:line="222" w:lineRule="auto"/>
        <w:rPr>
          <w:sz w:val="20"/>
          <w:szCs w:val="20"/>
          <w:color w:val="auto"/>
        </w:rPr>
      </w:pPr>
      <w:r>
        <w:rPr>
          <w:rFonts w:ascii="Arial" w:cs="Arial" w:eastAsia="Arial" w:hAnsi="Arial"/>
          <w:sz w:val="14"/>
          <w:szCs w:val="14"/>
          <w:b w:val="1"/>
          <w:bCs w:val="1"/>
          <w:color w:val="auto"/>
        </w:rPr>
        <w:t>Houston, Texas 77056</w:t>
      </w:r>
    </w:p>
    <w:p>
      <w:pPr>
        <w:jc w:val="center"/>
        <w:spacing w:after="0" w:line="225" w:lineRule="auto"/>
        <w:rPr>
          <w:sz w:val="20"/>
          <w:szCs w:val="20"/>
          <w:color w:val="auto"/>
        </w:rPr>
      </w:pPr>
      <w:r>
        <w:rPr>
          <w:rFonts w:ascii="Arial" w:cs="Arial" w:eastAsia="Arial" w:hAnsi="Arial"/>
          <w:sz w:val="14"/>
          <w:szCs w:val="14"/>
          <w:b w:val="1"/>
          <w:bCs w:val="1"/>
          <w:color w:val="auto"/>
        </w:rPr>
        <w:t>(713) 836-4000</w:t>
      </w: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With a copy to:</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Sean T. Wheeler</w:t>
      </w:r>
    </w:p>
    <w:p>
      <w:pPr>
        <w:jc w:val="center"/>
        <w:spacing w:after="0" w:line="226" w:lineRule="auto"/>
        <w:rPr>
          <w:sz w:val="20"/>
          <w:szCs w:val="20"/>
          <w:color w:val="auto"/>
        </w:rPr>
      </w:pPr>
      <w:r>
        <w:rPr>
          <w:rFonts w:ascii="Arial" w:cs="Arial" w:eastAsia="Arial" w:hAnsi="Arial"/>
          <w:sz w:val="14"/>
          <w:szCs w:val="14"/>
          <w:b w:val="1"/>
          <w:bCs w:val="1"/>
          <w:color w:val="auto"/>
        </w:rPr>
        <w:t>John M. Greer</w:t>
      </w:r>
    </w:p>
    <w:p>
      <w:pPr>
        <w:jc w:val="center"/>
        <w:spacing w:after="0" w:line="222" w:lineRule="auto"/>
        <w:rPr>
          <w:sz w:val="20"/>
          <w:szCs w:val="20"/>
          <w:color w:val="auto"/>
        </w:rPr>
      </w:pPr>
      <w:r>
        <w:rPr>
          <w:rFonts w:ascii="Arial" w:cs="Arial" w:eastAsia="Arial" w:hAnsi="Arial"/>
          <w:sz w:val="14"/>
          <w:szCs w:val="14"/>
          <w:b w:val="1"/>
          <w:bCs w:val="1"/>
          <w:color w:val="auto"/>
        </w:rPr>
        <w:t>Latham &amp; Watkins LLP</w:t>
      </w:r>
    </w:p>
    <w:p>
      <w:pPr>
        <w:jc w:val="center"/>
        <w:spacing w:after="0" w:line="221" w:lineRule="auto"/>
        <w:rPr>
          <w:sz w:val="20"/>
          <w:szCs w:val="20"/>
          <w:color w:val="auto"/>
        </w:rPr>
      </w:pPr>
      <w:r>
        <w:rPr>
          <w:rFonts w:ascii="Arial" w:cs="Arial" w:eastAsia="Arial" w:hAnsi="Arial"/>
          <w:sz w:val="14"/>
          <w:szCs w:val="14"/>
          <w:b w:val="1"/>
          <w:bCs w:val="1"/>
          <w:color w:val="auto"/>
        </w:rPr>
        <w:t>811 Main Street, Suite 3700</w:t>
      </w:r>
    </w:p>
    <w:p>
      <w:pPr>
        <w:jc w:val="center"/>
        <w:spacing w:after="0" w:line="222" w:lineRule="auto"/>
        <w:rPr>
          <w:sz w:val="20"/>
          <w:szCs w:val="20"/>
          <w:color w:val="auto"/>
        </w:rPr>
      </w:pPr>
      <w:r>
        <w:rPr>
          <w:rFonts w:ascii="Arial" w:cs="Arial" w:eastAsia="Arial" w:hAnsi="Arial"/>
          <w:sz w:val="14"/>
          <w:szCs w:val="14"/>
          <w:b w:val="1"/>
          <w:bCs w:val="1"/>
          <w:color w:val="auto"/>
        </w:rPr>
        <w:t>Houston, Texas 77002</w:t>
      </w:r>
    </w:p>
    <w:p>
      <w:pPr>
        <w:jc w:val="center"/>
        <w:spacing w:after="0"/>
        <w:rPr>
          <w:sz w:val="20"/>
          <w:szCs w:val="20"/>
          <w:color w:val="auto"/>
        </w:rPr>
      </w:pPr>
      <w:r>
        <w:rPr>
          <w:rFonts w:ascii="Arial" w:cs="Arial" w:eastAsia="Arial" w:hAnsi="Arial"/>
          <w:sz w:val="14"/>
          <w:szCs w:val="14"/>
          <w:b w:val="1"/>
          <w:bCs w:val="1"/>
          <w:color w:val="auto"/>
        </w:rPr>
        <w:t>(713) 546-5400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36" w:lineRule="exact"/>
        <w:rPr>
          <w:sz w:val="24"/>
          <w:szCs w:val="24"/>
          <w:color w:val="auto"/>
        </w:rPr>
      </w:pPr>
    </w:p>
    <w:p>
      <w:pPr>
        <w:ind w:right="2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73"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3"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3" w:lineRule="exact"/>
        <w:rPr>
          <w:sz w:val="24"/>
          <w:szCs w:val="24"/>
          <w:color w:val="auto"/>
        </w:rPr>
      </w:pPr>
    </w:p>
    <w:p>
      <w:pPr>
        <w:ind w:right="40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73"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73" w:lineRule="exact"/>
        <w:rPr>
          <w:sz w:val="24"/>
          <w:szCs w:val="24"/>
          <w:color w:val="auto"/>
        </w:rPr>
      </w:pPr>
    </w:p>
    <w:p>
      <w:pPr>
        <w:ind w:right="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 large accelerated filer,” “ accelerated filer” and “ smaller reporting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0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240" w:type="dxa"/>
            <w:vAlign w:val="bottom"/>
          </w:tcPr>
          <w:p>
            <w:pPr>
              <w:ind w:left="2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460" w:type="dxa"/>
            <w:vAlign w:val="bottom"/>
          </w:tcPr>
          <w:p>
            <w:pPr>
              <w:spacing w:after="0"/>
              <w:rPr>
                <w:sz w:val="20"/>
                <w:szCs w:val="20"/>
                <w:color w:val="auto"/>
              </w:rPr>
            </w:pPr>
            <w:r>
              <w:rPr>
                <w:rFonts w:ascii="Arial" w:cs="Arial" w:eastAsia="Arial" w:hAnsi="Arial"/>
                <w:sz w:val="14"/>
                <w:szCs w:val="14"/>
                <w:color w:val="auto"/>
              </w:rPr>
              <w:t>Non-accelerated filer</w:t>
            </w:r>
          </w:p>
        </w:tc>
        <w:tc>
          <w:tcPr>
            <w:tcW w:w="540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smaller reporting company)</w:t>
            </w:r>
          </w:p>
        </w:tc>
        <w:tc>
          <w:tcPr>
            <w:tcW w:w="4240" w:type="dxa"/>
            <w:vAlign w:val="bottom"/>
          </w:tcPr>
          <w:p>
            <w:pPr>
              <w:ind w:left="2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72"/>
        </w:trPr>
        <w:tc>
          <w:tcPr>
            <w:tcW w:w="1460" w:type="dxa"/>
            <w:vAlign w:val="bottom"/>
            <w:tcBorders>
              <w:bottom w:val="single" w:sz="8" w:color="auto"/>
            </w:tcBorders>
          </w:tcPr>
          <w:p>
            <w:pPr>
              <w:spacing w:after="0"/>
              <w:rPr>
                <w:sz w:val="6"/>
                <w:szCs w:val="6"/>
                <w:color w:val="auto"/>
              </w:rPr>
            </w:pPr>
          </w:p>
        </w:tc>
        <w:tc>
          <w:tcPr>
            <w:tcW w:w="5400" w:type="dxa"/>
            <w:vAlign w:val="bottom"/>
            <w:tcBorders>
              <w:bottom w:val="single" w:sz="8" w:color="auto"/>
            </w:tcBorders>
          </w:tcPr>
          <w:p>
            <w:pPr>
              <w:spacing w:after="0"/>
              <w:rPr>
                <w:sz w:val="6"/>
                <w:szCs w:val="6"/>
                <w:color w:val="auto"/>
              </w:rPr>
            </w:pPr>
          </w:p>
        </w:tc>
        <w:tc>
          <w:tcPr>
            <w:tcW w:w="42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r>
      <w:tr>
        <w:trPr>
          <w:trHeight w:val="48"/>
        </w:trPr>
        <w:tc>
          <w:tcPr>
            <w:tcW w:w="1460" w:type="dxa"/>
            <w:vAlign w:val="bottom"/>
            <w:tcBorders>
              <w:bottom w:val="single" w:sz="8" w:color="auto"/>
            </w:tcBorders>
          </w:tcPr>
          <w:p>
            <w:pPr>
              <w:spacing w:after="0"/>
              <w:rPr>
                <w:sz w:val="4"/>
                <w:szCs w:val="4"/>
                <w:color w:val="auto"/>
              </w:rPr>
            </w:pPr>
          </w:p>
        </w:tc>
        <w:tc>
          <w:tcPr>
            <w:tcW w:w="5400" w:type="dxa"/>
            <w:vAlign w:val="bottom"/>
            <w:tcBorders>
              <w:bottom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31"/>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31"/>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31"/>
              <w:spacing w:after="0" w:line="149" w:lineRule="exact"/>
              <w:rPr>
                <w:sz w:val="20"/>
                <w:szCs w:val="20"/>
                <w:color w:val="auto"/>
              </w:rPr>
            </w:pPr>
            <w:r>
              <w:rPr>
                <w:rFonts w:ascii="Arial" w:cs="Arial" w:eastAsia="Arial" w:hAnsi="Arial"/>
                <w:sz w:val="14"/>
                <w:szCs w:val="14"/>
                <w:b w:val="1"/>
                <w:bCs w:val="1"/>
                <w:color w:val="auto"/>
                <w:w w:val="94"/>
              </w:rPr>
              <w:t>maximum</w:t>
            </w:r>
          </w:p>
        </w:tc>
        <w:tc>
          <w:tcPr>
            <w:tcW w:w="1600" w:type="dxa"/>
            <w:vAlign w:val="bottom"/>
            <w:tcBorders>
              <w:right w:val="single" w:sz="8" w:color="auto"/>
            </w:tcBorders>
          </w:tcPr>
          <w:p>
            <w:pPr>
              <w:jc w:val="center"/>
              <w:ind w:left="31"/>
              <w:spacing w:after="0" w:line="149" w:lineRule="exact"/>
              <w:rPr>
                <w:sz w:val="20"/>
                <w:szCs w:val="20"/>
                <w:color w:val="auto"/>
              </w:rPr>
            </w:pPr>
            <w:r>
              <w:rPr>
                <w:rFonts w:ascii="Arial" w:cs="Arial" w:eastAsia="Arial" w:hAnsi="Arial"/>
                <w:sz w:val="14"/>
                <w:szCs w:val="14"/>
                <w:b w:val="1"/>
                <w:bCs w:val="1"/>
                <w:color w:val="auto"/>
                <w:w w:val="94"/>
              </w:rPr>
              <w:t>maximum</w:t>
            </w:r>
          </w:p>
        </w:tc>
        <w:tc>
          <w:tcPr>
            <w:tcW w:w="156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600" w:type="dxa"/>
            <w:vAlign w:val="bottom"/>
            <w:tcBorders>
              <w:right w:val="single" w:sz="8" w:color="auto"/>
            </w:tcBorders>
          </w:tcPr>
          <w:p>
            <w:pPr>
              <w:jc w:val="center"/>
              <w:ind w:left="11"/>
              <w:spacing w:after="0" w:line="149" w:lineRule="exact"/>
              <w:rPr>
                <w:sz w:val="20"/>
                <w:szCs w:val="20"/>
                <w:color w:val="auto"/>
              </w:rPr>
            </w:pPr>
            <w:r>
              <w:rPr>
                <w:rFonts w:ascii="Arial" w:cs="Arial" w:eastAsia="Arial" w:hAnsi="Arial"/>
                <w:sz w:val="14"/>
                <w:szCs w:val="14"/>
                <w:b w:val="1"/>
                <w:bCs w:val="1"/>
                <w:color w:val="auto"/>
                <w:w w:val="89"/>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88"/>
              </w:rPr>
              <w:t>registered</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3"/>
              </w:rPr>
              <w:t>per unit</w:t>
            </w:r>
          </w:p>
        </w:tc>
        <w:tc>
          <w:tcPr>
            <w:tcW w:w="160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3"/>
              </w:rPr>
              <w:t>offering price</w:t>
            </w:r>
          </w:p>
        </w:tc>
        <w:tc>
          <w:tcPr>
            <w:tcW w:w="15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1"/>
              </w:rPr>
              <w:t xml:space="preserve">registration fee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line="123" w:lineRule="exact"/>
              <w:rPr>
                <w:sz w:val="20"/>
                <w:szCs w:val="20"/>
                <w:color w:val="auto"/>
              </w:rPr>
            </w:pPr>
            <w:r>
              <w:rPr>
                <w:rFonts w:ascii="Arial" w:cs="Arial" w:eastAsia="Arial" w:hAnsi="Arial"/>
                <w:sz w:val="14"/>
                <w:szCs w:val="14"/>
                <w:color w:val="auto"/>
                <w:w w:val="99"/>
              </w:rPr>
              <w:t>Ordinary shares, par value $.001 USD per share, of Weatherford International plc</w:t>
            </w: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 xml:space="preserve">(“Weatherford Ireland”) </w:t>
            </w:r>
            <w:r>
              <w:rPr>
                <w:rFonts w:ascii="Arial" w:cs="Arial" w:eastAsia="Arial" w:hAnsi="Arial"/>
                <w:sz w:val="12"/>
                <w:szCs w:val="12"/>
                <w:color w:val="auto"/>
              </w:rPr>
              <w:t>(2)</w:t>
            </w: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50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 xml:space="preserve">Warrants of Weatherford Ireland </w:t>
            </w:r>
            <w:r>
              <w:rPr>
                <w:rFonts w:ascii="Arial" w:cs="Arial" w:eastAsia="Arial" w:hAnsi="Arial"/>
                <w:sz w:val="12"/>
                <w:szCs w:val="12"/>
                <w:color w:val="auto"/>
              </w:rPr>
              <w:t>(2)</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Debt securities of Weatherford International Ltd. (“Weatherford Bermuda”) </w:t>
            </w:r>
            <w:r>
              <w:rPr>
                <w:rFonts w:ascii="Arial" w:cs="Arial" w:eastAsia="Arial" w:hAnsi="Arial"/>
                <w:sz w:val="12"/>
                <w:szCs w:val="12"/>
                <w:color w:val="auto"/>
              </w:rPr>
              <w:t>(2)(3)</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Debt securities of Weatherford International, LLC (“Weatherford Delaware”) </w:t>
            </w:r>
            <w:r>
              <w:rPr>
                <w:rFonts w:ascii="Arial" w:cs="Arial" w:eastAsia="Arial" w:hAnsi="Arial"/>
                <w:sz w:val="12"/>
                <w:szCs w:val="12"/>
                <w:color w:val="auto"/>
              </w:rPr>
              <w:t>(2)(3)</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Guarantees of Weatherford Ireland </w:t>
            </w:r>
            <w:r>
              <w:rPr>
                <w:rFonts w:ascii="Arial" w:cs="Arial" w:eastAsia="Arial" w:hAnsi="Arial"/>
                <w:sz w:val="12"/>
                <w:szCs w:val="12"/>
                <w:color w:val="auto"/>
              </w:rPr>
              <w:t>(2)(3)</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Guarantees of Weatherford Bermuda </w:t>
            </w:r>
            <w:r>
              <w:rPr>
                <w:rFonts w:ascii="Arial" w:cs="Arial" w:eastAsia="Arial" w:hAnsi="Arial"/>
                <w:sz w:val="12"/>
                <w:szCs w:val="12"/>
                <w:color w:val="auto"/>
              </w:rPr>
              <w:t>(2)(3)</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Guarantees of Weatherford Delaware </w:t>
            </w:r>
            <w:r>
              <w:rPr>
                <w:rFonts w:ascii="Arial" w:cs="Arial" w:eastAsia="Arial" w:hAnsi="Arial"/>
                <w:sz w:val="12"/>
                <w:szCs w:val="12"/>
                <w:color w:val="auto"/>
              </w:rPr>
              <w:t>(2)(3)</w:t>
            </w: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2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indeterminate initial offering price, principal amount or number of securities of each identified class is being registered as may from time to time be issued at indeterminate prices. Separate consideration may or may not be received for securities that are being registered that are issued in exchange for, or upon conversion or exercise of, the securities being registered hereunder. In accordance with Rules 456(b) and 457(r) under the Securities Act of 1933, as amended, the registrants are deferring payment of all of the registration fee and will pay the registration fee subsequently in advance or on a pay-as-you-go basis.</w:t>
      </w:r>
    </w:p>
    <w:p>
      <w:pPr>
        <w:spacing w:after="0" w:line="2" w:lineRule="exact"/>
        <w:rPr>
          <w:rFonts w:ascii="Arial" w:cs="Arial" w:eastAsia="Arial" w:hAnsi="Arial"/>
          <w:sz w:val="18"/>
          <w:szCs w:val="18"/>
          <w:color w:val="auto"/>
        </w:rPr>
      </w:pPr>
    </w:p>
    <w:p>
      <w:pPr>
        <w:jc w:val="both"/>
        <w:ind w:left="460" w:right="10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covers an indeterminate number of ordinary shares of Weatherford Ireland, warrants of Weatherford Ireland, debt securities of Weatherford Bermuda (and related guarantees of Weatherford Ireland and Weatherford Delaware) and debt securities of Weatherford Delaware (and related guarantees of Weatherford Ireland and Weatherford Bermuda).</w:t>
      </w:r>
    </w:p>
    <w:p>
      <w:pPr>
        <w:spacing w:after="0" w:line="1" w:lineRule="exact"/>
        <w:rPr>
          <w:rFonts w:ascii="Arial" w:cs="Arial" w:eastAsia="Arial" w:hAnsi="Arial"/>
          <w:sz w:val="18"/>
          <w:szCs w:val="18"/>
          <w:color w:val="auto"/>
        </w:rPr>
      </w:pPr>
    </w:p>
    <w:p>
      <w:pPr>
        <w:jc w:val="both"/>
        <w:ind w:left="460" w:right="54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Debt securities issued by Weatherford Bermuda may be guaranteed by Weatherford Ireland and Weatherford Delaware. Debt securities issued by Weatherford Delaware may be guaranteed by Weatherford Ireland and Weatherford Bermuda. In accordance with Rule 457(n), no separate fee is payable with respect to the guarantees of the debt securities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224155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Post-Effective Amendment No. 2 to the Registration Statement on Form S-3 (File No. 333-194431) (as amended, this “Registration Statement”) is being filed by Weatherford International plc, a public limited company organized under the laws of Ireland (“Weatherford Ireland”) for the purpose of</w:t>
      </w:r>
    </w:p>
    <w:p>
      <w:pPr>
        <w:ind w:right="40" w:firstLine="8"/>
        <w:spacing w:after="0" w:line="253"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registering warrants pursuant to Rule 413(b) under the Securities Act of 1933, as amended, (ii) updating the base prospectus that forms part of the Registration Statement to reflect references to such warrants and (iii) filing additional exhibits to the Registration Statement relating to such warrants. The existing base prospectus, dated June 17, 2014, that currently forms a part of the Registration Statement is being replaced in its entirety by the base prospectus filed with this Post-Effective Amendment No. 2. This Post-Effective Amendment No. 2 to the Registration Statement shall become effective immediately upon filing with the Securities and Exchange Commission.</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172085</wp:posOffset>
            </wp:positionV>
            <wp:extent cx="875030"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750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Weatherford International plc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 Irish public limited company)</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Ordinary Shares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Guarantees of Debt Securities</w:t>
      </w:r>
    </w:p>
    <w:p>
      <w:pPr>
        <w:spacing w:after="0" w:line="216" w:lineRule="exact"/>
        <w:rPr>
          <w:sz w:val="20"/>
          <w:szCs w:val="20"/>
          <w:color w:val="auto"/>
        </w:rPr>
      </w:pPr>
    </w:p>
    <w:tbl>
      <w:tblPr>
        <w:tblLayout w:type="fixed"/>
        <w:tblInd w:w="860" w:type="dxa"/>
        <w:tblCellMar>
          <w:top w:w="0" w:type="dxa"/>
          <w:left w:w="0" w:type="dxa"/>
          <w:bottom w:w="0" w:type="dxa"/>
          <w:right w:w="0" w:type="dxa"/>
        </w:tblCellMar>
      </w:tblPr>
      <w:tr>
        <w:trPr>
          <w:trHeight w:val="351"/>
        </w:trPr>
        <w:tc>
          <w:tcPr>
            <w:tcW w:w="4840" w:type="dxa"/>
            <w:vAlign w:val="bottom"/>
          </w:tcPr>
          <w:p>
            <w:pPr>
              <w:jc w:val="center"/>
              <w:ind w:right="838"/>
              <w:spacing w:after="0"/>
              <w:rPr>
                <w:sz w:val="20"/>
                <w:szCs w:val="20"/>
                <w:color w:val="auto"/>
              </w:rPr>
            </w:pPr>
            <w:r>
              <w:rPr>
                <w:rFonts w:ascii="Arial" w:cs="Arial" w:eastAsia="Arial" w:hAnsi="Arial"/>
                <w:sz w:val="29"/>
                <w:szCs w:val="29"/>
                <w:b w:val="1"/>
                <w:bCs w:val="1"/>
                <w:color w:val="auto"/>
                <w:w w:val="93"/>
              </w:rPr>
              <w:t>Weatherford International Ltd.</w:t>
            </w:r>
          </w:p>
        </w:tc>
        <w:tc>
          <w:tcPr>
            <w:tcW w:w="5000" w:type="dxa"/>
            <w:vAlign w:val="bottom"/>
          </w:tcPr>
          <w:p>
            <w:pPr>
              <w:jc w:val="center"/>
              <w:ind w:left="858"/>
              <w:spacing w:after="0"/>
              <w:rPr>
                <w:sz w:val="20"/>
                <w:szCs w:val="20"/>
                <w:color w:val="auto"/>
              </w:rPr>
            </w:pPr>
            <w:r>
              <w:rPr>
                <w:rFonts w:ascii="Arial" w:cs="Arial" w:eastAsia="Arial" w:hAnsi="Arial"/>
                <w:sz w:val="29"/>
                <w:szCs w:val="29"/>
                <w:b w:val="1"/>
                <w:bCs w:val="1"/>
                <w:color w:val="auto"/>
                <w:w w:val="94"/>
              </w:rPr>
              <w:t>Weatherford International, LLC</w:t>
            </w:r>
          </w:p>
        </w:tc>
      </w:tr>
      <w:tr>
        <w:trPr>
          <w:trHeight w:val="234"/>
        </w:trPr>
        <w:tc>
          <w:tcPr>
            <w:tcW w:w="4840" w:type="dxa"/>
            <w:vAlign w:val="bottom"/>
          </w:tcPr>
          <w:p>
            <w:pPr>
              <w:jc w:val="center"/>
              <w:ind w:right="838"/>
              <w:spacing w:after="0"/>
              <w:rPr>
                <w:sz w:val="20"/>
                <w:szCs w:val="20"/>
                <w:color w:val="auto"/>
              </w:rPr>
            </w:pPr>
            <w:r>
              <w:rPr>
                <w:rFonts w:ascii="Arial" w:cs="Arial" w:eastAsia="Arial" w:hAnsi="Arial"/>
                <w:sz w:val="18"/>
                <w:szCs w:val="18"/>
                <w:b w:val="1"/>
                <w:bCs w:val="1"/>
                <w:color w:val="auto"/>
                <w:w w:val="90"/>
              </w:rPr>
              <w:t>(a Bermuda exempted company )</w:t>
            </w:r>
          </w:p>
        </w:tc>
        <w:tc>
          <w:tcPr>
            <w:tcW w:w="5000" w:type="dxa"/>
            <w:vAlign w:val="bottom"/>
          </w:tcPr>
          <w:p>
            <w:pPr>
              <w:jc w:val="center"/>
              <w:ind w:left="858"/>
              <w:spacing w:after="0"/>
              <w:rPr>
                <w:sz w:val="20"/>
                <w:szCs w:val="20"/>
                <w:color w:val="auto"/>
              </w:rPr>
            </w:pPr>
            <w:r>
              <w:rPr>
                <w:rFonts w:ascii="Arial" w:cs="Arial" w:eastAsia="Arial" w:hAnsi="Arial"/>
                <w:sz w:val="18"/>
                <w:szCs w:val="18"/>
                <w:b w:val="1"/>
                <w:bCs w:val="1"/>
                <w:color w:val="auto"/>
                <w:w w:val="91"/>
              </w:rPr>
              <w:t>(a Delaware limited liability company)</w:t>
            </w:r>
          </w:p>
        </w:tc>
      </w:tr>
      <w:tr>
        <w:trPr>
          <w:trHeight w:val="396"/>
        </w:trPr>
        <w:tc>
          <w:tcPr>
            <w:tcW w:w="4840" w:type="dxa"/>
            <w:vAlign w:val="bottom"/>
          </w:tcPr>
          <w:p>
            <w:pPr>
              <w:jc w:val="center"/>
              <w:ind w:right="838"/>
              <w:spacing w:after="0"/>
              <w:rPr>
                <w:sz w:val="20"/>
                <w:szCs w:val="20"/>
                <w:color w:val="auto"/>
              </w:rPr>
            </w:pPr>
            <w:r>
              <w:rPr>
                <w:rFonts w:ascii="Arial" w:cs="Arial" w:eastAsia="Arial" w:hAnsi="Arial"/>
                <w:sz w:val="25"/>
                <w:szCs w:val="25"/>
                <w:b w:val="1"/>
                <w:bCs w:val="1"/>
                <w:color w:val="auto"/>
                <w:w w:val="90"/>
              </w:rPr>
              <w:t>Debt Securities</w:t>
            </w:r>
          </w:p>
        </w:tc>
        <w:tc>
          <w:tcPr>
            <w:tcW w:w="5000" w:type="dxa"/>
            <w:vAlign w:val="bottom"/>
          </w:tcPr>
          <w:p>
            <w:pPr>
              <w:jc w:val="center"/>
              <w:ind w:left="858"/>
              <w:spacing w:after="0"/>
              <w:rPr>
                <w:sz w:val="20"/>
                <w:szCs w:val="20"/>
                <w:color w:val="auto"/>
              </w:rPr>
            </w:pPr>
            <w:r>
              <w:rPr>
                <w:rFonts w:ascii="Arial" w:cs="Arial" w:eastAsia="Arial" w:hAnsi="Arial"/>
                <w:sz w:val="25"/>
                <w:szCs w:val="25"/>
                <w:b w:val="1"/>
                <w:bCs w:val="1"/>
                <w:color w:val="auto"/>
                <w:w w:val="88"/>
              </w:rPr>
              <w:t>Debt Securities</w:t>
            </w:r>
          </w:p>
        </w:tc>
      </w:tr>
      <w:tr>
        <w:trPr>
          <w:trHeight w:val="329"/>
        </w:trPr>
        <w:tc>
          <w:tcPr>
            <w:tcW w:w="4840" w:type="dxa"/>
            <w:vAlign w:val="bottom"/>
          </w:tcPr>
          <w:p>
            <w:pPr>
              <w:jc w:val="center"/>
              <w:ind w:right="838"/>
              <w:spacing w:after="0"/>
              <w:rPr>
                <w:sz w:val="20"/>
                <w:szCs w:val="20"/>
                <w:color w:val="auto"/>
              </w:rPr>
            </w:pPr>
            <w:r>
              <w:rPr>
                <w:rFonts w:ascii="Arial" w:cs="Arial" w:eastAsia="Arial" w:hAnsi="Arial"/>
                <w:sz w:val="25"/>
                <w:szCs w:val="25"/>
                <w:b w:val="1"/>
                <w:bCs w:val="1"/>
                <w:color w:val="auto"/>
                <w:w w:val="89"/>
              </w:rPr>
              <w:t>Guarantees of Debt Securities</w:t>
            </w:r>
          </w:p>
        </w:tc>
        <w:tc>
          <w:tcPr>
            <w:tcW w:w="5000" w:type="dxa"/>
            <w:vAlign w:val="bottom"/>
          </w:tcPr>
          <w:p>
            <w:pPr>
              <w:jc w:val="center"/>
              <w:ind w:left="858"/>
              <w:spacing w:after="0"/>
              <w:rPr>
                <w:sz w:val="20"/>
                <w:szCs w:val="20"/>
                <w:color w:val="auto"/>
              </w:rPr>
            </w:pPr>
            <w:r>
              <w:rPr>
                <w:rFonts w:ascii="Arial" w:cs="Arial" w:eastAsia="Arial" w:hAnsi="Arial"/>
                <w:sz w:val="25"/>
                <w:szCs w:val="25"/>
                <w:b w:val="1"/>
                <w:bCs w:val="1"/>
                <w:color w:val="auto"/>
                <w:w w:val="90"/>
              </w:rPr>
              <w:t>Guarantees of Debt Securities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or any combination thereof, and sell from time to time in one or more offerings, in amounts, at prices and on terms determined at the time of any such offering. Weatherford Ireland, Weatherford Bermuda and Weatherford Delaware may offer and sell these securities to or through one or more underwriters, dealers and agents, or directly to purchasers, on a continuous or delayed basis. In addition, selling securityholders may sell these securities, from time to time, on terms described in the applicable prospectus supplement.</w:t>
      </w:r>
    </w:p>
    <w:p>
      <w:pPr>
        <w:spacing w:after="0" w:line="17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You should read this prospectus and the accompanying prospectus supplement carefully before you make your investment decision. This prospectus may not be used to consummate sales of securities of Weatherford Ireland, Weatherford Bermuda or Weatherford Delaware, unless it is accompanied by a prospectus supplement.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ordinary shares of Weatherford Ireland are traded under the symbol “WFT” on the New York Stock Exchange.</w:t>
      </w:r>
    </w:p>
    <w:p>
      <w:pPr>
        <w:spacing w:after="0" w:line="212" w:lineRule="exact"/>
        <w:rPr>
          <w:sz w:val="20"/>
          <w:szCs w:val="20"/>
          <w:color w:val="auto"/>
        </w:rPr>
      </w:pPr>
    </w:p>
    <w:p>
      <w:pPr>
        <w:ind w:right="140" w:firstLine="456"/>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 You should carefully review the risks and uncertainties described under the headings “Forward-Looking Statements” on page 4 and “</w:t>
      </w:r>
      <w:hyperlink w:anchor="page11">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6 herein and in the applicable prospectus supplement and any related free writing prospectus and under similar headings in the other documents incorporated by reference into this prospectus and the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date of this prospectus is November 16, 2016.</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80" w:type="dxa"/>
            <w:vAlign w:val="bottom"/>
          </w:tcPr>
          <w:p>
            <w:pPr>
              <w:jc w:val="right"/>
              <w:ind w:right="483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2240" w:type="dxa"/>
            <w:vAlign w:val="bottom"/>
            <w:tcBorders>
              <w:bottom w:val="single" w:sz="8" w:color="0000EE"/>
            </w:tcBorders>
            <w:gridSpan w:val="7"/>
          </w:tcPr>
          <w:p>
            <w:pPr>
              <w:spacing w:after="0" w:line="190"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2200" w:type="dxa"/>
            <w:vAlign w:val="bottom"/>
            <w:gridSpan w:val="6"/>
          </w:tcPr>
          <w:p>
            <w:pPr>
              <w:spacing w:after="0"/>
              <w:rPr>
                <w:sz w:val="16"/>
                <w:szCs w:val="16"/>
                <w:color w:val="auto"/>
              </w:rPr>
            </w:pPr>
          </w:p>
        </w:tc>
        <w:tc>
          <w:tcPr>
            <w:tcW w:w="68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ABOUT US</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WHERE YOU CAN FIND MORE INFORMATION</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29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FORWARD-LOOKING STATEMENTS</w:t>
              </w:r>
            </w:hyperlink>
          </w:p>
        </w:tc>
        <w:tc>
          <w:tcPr>
            <w:tcW w:w="880" w:type="dxa"/>
            <w:vAlign w:val="bottom"/>
            <w:tcBorders>
              <w:top w:val="single" w:sz="8" w:color="0000EE"/>
            </w:tcBorders>
            <w:gridSpan w:val="2"/>
          </w:tcPr>
          <w:p>
            <w:pPr>
              <w:spacing w:after="0"/>
              <w:rPr>
                <w:sz w:val="17"/>
                <w:szCs w:val="17"/>
                <w:color w:val="auto"/>
              </w:rPr>
            </w:pPr>
          </w:p>
        </w:tc>
        <w:tc>
          <w:tcPr>
            <w:tcW w:w="620" w:type="dxa"/>
            <w:vAlign w:val="bottom"/>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RISK FACTORS</w:t>
              </w:r>
            </w:hyperlink>
          </w:p>
        </w:tc>
        <w:tc>
          <w:tcPr>
            <w:tcW w:w="3180" w:type="dxa"/>
            <w:vAlign w:val="bottom"/>
            <w:gridSpan w:val="10"/>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RATIO OF EARNINGS TO FIXED CHARGES</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5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DESCRIPTION OF SECURITIES</w:t>
              </w:r>
            </w:hyperlink>
          </w:p>
        </w:tc>
        <w:tc>
          <w:tcPr>
            <w:tcW w:w="960" w:type="dxa"/>
            <w:vAlign w:val="bottom"/>
            <w:tcBorders>
              <w:top w:val="single" w:sz="8" w:color="0000EE"/>
            </w:tcBorders>
            <w:gridSpan w:val="2"/>
          </w:tcPr>
          <w:p>
            <w:pPr>
              <w:spacing w:after="0"/>
              <w:rPr>
                <w:sz w:val="17"/>
                <w:szCs w:val="17"/>
                <w:color w:val="auto"/>
              </w:rPr>
            </w:pPr>
          </w:p>
        </w:tc>
        <w:tc>
          <w:tcPr>
            <w:tcW w:w="940" w:type="dxa"/>
            <w:vAlign w:val="bottom"/>
            <w:gridSpan w:val="2"/>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52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SELLING SECURITYHOLDERS</w:t>
              </w:r>
            </w:hyperlink>
          </w:p>
        </w:tc>
        <w:tc>
          <w:tcPr>
            <w:tcW w:w="1920" w:type="dxa"/>
            <w:vAlign w:val="bottom"/>
            <w:gridSpan w:val="5"/>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PLAN OF DISTRIBUTION</w:t>
              </w:r>
            </w:hyperlink>
          </w:p>
        </w:tc>
        <w:tc>
          <w:tcPr>
            <w:tcW w:w="2380" w:type="dxa"/>
            <w:vAlign w:val="bottom"/>
            <w:gridSpan w:val="7"/>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440" w:type="dxa"/>
            <w:vAlign w:val="bottom"/>
            <w:gridSpan w:val="1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LEGAL MATTERS</w:t>
              </w:r>
            </w:hyperlink>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EXPERTS</w:t>
              </w:r>
            </w:hyperlink>
          </w:p>
        </w:tc>
        <w:tc>
          <w:tcPr>
            <w:tcW w:w="680" w:type="dxa"/>
            <w:vAlign w:val="bottom"/>
            <w:tcBorders>
              <w:top w:val="single" w:sz="8" w:color="0000EE"/>
            </w:tcBorders>
            <w:gridSpan w:val="3"/>
          </w:tcPr>
          <w:p>
            <w:pPr>
              <w:spacing w:after="0"/>
              <w:rPr>
                <w:sz w:val="17"/>
                <w:szCs w:val="17"/>
                <w:color w:val="auto"/>
              </w:rPr>
            </w:pPr>
          </w:p>
        </w:tc>
        <w:tc>
          <w:tcPr>
            <w:tcW w:w="2980" w:type="dxa"/>
            <w:vAlign w:val="bottom"/>
            <w:gridSpan w:val="9"/>
          </w:tcPr>
          <w:p>
            <w:pPr>
              <w:spacing w:after="0"/>
              <w:rPr>
                <w:sz w:val="17"/>
                <w:szCs w:val="17"/>
                <w:color w:val="auto"/>
              </w:rPr>
            </w:pPr>
          </w:p>
        </w:tc>
        <w:tc>
          <w:tcPr>
            <w:tcW w:w="68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which we refer to as the “SEC,” under the U.S. Securities Act of 1933, as amended, which we refer to as the “Securities Act,” using a “shelf” registration process. Under this shelf registration process, Weatherford Ireland, Weatherford Bermuda or Weatherford Delaware may, over time, offer and sell an indeterminate amount of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 securities, Weatherford Ireland, Weatherford Bermuda or Weatherford Delaware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described under the heading “Where You Can Find More Information.” You should rely only on the information incorporated by reference or provided in this prospectus and the applicable prospectus supplement. We have not authorized anyone else to provide you with different information. We are not making an offer to sell in any jurisdiction in which the offer is not permitted.</w:t>
      </w:r>
    </w:p>
    <w:p>
      <w:pPr>
        <w:spacing w:after="0" w:line="17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requires otherwise or unless otherwise noted, as used in this prospectus or any prospectus supplement:</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Ireland” refers to Weatherford International plc, an Irish public limited company.</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Bermuda” refers to Weatherford International Ltd., a Bermuda exempted company and wholly owned, indirect subsidiary of Weatherford Ireland.</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“Weatherford Delaware” refers to Weatherford International, LLC, a Delaware limited liability company and wholly owned, indirect subsidiary of Weatherford Ireland.</w:t>
      </w:r>
    </w:p>
    <w:p>
      <w:pPr>
        <w:spacing w:after="0" w:line="75"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or “our” refers to Weatherford Ireland and its subsidiaries (including Weatherford Bermuda and Weatherford Delaware) on a consolidated basis.</w:t>
      </w:r>
    </w:p>
    <w:p>
      <w:pPr>
        <w:spacing w:after="0" w:line="166"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6"/>
          <w:szCs w:val="16"/>
          <w:b w:val="1"/>
          <w:bCs w:val="1"/>
          <w:color w:val="auto"/>
        </w:rPr>
        <w:t>Consent under the Exchange Control Act of 1972 (and its related regulations) has been granted by the Bermuda Monetary Authority for the issue and transfer of securities of Bermuda companies (other than equity securities) to and between non-residents of Bermuda for exchange control purposes. In granting such consent, the Bermuda Monetary Authority accepts no responsibility for our financial soundness or the correctness of any of the statements made or opinions expressed in this prospectus or any accompanying prospectus supplement.</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US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We conduct operations in over 100 countries and have service and sales locations in nearly all of the oil and natural gas producing regions in the world.</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Weatherford Ireland is incorporated in Ireland and is the ultimate parent company of the Weatherford group. Each of Weatherford Bermuda and Weatherford Delaware is an indirect, wholly owned subsidiary of Weatherford Ireland. Weatherford Ireland currently conducts all of its operations through its subsidiaries, including Weatherford Bermuda and Weatherford Delaware.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principal executive offices are located at Bahnhofstrasse 1, 6340 Baar, Switzerland and our telephone number at that location is +41.22.816.1500.</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at our website at www.weatherford.com. Information on our website is not incorporated by reference in this prospectus. You may also access, read and copy at prescribed rates any document we file at the SEC’s public reference room at 100 F Street, N.E., Washington, D.C. 20549. You may obtain information on the operation of the SEC’s public reference room by calling the SEC at 1-800-SEC-0330. In addition, our SEC filings may be read and copied at the New York Stock Exchange at 11 Wall Street, New York, New York 10005.</w:t>
      </w:r>
    </w:p>
    <w:p>
      <w:pPr>
        <w:spacing w:after="0" w:line="17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We incorporate by reference the following documents (other than information furnished rather than filed and corresponding information furnished under Item 9.01 of Form 8-K or included as an exhibit thereto):</w:t>
      </w:r>
    </w:p>
    <w:p>
      <w:pPr>
        <w:spacing w:after="0" w:line="94"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Weatherford Ireland’s Annual Report on Form 10-K for the fiscal year ended December 31, 2015, as filed with the SEC on February 16, 2016;</w:t>
      </w:r>
    </w:p>
    <w:p>
      <w:pPr>
        <w:spacing w:after="0" w:line="153" w:lineRule="exact"/>
        <w:rPr>
          <w:rFonts w:ascii="Arial" w:cs="Arial" w:eastAsia="Arial" w:hAnsi="Arial"/>
          <w:sz w:val="16"/>
          <w:szCs w:val="16"/>
          <w:color w:val="auto"/>
        </w:rPr>
      </w:pPr>
    </w:p>
    <w:p>
      <w:pPr>
        <w:ind w:left="900" w:right="66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Weatherford Ireland’s Current Reports on Form 8-K or Form 8-K/A, as filed with the SEC on February 4, 2016, March 3, 2016, May 10, 2016, May 27, 2016, June 7, 2016, June 8, 2016, June 10, 2016, June 15, 2016, June 16, 2016, June 17, 2016, June 21, 2016, July 8, 2016, July 22, 2016, September 27, 2016 and November 9, 2016; and</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Weatherford Ireland’s Ordinary Shares contained in Item 8.01 of Weatherford Ireland’s Current Report on Form 8-K, as filed with the SEC on June 17, 2014.</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addition, all documents that we subsequently file with the SEC under Sections 13(a), 13(c), 14 or 15(d) of the U.S. Securities Exchange Act of 1934, as amended, which we refer to as the “Exchange Act” (other than information furnished rather than filed and corresponding information furnished under Item 9.01 of Form 8-K or included as an exhibit thereto), shall be deemed to be incorporated by reference into this prospectus.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You may request a copy of these filings (other than an exhibit to a filing unless that exhibit is specifically incorporated by reference into that filing), at no cost, by writing to us at our U.S. Investor Relations Department at the following address or calling the following number:</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Houston, Texas 77056</w:t>
      </w:r>
    </w:p>
    <w:p>
      <w:pPr>
        <w:spacing w:after="0" w:line="9" w:lineRule="exact"/>
        <w:rPr>
          <w:sz w:val="20"/>
          <w:szCs w:val="20"/>
          <w:color w:val="auto"/>
        </w:rPr>
      </w:pPr>
    </w:p>
    <w:p>
      <w:pPr>
        <w:ind w:left="5580" w:hanging="428"/>
        <w:spacing w:after="0"/>
        <w:tabs>
          <w:tab w:leader="none" w:pos="5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836-4000</w:t>
      </w:r>
    </w:p>
    <w:p>
      <w:pPr>
        <w:spacing w:after="0" w:line="143"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This prospectus includes, and any accompanying prospectus supplement may include, various statements relating to future financial performance and results, including certain projections, business trends and other statements that are not historical facts. These statements constitute “Forward-Looking Statements” as defined in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prospectus and in our other disclosures. These risks and uncertainties include, but are not limited to, those described below under “Risk Factors” and the following:</w:t>
      </w:r>
    </w:p>
    <w:p>
      <w:pPr>
        <w:spacing w:after="0" w:line="87"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significant decline in the price of crude oil;</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cost reduction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high level of indebtedness and our ability to service our indebtedness;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to our effective tax rate and cash tax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nonrealization of potential earnouts associated with business dispositions;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the Petroleum Exporting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limited access to capital, significantly higher cost of capital, or difficulty raising additional funds in the equity or debt capital markets.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most recent Annual Report on Form 10-K, along with any risk factors contained in our quarterly reports on Form 10-Q, which are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financial condition or operating results and could result in a partial or complete loss of your investment.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Unless otherwise specified in a prospectus supplement, we will use the net proceeds received by us from the sale of the securities offered by this prospectus and the accompanying prospectus supplement for general corporate purposes. We may invest funds not required immediately for such purposes in marketable securities and short-term investments. We will not receive any of the proceeds from the sale of our securities by selling securityholders offered by this prospectus.</w:t>
      </w:r>
    </w:p>
    <w:p>
      <w:pPr>
        <w:spacing w:after="0" w:line="399"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the periods indicated.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300" w:type="dxa"/>
            <w:vAlign w:val="bottom"/>
            <w:gridSpan w:val="2"/>
          </w:tcPr>
          <w:p>
            <w:pPr>
              <w:jc w:val="center"/>
              <w:ind w:right="343"/>
              <w:spacing w:after="0"/>
              <w:rPr>
                <w:sz w:val="20"/>
                <w:szCs w:val="20"/>
                <w:color w:val="auto"/>
              </w:rPr>
            </w:pPr>
            <w:r>
              <w:rPr>
                <w:rFonts w:ascii="Arial" w:cs="Arial" w:eastAsia="Arial" w:hAnsi="Arial"/>
                <w:sz w:val="14"/>
                <w:szCs w:val="14"/>
                <w:b w:val="1"/>
                <w:bCs w:val="1"/>
                <w:color w:val="auto"/>
                <w:w w:val="95"/>
              </w:rPr>
              <w:t>Nine Months</w:t>
            </w: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300" w:type="dxa"/>
            <w:vAlign w:val="bottom"/>
            <w:gridSpan w:val="2"/>
          </w:tcPr>
          <w:p>
            <w:pPr>
              <w:jc w:val="center"/>
              <w:ind w:right="343"/>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300" w:type="dxa"/>
            <w:vAlign w:val="bottom"/>
            <w:gridSpan w:val="2"/>
          </w:tcPr>
          <w:p>
            <w:pPr>
              <w:jc w:val="center"/>
              <w:ind w:right="343"/>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2015</w:t>
            </w:r>
          </w:p>
        </w:tc>
        <w:tc>
          <w:tcPr>
            <w:tcW w:w="4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2013</w:t>
            </w:r>
          </w:p>
        </w:tc>
        <w:tc>
          <w:tcPr>
            <w:tcW w:w="4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2012</w:t>
            </w:r>
          </w:p>
        </w:tc>
        <w:tc>
          <w:tcPr>
            <w:tcW w:w="64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87"/>
              </w:rPr>
              <w:t>(1)</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87"/>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160" w:hanging="452"/>
        <w:spacing w:after="0" w:line="308"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the nine months ended September 30, 2016 and for the years ended December 31, 2015, 2014, 2013 and 2012, earnings before fixed charges were inadequate to cover fixed charges by $2.3 billion, $2.1 billion, $266 million, $211 million and $349 million, respectively.</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For purposes of computing the ratio of earnings to fixed charges, earnings are divided by fixed charges. “Earnings” represent the aggregate of (a) our earnings (loss) before income taxes, minority interest, discontinued operations and equity in earnings of unconsolidated investees and (b) fixed charges, net of interest capitalized plus (c) distributed income from equity investments. “Fixed charges” represent interest (whether expensed or capitalized), the amortization of capitalized debt costs and original issue discount and that portion of rental expense on operating leases deemed to be the equivalent of interest.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will set forth in the applicable prospectus supplement a description of the ordinary shares, warrants, debt securities and guarantees that may be offered under this prospectus.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herein by reference.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We or selling securityholders may offer and sell the securities that may be offered pursuant to this prospectus to or through one or more underwriters, dealers and agents, or directly to purchasers, on a continuous or delayed basis. We will set forth in the applicable prospectus supplement a description of the specific plan of distribution of the securities that may be offered pursuant to this prospectus.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Certain U.S. legal matters in connection with the securities will be passed upon for us by Latham &amp; Watkins LLP. Certain Bermuda legal matters in connection with the securities will be passed upon for us by our special Bermuda counsel, Conyers Dill &amp; Pearman Limited. Certain Irish legal matters in connection with the securities will be passed upon for us by our special Irish counsel, Matheson. If the securities are being distributed in an underwritten offering, the validity of the securities will be passed upon for the underwriters by counsel identified in the accompanying prospectus supplement.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The consolidated financial statements and schedule of Weatherford International plc as of December 31, 2015 and December 31, 2014 and for each of the years in the three-year period ended December 31, 2015, and management’s assessment of the effectiveness of internal control over financial reporting as of December 31, 2015 have been incorporated by reference herein in reliance upon the reports of KPMG LLP, independent registered public accounting firm, incorporated by reference herein, and upon the authority of said firm as experts in accounting and auditing.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Certain Bermuda legal matters in connection with the debt securities or guarantees that Weatherford Bermuda may issue under a prospectus supplement will be passed upon for Weatherford Bermuda by its special Bermuda counsel, Conyers Dill &amp; Pearman Limited. An employee of that firm’s affiliated company, Codan Services Limited, is Weatherford Bermuda’s secretary.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following table sets forth the best estimate of the registrants as to the anticipated expenses and costs (other than underwriting discounts and commissions) expected to be incurred in connection with a distribution of securities registered hereby:</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Rating agency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Trustee fees and expenses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Applicable SEC registration fees have been deferred pursuant to Rule 456(b) and calculated in connection with the offering of securities under this registration statement pursuant to Rule 457(r) and are not estimated at this time.</w:t>
      </w:r>
    </w:p>
    <w:p>
      <w:pPr>
        <w:spacing w:after="0" w:line="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These fees are calculated based upon the number of issuances and amount of securities offered, and accordingly, cannot be estimated at this time.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Ireland</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Weatherford Ireland’s memorandum and articles of association confer an indemnity on its directors and officers, which is limited by the Irish Companies Act 2014 (the “Irish Companies Act”). The Irish Companies Act prescribes that such an indemnity, in effect, only permits a company to pay the costs or discharge the liability of a director or the secretary in defending proceedings, whether civil or criminal, in which judgment is given in his or her favor or in which he or she is acquitted, or where an Irish court otherwise grants relief because the director or the secretary acted honestly and reasonably and ought fairly to be excused. This restriction in the Irish Companies Act does not apply to executives who are not directors or the secretary of Weatherford Ireland. Any provision whereby an Irish company seeks to indemnify its directors or its secretary over and above this shall be void under Irish law, whether contained in its articles of association or any contract between the director and the Irish company.</w:t>
      </w:r>
    </w:p>
    <w:p>
      <w:pPr>
        <w:spacing w:after="0" w:line="17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Weatherford Ireland’s articles of association also contain indemnification and expense advancement provisions for persons who are not directors or the secretary of Weatherford Ireland.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Irish companies may take out directors and officers liability insurance as well as other types of insurance, for their directors and officers.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Weatherford Ireland and Weatherford International Ltd. (“Weatherford Bermuda”), a Bermuda exempted company and wholly owned, indirect subsidiary of Weatherford Ireland have entered (and/or, if required, any other subsidiary of Weatherford Ireland may enter) into indemnification agreements (or deed poll indemnities) with or as to each of Weatherford 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or not done by such person in any capacity providing for the indemnification of, and advancement of expenses to, these persons to the fullest extent permitted by law.</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Irish law, a company may not exempt any director or the secretary from liability for negligence, default, breach of duty or breach of trust of which he or she may be guilty in relation to the company. However, where a breach of duty has been established, directors or the secretary may be statutorily exempted by an Irish court from personal liability for negligence or breach of duty if, among other things, the court determines that they have acted honestly and reasonably, and that they may fairly be excused as a result.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Bermuda</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Section 98 of the Companies Act 1981 of Bermuda, as amended (the “Companies Act”), provides generally that a Bermuda company may indemnify its directors, officers and auditors against any liability which by virtue of any rule of law otherwise would be imposed on them in respect to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A company may advance monies to a director, officer or auditor for the costs, charges and expenses incurred by them in defending any civil or criminal proceedings against them, on condition that the director, officer or auditor shall repay the advance if any allegation of fraud or dishonesty is proved against them.</w:t>
      </w:r>
    </w:p>
    <w:p>
      <w:pPr>
        <w:spacing w:after="0" w:line="17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Weatherford Bermuda has adopted provisions in its bye-laws that provide that Weatherford Bermuda shall indemnify its officers and directors in respect of their actions and omissions, except in respect of their fraud or dishonesty. Weatherford Bermuda’s bye-laws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w:t>
      </w:r>
    </w:p>
    <w:p>
      <w:pPr>
        <w:spacing w:after="0" w:line="17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Furthermore, Weatherford Bermuda has entered into indemnification agreements with certain of its directors and executive officers. The indemnification agreements require Weatherford Bermuda to indemnify its officers and directors, except for liability in respect of their fraud or dishonesty, against expenses (including attorneys’ fees and disbursements), judgments, penalties, fines and amounts paid in settlement actually and reasonably incurred in connection with any action, suit, arbitration, alternate dispute resolution mechanism, investigation, administrative hearing or any other proceeding whether civil, criminal, administrative or investigative and whether formal or informal. The indemnification agreements also provide that Weatherford Bermuda must pay all reasonable expenses incurred in advance of a final disposition.</w:t>
      </w:r>
    </w:p>
    <w:p>
      <w:pPr>
        <w:spacing w:after="0" w:line="17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Section 98A of the Companies Act permits Weatherford Bermuda to purchase and maintain insurance for the benefit of any of its office or directors in respect of any loss or liability attaching to him in respect of any negligence, default, breach of duty, or breach of trust, whether or not Weatherford Bermuda may otherwise indemnify such officer or director. Weatherford Ireland’s directors’ and officers’ liability insurance covers the directors and officers of Weatherford Bermuda for such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Delaware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Weatherford International, LLC (“Weatherford Delaware”) is a Delaware limited liability company. Section 18-108 of the Delaware Limited Liability Company Act provides that, subject to such standards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restrictions, if any, as are set forth in its limited liability company agreement, a Delaware limited liability company may, and shall have the power to, indemnify and hold harmless any member or manager or other person from and against any and all claims and demands whatsoever. Weatherford Delaware’s limited liability company agreement provides for indemnification of each member, manager (if any), officer and director (if any) of Weatherford Delaware, as well as, upon approval of the member, other employees or an affiliate of Weatherford Delaware, to the fullest extent permitted by Delaware law.</w:t>
      </w:r>
    </w:p>
    <w:p>
      <w:pPr>
        <w:spacing w:after="0" w:line="154"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Furthermore, Weatherford Delaware has entered into indemnification agreements with certain of its officers. The indemnification agreements require Weatherford Delaware to indemnify its officers to the fullest extent permitted by applicable law against expenses (including attorneys’ fees and disbursements), judgments, penalties, fines and amounts paid in settlement actually and reasonably incurred in connection with any action, suit or proceeding, whether civil, criminal, administrative or investigative in nature if they acted in good faith or in a manner they reasonably believed to be in or not opposed to the best interests of Weatherford Delaware and, with respect to any criminal action or proceeding, had no reasonable cause to believe his or her conduct was unlawful. In an action brought by or in the right of Weatherford Delaware, as opposed to an action brought by a third party, no such indemnification shall be made in respect of any claim, issue or matter as to which applicable law expressly prohibits such indemnification by reason of an adjudication of liability of indemnitee to the Company (unless a court of competent jurisdiction determines otherwise). The indemnification agreements also provide that Weatherford Delaware must pay all reasonable expenses incurred in advance of a final disposition.</w:t>
      </w:r>
    </w:p>
    <w:p>
      <w:pPr>
        <w:spacing w:after="0" w:line="18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Weatherford Ireland’s directors’ and officers’ liability insurance, subject to the terms and conditions of the policies, covers those persons who are or were an officer of Weatherford Delaware against liability asserted against or incurred by them in their capacity as such, whether or not Weatherford Delaware would have the power to indemnify such persons against such liability under the provisions of Weatherford Delaware’s limited liability company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ectPr>
          <w:pgSz w:w="11900" w:h="16838" w:orient="portrait"/>
          <w:cols w:equalWidth="0" w:num="1">
            <w:col w:w="11420"/>
          </w:cols>
          <w:pgMar w:left="240" w:top="459" w:right="239" w:bottom="1440" w:gutter="0" w:footer="0" w:header="0"/>
        </w:sect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Number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11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Merger Agreement, dated April 2, 2014, between Weatherford International Ltd., a Swiss joint stock corporation and Weatherford International Limited, an Ireland limited liability company (incorporated by reference to Exhibit 2.1 to Weatherford International Ltd.’s Current Report on Form 8-K (File No. 1-34258) filed on April 2, 2014)</w:t>
      </w:r>
    </w:p>
    <w:p>
      <w:pPr>
        <w:spacing w:after="0" w:line="73" w:lineRule="exact"/>
        <w:rPr>
          <w:sz w:val="20"/>
          <w:szCs w:val="20"/>
          <w:color w:val="auto"/>
        </w:rPr>
      </w:pPr>
    </w:p>
    <w:p>
      <w:pPr>
        <w:sectPr>
          <w:pgSz w:w="11900" w:h="16838" w:orient="portrait"/>
          <w:cols w:equalWidth="0" w:num="2">
            <w:col w:w="660" w:space="720"/>
            <w:col w:w="100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Certificate of Assistant Secretary of Weatherford International Ltd., a Bermuda exempted company, as to the adoption of a resolution</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9"/>
              </w:rPr>
              <w:t>increasing authorized share capital (incorporated by reference to Exhibit 4.1 to the Current Report on Form-8-K of Weatherford</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International Ltd., a Bermuda exempted company (File No. 1-31339), filed May 15, 2006)</w:t>
            </w:r>
          </w:p>
        </w:tc>
      </w:tr>
      <w:tr>
        <w:trPr>
          <w:trHeight w:val="310"/>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4.2**</w:t>
            </w:r>
          </w:p>
        </w:tc>
        <w:tc>
          <w:tcPr>
            <w:tcW w:w="10500" w:type="dxa"/>
            <w:vAlign w:val="bottom"/>
          </w:tcPr>
          <w:p>
            <w:pPr>
              <w:ind w:left="480"/>
              <w:spacing w:after="0"/>
              <w:rPr>
                <w:sz w:val="20"/>
                <w:szCs w:val="20"/>
                <w:color w:val="auto"/>
              </w:rPr>
            </w:pPr>
            <w:r>
              <w:rPr>
                <w:rFonts w:ascii="Arial" w:cs="Arial" w:eastAsia="Arial" w:hAnsi="Arial"/>
                <w:sz w:val="18"/>
                <w:szCs w:val="18"/>
                <w:color w:val="auto"/>
                <w:w w:val="90"/>
              </w:rPr>
              <w:t>Indenture dated October 1, 2003, among Weatherford International Ltd., a Bermuda exempted company, Weatherford International, LLC, a</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Delaware limited liability company, and Deutsche Bank Trust Company Americas, as trustee (incorporated by reference to Exhibit 4.1 to</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Current Report on Form 8-K of Weatherford International Ltd., a Bermuda exempted company (File No. 1-31339), filed October 2, 2003)</w:t>
            </w:r>
          </w:p>
        </w:tc>
      </w:tr>
      <w:tr>
        <w:trPr>
          <w:trHeight w:val="310"/>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4.3**</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First Supplemental Indenture dated March 25, 2008, among Weatherford International Ltd., a Bermuda exempted company, Weatherford</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International, LLC, a Delaware limited liability company, and Deutsche Bank Trust Company Americas, as trustee, to the Indenture dated</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October 1, 2003 (including the form of notes issued pursuant thereto) (incorporated by reference to Exhibit 4.1 to the Current Report on</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Form 8-K of Weatherford International Ltd., a Bermuda exempted company (File No. 1-31339), filed March 25, 2008)</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Number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5"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Second Supplemental Indenture dated January 8, 2009, among Weatherford International Ltd., a Bermuda exempted company, Weatherford International, LLC, a Delaware limited liability company, and Deutsche Bank Trust Company Americas, as trustee, to the Indenture dated October 1, 2003 (including the form of notes issued pursuant thereto) (incorporated by reference to Exhibit 4.1 to the Current Report on Form 8-K of Weatherford International Ltd., a Bermuda exempted company (File No. 1-31339), filed January 8, 2009)</w:t>
      </w:r>
    </w:p>
    <w:p>
      <w:pPr>
        <w:spacing w:after="0" w:line="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Third Supplemental Indenture dated February 26, 2009, among Weatherford International Ltd., a Bermuda exempted company, Weatherford International, LLC, a Delaware limited liability company, Weatherford International Ltd., a Swiss joint-stock corporation, and Deutsche Bank Trust Company Americas, as trustee, to the Indenture dated as of October 1, 2003 (incorporated by reference to Exhibit 4.2 to the Current Report on Form 8-K12B of Weatherford International Ltd., a Swiss joint-stock corporation (File No. 1-34258), filed February 26, 2009)</w:t>
      </w:r>
    </w:p>
    <w:p>
      <w:pPr>
        <w:spacing w:after="0" w:line="80" w:lineRule="exact"/>
        <w:rPr>
          <w:sz w:val="20"/>
          <w:szCs w:val="20"/>
          <w:color w:val="auto"/>
        </w:rPr>
      </w:pPr>
    </w:p>
    <w:p>
      <w:pPr>
        <w:sectPr>
          <w:pgSz w:w="11900" w:h="16838" w:orient="portrait"/>
          <w:cols w:equalWidth="0" w:num="2">
            <w:col w:w="680" w:space="720"/>
            <w:col w:w="100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4.6**</w:t>
            </w: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Fourth Supplemental Indenture dated as of September 23, 2010, among Weatherford International Ltd., a Bermuda exempted company,</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Deutsche Bank Trust Company Americas, as trustee, to the Indenture dated as of October 1, 2003 (including the form of notes issued</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pursuant thereto and form of guarantee notation) (incorporated by reference to Exhibit 4.1 to the Quarterly Report on Form 10-Q of</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7"/>
              </w:rPr>
              <w:t>Weatherford International Ltd., a Swiss joint-stock corporation (File No. 1-34258) for the quarter ended September 30, 2010, filed</w:t>
            </w:r>
          </w:p>
        </w:tc>
      </w:tr>
      <w:tr>
        <w:trPr>
          <w:trHeight w:val="230"/>
        </w:trPr>
        <w:tc>
          <w:tcPr>
            <w:tcW w:w="96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November 2, 2010)</w:t>
            </w: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4.7**</w:t>
            </w:r>
          </w:p>
        </w:tc>
        <w:tc>
          <w:tcPr>
            <w:tcW w:w="10460" w:type="dxa"/>
            <w:vAlign w:val="bottom"/>
          </w:tcPr>
          <w:p>
            <w:pPr>
              <w:ind w:left="440"/>
              <w:spacing w:after="0"/>
              <w:rPr>
                <w:sz w:val="20"/>
                <w:szCs w:val="20"/>
                <w:color w:val="auto"/>
              </w:rPr>
            </w:pPr>
            <w:r>
              <w:rPr>
                <w:rFonts w:ascii="Arial" w:cs="Arial" w:eastAsia="Arial" w:hAnsi="Arial"/>
                <w:sz w:val="18"/>
                <w:szCs w:val="18"/>
                <w:color w:val="auto"/>
                <w:w w:val="97"/>
              </w:rPr>
              <w:t>Form of Fifth Supplemental Indenture dated April 4, 2012, among Weatherford International Ltd., a Bermuda exempted company,</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Deutsche Bank Trust Company Americas, as trustee, to the Indenture dated as of October 1, 2003 (including the form of notes issued</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8"/>
              </w:rPr>
              <w:t>pursuant thereto and form of guarantee notation) (incorporated by reference to Exhibit 4.1 to the Current Report on Form 8-K of</w:t>
            </w:r>
          </w:p>
        </w:tc>
      </w:tr>
      <w:tr>
        <w:trPr>
          <w:trHeight w:val="230"/>
        </w:trPr>
        <w:tc>
          <w:tcPr>
            <w:tcW w:w="96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Weatherford International Ltd., a Swiss joint-stock corporation (File No. 1-34258), filed April 4, 2012)</w:t>
            </w: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4.8**</w:t>
            </w: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Sixth Supplemental Indenture, dated as of August 14, 2012, among Weatherford International Ltd., a Bermuda exempted company</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3"/>
              </w:rPr>
              <w:t>Deutsche Bank Trust Company Americas, to the indenture dated as of October 1, 2003 (incorporated by reference to Exhibit 4.1 to the</w:t>
            </w:r>
          </w:p>
        </w:tc>
      </w:tr>
      <w:tr>
        <w:trPr>
          <w:trHeight w:val="230"/>
        </w:trPr>
        <w:tc>
          <w:tcPr>
            <w:tcW w:w="96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Current Report on Form 8-K of Weatherford International Ltd., a Swiss joint-stock corporation (File No. 1-34258), filed August 14, 2012)</w:t>
            </w: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4.9**</w:t>
            </w: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Seventh Supplemental Indenture dated as of March 31, 2013, among Weatherford International Ltd., a Bermuda exempted company,</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3"/>
              </w:rPr>
              <w:t>Deutsche Bank Trust Company Americas, to the indenture dated as of October 1, 2003 (incorporated by reference to Exhibit 4.1 to the</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3"/>
              </w:rPr>
              <w:t>Quarterly Report on Form 10-Q for the quarter ended March 31, 2013 of Weatherford International Ltd., a Swiss joint-stock corporation</w:t>
            </w:r>
          </w:p>
        </w:tc>
      </w:tr>
      <w:tr>
        <w:trPr>
          <w:trHeight w:val="230"/>
        </w:trPr>
        <w:tc>
          <w:tcPr>
            <w:tcW w:w="96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(File No. 1-34258), filed May 3, 2013)</w:t>
            </w: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4.10**</w:t>
            </w: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Eighth Supplemental Indenture dated as of June 17, 2014, among Weatherford International Ltd., a Bermuda exempted company,</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Exhibit 4.1 to</w:t>
            </w:r>
          </w:p>
        </w:tc>
      </w:tr>
      <w:tr>
        <w:trPr>
          <w:trHeight w:val="230"/>
        </w:trPr>
        <w:tc>
          <w:tcPr>
            <w:tcW w:w="96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Weatherford International plc’s Current Report on Form 8-K12B (File No. 1-36504) filed June 17, 2014)</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Number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Ninth Supplemental Indenture dated as of June 7, 2016, among Weatherford International Ltd., a Bermuda exempted company, Weatherford International, LLC, a Delaware limited liability company, Weatherford International plc, an Irish public limited company, and Deutsche Bank Trust Company Americas, as trustee, to the indenture dated as of October 1, 2003 (incorporated by reference Exhibit 4.1 to Weatherford International plc’s Current Report on Form 8-K (File No. 1-36504) filed June 7, 2016)</w:t>
      </w:r>
    </w:p>
    <w:p>
      <w:pPr>
        <w:spacing w:after="0" w:line="67" w:lineRule="exact"/>
        <w:rPr>
          <w:sz w:val="20"/>
          <w:szCs w:val="20"/>
          <w:color w:val="auto"/>
        </w:rPr>
      </w:pPr>
    </w:p>
    <w:p>
      <w:pPr>
        <w:sectPr>
          <w:pgSz w:w="11900" w:h="16838" w:orient="portrait"/>
          <w:cols w:equalWidth="0" w:num="2">
            <w:col w:w="680" w:space="720"/>
            <w:col w:w="100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4.12**</w:t>
            </w:r>
          </w:p>
        </w:tc>
        <w:tc>
          <w:tcPr>
            <w:tcW w:w="10460" w:type="dxa"/>
            <w:vAlign w:val="bottom"/>
          </w:tcPr>
          <w:p>
            <w:pPr>
              <w:ind w:left="440"/>
              <w:spacing w:after="0"/>
              <w:rPr>
                <w:sz w:val="20"/>
                <w:szCs w:val="20"/>
                <w:color w:val="auto"/>
              </w:rPr>
            </w:pPr>
            <w:r>
              <w:rPr>
                <w:rFonts w:ascii="Arial" w:cs="Arial" w:eastAsia="Arial" w:hAnsi="Arial"/>
                <w:sz w:val="18"/>
                <w:szCs w:val="18"/>
                <w:color w:val="auto"/>
                <w:w w:val="97"/>
              </w:rPr>
              <w:t>Tenth Supplemental Indenture dated as of June 17, 2016, among Weatherford International Ltd., a Bermuda exempted company,</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Exhibit 4.1 to</w:t>
            </w:r>
          </w:p>
        </w:tc>
      </w:tr>
      <w:tr>
        <w:trPr>
          <w:trHeight w:val="230"/>
        </w:trPr>
        <w:tc>
          <w:tcPr>
            <w:tcW w:w="96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Weatherford International plc’s Current Report on Form 8-K (File No. 1-36504) filed June 17, 2016)</w:t>
            </w:r>
          </w:p>
        </w:tc>
      </w:tr>
      <w:tr>
        <w:trPr>
          <w:trHeight w:val="310"/>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4.13**</w:t>
            </w:r>
          </w:p>
        </w:tc>
        <w:tc>
          <w:tcPr>
            <w:tcW w:w="10460" w:type="dxa"/>
            <w:vAlign w:val="bottom"/>
          </w:tcPr>
          <w:p>
            <w:pPr>
              <w:ind w:left="440"/>
              <w:spacing w:after="0"/>
              <w:rPr>
                <w:sz w:val="20"/>
                <w:szCs w:val="20"/>
                <w:color w:val="auto"/>
              </w:rPr>
            </w:pPr>
            <w:r>
              <w:rPr>
                <w:rFonts w:ascii="Arial" w:cs="Arial" w:eastAsia="Arial" w:hAnsi="Arial"/>
                <w:sz w:val="18"/>
                <w:szCs w:val="18"/>
                <w:color w:val="auto"/>
                <w:w w:val="93"/>
              </w:rPr>
              <w:t>Indenture dated June 18, 2007, among Weatherford International, LLC, a Delaware limited liability company, Weatherford International</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Ltd., a Bermuda exempted company, and Deutsche Bank Trust Company Americas (incorporated by reference to Exhibit 4.1 to the</w:t>
            </w:r>
          </w:p>
        </w:tc>
      </w:tr>
      <w:tr>
        <w:trPr>
          <w:trHeight w:val="230"/>
        </w:trPr>
        <w:tc>
          <w:tcPr>
            <w:tcW w:w="96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3"/>
              </w:rPr>
              <w:t>Current Report on Form 8-K of Weatherford International Ltd., a Bermuda exempted company (File No. 1-31339), filed June 18, 2007)</w:t>
            </w:r>
          </w:p>
        </w:tc>
      </w:tr>
      <w:tr>
        <w:trPr>
          <w:trHeight w:val="310"/>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4.14**</w:t>
            </w:r>
          </w:p>
        </w:tc>
        <w:tc>
          <w:tcPr>
            <w:tcW w:w="10460" w:type="dxa"/>
            <w:vAlign w:val="bottom"/>
          </w:tcPr>
          <w:p>
            <w:pPr>
              <w:ind w:left="440"/>
              <w:spacing w:after="0"/>
              <w:rPr>
                <w:sz w:val="20"/>
                <w:szCs w:val="20"/>
                <w:color w:val="auto"/>
              </w:rPr>
            </w:pPr>
            <w:r>
              <w:rPr>
                <w:rFonts w:ascii="Arial" w:cs="Arial" w:eastAsia="Arial" w:hAnsi="Arial"/>
                <w:sz w:val="18"/>
                <w:szCs w:val="18"/>
                <w:color w:val="auto"/>
                <w:w w:val="98"/>
              </w:rPr>
              <w:t>First Supplemental Indenture dated June 18, 2007, among Weatherford International, LLC, a Delaware limited liability company,</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Weatherford International Ltd., a Bermuda exempted company, and Deutsche Bank Trust Company Americas (including the form of notes</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issued pursuant thereto) (incorporated by reference to Exhibit 4.2 to the Current Report on Form 8-K of Weatherford International Ltd., a</w:t>
            </w:r>
          </w:p>
        </w:tc>
      </w:tr>
      <w:tr>
        <w:trPr>
          <w:trHeight w:val="230"/>
        </w:trPr>
        <w:tc>
          <w:tcPr>
            <w:tcW w:w="96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Bermuda exempted company (File No. 1-31339), filed June 18, 2007)</w:t>
            </w:r>
          </w:p>
        </w:tc>
      </w:tr>
      <w:tr>
        <w:trPr>
          <w:trHeight w:val="310"/>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4.15**</w:t>
            </w: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Second Supplemental Indenture dated as of February 26, 2009, among Weatherford International, LLC, a Delaware limited liability</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company, Weatherford International Ltd., a Bermuda exempted company, Weatherford International Ltd., a Swiss joint-stock corporation,</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and Deutsche Bank Trust Company America (incorporated by reference to Exhibit 4.3 to the Current Report on Form 8-K of Weatherford</w:t>
            </w:r>
          </w:p>
        </w:tc>
      </w:tr>
      <w:tr>
        <w:trPr>
          <w:trHeight w:val="230"/>
        </w:trPr>
        <w:tc>
          <w:tcPr>
            <w:tcW w:w="96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International Ltd., a Swiss joint-stock corporation (File No. 1-34258), filed February 26, 2009)</w:t>
            </w:r>
          </w:p>
        </w:tc>
      </w:tr>
      <w:tr>
        <w:trPr>
          <w:trHeight w:val="310"/>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4.16**</w:t>
            </w: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Third Supplemental Indenture dated as of August 14, 2012, among Weatherford International, LLC, a Delaware limited liability company,</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Weatherford International Ltd., a Bermuda exempted company, Weatherford International Ltd., a Swiss joint-stock corporation, and</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5"/>
              </w:rPr>
              <w:t>Deutsche Bank Trust Company Americas to the indenture dated as of June 18, 2007 (incorporated by reference to Exhibit 4.2 to the</w:t>
            </w:r>
          </w:p>
        </w:tc>
      </w:tr>
      <w:tr>
        <w:trPr>
          <w:trHeight w:val="230"/>
        </w:trPr>
        <w:tc>
          <w:tcPr>
            <w:tcW w:w="96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2"/>
              </w:rPr>
              <w:t>Current Report on Form 8-K of Weatherford International Ltd., a Swiss joint-stock corporation (File No. 1-34258), filed August 14, 2012)</w:t>
            </w:r>
          </w:p>
        </w:tc>
      </w:tr>
      <w:tr>
        <w:trPr>
          <w:trHeight w:val="310"/>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4.17**</w:t>
            </w:r>
          </w:p>
        </w:tc>
        <w:tc>
          <w:tcPr>
            <w:tcW w:w="10460" w:type="dxa"/>
            <w:vAlign w:val="bottom"/>
          </w:tcPr>
          <w:p>
            <w:pPr>
              <w:ind w:left="440"/>
              <w:spacing w:after="0"/>
              <w:rPr>
                <w:sz w:val="20"/>
                <w:szCs w:val="20"/>
                <w:color w:val="auto"/>
              </w:rPr>
            </w:pPr>
            <w:r>
              <w:rPr>
                <w:rFonts w:ascii="Arial" w:cs="Arial" w:eastAsia="Arial" w:hAnsi="Arial"/>
                <w:sz w:val="18"/>
                <w:szCs w:val="18"/>
                <w:color w:val="auto"/>
                <w:w w:val="91"/>
              </w:rPr>
              <w:t>Fourth Supplemental Indenture dated as of March 31, 2013, among Weatherford International, LLC, a Delaware limited liability company,</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Weatherford International Ltd., a Bermuda exempted company, Weatherford International Ltd., a Swiss joint-stock corporation, and</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5"/>
              </w:rPr>
              <w:t>Deutsche Bank Trust Company Americas to the indenture dated as of June 18, 2007 (incorporated by reference to Exhibit 4.2 to the</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3"/>
              </w:rPr>
              <w:t>Quarterly Report on Form 10-Q for the quarter ended March 31, 2013 of Weatherford International Ltd., a Swiss joint-stock corporation</w:t>
            </w:r>
          </w:p>
        </w:tc>
      </w:tr>
      <w:tr>
        <w:trPr>
          <w:trHeight w:val="230"/>
        </w:trPr>
        <w:tc>
          <w:tcPr>
            <w:tcW w:w="96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(File No. 1-34258), filed May 3, 2013)</w:t>
            </w:r>
          </w:p>
        </w:tc>
      </w:tr>
      <w:tr>
        <w:trPr>
          <w:trHeight w:val="310"/>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4.18**</w:t>
            </w:r>
          </w:p>
        </w:tc>
        <w:tc>
          <w:tcPr>
            <w:tcW w:w="10460" w:type="dxa"/>
            <w:vAlign w:val="bottom"/>
          </w:tcPr>
          <w:p>
            <w:pPr>
              <w:ind w:left="440"/>
              <w:spacing w:after="0"/>
              <w:rPr>
                <w:sz w:val="20"/>
                <w:szCs w:val="20"/>
                <w:color w:val="auto"/>
              </w:rPr>
            </w:pPr>
            <w:r>
              <w:rPr>
                <w:rFonts w:ascii="Arial" w:cs="Arial" w:eastAsia="Arial" w:hAnsi="Arial"/>
                <w:sz w:val="18"/>
                <w:szCs w:val="18"/>
                <w:color w:val="auto"/>
                <w:w w:val="94"/>
              </w:rPr>
              <w:t>Fifth Supplemental Indenture dated as of June 17, 2014, among Weatherford International, LLC, a Delaware limited liability company,</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96"/>
              </w:rPr>
              <w:t>Weatherford International Ltd., a Bermuda exempted company, Weatherford International plc, an Irish public limited company, and</w:t>
            </w:r>
          </w:p>
        </w:tc>
      </w:tr>
      <w:tr>
        <w:trPr>
          <w:trHeight w:val="216"/>
        </w:trPr>
        <w:tc>
          <w:tcPr>
            <w:tcW w:w="960" w:type="dxa"/>
            <w:vAlign w:val="bottom"/>
          </w:tcPr>
          <w:p>
            <w:pPr>
              <w:spacing w:after="0"/>
              <w:rPr>
                <w:sz w:val="18"/>
                <w:szCs w:val="18"/>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w w:val="89"/>
              </w:rPr>
              <w:t>Deutsche Bank Trust Company Americas, as trustee, to the indenture dated as of June 18, 2007 (incorporated by reference to Exhibit 4.2 to</w:t>
            </w:r>
          </w:p>
        </w:tc>
      </w:tr>
      <w:tr>
        <w:trPr>
          <w:trHeight w:val="230"/>
        </w:trPr>
        <w:tc>
          <w:tcPr>
            <w:tcW w:w="960" w:type="dxa"/>
            <w:vAlign w:val="bottom"/>
          </w:tcPr>
          <w:p>
            <w:pPr>
              <w:spacing w:after="0"/>
              <w:rPr>
                <w:sz w:val="20"/>
                <w:szCs w:val="20"/>
                <w:color w:val="auto"/>
              </w:rPr>
            </w:pPr>
          </w:p>
        </w:tc>
        <w:tc>
          <w:tcPr>
            <w:tcW w:w="10460" w:type="dxa"/>
            <w:vAlign w:val="bottom"/>
          </w:tcPr>
          <w:p>
            <w:pPr>
              <w:ind w:left="440"/>
              <w:spacing w:after="0"/>
              <w:rPr>
                <w:sz w:val="20"/>
                <w:szCs w:val="20"/>
                <w:color w:val="auto"/>
              </w:rPr>
            </w:pPr>
            <w:r>
              <w:rPr>
                <w:rFonts w:ascii="Arial" w:cs="Arial" w:eastAsia="Arial" w:hAnsi="Arial"/>
                <w:sz w:val="18"/>
                <w:szCs w:val="18"/>
                <w:color w:val="auto"/>
              </w:rPr>
              <w:t>Weatherford International plc’s Current Report on Form 8-K12B (File No. 1-36504) filed June 17, 2014)</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459" w:right="299" w:bottom="1440" w:gutter="0" w:footer="0" w:header="0"/>
        </w:sect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286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8"/>
          <w:szCs w:val="18"/>
          <w:color w:val="auto"/>
        </w:rPr>
        <w:t>4.19***</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4.20**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Form of Warrant Agreement</w:t>
      </w:r>
    </w:p>
    <w:p>
      <w:pPr>
        <w:spacing w:after="0" w:line="11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Registration Rights Agreement dated May 17, 2012, among Weatherford International Ltd., a Swiss joint-stock corporation and the shareholders thereto (incorporated by reference to Exhibit 4.1 to the Current Report on Form 8-K of Weatherford International Ltd., a Swiss joint-stock corporation (File No. 1-34258), filed May 17, 2012)</w:t>
      </w:r>
    </w:p>
    <w:p>
      <w:pPr>
        <w:spacing w:after="0" w:line="73" w:lineRule="exact"/>
        <w:rPr>
          <w:sz w:val="20"/>
          <w:szCs w:val="20"/>
          <w:color w:val="auto"/>
        </w:rPr>
      </w:pPr>
    </w:p>
    <w:p>
      <w:pPr>
        <w:sectPr>
          <w:pgSz w:w="11900" w:h="16838" w:orient="portrait"/>
          <w:cols w:equalWidth="0" w:num="2">
            <w:col w:w="720" w:space="720"/>
            <w:col w:w="9920"/>
          </w:cols>
          <w:pgMar w:left="240" w:top="459" w:right="29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470"/>
              <w:spacing w:after="0"/>
              <w:rPr>
                <w:sz w:val="20"/>
                <w:szCs w:val="20"/>
                <w:color w:val="auto"/>
              </w:rPr>
            </w:pPr>
            <w:r>
              <w:rPr>
                <w:rFonts w:ascii="Arial" w:cs="Arial" w:eastAsia="Arial" w:hAnsi="Arial"/>
                <w:sz w:val="18"/>
                <w:szCs w:val="18"/>
                <w:color w:val="auto"/>
              </w:rPr>
              <w:t>5.1*</w:t>
            </w:r>
          </w:p>
        </w:tc>
        <w:tc>
          <w:tcPr>
            <w:tcW w:w="10380" w:type="dxa"/>
            <w:vAlign w:val="bottom"/>
          </w:tcPr>
          <w:p>
            <w:pPr>
              <w:ind w:left="460"/>
              <w:spacing w:after="0"/>
              <w:rPr>
                <w:sz w:val="20"/>
                <w:szCs w:val="20"/>
                <w:color w:val="auto"/>
              </w:rPr>
            </w:pPr>
            <w:r>
              <w:rPr>
                <w:rFonts w:ascii="Arial" w:cs="Arial" w:eastAsia="Arial" w:hAnsi="Arial"/>
                <w:sz w:val="18"/>
                <w:szCs w:val="18"/>
                <w:color w:val="auto"/>
              </w:rPr>
              <w:t>Opinion of Latham &amp; Watkins LLP</w:t>
            </w:r>
          </w:p>
        </w:tc>
      </w:tr>
      <w:tr>
        <w:trPr>
          <w:trHeight w:val="324"/>
        </w:trPr>
        <w:tc>
          <w:tcPr>
            <w:tcW w:w="980" w:type="dxa"/>
            <w:vAlign w:val="bottom"/>
          </w:tcPr>
          <w:p>
            <w:pPr>
              <w:jc w:val="right"/>
              <w:ind w:right="470"/>
              <w:spacing w:after="0"/>
              <w:rPr>
                <w:sz w:val="20"/>
                <w:szCs w:val="20"/>
                <w:color w:val="auto"/>
              </w:rPr>
            </w:pPr>
            <w:r>
              <w:rPr>
                <w:rFonts w:ascii="Arial" w:cs="Arial" w:eastAsia="Arial" w:hAnsi="Arial"/>
                <w:sz w:val="18"/>
                <w:szCs w:val="18"/>
                <w:color w:val="auto"/>
              </w:rPr>
              <w:t>5.2*</w:t>
            </w:r>
          </w:p>
        </w:tc>
        <w:tc>
          <w:tcPr>
            <w:tcW w:w="10380" w:type="dxa"/>
            <w:vAlign w:val="bottom"/>
          </w:tcPr>
          <w:p>
            <w:pPr>
              <w:ind w:left="460"/>
              <w:spacing w:after="0"/>
              <w:rPr>
                <w:sz w:val="20"/>
                <w:szCs w:val="20"/>
                <w:color w:val="auto"/>
              </w:rPr>
            </w:pPr>
            <w:r>
              <w:rPr>
                <w:rFonts w:ascii="Arial" w:cs="Arial" w:eastAsia="Arial" w:hAnsi="Arial"/>
                <w:sz w:val="18"/>
                <w:szCs w:val="18"/>
                <w:color w:val="auto"/>
              </w:rPr>
              <w:t>Opinion of Conyers Dill &amp; Pearman Limited</w:t>
            </w:r>
          </w:p>
        </w:tc>
      </w:tr>
      <w:tr>
        <w:trPr>
          <w:trHeight w:val="324"/>
        </w:trPr>
        <w:tc>
          <w:tcPr>
            <w:tcW w:w="980" w:type="dxa"/>
            <w:vAlign w:val="bottom"/>
          </w:tcPr>
          <w:p>
            <w:pPr>
              <w:jc w:val="right"/>
              <w:ind w:right="470"/>
              <w:spacing w:after="0"/>
              <w:rPr>
                <w:sz w:val="20"/>
                <w:szCs w:val="20"/>
                <w:color w:val="auto"/>
              </w:rPr>
            </w:pPr>
            <w:r>
              <w:rPr>
                <w:rFonts w:ascii="Arial" w:cs="Arial" w:eastAsia="Arial" w:hAnsi="Arial"/>
                <w:sz w:val="18"/>
                <w:szCs w:val="18"/>
                <w:color w:val="auto"/>
              </w:rPr>
              <w:t>5.3*</w:t>
            </w:r>
          </w:p>
        </w:tc>
        <w:tc>
          <w:tcPr>
            <w:tcW w:w="10380" w:type="dxa"/>
            <w:vAlign w:val="bottom"/>
          </w:tcPr>
          <w:p>
            <w:pPr>
              <w:ind w:left="460"/>
              <w:spacing w:after="0"/>
              <w:rPr>
                <w:sz w:val="20"/>
                <w:szCs w:val="20"/>
                <w:color w:val="auto"/>
              </w:rPr>
            </w:pPr>
            <w:r>
              <w:rPr>
                <w:rFonts w:ascii="Arial" w:cs="Arial" w:eastAsia="Arial" w:hAnsi="Arial"/>
                <w:sz w:val="18"/>
                <w:szCs w:val="18"/>
                <w:color w:val="auto"/>
              </w:rPr>
              <w:t>Opinion of Matheson</w:t>
            </w:r>
          </w:p>
        </w:tc>
      </w:tr>
      <w:tr>
        <w:trPr>
          <w:trHeight w:val="310"/>
        </w:trPr>
        <w:tc>
          <w:tcPr>
            <w:tcW w:w="980" w:type="dxa"/>
            <w:vAlign w:val="bottom"/>
          </w:tcPr>
          <w:p>
            <w:pPr>
              <w:jc w:val="right"/>
              <w:ind w:right="390"/>
              <w:spacing w:after="0"/>
              <w:rPr>
                <w:sz w:val="20"/>
                <w:szCs w:val="20"/>
                <w:color w:val="auto"/>
              </w:rPr>
            </w:pPr>
            <w:r>
              <w:rPr>
                <w:rFonts w:ascii="Arial" w:cs="Arial" w:eastAsia="Arial" w:hAnsi="Arial"/>
                <w:sz w:val="18"/>
                <w:szCs w:val="18"/>
                <w:color w:val="auto"/>
                <w:w w:val="97"/>
              </w:rPr>
              <w:t>12.1**</w:t>
            </w:r>
          </w:p>
        </w:tc>
        <w:tc>
          <w:tcPr>
            <w:tcW w:w="10380" w:type="dxa"/>
            <w:vAlign w:val="bottom"/>
          </w:tcPr>
          <w:p>
            <w:pPr>
              <w:ind w:left="460"/>
              <w:spacing w:after="0"/>
              <w:rPr>
                <w:sz w:val="20"/>
                <w:szCs w:val="20"/>
                <w:color w:val="auto"/>
              </w:rPr>
            </w:pPr>
            <w:r>
              <w:rPr>
                <w:rFonts w:ascii="Arial" w:cs="Arial" w:eastAsia="Arial" w:hAnsi="Arial"/>
                <w:sz w:val="18"/>
                <w:szCs w:val="18"/>
                <w:color w:val="auto"/>
                <w:w w:val="91"/>
              </w:rPr>
              <w:t>Computation of Ratio of Earnings to Fixed Charges (incorporated by reference to Exhibit 12.1 to Weatherford Ireland’s Annual Report on</w:t>
            </w:r>
          </w:p>
        </w:tc>
      </w:tr>
      <w:tr>
        <w:trPr>
          <w:trHeight w:val="230"/>
        </w:trPr>
        <w:tc>
          <w:tcPr>
            <w:tcW w:w="980" w:type="dxa"/>
            <w:vAlign w:val="bottom"/>
          </w:tcPr>
          <w:p>
            <w:pPr>
              <w:spacing w:after="0"/>
              <w:rPr>
                <w:sz w:val="20"/>
                <w:szCs w:val="20"/>
                <w:color w:val="auto"/>
              </w:rPr>
            </w:pPr>
          </w:p>
        </w:tc>
        <w:tc>
          <w:tcPr>
            <w:tcW w:w="10380" w:type="dxa"/>
            <w:vAlign w:val="bottom"/>
          </w:tcPr>
          <w:p>
            <w:pPr>
              <w:ind w:left="460"/>
              <w:spacing w:after="0"/>
              <w:rPr>
                <w:sz w:val="20"/>
                <w:szCs w:val="20"/>
                <w:color w:val="auto"/>
              </w:rPr>
            </w:pPr>
            <w:r>
              <w:rPr>
                <w:rFonts w:ascii="Arial" w:cs="Arial" w:eastAsia="Arial" w:hAnsi="Arial"/>
                <w:sz w:val="18"/>
                <w:szCs w:val="18"/>
                <w:color w:val="auto"/>
              </w:rPr>
              <w:t>Form 10-K filed on February 16, 2016)</w:t>
            </w:r>
          </w:p>
        </w:tc>
      </w:tr>
      <w:tr>
        <w:trPr>
          <w:trHeight w:val="324"/>
        </w:trPr>
        <w:tc>
          <w:tcPr>
            <w:tcW w:w="980" w:type="dxa"/>
            <w:vAlign w:val="bottom"/>
          </w:tcPr>
          <w:p>
            <w:pPr>
              <w:jc w:val="right"/>
              <w:ind w:right="470"/>
              <w:spacing w:after="0"/>
              <w:rPr>
                <w:sz w:val="20"/>
                <w:szCs w:val="20"/>
                <w:color w:val="auto"/>
              </w:rPr>
            </w:pPr>
            <w:r>
              <w:rPr>
                <w:rFonts w:ascii="Arial" w:cs="Arial" w:eastAsia="Arial" w:hAnsi="Arial"/>
                <w:sz w:val="18"/>
                <w:szCs w:val="18"/>
                <w:color w:val="auto"/>
                <w:w w:val="95"/>
              </w:rPr>
              <w:t>23.1*</w:t>
            </w:r>
          </w:p>
        </w:tc>
        <w:tc>
          <w:tcPr>
            <w:tcW w:w="10380" w:type="dxa"/>
            <w:vAlign w:val="bottom"/>
          </w:tcPr>
          <w:p>
            <w:pPr>
              <w:ind w:left="460"/>
              <w:spacing w:after="0"/>
              <w:rPr>
                <w:sz w:val="20"/>
                <w:szCs w:val="20"/>
                <w:color w:val="auto"/>
              </w:rPr>
            </w:pPr>
            <w:r>
              <w:rPr>
                <w:rFonts w:ascii="Arial" w:cs="Arial" w:eastAsia="Arial" w:hAnsi="Arial"/>
                <w:sz w:val="18"/>
                <w:szCs w:val="18"/>
                <w:color w:val="auto"/>
              </w:rPr>
              <w:t>Consent of Latham &amp; Watkins LLP (included in its opinion filed as Exhibit 5.1)</w:t>
            </w:r>
          </w:p>
        </w:tc>
      </w:tr>
      <w:tr>
        <w:trPr>
          <w:trHeight w:val="324"/>
        </w:trPr>
        <w:tc>
          <w:tcPr>
            <w:tcW w:w="980" w:type="dxa"/>
            <w:vAlign w:val="bottom"/>
          </w:tcPr>
          <w:p>
            <w:pPr>
              <w:jc w:val="right"/>
              <w:ind w:right="470"/>
              <w:spacing w:after="0"/>
              <w:rPr>
                <w:sz w:val="20"/>
                <w:szCs w:val="20"/>
                <w:color w:val="auto"/>
              </w:rPr>
            </w:pPr>
            <w:r>
              <w:rPr>
                <w:rFonts w:ascii="Arial" w:cs="Arial" w:eastAsia="Arial" w:hAnsi="Arial"/>
                <w:sz w:val="18"/>
                <w:szCs w:val="18"/>
                <w:color w:val="auto"/>
                <w:w w:val="95"/>
              </w:rPr>
              <w:t>23.2*</w:t>
            </w:r>
          </w:p>
        </w:tc>
        <w:tc>
          <w:tcPr>
            <w:tcW w:w="10380" w:type="dxa"/>
            <w:vAlign w:val="bottom"/>
          </w:tcPr>
          <w:p>
            <w:pPr>
              <w:ind w:left="460"/>
              <w:spacing w:after="0"/>
              <w:rPr>
                <w:sz w:val="20"/>
                <w:szCs w:val="20"/>
                <w:color w:val="auto"/>
              </w:rPr>
            </w:pPr>
            <w:r>
              <w:rPr>
                <w:rFonts w:ascii="Arial" w:cs="Arial" w:eastAsia="Arial" w:hAnsi="Arial"/>
                <w:sz w:val="18"/>
                <w:szCs w:val="18"/>
                <w:color w:val="auto"/>
              </w:rPr>
              <w:t>Consent of Conyers Dill &amp; Pearman Limited (included in its opinion filed as Exhibit 5.2)</w:t>
            </w:r>
          </w:p>
        </w:tc>
      </w:tr>
      <w:tr>
        <w:trPr>
          <w:trHeight w:val="324"/>
        </w:trPr>
        <w:tc>
          <w:tcPr>
            <w:tcW w:w="980" w:type="dxa"/>
            <w:vAlign w:val="bottom"/>
          </w:tcPr>
          <w:p>
            <w:pPr>
              <w:jc w:val="right"/>
              <w:ind w:right="470"/>
              <w:spacing w:after="0"/>
              <w:rPr>
                <w:sz w:val="20"/>
                <w:szCs w:val="20"/>
                <w:color w:val="auto"/>
              </w:rPr>
            </w:pPr>
            <w:r>
              <w:rPr>
                <w:rFonts w:ascii="Arial" w:cs="Arial" w:eastAsia="Arial" w:hAnsi="Arial"/>
                <w:sz w:val="18"/>
                <w:szCs w:val="18"/>
                <w:color w:val="auto"/>
                <w:w w:val="95"/>
              </w:rPr>
              <w:t>23.3*</w:t>
            </w:r>
          </w:p>
        </w:tc>
        <w:tc>
          <w:tcPr>
            <w:tcW w:w="10380" w:type="dxa"/>
            <w:vAlign w:val="bottom"/>
          </w:tcPr>
          <w:p>
            <w:pPr>
              <w:ind w:left="460"/>
              <w:spacing w:after="0"/>
              <w:rPr>
                <w:sz w:val="20"/>
                <w:szCs w:val="20"/>
                <w:color w:val="auto"/>
              </w:rPr>
            </w:pPr>
            <w:r>
              <w:rPr>
                <w:rFonts w:ascii="Arial" w:cs="Arial" w:eastAsia="Arial" w:hAnsi="Arial"/>
                <w:sz w:val="18"/>
                <w:szCs w:val="18"/>
                <w:color w:val="auto"/>
              </w:rPr>
              <w:t>Consent of KPMG LLP</w:t>
            </w:r>
          </w:p>
        </w:tc>
      </w:tr>
      <w:tr>
        <w:trPr>
          <w:trHeight w:val="324"/>
        </w:trPr>
        <w:tc>
          <w:tcPr>
            <w:tcW w:w="980" w:type="dxa"/>
            <w:vAlign w:val="bottom"/>
          </w:tcPr>
          <w:p>
            <w:pPr>
              <w:jc w:val="right"/>
              <w:ind w:right="470"/>
              <w:spacing w:after="0"/>
              <w:rPr>
                <w:sz w:val="20"/>
                <w:szCs w:val="20"/>
                <w:color w:val="auto"/>
              </w:rPr>
            </w:pPr>
            <w:r>
              <w:rPr>
                <w:rFonts w:ascii="Arial" w:cs="Arial" w:eastAsia="Arial" w:hAnsi="Arial"/>
                <w:sz w:val="18"/>
                <w:szCs w:val="18"/>
                <w:color w:val="auto"/>
                <w:w w:val="95"/>
              </w:rPr>
              <w:t>23.4*</w:t>
            </w:r>
          </w:p>
        </w:tc>
        <w:tc>
          <w:tcPr>
            <w:tcW w:w="10380" w:type="dxa"/>
            <w:vAlign w:val="bottom"/>
          </w:tcPr>
          <w:p>
            <w:pPr>
              <w:ind w:left="460"/>
              <w:spacing w:after="0"/>
              <w:rPr>
                <w:sz w:val="20"/>
                <w:szCs w:val="20"/>
                <w:color w:val="auto"/>
              </w:rPr>
            </w:pPr>
            <w:r>
              <w:rPr>
                <w:rFonts w:ascii="Arial" w:cs="Arial" w:eastAsia="Arial" w:hAnsi="Arial"/>
                <w:sz w:val="18"/>
                <w:szCs w:val="18"/>
                <w:color w:val="auto"/>
              </w:rPr>
              <w:t>Consent of Matheson (included in its opinion filed as exhibit 5.3 hereto)</w:t>
            </w:r>
          </w:p>
        </w:tc>
      </w:tr>
      <w:tr>
        <w:trPr>
          <w:trHeight w:val="324"/>
        </w:trPr>
        <w:tc>
          <w:tcPr>
            <w:tcW w:w="980" w:type="dxa"/>
            <w:vAlign w:val="bottom"/>
          </w:tcPr>
          <w:p>
            <w:pPr>
              <w:jc w:val="right"/>
              <w:ind w:right="390"/>
              <w:spacing w:after="0"/>
              <w:rPr>
                <w:sz w:val="20"/>
                <w:szCs w:val="20"/>
                <w:color w:val="auto"/>
              </w:rPr>
            </w:pPr>
            <w:r>
              <w:rPr>
                <w:rFonts w:ascii="Arial" w:cs="Arial" w:eastAsia="Arial" w:hAnsi="Arial"/>
                <w:sz w:val="18"/>
                <w:szCs w:val="18"/>
                <w:color w:val="auto"/>
                <w:w w:val="97"/>
              </w:rPr>
              <w:t>24.1**</w:t>
            </w:r>
          </w:p>
        </w:tc>
        <w:tc>
          <w:tcPr>
            <w:tcW w:w="10380" w:type="dxa"/>
            <w:vAlign w:val="bottom"/>
          </w:tcPr>
          <w:p>
            <w:pPr>
              <w:ind w:left="460"/>
              <w:spacing w:after="0"/>
              <w:rPr>
                <w:sz w:val="20"/>
                <w:szCs w:val="20"/>
                <w:color w:val="auto"/>
              </w:rPr>
            </w:pPr>
            <w:r>
              <w:rPr>
                <w:rFonts w:ascii="Arial" w:cs="Arial" w:eastAsia="Arial" w:hAnsi="Arial"/>
                <w:sz w:val="18"/>
                <w:szCs w:val="18"/>
                <w:color w:val="auto"/>
              </w:rPr>
              <w:t>Power of Attorney for officers and directors of Weatherford International plc, an Irish public limited company</w:t>
            </w:r>
          </w:p>
        </w:tc>
      </w:tr>
      <w:tr>
        <w:trPr>
          <w:trHeight w:val="324"/>
        </w:trPr>
        <w:tc>
          <w:tcPr>
            <w:tcW w:w="980" w:type="dxa"/>
            <w:vAlign w:val="bottom"/>
          </w:tcPr>
          <w:p>
            <w:pPr>
              <w:jc w:val="right"/>
              <w:ind w:right="390"/>
              <w:spacing w:after="0"/>
              <w:rPr>
                <w:sz w:val="20"/>
                <w:szCs w:val="20"/>
                <w:color w:val="auto"/>
              </w:rPr>
            </w:pPr>
            <w:r>
              <w:rPr>
                <w:rFonts w:ascii="Arial" w:cs="Arial" w:eastAsia="Arial" w:hAnsi="Arial"/>
                <w:sz w:val="18"/>
                <w:szCs w:val="18"/>
                <w:color w:val="auto"/>
                <w:w w:val="97"/>
              </w:rPr>
              <w:t>24.2**</w:t>
            </w:r>
          </w:p>
        </w:tc>
        <w:tc>
          <w:tcPr>
            <w:tcW w:w="10380" w:type="dxa"/>
            <w:vAlign w:val="bottom"/>
          </w:tcPr>
          <w:p>
            <w:pPr>
              <w:ind w:left="460"/>
              <w:spacing w:after="0"/>
              <w:rPr>
                <w:sz w:val="20"/>
                <w:szCs w:val="20"/>
                <w:color w:val="auto"/>
              </w:rPr>
            </w:pPr>
            <w:r>
              <w:rPr>
                <w:rFonts w:ascii="Arial" w:cs="Arial" w:eastAsia="Arial" w:hAnsi="Arial"/>
                <w:sz w:val="18"/>
                <w:szCs w:val="18"/>
                <w:color w:val="auto"/>
              </w:rPr>
              <w:t>Power of Attorney for officers and directors of Weatherford International Ltd., a Bermuda exempted company</w:t>
            </w:r>
          </w:p>
        </w:tc>
      </w:tr>
      <w:tr>
        <w:trPr>
          <w:trHeight w:val="324"/>
        </w:trPr>
        <w:tc>
          <w:tcPr>
            <w:tcW w:w="980" w:type="dxa"/>
            <w:vAlign w:val="bottom"/>
          </w:tcPr>
          <w:p>
            <w:pPr>
              <w:jc w:val="right"/>
              <w:ind w:right="390"/>
              <w:spacing w:after="0"/>
              <w:rPr>
                <w:sz w:val="20"/>
                <w:szCs w:val="20"/>
                <w:color w:val="auto"/>
              </w:rPr>
            </w:pPr>
            <w:r>
              <w:rPr>
                <w:rFonts w:ascii="Arial" w:cs="Arial" w:eastAsia="Arial" w:hAnsi="Arial"/>
                <w:sz w:val="18"/>
                <w:szCs w:val="18"/>
                <w:color w:val="auto"/>
                <w:w w:val="97"/>
              </w:rPr>
              <w:t>25.1**</w:t>
            </w:r>
          </w:p>
        </w:tc>
        <w:tc>
          <w:tcPr>
            <w:tcW w:w="10380" w:type="dxa"/>
            <w:vAlign w:val="bottom"/>
          </w:tcPr>
          <w:p>
            <w:pPr>
              <w:ind w:left="460"/>
              <w:spacing w:after="0"/>
              <w:rPr>
                <w:sz w:val="20"/>
                <w:szCs w:val="20"/>
                <w:color w:val="auto"/>
              </w:rPr>
            </w:pPr>
            <w:r>
              <w:rPr>
                <w:rFonts w:ascii="Arial" w:cs="Arial" w:eastAsia="Arial" w:hAnsi="Arial"/>
                <w:sz w:val="18"/>
                <w:szCs w:val="18"/>
                <w:color w:val="auto"/>
              </w:rPr>
              <w:t>Form T-1 Statement of Eligibility under the Trust Indenture Act of 1939 of Deutsche Bank Trust Company Americas</w:t>
            </w:r>
          </w:p>
        </w:tc>
      </w:tr>
    </w:tbl>
    <w:p>
      <w:pPr>
        <w:spacing w:after="0" w:line="229"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previously.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To be filed by amendment or as an exhibit to a document to be incorporated by reference herein in connection with the issuance of the securities.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360"/>
          </w:cols>
          <w:pgMar w:left="240" w:top="459" w:right="2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35"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30" w:lineRule="exact"/>
        <w:rPr>
          <w:rFonts w:ascii="Arial" w:cs="Arial" w:eastAsia="Arial" w:hAnsi="Arial"/>
          <w:sz w:val="18"/>
          <w:szCs w:val="18"/>
          <w:color w:val="auto"/>
        </w:rPr>
      </w:pPr>
    </w:p>
    <w:p>
      <w:pPr>
        <w:ind w:left="1920" w:right="40" w:hanging="440"/>
        <w:spacing w:after="0" w:line="291" w:lineRule="auto"/>
        <w:tabs>
          <w:tab w:leader="none" w:pos="1920" w:val="left"/>
        </w:tabs>
        <w:numPr>
          <w:ilvl w:val="2"/>
          <w:numId w:val="1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volume and price represent no more than a 20% change in the maximum aggregate offering price set forth in the “Calculation of Registration Fee” table in the effective registration statement; and</w:t>
      </w:r>
    </w:p>
    <w:p>
      <w:pPr>
        <w:spacing w:after="0" w:line="72" w:lineRule="exact"/>
        <w:rPr>
          <w:rFonts w:ascii="Arial" w:cs="Arial" w:eastAsia="Arial" w:hAnsi="Arial"/>
          <w:sz w:val="16"/>
          <w:szCs w:val="16"/>
          <w:color w:val="auto"/>
        </w:rPr>
      </w:pPr>
    </w:p>
    <w:p>
      <w:pPr>
        <w:ind w:left="1920" w:right="20" w:hanging="440"/>
        <w:spacing w:after="0" w:line="277" w:lineRule="auto"/>
        <w:tabs>
          <w:tab w:leader="none" w:pos="19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1940" w:right="40"/>
        <w:spacing w:after="0" w:line="302" w:lineRule="auto"/>
        <w:rPr>
          <w:sz w:val="20"/>
          <w:szCs w:val="20"/>
          <w:color w:val="auto"/>
        </w:rPr>
      </w:pPr>
      <w:r>
        <w:rPr>
          <w:rFonts w:ascii="Arial" w:cs="Arial" w:eastAsia="Arial" w:hAnsi="Arial"/>
          <w:sz w:val="16"/>
          <w:szCs w:val="16"/>
          <w:color w:val="auto"/>
        </w:rPr>
        <w:t>provided, however, that paragraphs (a)(1)(i), (a)(1)(ii) and (a)(1)(iii) do not apply if the information required to be included in a post-effective amendment by those paragraphs is contained in reports filed with or furnished to the SEC by any registrant pursuant to Section 13 or Section 15(d) of the Securities Exchange Act of 1934 that incorporated by reference in the registration statement, or is contained in a form of prospectus filed pursuant to Rule 424(b) that is part of the registration statement.</w:t>
      </w:r>
    </w:p>
    <w:p>
      <w:pPr>
        <w:spacing w:after="0" w:line="60" w:lineRule="exact"/>
        <w:rPr>
          <w:sz w:val="20"/>
          <w:szCs w:val="20"/>
          <w:color w:val="auto"/>
        </w:rPr>
      </w:pPr>
    </w:p>
    <w:p>
      <w:pPr>
        <w:ind w:left="1480" w:hanging="567"/>
        <w:spacing w:after="0" w:line="264"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1480" w:right="220" w:hanging="567"/>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30" w:lineRule="exact"/>
        <w:rPr>
          <w:rFonts w:ascii="Arial" w:cs="Arial" w:eastAsia="Arial" w:hAnsi="Arial"/>
          <w:sz w:val="18"/>
          <w:szCs w:val="18"/>
          <w:color w:val="auto"/>
        </w:rPr>
      </w:pPr>
    </w:p>
    <w:p>
      <w:pPr>
        <w:ind w:left="1920" w:right="220" w:hanging="440"/>
        <w:spacing w:after="0" w:line="277" w:lineRule="auto"/>
        <w:tabs>
          <w:tab w:leader="none" w:pos="19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ind w:left="1920" w:right="20" w:hanging="440"/>
        <w:spacing w:after="0" w:line="270" w:lineRule="auto"/>
        <w:tabs>
          <w:tab w:leader="none" w:pos="19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40" w:right="100"/>
        <w:spacing w:after="0" w:line="259" w:lineRule="auto"/>
        <w:rPr>
          <w:sz w:val="20"/>
          <w:szCs w:val="20"/>
          <w:color w:val="auto"/>
        </w:rPr>
      </w:pPr>
      <w:r>
        <w:rPr>
          <w:rFonts w:ascii="Arial" w:cs="Arial" w:eastAsia="Arial" w:hAnsi="Arial"/>
          <w:sz w:val="18"/>
          <w:szCs w:val="18"/>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2" w:lineRule="exact"/>
        <w:rPr>
          <w:sz w:val="20"/>
          <w:szCs w:val="20"/>
          <w:color w:val="auto"/>
        </w:rPr>
      </w:pPr>
    </w:p>
    <w:p>
      <w:pPr>
        <w:ind w:left="1480" w:right="80" w:hanging="567"/>
        <w:spacing w:after="0" w:line="276" w:lineRule="auto"/>
        <w:tabs>
          <w:tab w:leader="none" w:pos="14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That, for the purpose of determining liability of a registrant under the Securities Act of 1933 to any purchaser in the initial distribution of the securities, each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rFonts w:ascii="Arial" w:cs="Arial" w:eastAsia="Arial" w:hAnsi="Arial"/>
          <w:sz w:val="17"/>
          <w:szCs w:val="17"/>
          <w:color w:val="auto"/>
        </w:rPr>
      </w:pPr>
    </w:p>
    <w:p>
      <w:pPr>
        <w:ind w:left="1920" w:right="100" w:hanging="440"/>
        <w:spacing w:after="0" w:line="277" w:lineRule="auto"/>
        <w:tabs>
          <w:tab w:leader="none" w:pos="19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preliminary prospectus or prospectus of an undersigned registrant relating to the offering required to be filed pursuant to Rule 424;</w:t>
      </w:r>
    </w:p>
    <w:p>
      <w:pPr>
        <w:spacing w:after="0" w:line="75" w:lineRule="exact"/>
        <w:rPr>
          <w:rFonts w:ascii="Arial" w:cs="Arial" w:eastAsia="Arial" w:hAnsi="Arial"/>
          <w:sz w:val="18"/>
          <w:szCs w:val="18"/>
          <w:color w:val="auto"/>
        </w:rPr>
      </w:pPr>
    </w:p>
    <w:p>
      <w:pPr>
        <w:ind w:left="1920" w:right="40" w:hanging="440"/>
        <w:spacing w:after="0" w:line="277" w:lineRule="auto"/>
        <w:tabs>
          <w:tab w:leader="none" w:pos="19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an undersigned registrant;</w:t>
      </w:r>
    </w:p>
    <w:p>
      <w:pPr>
        <w:spacing w:after="0" w:line="75" w:lineRule="exact"/>
        <w:rPr>
          <w:rFonts w:ascii="Arial" w:cs="Arial" w:eastAsia="Arial" w:hAnsi="Arial"/>
          <w:sz w:val="18"/>
          <w:szCs w:val="18"/>
          <w:color w:val="auto"/>
        </w:rPr>
      </w:pPr>
    </w:p>
    <w:p>
      <w:pPr>
        <w:ind w:left="1920" w:right="440" w:hanging="440"/>
        <w:spacing w:after="0" w:line="277" w:lineRule="auto"/>
        <w:tabs>
          <w:tab w:leader="none" w:pos="19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an undersigned registrant or its securities provided by or on behalf of an undersigned registrant; and</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an undersigned registrant to the purchaser.</w:t>
      </w:r>
    </w:p>
    <w:p>
      <w:pPr>
        <w:spacing w:after="0" w:line="130" w:lineRule="exact"/>
        <w:rPr>
          <w:rFonts w:ascii="Arial" w:cs="Arial" w:eastAsia="Arial" w:hAnsi="Arial"/>
          <w:sz w:val="18"/>
          <w:szCs w:val="18"/>
          <w:color w:val="auto"/>
        </w:rPr>
      </w:pPr>
    </w:p>
    <w:p>
      <w:pPr>
        <w:ind w:left="900" w:right="140" w:hanging="446"/>
        <w:spacing w:after="0" w:line="276"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undersigned registrants hereby undertake that, for purposes of determining any liability under the Securities Act of 1933, each filing of a registrant’s annual report pursuant to Section 13(a) or Section 15(d) of the Securities Exchange Act of 1934 (and, w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Arial" w:cs="Arial" w:eastAsia="Arial" w:hAnsi="Arial"/>
          <w:sz w:val="17"/>
          <w:szCs w:val="17"/>
          <w:color w:val="auto"/>
        </w:rPr>
      </w:pPr>
    </w:p>
    <w:p>
      <w:pPr>
        <w:ind w:left="900" w:hanging="446"/>
        <w:spacing w:after="0" w:line="271"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 such indemnification is against public policy as expressed in the Securities Act of 1933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4"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registrants hereby undertake to file an application for the purpose of determining the eligibility of the trustee to act under subsection (a) of Section 310 of the Trust Indenture Act in accordance with the rules and regulations prescribed by the under Section 305(b)(2) of the Trust Indenture Act.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Irish public limited company)</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Zurich, Switzerland on November 16, 2016.</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PLC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Krishna Shivram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 and Chief Financial Officer</w:t>
      </w:r>
    </w:p>
    <w:p>
      <w:pPr>
        <w:spacing w:after="0" w:line="21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Krishna Shivram, Christina M. Ibrahim and Charity R. Kohl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Pursuant to the requirements of the Securities Act of 1933, this Post-Effective Amendment No. 2 to the Registration Statement on Form S-3 (SEC Registration No. 333-194431) has been signed by the following persons in the capacities indicated below on November 16, 2016.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58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r>
      <w:tr>
        <w:trPr>
          <w:trHeight w:val="41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Krishna Shivram</w:t>
            </w:r>
          </w:p>
        </w:tc>
        <w:tc>
          <w:tcPr>
            <w:tcW w:w="4580" w:type="dxa"/>
            <w:vAlign w:val="bottom"/>
          </w:tcPr>
          <w:p>
            <w:pPr>
              <w:ind w:left="220"/>
              <w:spacing w:after="0"/>
              <w:rPr>
                <w:sz w:val="20"/>
                <w:szCs w:val="20"/>
                <w:color w:val="auto"/>
              </w:rPr>
            </w:pPr>
            <w:r>
              <w:rPr>
                <w:rFonts w:ascii="Arial" w:cs="Arial" w:eastAsia="Arial" w:hAnsi="Arial"/>
                <w:sz w:val="18"/>
                <w:szCs w:val="18"/>
                <w:color w:val="auto"/>
              </w:rPr>
              <w:t>Chief Executive Officer and Chief Financial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2"/>
              </w:rPr>
              <w:t>Krishna Shivram</w:t>
            </w:r>
          </w:p>
        </w:tc>
        <w:tc>
          <w:tcPr>
            <w:tcW w:w="4580" w:type="dxa"/>
            <w:vAlign w:val="bottom"/>
          </w:tcPr>
          <w:p>
            <w:pPr>
              <w:ind w:left="220"/>
              <w:spacing w:after="0"/>
              <w:rPr>
                <w:sz w:val="20"/>
                <w:szCs w:val="20"/>
                <w:color w:val="auto"/>
              </w:rPr>
            </w:pPr>
            <w:r>
              <w:rPr>
                <w:rFonts w:ascii="Arial" w:cs="Arial" w:eastAsia="Arial" w:hAnsi="Arial"/>
                <w:sz w:val="18"/>
                <w:szCs w:val="18"/>
                <w:color w:val="auto"/>
                <w:w w:val="93"/>
              </w:rPr>
              <w:t>(Principal Executive Officer and Principal Financial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Douglas M. Mills</w:t>
            </w:r>
          </w:p>
        </w:tc>
        <w:tc>
          <w:tcPr>
            <w:tcW w:w="4580" w:type="dxa"/>
            <w:vAlign w:val="bottom"/>
          </w:tcPr>
          <w:p>
            <w:pPr>
              <w:ind w:left="220"/>
              <w:spacing w:after="0"/>
              <w:rPr>
                <w:sz w:val="20"/>
                <w:szCs w:val="20"/>
                <w:color w:val="auto"/>
              </w:rPr>
            </w:pPr>
            <w:r>
              <w:rPr>
                <w:rFonts w:ascii="Arial" w:cs="Arial" w:eastAsia="Arial" w:hAnsi="Arial"/>
                <w:sz w:val="18"/>
                <w:szCs w:val="18"/>
                <w:color w:val="auto"/>
              </w:rPr>
              <w:t>Vice President and Chief Accounting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6"/>
              </w:rPr>
              <w:t>Douglas M. Mills</w:t>
            </w:r>
          </w:p>
        </w:tc>
        <w:tc>
          <w:tcPr>
            <w:tcW w:w="4580" w:type="dxa"/>
            <w:vAlign w:val="bottom"/>
          </w:tcPr>
          <w:p>
            <w:pPr>
              <w:ind w:left="220"/>
              <w:spacing w:after="0"/>
              <w:rPr>
                <w:sz w:val="20"/>
                <w:szCs w:val="20"/>
                <w:color w:val="auto"/>
              </w:rPr>
            </w:pPr>
            <w:r>
              <w:rPr>
                <w:rFonts w:ascii="Arial" w:cs="Arial" w:eastAsia="Arial" w:hAnsi="Arial"/>
                <w:sz w:val="18"/>
                <w:szCs w:val="18"/>
                <w:color w:val="auto"/>
              </w:rPr>
              <w:t>(Principal Accounting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Mohamed A. Awad</w:t>
            </w:r>
          </w:p>
        </w:tc>
        <w:tc>
          <w:tcPr>
            <w:tcW w:w="458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2"/>
              </w:rPr>
              <w:t>Mohamed A. Awad</w:t>
            </w:r>
          </w:p>
        </w:tc>
        <w:tc>
          <w:tcPr>
            <w:tcW w:w="458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David J. Butters</w:t>
            </w:r>
          </w:p>
        </w:tc>
        <w:tc>
          <w:tcPr>
            <w:tcW w:w="458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David J. Butters</w:t>
            </w:r>
          </w:p>
        </w:tc>
        <w:tc>
          <w:tcPr>
            <w:tcW w:w="4580" w:type="dxa"/>
            <w:vAlign w:val="bottom"/>
          </w:tcPr>
          <w:p>
            <w:pPr>
              <w:spacing w:after="0"/>
              <w:rPr>
                <w:sz w:val="19"/>
                <w:szCs w:val="19"/>
                <w:color w:val="auto"/>
              </w:rPr>
            </w:pPr>
          </w:p>
        </w:tc>
      </w:tr>
    </w:tbl>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John D. Gass</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87"/>
              </w:rPr>
              <w:t>John D. Gass</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Francis S. Kalman</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Francis S. Kalman</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William E. Macaulay</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5"/>
              </w:rPr>
              <w:t>William E. Macaulay</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K. Moses, Jr.</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0"/>
              </w:rPr>
              <w:t>Robert K. Moses, Jr.</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Dr. Guillermo Ortiz</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5"/>
              </w:rPr>
              <w:t>Dr. Guillermo Ortiz</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Sir Emyr Jones Parry</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0"/>
              </w:rPr>
              <w:t>Sir Emyr Jones Parry</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A. Rayne</w:t>
            </w:r>
          </w:p>
        </w:tc>
        <w:tc>
          <w:tcPr>
            <w:tcW w:w="250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Robert A. Rayne</w:t>
            </w:r>
          </w:p>
        </w:tc>
        <w:tc>
          <w:tcPr>
            <w:tcW w:w="2500" w:type="dxa"/>
            <w:vAlign w:val="bottom"/>
          </w:tcPr>
          <w:p>
            <w:pPr>
              <w:spacing w:after="0"/>
              <w:rPr>
                <w:sz w:val="19"/>
                <w:szCs w:val="19"/>
                <w:color w:val="auto"/>
              </w:rPr>
            </w:pP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Charity R. Kohl</w:t>
            </w:r>
          </w:p>
        </w:tc>
        <w:tc>
          <w:tcPr>
            <w:tcW w:w="2500" w:type="dxa"/>
            <w:vAlign w:val="bottom"/>
          </w:tcPr>
          <w:p>
            <w:pPr>
              <w:ind w:left="220"/>
              <w:spacing w:after="0"/>
              <w:rPr>
                <w:sz w:val="20"/>
                <w:szCs w:val="20"/>
                <w:color w:val="auto"/>
              </w:rPr>
            </w:pPr>
            <w:r>
              <w:rPr>
                <w:rFonts w:ascii="Arial" w:cs="Arial" w:eastAsia="Arial" w:hAnsi="Arial"/>
                <w:sz w:val="18"/>
                <w:szCs w:val="18"/>
                <w:color w:val="auto"/>
                <w:w w:val="89"/>
              </w:rPr>
              <w:t>Authorized U.S. Representative</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5"/>
              </w:rPr>
              <w:t>Charity R. Kohl</w:t>
            </w:r>
          </w:p>
        </w:tc>
        <w:tc>
          <w:tcPr>
            <w:tcW w:w="2500" w:type="dxa"/>
            <w:vAlign w:val="bottom"/>
          </w:tcPr>
          <w:p>
            <w:pPr>
              <w:spacing w:after="0"/>
              <w:rPr>
                <w:sz w:val="19"/>
                <w:szCs w:val="19"/>
                <w:color w:val="auto"/>
              </w:rPr>
            </w:pPr>
          </w:p>
        </w:tc>
      </w:tr>
    </w:tbl>
    <w:p>
      <w:pPr>
        <w:sectPr>
          <w:pgSz w:w="11900" w:h="16838" w:orient="portrait"/>
          <w:cols w:equalWidth="0" w:num="1">
            <w:col w:w="10219"/>
          </w:cols>
          <w:pgMar w:left="240" w:top="45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Bermuda exempted company)</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Houston, Texas on November 16, 2016.</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Krishna Shivram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7"/>
          <w:szCs w:val="17"/>
          <w:color w:val="auto"/>
        </w:rPr>
        <w:t>Executive Vice President and Chief Financial Officer</w:t>
      </w:r>
    </w:p>
    <w:p>
      <w:pPr>
        <w:spacing w:after="0" w:line="22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Krishna Shivram, Christina M. Ibrahim and Charity R. Kohl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Pursuant to the requirements of the Securities Act of 1933, this Post-Effective Amendment No. 2 to the Registration Statement on Form S-3 (SEC Registration No. 333-194431) has been signed by the following persons in the capacities indicated below on November 16, 2016.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538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r>
      <w:tr>
        <w:trPr>
          <w:trHeight w:val="41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Krishna Shivram</w:t>
            </w:r>
          </w:p>
        </w:tc>
        <w:tc>
          <w:tcPr>
            <w:tcW w:w="538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2"/>
              </w:rPr>
              <w:t>Krishna Shivram</w:t>
            </w:r>
          </w:p>
        </w:tc>
        <w:tc>
          <w:tcPr>
            <w:tcW w:w="5380" w:type="dxa"/>
            <w:vAlign w:val="bottom"/>
          </w:tcPr>
          <w:p>
            <w:pPr>
              <w:ind w:left="220"/>
              <w:spacing w:after="0"/>
              <w:rPr>
                <w:sz w:val="20"/>
                <w:szCs w:val="20"/>
                <w:color w:val="auto"/>
              </w:rPr>
            </w:pPr>
            <w:r>
              <w:rPr>
                <w:rFonts w:ascii="Arial" w:cs="Arial" w:eastAsia="Arial" w:hAnsi="Arial"/>
                <w:sz w:val="18"/>
                <w:szCs w:val="18"/>
                <w:color w:val="auto"/>
              </w:rPr>
              <w:t>(Principal Executive Officer and Principal Financial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Douglas M. Mills</w:t>
            </w:r>
          </w:p>
        </w:tc>
        <w:tc>
          <w:tcPr>
            <w:tcW w:w="5380" w:type="dxa"/>
            <w:vAlign w:val="bottom"/>
          </w:tcPr>
          <w:p>
            <w:pPr>
              <w:ind w:left="220"/>
              <w:spacing w:after="0"/>
              <w:rPr>
                <w:sz w:val="20"/>
                <w:szCs w:val="20"/>
                <w:color w:val="auto"/>
              </w:rPr>
            </w:pPr>
            <w:r>
              <w:rPr>
                <w:rFonts w:ascii="Arial" w:cs="Arial" w:eastAsia="Arial" w:hAnsi="Arial"/>
                <w:sz w:val="18"/>
                <w:szCs w:val="18"/>
                <w:color w:val="auto"/>
              </w:rPr>
              <w:t>Vice President</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6"/>
              </w:rPr>
              <w:t>Douglas M. Mills</w:t>
            </w:r>
          </w:p>
        </w:tc>
        <w:tc>
          <w:tcPr>
            <w:tcW w:w="5380" w:type="dxa"/>
            <w:vAlign w:val="bottom"/>
          </w:tcPr>
          <w:p>
            <w:pPr>
              <w:ind w:left="220"/>
              <w:spacing w:after="0"/>
              <w:rPr>
                <w:sz w:val="20"/>
                <w:szCs w:val="20"/>
                <w:color w:val="auto"/>
              </w:rPr>
            </w:pPr>
            <w:r>
              <w:rPr>
                <w:rFonts w:ascii="Arial" w:cs="Arial" w:eastAsia="Arial" w:hAnsi="Arial"/>
                <w:sz w:val="18"/>
                <w:szCs w:val="18"/>
                <w:color w:val="auto"/>
              </w:rPr>
              <w:t>(Principal Accounting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Charity R. Kohl</w:t>
            </w:r>
          </w:p>
        </w:tc>
        <w:tc>
          <w:tcPr>
            <w:tcW w:w="5380" w:type="dxa"/>
            <w:vAlign w:val="bottom"/>
          </w:tcPr>
          <w:p>
            <w:pPr>
              <w:ind w:left="220"/>
              <w:spacing w:after="0"/>
              <w:rPr>
                <w:sz w:val="20"/>
                <w:szCs w:val="20"/>
                <w:color w:val="auto"/>
              </w:rPr>
            </w:pPr>
            <w:r>
              <w:rPr>
                <w:rFonts w:ascii="Arial" w:cs="Arial" w:eastAsia="Arial" w:hAnsi="Arial"/>
                <w:sz w:val="18"/>
                <w:szCs w:val="18"/>
                <w:color w:val="auto"/>
                <w:w w:val="89"/>
              </w:rPr>
              <w:t>Vice President, Assistant Secretary and Authorized U.S. Representative</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5"/>
              </w:rPr>
              <w:t>Charity R. Kohl</w:t>
            </w:r>
          </w:p>
        </w:tc>
        <w:tc>
          <w:tcPr>
            <w:tcW w:w="5380" w:type="dxa"/>
            <w:vAlign w:val="bottom"/>
          </w:tcPr>
          <w:p>
            <w:pPr>
              <w:spacing w:after="0"/>
              <w:rPr>
                <w:sz w:val="19"/>
                <w:szCs w:val="19"/>
                <w:color w:val="auto"/>
              </w:rPr>
            </w:pPr>
          </w:p>
        </w:tc>
      </w:tr>
    </w:tbl>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Houston, Texas on November 16, 2016.</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WEATHERFORD INTERNATIONAL,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 Kyle Chapman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 Kyle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Krishna Shivram, Christina M. Ibrahim and Charity Kohl and each of them (with full power to act alone), as his true and lawful attorneys-in-fact and agents, with full power of substitution and re-substitution, for him in his name, place and stead, in any and all capacity, in connection with this registration statement, including to sign and file in the name and on behalf of the undersigned as director or officer of the registrant any and all amendments or supplements (including any and all stickers and post-effective amendments) to this registration statement, with all exhibits thereto, and other documents in connection therewith with the Securities and Exchange Commission and any applicable securities exchange, securities self-regulatory body or other regulatory authority, granting unto said attorneys-in-fact and agents, and each of them (with full power to act alone), full power and authority to do and perform each and every act and things requisite or necessary to be done in and about the premises, as fully to all intents and purposes as he might or could do in person, hereby ratifying and confirming all that said attorneys-in-fact and agents or any of them, or their substitutes, may lawfully do or cause to be done by virtue hereof.</w:t>
      </w:r>
    </w:p>
    <w:p>
      <w:pPr>
        <w:spacing w:after="0" w:line="167"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Pursuant to the requirements of the Securities Act of 1933, this Post-Effective Amendment No. 2 to the Registration Statement on Form S-3 (SEC Registration No. 333-194431) has been signed by the following persons in the capacities indicated below on November 16, 2016.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470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r>
      <w:tr>
        <w:trPr>
          <w:trHeight w:val="41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E. Kyle Chapman</w:t>
            </w:r>
          </w:p>
        </w:tc>
        <w:tc>
          <w:tcPr>
            <w:tcW w:w="4700" w:type="dxa"/>
            <w:vAlign w:val="bottom"/>
          </w:tcPr>
          <w:p>
            <w:pPr>
              <w:ind w:left="220"/>
              <w:spacing w:after="0"/>
              <w:rPr>
                <w:sz w:val="20"/>
                <w:szCs w:val="20"/>
                <w:color w:val="auto"/>
              </w:rPr>
            </w:pPr>
            <w:r>
              <w:rPr>
                <w:rFonts w:ascii="Arial" w:cs="Arial" w:eastAsia="Arial" w:hAnsi="Arial"/>
                <w:sz w:val="18"/>
                <w:szCs w:val="18"/>
                <w:color w:val="auto"/>
              </w:rPr>
              <w:t>President</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E. Kyle Chapman</w:t>
            </w:r>
          </w:p>
        </w:tc>
        <w:tc>
          <w:tcPr>
            <w:tcW w:w="470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Kyle R. Pounds</w:t>
            </w:r>
          </w:p>
        </w:tc>
        <w:tc>
          <w:tcPr>
            <w:tcW w:w="4700" w:type="dxa"/>
            <w:vAlign w:val="bottom"/>
          </w:tcPr>
          <w:p>
            <w:pPr>
              <w:ind w:left="220"/>
              <w:spacing w:after="0"/>
              <w:rPr>
                <w:sz w:val="20"/>
                <w:szCs w:val="20"/>
                <w:color w:val="auto"/>
              </w:rPr>
            </w:pPr>
            <w:r>
              <w:rPr>
                <w:rFonts w:ascii="Arial" w:cs="Arial" w:eastAsia="Arial" w:hAnsi="Arial"/>
                <w:sz w:val="18"/>
                <w:szCs w:val="18"/>
                <w:color w:val="auto"/>
              </w:rPr>
              <w:t>Vice President and Chief Financial Officer</w:t>
            </w:r>
          </w:p>
        </w:tc>
      </w:tr>
      <w:tr>
        <w:trPr>
          <w:trHeight w:val="224"/>
        </w:trPr>
        <w:tc>
          <w:tcPr>
            <w:tcW w:w="5180" w:type="dxa"/>
            <w:vAlign w:val="bottom"/>
          </w:tcPr>
          <w:p>
            <w:pPr>
              <w:jc w:val="center"/>
              <w:spacing w:after="0"/>
              <w:rPr>
                <w:sz w:val="20"/>
                <w:szCs w:val="20"/>
                <w:color w:val="auto"/>
              </w:rPr>
            </w:pPr>
            <w:r>
              <w:rPr>
                <w:rFonts w:ascii="Arial" w:cs="Arial" w:eastAsia="Arial" w:hAnsi="Arial"/>
                <w:sz w:val="18"/>
                <w:szCs w:val="18"/>
                <w:color w:val="auto"/>
                <w:w w:val="91"/>
              </w:rPr>
              <w:t>Kyle R. Pounds</w:t>
            </w:r>
          </w:p>
        </w:tc>
        <w:tc>
          <w:tcPr>
            <w:tcW w:w="4700" w:type="dxa"/>
            <w:vAlign w:val="bottom"/>
          </w:tcPr>
          <w:p>
            <w:pPr>
              <w:ind w:left="220"/>
              <w:spacing w:after="0"/>
              <w:rPr>
                <w:sz w:val="20"/>
                <w:szCs w:val="20"/>
                <w:color w:val="auto"/>
              </w:rPr>
            </w:pPr>
            <w:r>
              <w:rPr>
                <w:rFonts w:ascii="Arial" w:cs="Arial" w:eastAsia="Arial" w:hAnsi="Arial"/>
                <w:sz w:val="18"/>
                <w:szCs w:val="18"/>
                <w:color w:val="auto"/>
                <w:w w:val="93"/>
              </w:rPr>
              <w:t>(Principal Financial Officer and Principal Accounting Officer)</w:t>
            </w:r>
          </w:p>
        </w:tc>
      </w:tr>
    </w:tbl>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00"/>
          </w:cols>
          <w:pgMar w:left="240" w:top="459" w:right="259" w:bottom="1440" w:gutter="0" w:footer="0" w:header="0"/>
        </w:sect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Number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11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Merger Agreement, dated April 2, 2014, between Weatherford International Ltd., a Swiss joint stock corporation and Weatherford International Limited, an Ireland limited liability company (incorporated by reference to Exhibit 2.1 to Weatherford International Ltd.’s Current Report on Form 8-K (File No. 1-34258) filed on April 2, 2014)</w:t>
      </w:r>
    </w:p>
    <w:p>
      <w:pPr>
        <w:spacing w:after="0" w:line="73" w:lineRule="exact"/>
        <w:rPr>
          <w:sz w:val="20"/>
          <w:szCs w:val="20"/>
          <w:color w:val="auto"/>
        </w:rPr>
      </w:pPr>
    </w:p>
    <w:p>
      <w:pPr>
        <w:sectPr>
          <w:pgSz w:w="11900" w:h="16838" w:orient="portrait"/>
          <w:cols w:equalWidth="0" w:num="2">
            <w:col w:w="660" w:space="720"/>
            <w:col w:w="10020"/>
          </w:cols>
          <w:pgMar w:left="240" w:top="459"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4.1**</w:t>
            </w: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Certificate of Assistant Secretary of Weatherford International Ltd., a Bermuda exempted company, as to the adoption of a resolution</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9"/>
              </w:rPr>
              <w:t>increasing authorized share capital (incorporated by reference to Exhibit 4.1 to the Current Report on Form-8-K of Weatherford</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International Ltd., a Bermuda exempted company (File No. 1-31339), filed May 15, 2006)</w:t>
            </w:r>
          </w:p>
        </w:tc>
      </w:tr>
      <w:tr>
        <w:trPr>
          <w:trHeight w:val="310"/>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4.2**</w:t>
            </w:r>
          </w:p>
        </w:tc>
        <w:tc>
          <w:tcPr>
            <w:tcW w:w="10500" w:type="dxa"/>
            <w:vAlign w:val="bottom"/>
          </w:tcPr>
          <w:p>
            <w:pPr>
              <w:ind w:left="480"/>
              <w:spacing w:after="0"/>
              <w:rPr>
                <w:sz w:val="20"/>
                <w:szCs w:val="20"/>
                <w:color w:val="auto"/>
              </w:rPr>
            </w:pPr>
            <w:r>
              <w:rPr>
                <w:rFonts w:ascii="Arial" w:cs="Arial" w:eastAsia="Arial" w:hAnsi="Arial"/>
                <w:sz w:val="18"/>
                <w:szCs w:val="18"/>
                <w:color w:val="auto"/>
                <w:w w:val="90"/>
              </w:rPr>
              <w:t>Indenture dated October 1, 2003, among Weatherford International Ltd., a Bermuda exempted company, Weatherford International, LLC, a</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Delaware limited liability company, and Deutsche Bank Trust Company Americas, as trustee (incorporated by reference to Exhibit 4.1 to</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Current Report on Form 8-K of Weatherford International Ltd., a Bermuda exempted company (File No. 1-31339), filed October 2, 2003)</w:t>
            </w:r>
          </w:p>
        </w:tc>
      </w:tr>
      <w:tr>
        <w:trPr>
          <w:trHeight w:val="310"/>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4.3**</w:t>
            </w: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First Supplemental Indenture dated March 25, 2008, among Weatherford International Ltd., a Bermuda exempted company, Weatherford</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1"/>
              </w:rPr>
              <w:t>International, LLC, a Delaware limited liability company, and Deutsche Bank Trust Company Americas, as trustee, to the Indenture dated</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3"/>
              </w:rPr>
              <w:t>October 1, 2003 (including the form of notes issued pursuant thereto) (incorporated by reference to Exhibit 4.1 to the Current Report on</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Form 8-K of Weatherford International Ltd., a Bermuda exempted company (File No. 1-31339), filed March 25, 2008)</w:t>
            </w:r>
          </w:p>
        </w:tc>
      </w:tr>
      <w:tr>
        <w:trPr>
          <w:trHeight w:val="310"/>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4.4**</w:t>
            </w:r>
          </w:p>
        </w:tc>
        <w:tc>
          <w:tcPr>
            <w:tcW w:w="10500" w:type="dxa"/>
            <w:vAlign w:val="bottom"/>
          </w:tcPr>
          <w:p>
            <w:pPr>
              <w:ind w:left="480"/>
              <w:spacing w:after="0"/>
              <w:rPr>
                <w:sz w:val="20"/>
                <w:szCs w:val="20"/>
                <w:color w:val="auto"/>
              </w:rPr>
            </w:pPr>
            <w:r>
              <w:rPr>
                <w:rFonts w:ascii="Arial" w:cs="Arial" w:eastAsia="Arial" w:hAnsi="Arial"/>
                <w:sz w:val="18"/>
                <w:szCs w:val="18"/>
                <w:color w:val="auto"/>
                <w:w w:val="98"/>
              </w:rPr>
              <w:t>Second Supplemental Indenture dated January 8, 2009, among Weatherford International Ltd., a Bermuda exempted company,</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Weatherford International, LLC, a Delaware limited liability company, and Deutsche Bank Trust Company Americas, as trustee, to the</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Indenture dated October 1, 2003 (including the form of notes issued pursuant thereto) (incorporated by reference to Exhibit 4.1 to the</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Current Report on Form 8-K of Weatherford International Ltd., a Bermuda exempted company (File No. 1-31339), filed January 8, 2009)</w:t>
            </w:r>
          </w:p>
        </w:tc>
      </w:tr>
      <w:tr>
        <w:trPr>
          <w:trHeight w:val="310"/>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4.5**</w:t>
            </w:r>
          </w:p>
        </w:tc>
        <w:tc>
          <w:tcPr>
            <w:tcW w:w="10500" w:type="dxa"/>
            <w:vAlign w:val="bottom"/>
          </w:tcPr>
          <w:p>
            <w:pPr>
              <w:ind w:left="480"/>
              <w:spacing w:after="0"/>
              <w:rPr>
                <w:sz w:val="20"/>
                <w:szCs w:val="20"/>
                <w:color w:val="auto"/>
              </w:rPr>
            </w:pPr>
            <w:r>
              <w:rPr>
                <w:rFonts w:ascii="Arial" w:cs="Arial" w:eastAsia="Arial" w:hAnsi="Arial"/>
                <w:sz w:val="18"/>
                <w:szCs w:val="18"/>
                <w:color w:val="auto"/>
                <w:w w:val="98"/>
              </w:rPr>
              <w:t>Third Supplemental Indenture dated February 26, 2009, among Weatherford International Ltd., a Bermuda exempted company,</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Deutsche Bank Trust Company Americas, as trustee, to the Indenture dated as of October 1, 2003 (incorporated by reference to Exhibit</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5"/>
              </w:rPr>
              <w:t>4.2 to the Current Report on Form 8-K12B of Weatherford International Ltd., a Swiss joint-stock corporation (File No. 1-34258), filed</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February 26, 2009)</w:t>
            </w:r>
          </w:p>
        </w:tc>
      </w:tr>
      <w:tr>
        <w:trPr>
          <w:trHeight w:val="310"/>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4.6**</w:t>
            </w: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Fourth Supplemental Indenture dated as of September 23, 2010, among Weatherford International Ltd., a Bermuda exempted company,</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Deutsche Bank Trust Company Americas, as trustee, to the Indenture dated as of October 1, 2003 (including the form of notes issued</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5"/>
              </w:rPr>
              <w:t>pursuant thereto and form of guarantee notation) (incorporated by reference to Exhibit 4.1 to the Quarterly Report on Form 10- Q of</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7"/>
              </w:rPr>
              <w:t>Weatherford International Ltd., a Swiss joint-stock corporation (File No. 1-34258) for the quarter ended September 30, 2010, filed</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November 2, 2010)</w:t>
            </w:r>
          </w:p>
        </w:tc>
      </w:tr>
      <w:tr>
        <w:trPr>
          <w:trHeight w:val="310"/>
        </w:trPr>
        <w:tc>
          <w:tcPr>
            <w:tcW w:w="900" w:type="dxa"/>
            <w:vAlign w:val="bottom"/>
          </w:tcPr>
          <w:p>
            <w:pPr>
              <w:jc w:val="right"/>
              <w:ind w:right="390"/>
              <w:spacing w:after="0"/>
              <w:rPr>
                <w:sz w:val="20"/>
                <w:szCs w:val="20"/>
                <w:color w:val="auto"/>
              </w:rPr>
            </w:pPr>
            <w:r>
              <w:rPr>
                <w:rFonts w:ascii="Arial" w:cs="Arial" w:eastAsia="Arial" w:hAnsi="Arial"/>
                <w:sz w:val="18"/>
                <w:szCs w:val="18"/>
                <w:color w:val="auto"/>
              </w:rPr>
              <w:t>4.7**</w:t>
            </w:r>
          </w:p>
        </w:tc>
        <w:tc>
          <w:tcPr>
            <w:tcW w:w="10500" w:type="dxa"/>
            <w:vAlign w:val="bottom"/>
          </w:tcPr>
          <w:p>
            <w:pPr>
              <w:ind w:left="480"/>
              <w:spacing w:after="0"/>
              <w:rPr>
                <w:sz w:val="20"/>
                <w:szCs w:val="20"/>
                <w:color w:val="auto"/>
              </w:rPr>
            </w:pPr>
            <w:r>
              <w:rPr>
                <w:rFonts w:ascii="Arial" w:cs="Arial" w:eastAsia="Arial" w:hAnsi="Arial"/>
                <w:sz w:val="18"/>
                <w:szCs w:val="18"/>
                <w:color w:val="auto"/>
                <w:w w:val="97"/>
              </w:rPr>
              <w:t>Form of Fifth Supplemental Indenture dated April 4, 2012, among Weatherford International Ltd., a Bermuda exempted company,</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Ltd., a Swiss joint-stock corporation, and</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4"/>
              </w:rPr>
              <w:t>Deutsche Bank Trust Company Americas, as trustee, to the Indenture dated as of October 1, 2003 (including the form of notes issued</w:t>
            </w:r>
          </w:p>
        </w:tc>
      </w:tr>
      <w:tr>
        <w:trPr>
          <w:trHeight w:val="216"/>
        </w:trPr>
        <w:tc>
          <w:tcPr>
            <w:tcW w:w="900" w:type="dxa"/>
            <w:vAlign w:val="bottom"/>
          </w:tcPr>
          <w:p>
            <w:pPr>
              <w:spacing w:after="0"/>
              <w:rPr>
                <w:sz w:val="18"/>
                <w:szCs w:val="18"/>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w w:val="98"/>
              </w:rPr>
              <w:t>pursuant thereto and form of guarantee notation) (incorporated by reference to Exhibit 4.1 to the Current Report on Form 8-K of</w:t>
            </w:r>
          </w:p>
        </w:tc>
      </w:tr>
      <w:tr>
        <w:trPr>
          <w:trHeight w:val="230"/>
        </w:trPr>
        <w:tc>
          <w:tcPr>
            <w:tcW w:w="900" w:type="dxa"/>
            <w:vAlign w:val="bottom"/>
          </w:tcPr>
          <w:p>
            <w:pPr>
              <w:spacing w:after="0"/>
              <w:rPr>
                <w:sz w:val="20"/>
                <w:szCs w:val="20"/>
                <w:color w:val="auto"/>
              </w:rPr>
            </w:pPr>
          </w:p>
        </w:tc>
        <w:tc>
          <w:tcPr>
            <w:tcW w:w="10500" w:type="dxa"/>
            <w:vAlign w:val="bottom"/>
          </w:tcPr>
          <w:p>
            <w:pPr>
              <w:ind w:left="480"/>
              <w:spacing w:after="0"/>
              <w:rPr>
                <w:sz w:val="20"/>
                <w:szCs w:val="20"/>
                <w:color w:val="auto"/>
              </w:rPr>
            </w:pPr>
            <w:r>
              <w:rPr>
                <w:rFonts w:ascii="Arial" w:cs="Arial" w:eastAsia="Arial" w:hAnsi="Arial"/>
                <w:sz w:val="18"/>
                <w:szCs w:val="18"/>
                <w:color w:val="auto"/>
              </w:rPr>
              <w:t>Weatherford International Ltd., a Swiss joint-stock corporation (File No. 1-34258), filed April 4, 2012)</w:t>
            </w:r>
          </w:p>
        </w:tc>
      </w:tr>
    </w:tbl>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Number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Description</w:t>
      </w:r>
    </w:p>
    <w:p>
      <w:pPr>
        <w:spacing w:after="0" w:line="2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Sixth Supplemental Indenture, dated as of August 14, 2012, among Weatherford International Ltd., a Bermuda exempted company Weatherford International, LLC, a Delaware limited liability company, Weatherford International Ltd., a Swiss joint-stock corporation, and Deutsche Bank Trust Company Americas, to the indenture dated as of October 1, 2003 (incorporated by reference to Exhibit 4.1 to the Current Report on Form 8-K of Weatherford International Ltd., a Swiss joint-stock corporation (File No. 1-34258), filed August 14, 2012)</w:t>
      </w:r>
    </w:p>
    <w:p>
      <w:pPr>
        <w:spacing w:after="0" w:line="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Seventh Supplemental Indenture dated as of March 31, 2013, among Weatherford International Ltd., a Bermuda exempted company, Weatherford International, LLC, a Delaware limited liability company, Weatherford International Ltd., a Swiss joint-stock corporation, and Deutsche Bank Trust Company Americas, to the indenture dated as of October 1, 2003 (incorporated by reference to Exhibit 4.1 to the Quarterly Report on Form 10-Q for the quarter ended March 31, 2013 of Weatherford International Ltd., a Swiss joint-stock corporation (File No. 1-34258), filed May 3, 2013)</w:t>
      </w:r>
    </w:p>
    <w:p>
      <w:pPr>
        <w:spacing w:after="0" w:line="80" w:lineRule="exact"/>
        <w:rPr>
          <w:sz w:val="20"/>
          <w:szCs w:val="20"/>
          <w:color w:val="auto"/>
        </w:rPr>
      </w:pPr>
    </w:p>
    <w:p>
      <w:pPr>
        <w:sectPr>
          <w:pgSz w:w="11900" w:h="16838" w:orient="portrait"/>
          <w:cols w:equalWidth="0" w:num="2">
            <w:col w:w="680" w:space="720"/>
            <w:col w:w="100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4.10**</w:t>
            </w:r>
          </w:p>
        </w:tc>
        <w:tc>
          <w:tcPr>
            <w:tcW w:w="10440" w:type="dxa"/>
            <w:vAlign w:val="bottom"/>
          </w:tcPr>
          <w:p>
            <w:pPr>
              <w:ind w:left="440"/>
              <w:spacing w:after="0"/>
              <w:rPr>
                <w:sz w:val="20"/>
                <w:szCs w:val="20"/>
                <w:color w:val="auto"/>
              </w:rPr>
            </w:pPr>
            <w:r>
              <w:rPr>
                <w:rFonts w:ascii="Arial" w:cs="Arial" w:eastAsia="Arial" w:hAnsi="Arial"/>
                <w:sz w:val="18"/>
                <w:szCs w:val="18"/>
                <w:color w:val="auto"/>
                <w:w w:val="96"/>
              </w:rPr>
              <w:t>Eighth Supplemental Indenture dated as of June 17, 2014, among Weatherford International Ltd., a Bermuda exempted company,</w:t>
            </w:r>
          </w:p>
        </w:tc>
      </w:tr>
      <w:tr>
        <w:trPr>
          <w:trHeight w:val="216"/>
        </w:trPr>
        <w:tc>
          <w:tcPr>
            <w:tcW w:w="96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r>
      <w:tr>
        <w:trPr>
          <w:trHeight w:val="216"/>
        </w:trPr>
        <w:tc>
          <w:tcPr>
            <w:tcW w:w="96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Exhibit 4.1 to</w:t>
            </w:r>
          </w:p>
        </w:tc>
      </w:tr>
      <w:tr>
        <w:trPr>
          <w:trHeight w:val="230"/>
        </w:trPr>
        <w:tc>
          <w:tcPr>
            <w:tcW w:w="960" w:type="dxa"/>
            <w:vAlign w:val="bottom"/>
          </w:tcPr>
          <w:p>
            <w:pPr>
              <w:spacing w:after="0"/>
              <w:rPr>
                <w:sz w:val="20"/>
                <w:szCs w:val="20"/>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Weatherford International plc’s Current Report on Form 8-K12B (File No. 1-36504) filed June 17, 2014)</w:t>
            </w:r>
          </w:p>
        </w:tc>
      </w:tr>
      <w:tr>
        <w:trPr>
          <w:trHeight w:val="310"/>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4.11**</w:t>
            </w:r>
          </w:p>
        </w:tc>
        <w:tc>
          <w:tcPr>
            <w:tcW w:w="10440" w:type="dxa"/>
            <w:vAlign w:val="bottom"/>
          </w:tcPr>
          <w:p>
            <w:pPr>
              <w:ind w:left="440"/>
              <w:spacing w:after="0"/>
              <w:rPr>
                <w:sz w:val="20"/>
                <w:szCs w:val="20"/>
                <w:color w:val="auto"/>
              </w:rPr>
            </w:pPr>
            <w:r>
              <w:rPr>
                <w:rFonts w:ascii="Arial" w:cs="Arial" w:eastAsia="Arial" w:hAnsi="Arial"/>
                <w:sz w:val="18"/>
                <w:szCs w:val="18"/>
                <w:color w:val="auto"/>
                <w:w w:val="98"/>
              </w:rPr>
              <w:t>Ninth Supplemental Indenture dated as of June 7, 2016, among Weatherford International Ltd., a Bermuda exempted company,</w:t>
            </w:r>
          </w:p>
        </w:tc>
      </w:tr>
      <w:tr>
        <w:trPr>
          <w:trHeight w:val="216"/>
        </w:trPr>
        <w:tc>
          <w:tcPr>
            <w:tcW w:w="96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r>
      <w:tr>
        <w:trPr>
          <w:trHeight w:val="216"/>
        </w:trPr>
        <w:tc>
          <w:tcPr>
            <w:tcW w:w="96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Exhibit 4.1 to</w:t>
            </w:r>
          </w:p>
        </w:tc>
      </w:tr>
      <w:tr>
        <w:trPr>
          <w:trHeight w:val="230"/>
        </w:trPr>
        <w:tc>
          <w:tcPr>
            <w:tcW w:w="960" w:type="dxa"/>
            <w:vAlign w:val="bottom"/>
          </w:tcPr>
          <w:p>
            <w:pPr>
              <w:spacing w:after="0"/>
              <w:rPr>
                <w:sz w:val="20"/>
                <w:szCs w:val="20"/>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Weatherford International plc’s Current Report on Form 8-K (File No. 1-36504) filed June 7, 2016)</w:t>
            </w:r>
          </w:p>
        </w:tc>
      </w:tr>
      <w:tr>
        <w:trPr>
          <w:trHeight w:val="310"/>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4.12**</w:t>
            </w:r>
          </w:p>
        </w:tc>
        <w:tc>
          <w:tcPr>
            <w:tcW w:w="10440" w:type="dxa"/>
            <w:vAlign w:val="bottom"/>
          </w:tcPr>
          <w:p>
            <w:pPr>
              <w:ind w:left="440"/>
              <w:spacing w:after="0"/>
              <w:rPr>
                <w:sz w:val="20"/>
                <w:szCs w:val="20"/>
                <w:color w:val="auto"/>
              </w:rPr>
            </w:pPr>
            <w:r>
              <w:rPr>
                <w:rFonts w:ascii="Arial" w:cs="Arial" w:eastAsia="Arial" w:hAnsi="Arial"/>
                <w:sz w:val="18"/>
                <w:szCs w:val="18"/>
                <w:color w:val="auto"/>
                <w:w w:val="97"/>
              </w:rPr>
              <w:t>Tenth Supplemental Indenture dated as of June 17, 2016, among Weatherford International Ltd., a Bermuda exempted company,</w:t>
            </w:r>
          </w:p>
        </w:tc>
      </w:tr>
      <w:tr>
        <w:trPr>
          <w:trHeight w:val="216"/>
        </w:trPr>
        <w:tc>
          <w:tcPr>
            <w:tcW w:w="96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2"/>
              </w:rPr>
              <w:t>Weatherford International, LLC, a Delaware limited liability company, Weatherford International plc, an Irish public limited company, and</w:t>
            </w:r>
          </w:p>
        </w:tc>
      </w:tr>
      <w:tr>
        <w:trPr>
          <w:trHeight w:val="216"/>
        </w:trPr>
        <w:tc>
          <w:tcPr>
            <w:tcW w:w="96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0"/>
              </w:rPr>
              <w:t>Deutsche Bank Trust Company Americas, as trustee, to the indenture dated as of October 1, 2003 (incorporated by reference Exhibit 4.1 to</w:t>
            </w:r>
          </w:p>
        </w:tc>
      </w:tr>
      <w:tr>
        <w:trPr>
          <w:trHeight w:val="230"/>
        </w:trPr>
        <w:tc>
          <w:tcPr>
            <w:tcW w:w="960" w:type="dxa"/>
            <w:vAlign w:val="bottom"/>
          </w:tcPr>
          <w:p>
            <w:pPr>
              <w:spacing w:after="0"/>
              <w:rPr>
                <w:sz w:val="20"/>
                <w:szCs w:val="20"/>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Weatherford International plc’s Current Report on Form 8-K (File No. 1-36504) filed June 17, 2016)</w:t>
            </w:r>
          </w:p>
        </w:tc>
      </w:tr>
      <w:tr>
        <w:trPr>
          <w:trHeight w:val="310"/>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4.13**</w:t>
            </w:r>
          </w:p>
        </w:tc>
        <w:tc>
          <w:tcPr>
            <w:tcW w:w="10440" w:type="dxa"/>
            <w:vAlign w:val="bottom"/>
          </w:tcPr>
          <w:p>
            <w:pPr>
              <w:ind w:left="440"/>
              <w:spacing w:after="0"/>
              <w:rPr>
                <w:sz w:val="20"/>
                <w:szCs w:val="20"/>
                <w:color w:val="auto"/>
              </w:rPr>
            </w:pPr>
            <w:r>
              <w:rPr>
                <w:rFonts w:ascii="Arial" w:cs="Arial" w:eastAsia="Arial" w:hAnsi="Arial"/>
                <w:sz w:val="18"/>
                <w:szCs w:val="18"/>
                <w:color w:val="auto"/>
                <w:w w:val="93"/>
              </w:rPr>
              <w:t>Indenture dated June 18, 2007, among Weatherford International, LLC, a Delaware limited liability company, Weatherford International</w:t>
            </w:r>
          </w:p>
        </w:tc>
      </w:tr>
      <w:tr>
        <w:trPr>
          <w:trHeight w:val="216"/>
        </w:trPr>
        <w:tc>
          <w:tcPr>
            <w:tcW w:w="96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5"/>
              </w:rPr>
              <w:t>Ltd., a Bermuda exempted company, and Deutsche Bank Trust Company Americas (incorporated by reference to Exhibit 4.1 to the</w:t>
            </w:r>
          </w:p>
        </w:tc>
      </w:tr>
      <w:tr>
        <w:trPr>
          <w:trHeight w:val="230"/>
        </w:trPr>
        <w:tc>
          <w:tcPr>
            <w:tcW w:w="960" w:type="dxa"/>
            <w:vAlign w:val="bottom"/>
          </w:tcPr>
          <w:p>
            <w:pPr>
              <w:spacing w:after="0"/>
              <w:rPr>
                <w:sz w:val="20"/>
                <w:szCs w:val="20"/>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3"/>
              </w:rPr>
              <w:t>Current Report on Form 8-K of Weatherford International Ltd., a Bermuda exempted company (File No. 1-31339), filed June 18, 2007)</w:t>
            </w:r>
          </w:p>
        </w:tc>
      </w:tr>
      <w:tr>
        <w:trPr>
          <w:trHeight w:val="310"/>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4.14**</w:t>
            </w:r>
          </w:p>
        </w:tc>
        <w:tc>
          <w:tcPr>
            <w:tcW w:w="10440" w:type="dxa"/>
            <w:vAlign w:val="bottom"/>
          </w:tcPr>
          <w:p>
            <w:pPr>
              <w:ind w:left="440"/>
              <w:spacing w:after="0"/>
              <w:rPr>
                <w:sz w:val="20"/>
                <w:szCs w:val="20"/>
                <w:color w:val="auto"/>
              </w:rPr>
            </w:pPr>
            <w:r>
              <w:rPr>
                <w:rFonts w:ascii="Arial" w:cs="Arial" w:eastAsia="Arial" w:hAnsi="Arial"/>
                <w:sz w:val="18"/>
                <w:szCs w:val="18"/>
                <w:color w:val="auto"/>
                <w:w w:val="98"/>
              </w:rPr>
              <w:t>First Supplemental Indenture dated June 18, 2007, among Weatherford International, LLC, a Delaware limited liability company,</w:t>
            </w:r>
          </w:p>
        </w:tc>
      </w:tr>
      <w:tr>
        <w:trPr>
          <w:trHeight w:val="216"/>
        </w:trPr>
        <w:tc>
          <w:tcPr>
            <w:tcW w:w="96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Weatherford International Ltd., a Bermuda exempted company, and Deutsche Bank Trust Company Americas (including the form of notes</w:t>
            </w:r>
          </w:p>
        </w:tc>
      </w:tr>
      <w:tr>
        <w:trPr>
          <w:trHeight w:val="216"/>
        </w:trPr>
        <w:tc>
          <w:tcPr>
            <w:tcW w:w="96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2"/>
              </w:rPr>
              <w:t>issued pursuant thereto) (incorporated by reference to Exhibit 4.2 to the Current Report on Form 8-K of Weatherford International Ltd., a</w:t>
            </w:r>
          </w:p>
        </w:tc>
      </w:tr>
      <w:tr>
        <w:trPr>
          <w:trHeight w:val="230"/>
        </w:trPr>
        <w:tc>
          <w:tcPr>
            <w:tcW w:w="960" w:type="dxa"/>
            <w:vAlign w:val="bottom"/>
          </w:tcPr>
          <w:p>
            <w:pPr>
              <w:spacing w:after="0"/>
              <w:rPr>
                <w:sz w:val="20"/>
                <w:szCs w:val="20"/>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Bermuda exempted company (File No. 1-31339), filed June 18, 2007)</w:t>
            </w:r>
          </w:p>
        </w:tc>
      </w:tr>
      <w:tr>
        <w:trPr>
          <w:trHeight w:val="310"/>
        </w:trPr>
        <w:tc>
          <w:tcPr>
            <w:tcW w:w="960" w:type="dxa"/>
            <w:vAlign w:val="bottom"/>
          </w:tcPr>
          <w:p>
            <w:pPr>
              <w:jc w:val="right"/>
              <w:ind w:right="370"/>
              <w:spacing w:after="0"/>
              <w:rPr>
                <w:sz w:val="20"/>
                <w:szCs w:val="20"/>
                <w:color w:val="auto"/>
              </w:rPr>
            </w:pPr>
            <w:r>
              <w:rPr>
                <w:rFonts w:ascii="Arial" w:cs="Arial" w:eastAsia="Arial" w:hAnsi="Arial"/>
                <w:sz w:val="18"/>
                <w:szCs w:val="18"/>
                <w:color w:val="auto"/>
                <w:w w:val="97"/>
              </w:rPr>
              <w:t>4.15**</w:t>
            </w:r>
          </w:p>
        </w:tc>
        <w:tc>
          <w:tcPr>
            <w:tcW w:w="10440" w:type="dxa"/>
            <w:vAlign w:val="bottom"/>
          </w:tcPr>
          <w:p>
            <w:pPr>
              <w:ind w:left="440"/>
              <w:spacing w:after="0"/>
              <w:rPr>
                <w:sz w:val="20"/>
                <w:szCs w:val="20"/>
                <w:color w:val="auto"/>
              </w:rPr>
            </w:pPr>
            <w:r>
              <w:rPr>
                <w:rFonts w:ascii="Arial" w:cs="Arial" w:eastAsia="Arial" w:hAnsi="Arial"/>
                <w:sz w:val="18"/>
                <w:szCs w:val="18"/>
                <w:color w:val="auto"/>
                <w:w w:val="96"/>
              </w:rPr>
              <w:t>Second Supplemental Indenture dated as of February 26, 2009, among Weatherford International, LLC, a Delaware limited liability</w:t>
            </w:r>
          </w:p>
        </w:tc>
      </w:tr>
      <w:tr>
        <w:trPr>
          <w:trHeight w:val="216"/>
        </w:trPr>
        <w:tc>
          <w:tcPr>
            <w:tcW w:w="96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1"/>
              </w:rPr>
              <w:t>company, Weatherford International Ltd., a Bermuda exempted company, Weatherford International Ltd., a Swiss joint-stock corporation,</w:t>
            </w:r>
          </w:p>
        </w:tc>
      </w:tr>
      <w:tr>
        <w:trPr>
          <w:trHeight w:val="216"/>
        </w:trPr>
        <w:tc>
          <w:tcPr>
            <w:tcW w:w="960" w:type="dxa"/>
            <w:vAlign w:val="bottom"/>
          </w:tcPr>
          <w:p>
            <w:pPr>
              <w:spacing w:after="0"/>
              <w:rPr>
                <w:sz w:val="18"/>
                <w:szCs w:val="18"/>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w w:val="92"/>
              </w:rPr>
              <w:t>and Deutsche Bank Trust Company America (incorporated by reference to Exhibit 4.3 to the Current Report on Form 8-K of Weatherford</w:t>
            </w:r>
          </w:p>
        </w:tc>
      </w:tr>
      <w:tr>
        <w:trPr>
          <w:trHeight w:val="230"/>
        </w:trPr>
        <w:tc>
          <w:tcPr>
            <w:tcW w:w="960" w:type="dxa"/>
            <w:vAlign w:val="bottom"/>
          </w:tcPr>
          <w:p>
            <w:pPr>
              <w:spacing w:after="0"/>
              <w:rPr>
                <w:sz w:val="20"/>
                <w:szCs w:val="20"/>
                <w:color w:val="auto"/>
              </w:rPr>
            </w:pPr>
          </w:p>
        </w:tc>
        <w:tc>
          <w:tcPr>
            <w:tcW w:w="10440" w:type="dxa"/>
            <w:vAlign w:val="bottom"/>
          </w:tcPr>
          <w:p>
            <w:pPr>
              <w:ind w:left="440"/>
              <w:spacing w:after="0"/>
              <w:rPr>
                <w:sz w:val="20"/>
                <w:szCs w:val="20"/>
                <w:color w:val="auto"/>
              </w:rPr>
            </w:pPr>
            <w:r>
              <w:rPr>
                <w:rFonts w:ascii="Arial" w:cs="Arial" w:eastAsia="Arial" w:hAnsi="Arial"/>
                <w:sz w:val="18"/>
                <w:szCs w:val="18"/>
                <w:color w:val="auto"/>
              </w:rPr>
              <w:t>International Ltd., a Swiss joint-stock corporation (File No. 1-34258), filed February 26, 2009)</w:t>
            </w:r>
          </w:p>
        </w:tc>
      </w:tr>
    </w:tbl>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 w:type="dxa"/>
            <w:vAlign w:val="bottom"/>
            <w:vMerge w:val="continue"/>
          </w:tcPr>
          <w:p>
            <w:pPr>
              <w:spacing w:after="0"/>
              <w:rPr>
                <w:sz w:val="15"/>
                <w:szCs w:val="15"/>
                <w:color w:val="auto"/>
              </w:rPr>
            </w:pPr>
          </w:p>
        </w:tc>
        <w:tc>
          <w:tcPr>
            <w:tcW w:w="520" w:type="dxa"/>
            <w:vAlign w:val="bottom"/>
          </w:tcPr>
          <w:p>
            <w:pPr>
              <w:ind w:left="20"/>
              <w:spacing w:after="0" w:line="182" w:lineRule="exact"/>
              <w:rPr>
                <w:sz w:val="20"/>
                <w:szCs w:val="20"/>
                <w:color w:val="auto"/>
              </w:rPr>
            </w:pPr>
            <w:r>
              <w:rPr>
                <w:rFonts w:ascii="Arial" w:cs="Arial" w:eastAsia="Arial" w:hAnsi="Arial"/>
                <w:sz w:val="18"/>
                <w:szCs w:val="18"/>
                <w:color w:val="auto"/>
                <w:w w:val="97"/>
              </w:rPr>
              <w:t>4.16**</w:t>
            </w:r>
          </w:p>
        </w:tc>
        <w:tc>
          <w:tcPr>
            <w:tcW w:w="840" w:type="dxa"/>
            <w:vAlign w:val="bottom"/>
          </w:tcPr>
          <w:p>
            <w:pPr>
              <w:spacing w:after="0"/>
              <w:rPr>
                <w:sz w:val="15"/>
                <w:szCs w:val="15"/>
                <w:color w:val="auto"/>
              </w:rPr>
            </w:pPr>
          </w:p>
        </w:tc>
        <w:tc>
          <w:tcPr>
            <w:tcW w:w="9960" w:type="dxa"/>
            <w:vAlign w:val="bottom"/>
            <w:gridSpan w:val="2"/>
          </w:tcPr>
          <w:p>
            <w:pPr>
              <w:spacing w:after="0" w:line="182" w:lineRule="exact"/>
              <w:rPr>
                <w:sz w:val="20"/>
                <w:szCs w:val="20"/>
                <w:color w:val="auto"/>
              </w:rPr>
            </w:pPr>
            <w:r>
              <w:rPr>
                <w:rFonts w:ascii="Arial" w:cs="Arial" w:eastAsia="Arial" w:hAnsi="Arial"/>
                <w:sz w:val="18"/>
                <w:szCs w:val="18"/>
                <w:color w:val="auto"/>
                <w:w w:val="91"/>
              </w:rPr>
              <w:t>Third Supplemental Indenture dated as of August 14, 2012, among Weatherford International, LLC, a Delaware limited liability company,</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5"/>
              </w:rPr>
              <w:t>Weatherford International Ltd., a Bermuda exempted company, Weatherford International Ltd., a Swiss joint-stock corporation, and</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4"/>
              </w:rPr>
              <w:t>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2"/>
              </w:rPr>
              <w:t>Current Report on Form 8-K of Weatherford International Ltd., a Swiss joint-stock corporation (File No. 1-34258), filed August 14, 2012)</w:t>
            </w:r>
          </w:p>
        </w:tc>
        <w:tc>
          <w:tcPr>
            <w:tcW w:w="0" w:type="dxa"/>
            <w:vAlign w:val="bottom"/>
          </w:tcPr>
          <w:p>
            <w:pPr>
              <w:spacing w:after="0"/>
              <w:rPr>
                <w:sz w:val="1"/>
                <w:szCs w:val="1"/>
                <w:color w:val="auto"/>
              </w:rPr>
            </w:pPr>
          </w:p>
        </w:tc>
      </w:tr>
      <w:tr>
        <w:trPr>
          <w:trHeight w:val="310"/>
        </w:trPr>
        <w:tc>
          <w:tcPr>
            <w:tcW w:w="600" w:type="dxa"/>
            <w:vAlign w:val="bottom"/>
            <w:gridSpan w:val="2"/>
          </w:tcPr>
          <w:p>
            <w:pPr>
              <w:ind w:left="100"/>
              <w:spacing w:after="0"/>
              <w:rPr>
                <w:sz w:val="20"/>
                <w:szCs w:val="20"/>
                <w:color w:val="auto"/>
              </w:rPr>
            </w:pPr>
            <w:r>
              <w:rPr>
                <w:rFonts w:ascii="Arial" w:cs="Arial" w:eastAsia="Arial" w:hAnsi="Arial"/>
                <w:sz w:val="18"/>
                <w:szCs w:val="18"/>
                <w:color w:val="auto"/>
                <w:w w:val="97"/>
              </w:rPr>
              <w:t>4.17**</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8"/>
              </w:rPr>
              <w:t>Fourth Supplemental Indenture dated as of March 31, 2013, among Weatherford International, LLC, a Delaware limited liability</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1"/>
              </w:rPr>
              <w:t>company, Weatherford International Ltd., a Bermuda exempted company, Weatherford International Ltd., a Swiss joint-stock corporation,</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1"/>
              </w:rPr>
              <w:t>and Deutsche Bank Trust Company Americas to the indenture dated as of June 18, 2007 (incorporated by reference to Exhibit 4.2 to the</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2"/>
              </w:rPr>
              <w:t>Quarterly Report on Form 10-Q for the quarter ended March 31, 2013 of Weatherford International Ltd., a Swiss joint-stock corporation</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(File No. 1-34258), filed May 3, 2013)</w:t>
            </w:r>
          </w:p>
        </w:tc>
        <w:tc>
          <w:tcPr>
            <w:tcW w:w="0" w:type="dxa"/>
            <w:vAlign w:val="bottom"/>
          </w:tcPr>
          <w:p>
            <w:pPr>
              <w:spacing w:after="0"/>
              <w:rPr>
                <w:sz w:val="1"/>
                <w:szCs w:val="1"/>
                <w:color w:val="auto"/>
              </w:rPr>
            </w:pPr>
          </w:p>
        </w:tc>
      </w:tr>
      <w:tr>
        <w:trPr>
          <w:trHeight w:val="310"/>
        </w:trPr>
        <w:tc>
          <w:tcPr>
            <w:tcW w:w="600" w:type="dxa"/>
            <w:vAlign w:val="bottom"/>
            <w:gridSpan w:val="2"/>
          </w:tcPr>
          <w:p>
            <w:pPr>
              <w:ind w:left="100"/>
              <w:spacing w:after="0"/>
              <w:rPr>
                <w:sz w:val="20"/>
                <w:szCs w:val="20"/>
                <w:color w:val="auto"/>
              </w:rPr>
            </w:pPr>
            <w:r>
              <w:rPr>
                <w:rFonts w:ascii="Arial" w:cs="Arial" w:eastAsia="Arial" w:hAnsi="Arial"/>
                <w:sz w:val="18"/>
                <w:szCs w:val="18"/>
                <w:color w:val="auto"/>
                <w:w w:val="97"/>
              </w:rPr>
              <w:t>4.18**</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3"/>
              </w:rPr>
              <w:t>Fifth Supplemental Indenture dated as of June 17, 2014, among Weatherford International, LLC, a Delaware limited liability company,</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5"/>
              </w:rPr>
              <w:t>Weatherford International Ltd., a Bermuda exempted company, Weatherford International plc, an Irish public limited company, and</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0"/>
              </w:rPr>
              <w:t>Deutsche Bank Trust Company Americas, as trustee, to the indenture dated as of June 18, 2007 (incorporated by reference to Exhibit 4.2</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to Weatherford International plc’s Current Report on Form 8-K12B (File No. 1-36504) filed June 17, 2014)</w:t>
            </w:r>
          </w:p>
        </w:tc>
        <w:tc>
          <w:tcPr>
            <w:tcW w:w="0" w:type="dxa"/>
            <w:vAlign w:val="bottom"/>
          </w:tcPr>
          <w:p>
            <w:pPr>
              <w:spacing w:after="0"/>
              <w:rPr>
                <w:sz w:val="1"/>
                <w:szCs w:val="1"/>
                <w:color w:val="auto"/>
              </w:rPr>
            </w:pPr>
          </w:p>
        </w:tc>
      </w:tr>
      <w:tr>
        <w:trPr>
          <w:trHeight w:val="324"/>
        </w:trPr>
        <w:tc>
          <w:tcPr>
            <w:tcW w:w="1440" w:type="dxa"/>
            <w:vAlign w:val="bottom"/>
            <w:gridSpan w:val="3"/>
          </w:tcPr>
          <w:p>
            <w:pPr>
              <w:ind w:left="100"/>
              <w:spacing w:after="0"/>
              <w:rPr>
                <w:sz w:val="20"/>
                <w:szCs w:val="20"/>
                <w:color w:val="auto"/>
              </w:rPr>
            </w:pPr>
            <w:r>
              <w:rPr>
                <w:rFonts w:ascii="Arial" w:cs="Arial" w:eastAsia="Arial" w:hAnsi="Arial"/>
                <w:sz w:val="18"/>
                <w:szCs w:val="18"/>
                <w:color w:val="auto"/>
              </w:rPr>
              <w:t>4.19***</w:t>
            </w:r>
          </w:p>
        </w:tc>
        <w:tc>
          <w:tcPr>
            <w:tcW w:w="9960" w:type="dxa"/>
            <w:vAlign w:val="bottom"/>
            <w:gridSpan w:val="2"/>
          </w:tcPr>
          <w:p>
            <w:pPr>
              <w:spacing w:after="0"/>
              <w:rPr>
                <w:sz w:val="20"/>
                <w:szCs w:val="20"/>
                <w:color w:val="auto"/>
              </w:rPr>
            </w:pPr>
            <w:r>
              <w:rPr>
                <w:rFonts w:ascii="Arial" w:cs="Arial" w:eastAsia="Arial" w:hAnsi="Arial"/>
                <w:sz w:val="18"/>
                <w:szCs w:val="18"/>
                <w:color w:val="auto"/>
              </w:rPr>
              <w:t>Form of Warrant Agreement</w:t>
            </w:r>
          </w:p>
        </w:tc>
        <w:tc>
          <w:tcPr>
            <w:tcW w:w="0" w:type="dxa"/>
            <w:vAlign w:val="bottom"/>
          </w:tcPr>
          <w:p>
            <w:pPr>
              <w:spacing w:after="0"/>
              <w:rPr>
                <w:sz w:val="1"/>
                <w:szCs w:val="1"/>
                <w:color w:val="auto"/>
              </w:rPr>
            </w:pPr>
          </w:p>
        </w:tc>
      </w:tr>
      <w:tr>
        <w:trPr>
          <w:trHeight w:val="310"/>
        </w:trPr>
        <w:tc>
          <w:tcPr>
            <w:tcW w:w="600" w:type="dxa"/>
            <w:vAlign w:val="bottom"/>
            <w:gridSpan w:val="2"/>
          </w:tcPr>
          <w:p>
            <w:pPr>
              <w:ind w:left="100"/>
              <w:spacing w:after="0"/>
              <w:rPr>
                <w:sz w:val="20"/>
                <w:szCs w:val="20"/>
                <w:color w:val="auto"/>
              </w:rPr>
            </w:pPr>
            <w:r>
              <w:rPr>
                <w:rFonts w:ascii="Arial" w:cs="Arial" w:eastAsia="Arial" w:hAnsi="Arial"/>
                <w:sz w:val="18"/>
                <w:szCs w:val="18"/>
                <w:color w:val="auto"/>
                <w:w w:val="97"/>
              </w:rPr>
              <w:t>4.20**</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5"/>
              </w:rPr>
              <w:t>Registration Rights Agreement dated May 17, 2012, among Weatherford International Ltd., a Swiss joint-stock corporation and the</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4"/>
              </w:rPr>
              <w:t>shareholders thereto (incorporated by reference to Exhibit 4.1 to the Current Report on Form 8-K of Weatherford International Ltd., a</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Swiss joint-stock corporation (File No. 1-34258), filed May 17, 2012)</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rPr>
              <w:t>5.1*</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rPr>
              <w:t>5.2*</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Conyers Dill &amp; Pearman Limited</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rPr>
              <w:t>5.3*</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Opinion of Matheson</w:t>
            </w:r>
          </w:p>
        </w:tc>
        <w:tc>
          <w:tcPr>
            <w:tcW w:w="0" w:type="dxa"/>
            <w:vAlign w:val="bottom"/>
          </w:tcPr>
          <w:p>
            <w:pPr>
              <w:spacing w:after="0"/>
              <w:rPr>
                <w:sz w:val="1"/>
                <w:szCs w:val="1"/>
                <w:color w:val="auto"/>
              </w:rPr>
            </w:pPr>
          </w:p>
        </w:tc>
      </w:tr>
      <w:tr>
        <w:trPr>
          <w:trHeight w:val="310"/>
        </w:trPr>
        <w:tc>
          <w:tcPr>
            <w:tcW w:w="600" w:type="dxa"/>
            <w:vAlign w:val="bottom"/>
            <w:gridSpan w:val="2"/>
          </w:tcPr>
          <w:p>
            <w:pPr>
              <w:jc w:val="right"/>
              <w:ind w:right="22"/>
              <w:spacing w:after="0"/>
              <w:rPr>
                <w:sz w:val="20"/>
                <w:szCs w:val="20"/>
                <w:color w:val="auto"/>
              </w:rPr>
            </w:pPr>
            <w:r>
              <w:rPr>
                <w:rFonts w:ascii="Arial" w:cs="Arial" w:eastAsia="Arial" w:hAnsi="Arial"/>
                <w:sz w:val="18"/>
                <w:szCs w:val="18"/>
                <w:color w:val="auto"/>
                <w:w w:val="97"/>
              </w:rPr>
              <w:t>12.1**</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w w:val="91"/>
              </w:rPr>
              <w:t>Computation of Ratio of Earnings to Fixed Charges (incorporated by reference to Exhibit 12.1 to Weatherford Ireland’s Annual Report on</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10-K filed on February 16, 2016)</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w w:val="95"/>
              </w:rPr>
              <w:t>23.1*</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Latham &amp; Watkins LLP (included in its opinion filed as Exhibit 5.1)</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w w:val="95"/>
              </w:rPr>
              <w:t>23.2*</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Conyers Dill &amp; Pearman Limited (included in its opinion filed as Exhibit 5.2)</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w w:val="95"/>
              </w:rPr>
              <w:t>23.3*</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KPMG LLP</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w w:val="95"/>
              </w:rPr>
              <w:t>23.4*</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Consent of Matheson (included in its opinion filed as exhibit 5.3 hereto)</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22"/>
              <w:spacing w:after="0"/>
              <w:rPr>
                <w:sz w:val="20"/>
                <w:szCs w:val="20"/>
                <w:color w:val="auto"/>
              </w:rPr>
            </w:pPr>
            <w:r>
              <w:rPr>
                <w:rFonts w:ascii="Arial" w:cs="Arial" w:eastAsia="Arial" w:hAnsi="Arial"/>
                <w:sz w:val="18"/>
                <w:szCs w:val="18"/>
                <w:color w:val="auto"/>
                <w:w w:val="97"/>
              </w:rPr>
              <w:t>24.1**</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Power of Attorney for officers and directors of Weatherford International plc, an Irish public limited company</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22"/>
              <w:spacing w:after="0"/>
              <w:rPr>
                <w:sz w:val="20"/>
                <w:szCs w:val="20"/>
                <w:color w:val="auto"/>
              </w:rPr>
            </w:pPr>
            <w:r>
              <w:rPr>
                <w:rFonts w:ascii="Arial" w:cs="Arial" w:eastAsia="Arial" w:hAnsi="Arial"/>
                <w:sz w:val="18"/>
                <w:szCs w:val="18"/>
                <w:color w:val="auto"/>
                <w:w w:val="97"/>
              </w:rPr>
              <w:t>24.2**</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Power of Attorney for officers and directors of Weatherford International Ltd., a Bermuda exempted company</w:t>
            </w:r>
          </w:p>
        </w:tc>
        <w:tc>
          <w:tcPr>
            <w:tcW w:w="0" w:type="dxa"/>
            <w:vAlign w:val="bottom"/>
          </w:tcPr>
          <w:p>
            <w:pPr>
              <w:spacing w:after="0"/>
              <w:rPr>
                <w:sz w:val="1"/>
                <w:szCs w:val="1"/>
                <w:color w:val="auto"/>
              </w:rPr>
            </w:pPr>
          </w:p>
        </w:tc>
      </w:tr>
      <w:tr>
        <w:trPr>
          <w:trHeight w:val="324"/>
        </w:trPr>
        <w:tc>
          <w:tcPr>
            <w:tcW w:w="600" w:type="dxa"/>
            <w:vAlign w:val="bottom"/>
            <w:gridSpan w:val="2"/>
          </w:tcPr>
          <w:p>
            <w:pPr>
              <w:jc w:val="right"/>
              <w:ind w:right="22"/>
              <w:spacing w:after="0"/>
              <w:rPr>
                <w:sz w:val="20"/>
                <w:szCs w:val="20"/>
                <w:color w:val="auto"/>
              </w:rPr>
            </w:pPr>
            <w:r>
              <w:rPr>
                <w:rFonts w:ascii="Arial" w:cs="Arial" w:eastAsia="Arial" w:hAnsi="Arial"/>
                <w:sz w:val="18"/>
                <w:szCs w:val="18"/>
                <w:color w:val="auto"/>
                <w:w w:val="97"/>
              </w:rPr>
              <w:t>25.1**</w:t>
            </w:r>
          </w:p>
        </w:tc>
        <w:tc>
          <w:tcPr>
            <w:tcW w:w="84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Form T-1 Statement of Eligibility under the Trust Indenture Act of 1939 of Deutsche Bank Trust Company Americas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previously.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7"/>
          <w:szCs w:val="17"/>
          <w:color w:val="auto"/>
        </w:rPr>
        <w:t>***   To be filed by amendment or as an exhibit to a document to be incorporated by reference herein in connection with the issuance of the securities.</w:t>
      </w:r>
    </w:p>
    <w:p>
      <w:pPr>
        <w:sectPr>
          <w:pgSz w:w="11900" w:h="16838" w:orient="portrait"/>
          <w:cols w:equalWidth="0" w:num="1">
            <w:col w:w="11400"/>
          </w:cols>
          <w:pgMar w:left="240" w:top="459" w:right="2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766445</wp:posOffset>
            </wp:positionV>
            <wp:extent cx="2058035" cy="240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205803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Weatherford International plc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Weatherford International Ltd.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Weatherford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811 Main Street, Suite 3700</w:t>
      </w:r>
    </w:p>
    <w:p>
      <w:pPr>
        <w:spacing w:after="0" w:line="221" w:lineRule="auto"/>
        <w:rPr>
          <w:sz w:val="20"/>
          <w:szCs w:val="20"/>
          <w:color w:val="auto"/>
        </w:rPr>
      </w:pPr>
      <w:r>
        <w:rPr>
          <w:rFonts w:ascii="Arial" w:cs="Arial" w:eastAsia="Arial" w:hAnsi="Arial"/>
          <w:sz w:val="14"/>
          <w:szCs w:val="14"/>
          <w:color w:val="auto"/>
        </w:rPr>
        <w:t>Houston, TX 77002</w:t>
      </w:r>
    </w:p>
    <w:p>
      <w:pPr>
        <w:spacing w:after="0" w:line="221" w:lineRule="auto"/>
        <w:rPr>
          <w:sz w:val="20"/>
          <w:szCs w:val="20"/>
          <w:color w:val="auto"/>
        </w:rPr>
      </w:pPr>
      <w:r>
        <w:rPr>
          <w:rFonts w:ascii="Arial" w:cs="Arial" w:eastAsia="Arial" w:hAnsi="Arial"/>
          <w:sz w:val="14"/>
          <w:szCs w:val="14"/>
          <w:color w:val="auto"/>
        </w:rPr>
        <w:t>Tel: +1.713.546.5400 Fax: +1.713.546.5401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www.lw.com</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FIRM / AFFILIATE OFFICES</w:t>
      </w:r>
    </w:p>
    <w:tbl>
      <w:tblPr>
        <w:tblLayout w:type="fixed"/>
        <w:tblInd w:w="0" w:type="dxa"/>
        <w:tblCellMar>
          <w:top w:w="0" w:type="dxa"/>
          <w:left w:w="0" w:type="dxa"/>
          <w:bottom w:w="0" w:type="dxa"/>
          <w:right w:w="0" w:type="dxa"/>
        </w:tblCellMar>
      </w:tblPr>
      <w:tr>
        <w:trPr>
          <w:trHeight w:val="137"/>
        </w:trPr>
        <w:tc>
          <w:tcPr>
            <w:tcW w:w="820" w:type="dxa"/>
            <w:vAlign w:val="bottom"/>
          </w:tcPr>
          <w:p>
            <w:pPr>
              <w:spacing w:after="0" w:line="137" w:lineRule="exact"/>
              <w:rPr>
                <w:sz w:val="20"/>
                <w:szCs w:val="20"/>
                <w:color w:val="auto"/>
              </w:rPr>
            </w:pPr>
            <w:r>
              <w:rPr>
                <w:rFonts w:ascii="Arial" w:cs="Arial" w:eastAsia="Arial" w:hAnsi="Arial"/>
                <w:sz w:val="14"/>
                <w:szCs w:val="14"/>
                <w:color w:val="auto"/>
              </w:rPr>
              <w:t>Barcelona</w:t>
            </w:r>
          </w:p>
        </w:tc>
        <w:tc>
          <w:tcPr>
            <w:tcW w:w="1120" w:type="dxa"/>
            <w:vAlign w:val="bottom"/>
          </w:tcPr>
          <w:p>
            <w:pPr>
              <w:ind w:left="100"/>
              <w:spacing w:after="0" w:line="137" w:lineRule="exact"/>
              <w:rPr>
                <w:sz w:val="20"/>
                <w:szCs w:val="20"/>
                <w:color w:val="auto"/>
              </w:rPr>
            </w:pPr>
            <w:r>
              <w:rPr>
                <w:rFonts w:ascii="Arial" w:cs="Arial" w:eastAsia="Arial" w:hAnsi="Arial"/>
                <w:sz w:val="14"/>
                <w:szCs w:val="14"/>
                <w:color w:val="auto"/>
              </w:rPr>
              <w:t>Moscow</w:t>
            </w:r>
          </w:p>
        </w:tc>
        <w:tc>
          <w:tcPr>
            <w:tcW w:w="0" w:type="dxa"/>
            <w:vAlign w:val="bottom"/>
          </w:tcPr>
          <w:p>
            <w:pPr>
              <w:spacing w:after="0"/>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rPr>
              <w:t>Beijing</w:t>
            </w: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Munich</w:t>
            </w:r>
          </w:p>
        </w:tc>
        <w:tc>
          <w:tcPr>
            <w:tcW w:w="0" w:type="dxa"/>
            <w:vAlign w:val="bottom"/>
          </w:tcPr>
          <w:p>
            <w:pPr>
              <w:spacing w:after="0"/>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rPr>
              <w:t>Boston</w:t>
            </w: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New Jersey</w:t>
            </w:r>
          </w:p>
        </w:tc>
        <w:tc>
          <w:tcPr>
            <w:tcW w:w="0" w:type="dxa"/>
            <w:vAlign w:val="bottom"/>
          </w:tcPr>
          <w:p>
            <w:pPr>
              <w:spacing w:after="0"/>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rPr>
              <w:t>Brussels</w:t>
            </w: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New York</w:t>
            </w:r>
          </w:p>
        </w:tc>
        <w:tc>
          <w:tcPr>
            <w:tcW w:w="0" w:type="dxa"/>
            <w:vAlign w:val="bottom"/>
          </w:tcPr>
          <w:p>
            <w:pPr>
              <w:spacing w:after="0"/>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rPr>
              <w:t>Century City</w:t>
            </w: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Orange County</w:t>
            </w:r>
          </w:p>
        </w:tc>
        <w:tc>
          <w:tcPr>
            <w:tcW w:w="0" w:type="dxa"/>
            <w:vAlign w:val="bottom"/>
          </w:tcPr>
          <w:p>
            <w:pPr>
              <w:spacing w:after="0"/>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rPr>
              <w:t>Chicago</w:t>
            </w: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Paris</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20"/>
                <w:szCs w:val="20"/>
                <w:color w:val="auto"/>
              </w:rPr>
            </w:pPr>
            <w:r>
              <w:rPr>
                <w:rFonts w:ascii="Arial" w:cs="Arial" w:eastAsia="Arial" w:hAnsi="Arial"/>
                <w:sz w:val="14"/>
                <w:szCs w:val="14"/>
                <w:color w:val="auto"/>
              </w:rPr>
              <w:t>Dubai</w:t>
            </w:r>
          </w:p>
        </w:tc>
        <w:tc>
          <w:tcPr>
            <w:tcW w:w="1120" w:type="dxa"/>
            <w:vAlign w:val="bottom"/>
            <w:vMerge w:val="restart"/>
          </w:tcPr>
          <w:p>
            <w:pPr>
              <w:ind w:left="100"/>
              <w:spacing w:after="0"/>
              <w:rPr>
                <w:sz w:val="20"/>
                <w:szCs w:val="20"/>
                <w:color w:val="auto"/>
              </w:rPr>
            </w:pPr>
            <w:r>
              <w:rPr>
                <w:rFonts w:ascii="Arial" w:cs="Arial" w:eastAsia="Arial" w:hAnsi="Arial"/>
                <w:sz w:val="14"/>
                <w:szCs w:val="14"/>
                <w:color w:val="auto"/>
              </w:rPr>
              <w:t>Riyadh</w:t>
            </w:r>
          </w:p>
        </w:tc>
        <w:tc>
          <w:tcPr>
            <w:tcW w:w="0" w:type="dxa"/>
            <w:vAlign w:val="bottom"/>
          </w:tcPr>
          <w:p>
            <w:pPr>
              <w:spacing w:after="0"/>
              <w:rPr>
                <w:sz w:val="1"/>
                <w:szCs w:val="1"/>
                <w:color w:val="auto"/>
              </w:rPr>
            </w:pPr>
          </w:p>
        </w:tc>
      </w:tr>
      <w:tr>
        <w:trPr>
          <w:trHeight w:val="34"/>
        </w:trPr>
        <w:tc>
          <w:tcPr>
            <w:tcW w:w="8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rPr>
              <w:t>Düsseldorf</w:t>
            </w: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Rome</w:t>
            </w:r>
          </w:p>
        </w:tc>
        <w:tc>
          <w:tcPr>
            <w:tcW w:w="0" w:type="dxa"/>
            <w:vAlign w:val="bottom"/>
          </w:tcPr>
          <w:p>
            <w:pPr>
              <w:spacing w:after="0"/>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rPr>
              <w:t>Frankfurt</w:t>
            </w: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San Diego</w:t>
            </w:r>
          </w:p>
        </w:tc>
        <w:tc>
          <w:tcPr>
            <w:tcW w:w="0" w:type="dxa"/>
            <w:vAlign w:val="bottom"/>
          </w:tcPr>
          <w:p>
            <w:pPr>
              <w:spacing w:after="0"/>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rPr>
              <w:t>Hamburg</w:t>
            </w: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San Francisco</w:t>
            </w:r>
          </w:p>
        </w:tc>
        <w:tc>
          <w:tcPr>
            <w:tcW w:w="0" w:type="dxa"/>
            <w:vAlign w:val="bottom"/>
          </w:tcPr>
          <w:p>
            <w:pPr>
              <w:spacing w:after="0"/>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rPr>
              <w:t>Hong Kong</w:t>
            </w: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Shanghai</w:t>
            </w:r>
          </w:p>
        </w:tc>
        <w:tc>
          <w:tcPr>
            <w:tcW w:w="0" w:type="dxa"/>
            <w:vAlign w:val="bottom"/>
          </w:tcPr>
          <w:p>
            <w:pPr>
              <w:spacing w:after="0"/>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rPr>
              <w:t>Houston</w:t>
            </w: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Silicon Valley</w:t>
            </w:r>
          </w:p>
        </w:tc>
        <w:tc>
          <w:tcPr>
            <w:tcW w:w="0" w:type="dxa"/>
            <w:vAlign w:val="bottom"/>
          </w:tcPr>
          <w:p>
            <w:pPr>
              <w:spacing w:after="0"/>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rPr>
              <w:t>London</w:t>
            </w: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Singapore</w:t>
            </w:r>
          </w:p>
        </w:tc>
        <w:tc>
          <w:tcPr>
            <w:tcW w:w="0" w:type="dxa"/>
            <w:vAlign w:val="bottom"/>
          </w:tcPr>
          <w:p>
            <w:pPr>
              <w:spacing w:after="0"/>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rPr>
              <w:t>Los Angeles</w:t>
            </w: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rPr>
              <w:t>Tokyo</w:t>
            </w:r>
          </w:p>
        </w:tc>
        <w:tc>
          <w:tcPr>
            <w:tcW w:w="0" w:type="dxa"/>
            <w:vAlign w:val="bottom"/>
          </w:tcPr>
          <w:p>
            <w:pPr>
              <w:spacing w:after="0"/>
              <w:rPr>
                <w:sz w:val="1"/>
                <w:szCs w:val="1"/>
                <w:color w:val="auto"/>
              </w:rPr>
            </w:pPr>
          </w:p>
        </w:tc>
      </w:tr>
      <w:tr>
        <w:trPr>
          <w:trHeight w:val="149"/>
        </w:trPr>
        <w:tc>
          <w:tcPr>
            <w:tcW w:w="820" w:type="dxa"/>
            <w:vAlign w:val="bottom"/>
          </w:tcPr>
          <w:p>
            <w:pPr>
              <w:spacing w:after="0" w:line="149" w:lineRule="exact"/>
              <w:rPr>
                <w:sz w:val="20"/>
                <w:szCs w:val="20"/>
                <w:color w:val="auto"/>
              </w:rPr>
            </w:pPr>
            <w:r>
              <w:rPr>
                <w:rFonts w:ascii="Arial" w:cs="Arial" w:eastAsia="Arial" w:hAnsi="Arial"/>
                <w:sz w:val="14"/>
                <w:szCs w:val="14"/>
                <w:color w:val="auto"/>
              </w:rPr>
              <w:t>Madrid</w:t>
            </w:r>
          </w:p>
        </w:tc>
        <w:tc>
          <w:tcPr>
            <w:tcW w:w="1120" w:type="dxa"/>
            <w:vAlign w:val="bottom"/>
          </w:tcPr>
          <w:p>
            <w:pPr>
              <w:ind w:left="100"/>
              <w:spacing w:after="0" w:line="149" w:lineRule="exact"/>
              <w:rPr>
                <w:sz w:val="20"/>
                <w:szCs w:val="20"/>
                <w:color w:val="auto"/>
              </w:rPr>
            </w:pPr>
            <w:r>
              <w:rPr>
                <w:rFonts w:ascii="Arial" w:cs="Arial" w:eastAsia="Arial" w:hAnsi="Arial"/>
                <w:sz w:val="14"/>
                <w:szCs w:val="14"/>
                <w:color w:val="auto"/>
                <w:w w:val="91"/>
              </w:rPr>
              <w:t>Washington, D.C.</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20"/>
                <w:szCs w:val="20"/>
                <w:color w:val="auto"/>
              </w:rPr>
            </w:pPr>
            <w:r>
              <w:rPr>
                <w:rFonts w:ascii="Arial" w:cs="Arial" w:eastAsia="Arial" w:hAnsi="Arial"/>
                <w:sz w:val="14"/>
                <w:szCs w:val="14"/>
                <w:color w:val="auto"/>
              </w:rPr>
              <w:t>Milan</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72" w:lineRule="exact"/>
        <w:rPr>
          <w:sz w:val="20"/>
          <w:szCs w:val="20"/>
          <w:color w:val="auto"/>
        </w:rPr>
      </w:pPr>
    </w:p>
    <w:p>
      <w:pPr>
        <w:sectPr>
          <w:pgSz w:w="11900" w:h="16838" w:orient="portrait"/>
          <w:cols w:equalWidth="0" w:num="2">
            <w:col w:w="7640" w:space="720"/>
            <w:col w:w="3060"/>
          </w:cols>
          <w:pgMar w:left="240" w:top="121" w:right="239" w:bottom="1440" w:gutter="0" w:footer="0" w:header="0"/>
        </w:sectPr>
      </w:pPr>
    </w:p>
    <w:p>
      <w:pPr>
        <w:spacing w:after="0" w:line="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S-3 (No. 333-194431)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special counsel to Weatherford International plc, a public limited company incorporated under the laws of Ireland (“</w:t>
      </w:r>
      <w:r>
        <w:rPr>
          <w:rFonts w:ascii="Arial" w:cs="Arial" w:eastAsia="Arial" w:hAnsi="Arial"/>
          <w:sz w:val="16"/>
          <w:szCs w:val="16"/>
          <w:b w:val="1"/>
          <w:bCs w:val="1"/>
          <w:i w:val="1"/>
          <w:iCs w:val="1"/>
          <w:color w:val="auto"/>
        </w:rPr>
        <w:t>Weatherford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Ireland</w:t>
      </w:r>
      <w:r>
        <w:rPr>
          <w:rFonts w:ascii="Arial" w:cs="Arial" w:eastAsia="Arial" w:hAnsi="Arial"/>
          <w:sz w:val="17"/>
          <w:szCs w:val="17"/>
          <w:color w:val="auto"/>
        </w:rPr>
        <w:t>”), Weatherford International Ltd., a Bermuda exempted company (“</w:t>
      </w:r>
      <w:r>
        <w:rPr>
          <w:rFonts w:ascii="Arial" w:cs="Arial" w:eastAsia="Arial" w:hAnsi="Arial"/>
          <w:sz w:val="17"/>
          <w:szCs w:val="17"/>
          <w:b w:val="1"/>
          <w:bCs w:val="1"/>
          <w:i w:val="1"/>
          <w:iCs w:val="1"/>
          <w:color w:val="auto"/>
        </w:rPr>
        <w:t>Weatherford Bermuda</w:t>
      </w:r>
      <w:r>
        <w:rPr>
          <w:rFonts w:ascii="Arial" w:cs="Arial" w:eastAsia="Arial" w:hAnsi="Arial"/>
          <w:sz w:val="17"/>
          <w:szCs w:val="17"/>
          <w:color w:val="auto"/>
        </w:rPr>
        <w:t>”), and Weatherford International, LLC, a Delaware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w:t>
      </w:r>
      <w:r>
        <w:rPr>
          <w:rFonts w:ascii="Arial" w:cs="Arial" w:eastAsia="Arial" w:hAnsi="Arial"/>
          <w:sz w:val="16"/>
          <w:szCs w:val="16"/>
          <w:b w:val="1"/>
          <w:bCs w:val="1"/>
          <w:i w:val="1"/>
          <w:iCs w:val="1"/>
          <w:color w:val="auto"/>
        </w:rPr>
        <w:t>Weatherford Delaware</w:t>
      </w:r>
      <w:r>
        <w:rPr>
          <w:rFonts w:ascii="Arial" w:cs="Arial" w:eastAsia="Arial" w:hAnsi="Arial"/>
          <w:sz w:val="16"/>
          <w:szCs w:val="16"/>
          <w:color w:val="auto"/>
        </w:rPr>
        <w:t>” and, together with Weatherford Ireland and Weatherford Bermuda, the “</w:t>
      </w:r>
      <w:r>
        <w:rPr>
          <w:rFonts w:ascii="Arial" w:cs="Arial" w:eastAsia="Arial" w:hAnsi="Arial"/>
          <w:sz w:val="16"/>
          <w:szCs w:val="16"/>
          <w:b w:val="1"/>
          <w:bCs w:val="1"/>
          <w:i w:val="1"/>
          <w:iCs w:val="1"/>
          <w:color w:val="auto"/>
        </w:rPr>
        <w:t>Companies</w:t>
      </w:r>
      <w:r>
        <w:rPr>
          <w:rFonts w:ascii="Arial" w:cs="Arial" w:eastAsia="Arial" w:hAnsi="Arial"/>
          <w:sz w:val="16"/>
          <w:szCs w:val="16"/>
          <w:color w:val="auto"/>
        </w:rPr>
        <w:t>”),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filing on the date hereof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of a post-effective amendment no. 2 to the registration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 on Form S-3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including a base prospectus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which provides that it will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supplemented by one or more prospectus supplements (each such prospectus supplement, together with the Base Prospectus, a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The Registration Statement relates to, among other things, the issuance and sale from time to time, pursuant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Rule 415 of the General Rules and Regulations promulgated under the Act, of an indeterminate number of: (i) debt securities of Weatherford Bermuda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Bermuda Debt Securities</w:t>
      </w:r>
      <w:r>
        <w:rPr>
          <w:rFonts w:ascii="Arial" w:cs="Arial" w:eastAsia="Arial" w:hAnsi="Arial"/>
          <w:sz w:val="16"/>
          <w:szCs w:val="16"/>
          <w:color w:val="auto"/>
        </w:rPr>
        <w:t>”); (ii) debt securities of Weatherford Delaware (“</w:t>
      </w:r>
      <w:r>
        <w:rPr>
          <w:rFonts w:ascii="Arial" w:cs="Arial" w:eastAsia="Arial" w:hAnsi="Arial"/>
          <w:sz w:val="16"/>
          <w:szCs w:val="16"/>
          <w:b w:val="1"/>
          <w:bCs w:val="1"/>
          <w:i w:val="1"/>
          <w:iCs w:val="1"/>
          <w:color w:val="auto"/>
        </w:rPr>
        <w:t>Delaware Debt Securities</w:t>
      </w:r>
      <w:r>
        <w:rPr>
          <w:rFonts w:ascii="Arial" w:cs="Arial" w:eastAsia="Arial" w:hAnsi="Arial"/>
          <w:sz w:val="16"/>
          <w:szCs w:val="16"/>
          <w:color w:val="auto"/>
        </w:rPr>
        <w:t>” and, together with the Bermuda Debt Securities,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Debt Securities</w:t>
      </w:r>
      <w:r>
        <w:rPr>
          <w:rFonts w:ascii="Arial" w:cs="Arial" w:eastAsia="Arial" w:hAnsi="Arial"/>
          <w:sz w:val="16"/>
          <w:szCs w:val="16"/>
          <w:color w:val="auto"/>
        </w:rPr>
        <w:t>”); and (iii) guarantees of the Debt Securities by Weatherford Ireland, Weatherford Bermuda and/or Weatherford Delaware (collectively,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Guarantees</w:t>
      </w:r>
      <w:r>
        <w:rPr>
          <w:rFonts w:ascii="Arial" w:cs="Arial" w:eastAsia="Arial" w:hAnsi="Arial"/>
          <w:sz w:val="16"/>
          <w:szCs w:val="16"/>
          <w:color w:val="auto"/>
        </w:rPr>
        <w:t>”). The Debt Securities and Guarantees are collectively referred to herein as the “</w:t>
      </w:r>
      <w:r>
        <w:rPr>
          <w:rFonts w:ascii="Arial" w:cs="Arial" w:eastAsia="Arial" w:hAnsi="Arial"/>
          <w:sz w:val="16"/>
          <w:szCs w:val="16"/>
          <w:b w:val="1"/>
          <w:bCs w:val="1"/>
          <w:i w:val="1"/>
          <w:iCs w:val="1"/>
          <w:color w:val="auto"/>
        </w:rPr>
        <w:t>Offered Securities</w:t>
      </w:r>
      <w:r>
        <w:rPr>
          <w:rFonts w:ascii="Arial" w:cs="Arial" w:eastAsia="Arial" w:hAnsi="Arial"/>
          <w:sz w:val="16"/>
          <w:szCs w:val="16"/>
          <w:color w:val="auto"/>
        </w:rPr>
        <w:t>.” The Offered Securities will be issued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(i) the Indenture, dated October 1, 2003, as supplemented (the “</w:t>
      </w:r>
      <w:r>
        <w:rPr>
          <w:rFonts w:ascii="Arial" w:cs="Arial" w:eastAsia="Arial" w:hAnsi="Arial"/>
          <w:sz w:val="17"/>
          <w:szCs w:val="17"/>
          <w:b w:val="1"/>
          <w:bCs w:val="1"/>
          <w:i w:val="1"/>
          <w:iCs w:val="1"/>
          <w:color w:val="auto"/>
        </w:rPr>
        <w:t>2003 Indenture</w:t>
      </w:r>
      <w:r>
        <w:rPr>
          <w:rFonts w:ascii="Arial" w:cs="Arial" w:eastAsia="Arial" w:hAnsi="Arial"/>
          <w:sz w:val="17"/>
          <w:szCs w:val="17"/>
          <w:color w:val="auto"/>
        </w:rPr>
        <w:t>”), among the Companies and Deutsche Bank Trust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Americas,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or (ii) the Indenture, dated June 18,</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November 16,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440815" cy="2317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08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2007, as supplemented (the “</w:t>
      </w:r>
      <w:r>
        <w:rPr>
          <w:rFonts w:ascii="Arial" w:cs="Arial" w:eastAsia="Arial" w:hAnsi="Arial"/>
          <w:sz w:val="16"/>
          <w:szCs w:val="16"/>
          <w:b w:val="1"/>
          <w:bCs w:val="1"/>
          <w:i w:val="1"/>
          <w:iCs w:val="1"/>
          <w:color w:val="auto"/>
        </w:rPr>
        <w:t>2007 Indenture</w:t>
      </w:r>
      <w:r>
        <w:rPr>
          <w:rFonts w:ascii="Arial" w:cs="Arial" w:eastAsia="Arial" w:hAnsi="Arial"/>
          <w:sz w:val="16"/>
          <w:szCs w:val="16"/>
          <w:color w:val="auto"/>
        </w:rPr>
        <w:t>” and, together with the 2003 Indenture, the “</w:t>
      </w:r>
      <w:r>
        <w:rPr>
          <w:rFonts w:ascii="Arial" w:cs="Arial" w:eastAsia="Arial" w:hAnsi="Arial"/>
          <w:sz w:val="16"/>
          <w:szCs w:val="16"/>
          <w:b w:val="1"/>
          <w:bCs w:val="1"/>
          <w:i w:val="1"/>
          <w:iCs w:val="1"/>
          <w:color w:val="auto"/>
        </w:rPr>
        <w:t>Indentures</w:t>
      </w:r>
      <w:r>
        <w:rPr>
          <w:rFonts w:ascii="Arial" w:cs="Arial" w:eastAsia="Arial" w:hAnsi="Arial"/>
          <w:sz w:val="16"/>
          <w:szCs w:val="16"/>
          <w:color w:val="auto"/>
        </w:rPr>
        <w:t>”), among the Companies and the Trustee, as such Indentures may hereafter be supplemented from time to time, among other things at the time of and in connection with the issuance of the Offered Securities.</w:t>
      </w:r>
    </w:p>
    <w:p>
      <w:pPr>
        <w:spacing w:after="0" w:line="124"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Offered Securities.</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Companies and others as to factual matters without having independently verified such factual matters. We are opining herein as to the internal laws of the State of New York, and we express no opinion with respect to the applicability thereto, or the effect thereon, of the laws of any other jurisdiction or as to any matters of municipal law or the laws of any local agencies within any state. Various matters concerning the laws of Ireland and Bermuda with respect to the Offered Securities are addressed in opinions provided by other counsel. We express no opinion with respect to those matters herein, and, to the extent such matters are necessary to the conclusions expressed herein, we have, with your consent, assumed such matters.</w:t>
      </w:r>
    </w:p>
    <w:p>
      <w:pPr>
        <w:spacing w:after="0" w:line="18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Based upon and subject to the foregoing, we are of the opinion that, with respect to any series of the Debt Securities to be offered by Weatherford Bermuda or Weatherford Delaware (the “</w:t>
      </w:r>
      <w:r>
        <w:rPr>
          <w:rFonts w:ascii="Arial" w:cs="Arial" w:eastAsia="Arial" w:hAnsi="Arial"/>
          <w:sz w:val="17"/>
          <w:szCs w:val="17"/>
          <w:b w:val="1"/>
          <w:bCs w:val="1"/>
          <w:i w:val="1"/>
          <w:iCs w:val="1"/>
          <w:color w:val="auto"/>
        </w:rPr>
        <w:t>Offered Debt Securities</w:t>
      </w:r>
      <w:r>
        <w:rPr>
          <w:rFonts w:ascii="Arial" w:cs="Arial" w:eastAsia="Arial" w:hAnsi="Arial"/>
          <w:sz w:val="17"/>
          <w:szCs w:val="17"/>
          <w:color w:val="auto"/>
        </w:rPr>
        <w:t>”) and any Guarantees of the Offered Debt Securities to be offered by Weatherford Ireland, Weatherford Bermuda or Weatherford Delaware (the “</w:t>
      </w:r>
      <w:r>
        <w:rPr>
          <w:rFonts w:ascii="Arial" w:cs="Arial" w:eastAsia="Arial" w:hAnsi="Arial"/>
          <w:sz w:val="17"/>
          <w:szCs w:val="17"/>
          <w:b w:val="1"/>
          <w:bCs w:val="1"/>
          <w:i w:val="1"/>
          <w:iCs w:val="1"/>
          <w:color w:val="auto"/>
        </w:rPr>
        <w:t>Offered Guarantees</w:t>
      </w:r>
      <w:r>
        <w:rPr>
          <w:rFonts w:ascii="Arial" w:cs="Arial" w:eastAsia="Arial" w:hAnsi="Arial"/>
          <w:sz w:val="17"/>
          <w:szCs w:val="17"/>
          <w:color w:val="auto"/>
        </w:rPr>
        <w:t>”) pursuant to the Registration Statement, when (i) the terms of the Offered Debt Securities and the Offered Guarantees and of their issuance and sale have been duly established in conformity with the applicable Indenture, (ii) the Offered Debt Securities and the Offered Guarantees have been offered and sold in accordance with the applicable Indenture, the Registration Statement, including the prospectus supplement related thereto, and, if in an underwritten offering, a valid and binding purchase, underwriting or agency agreement, and (iii) the applicable supplemental indenture relating to the Offered Debt Securities and the Offered Guarantees has been duly executed and delivered by each party thereto and the Offered Debt Securities and the Offered Guarantees have been duly executed and authenticated in accordance with the provisions of the applicable Indenture (including the applicable supplemental indenture) and duly delivered to the purchasers thereof upon payment of the agreed-upon consideration therefor, the Offered Debt Securities (including any Debt Securities or Guarantees duly issued upon conversion, exchange or exercise of any Debt Securities) and the Offered Guarantees will be the legally valid and binding obligations of, as applicable, Weatherford Ireland, Weatherford Bermuda and Weatherford Delaware, enforceable against each of Weatherford Ireland, Weatherford Bermuda and Weatherford Delaware, as applicable, in accordance with their terms.</w:t>
      </w:r>
    </w:p>
    <w:p>
      <w:pPr>
        <w:spacing w:after="0" w:line="18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opinion is subject to: (i) the effect of bankruptcy, insolvency, reorganization, preference, fraudulent transfer, moratorium or other similar laws relating to or affecting the</w:t>
      </w:r>
    </w:p>
    <w:p>
      <w:pPr>
        <w:sectPr>
          <w:pgSz w:w="11900" w:h="16838" w:orient="portrait"/>
          <w:cols w:equalWidth="0" w:num="1">
            <w:col w:w="11340"/>
          </w:cols>
          <w:pgMar w:left="240" w:top="270" w:right="3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November 16,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440815" cy="2317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408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prepayment or make-whole premiums or other economic remedies to the extent such provisions are deemed to constitute a penalty, (b) consents to, or restrictions upon, governing law, jurisdiction, venue, arbitration, remedies, or judicial relief, (c) the waiver of rights or defenses; (d) any provision requiring the payment of attorneys’ fees, where such payment is contrary to law or public policy; (e) any provision permitting, upon acceleration of any indebtedness, collection of that portion of the stated principal amount thereof which might be determined to constitute unearned interest thereon; (f) provisions purporting to waive modifications of any guaranteed obligation to the extent such modification constitutes a novation; (g) provisions purporting to make a guarantor primarily liable rather than as a surety; (h) advance waivers of claims, defenses, rights granted by law, or notice, opportunity for hearing, evidentiary requirements, statutes of limitation, trial by jury or at law, or other procedural rights; (i) waivers of broadly or vaguely stated rights; (j) provisions for exclusivity, election or cumulation of rights or remedies; (k) provisions authorizing or validating conclusive or discretionary determinations; (l) grants of setoff rights; (m) proxies, powers and trusts;</w:t>
      </w:r>
    </w:p>
    <w:p>
      <w:pPr>
        <w:spacing w:after="0" w:line="3" w:lineRule="exact"/>
        <w:rPr>
          <w:sz w:val="20"/>
          <w:szCs w:val="20"/>
          <w:color w:val="auto"/>
        </w:rPr>
      </w:pPr>
    </w:p>
    <w:p>
      <w:pPr>
        <w:ind w:right="40" w:firstLine="8"/>
        <w:spacing w:after="0" w:line="261"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prohibiting, restricting, or requiring consent to assignment or transfer of any right or property; and (o) the severability, if invalid, of provisions to the foregoing effect.</w:t>
      </w:r>
    </w:p>
    <w:p>
      <w:pPr>
        <w:spacing w:after="0" w:line="18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With your consent, we have assumed (a) that each of the Indentures (including any supplemental indenture thereto) and the Debt Securities and the Guarantees (collectively, the “</w:t>
      </w:r>
      <w:r>
        <w:rPr>
          <w:rFonts w:ascii="Arial" w:cs="Arial" w:eastAsia="Arial" w:hAnsi="Arial"/>
          <w:sz w:val="17"/>
          <w:szCs w:val="17"/>
          <w:b w:val="1"/>
          <w:bCs w:val="1"/>
          <w:i w:val="1"/>
          <w:iCs w:val="1"/>
          <w:color w:val="auto"/>
        </w:rPr>
        <w:t>Documents</w:t>
      </w:r>
      <w:r>
        <w:rPr>
          <w:rFonts w:ascii="Arial" w:cs="Arial" w:eastAsia="Arial" w:hAnsi="Arial"/>
          <w:sz w:val="17"/>
          <w:szCs w:val="17"/>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Companies,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ectPr>
          <w:pgSz w:w="11900" w:h="16838" w:orient="portrait"/>
          <w:cols w:equalWidth="0" w:num="1">
            <w:col w:w="11340"/>
          </w:cols>
          <w:pgMar w:left="240" w:top="270" w:right="31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November 16,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440815" cy="231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081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280"/>
          </w:cols>
          <w:pgMar w:left="240" w:top="270" w:right="3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16 November 2016</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Matter No.: 327684</w:t>
      </w:r>
    </w:p>
    <w:p>
      <w:pPr>
        <w:jc w:val="right"/>
        <w:spacing w:after="0" w:line="221" w:lineRule="auto"/>
        <w:rPr>
          <w:sz w:val="20"/>
          <w:szCs w:val="20"/>
          <w:color w:val="auto"/>
        </w:rPr>
      </w:pPr>
      <w:r>
        <w:rPr>
          <w:rFonts w:ascii="Arial" w:cs="Arial" w:eastAsia="Arial" w:hAnsi="Arial"/>
          <w:sz w:val="14"/>
          <w:szCs w:val="14"/>
          <w:color w:val="auto"/>
        </w:rPr>
        <w:t>Doc Ref: legal11808205</w:t>
      </w:r>
    </w:p>
    <w:p>
      <w:pPr>
        <w:jc w:val="right"/>
        <w:spacing w:after="0" w:line="221" w:lineRule="auto"/>
        <w:rPr>
          <w:sz w:val="20"/>
          <w:szCs w:val="20"/>
          <w:color w:val="auto"/>
        </w:rPr>
      </w:pPr>
      <w:r>
        <w:rPr>
          <w:rFonts w:ascii="Arial" w:cs="Arial" w:eastAsia="Arial" w:hAnsi="Arial"/>
          <w:sz w:val="14"/>
          <w:szCs w:val="14"/>
          <w:color w:val="auto"/>
        </w:rPr>
        <w:t>Email: ciara.brady@conyersdill.com</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Tel: 441 278 7974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2000 St James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 U.S.A.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Weatherford International Ltd. (the “Company”)</w:t>
      </w:r>
    </w:p>
    <w:p>
      <w:pPr>
        <w:spacing w:after="0" w:line="22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 xml:space="preserve">We have acted as special Bermuda legal counsel to the Company, a Bermuda exempted company, in connection with a post-effective amendment No. 2 to a registration statement on Form S-3 (Registration No. 33-194431-02) filed with the U.S. Securities and Exchange Commission (the “Commission”) on 16 November 2016 (the “Registration Statement”, which term does not include any other document or agreement whether or not specifically referred to therein or attached as an exhibit or schedule thereto) relating to the shelf registration under the U.S. Securities Act of 1933, as amended, (the “Securities Act”) of, </w:t>
      </w:r>
      <w:r>
        <w:rPr>
          <w:rFonts w:ascii="Arial" w:cs="Arial" w:eastAsia="Arial" w:hAnsi="Arial"/>
          <w:sz w:val="17"/>
          <w:szCs w:val="17"/>
          <w:i w:val="1"/>
          <w:iCs w:val="1"/>
          <w:color w:val="auto"/>
        </w:rPr>
        <w:t>inter alia</w:t>
      </w:r>
      <w:r>
        <w:rPr>
          <w:rFonts w:ascii="Arial" w:cs="Arial" w:eastAsia="Arial" w:hAnsi="Arial"/>
          <w:sz w:val="17"/>
          <w:szCs w:val="17"/>
          <w:color w:val="auto"/>
        </w:rPr>
        <w:t>, (i) senior debt securities of the Company (the “Company Debt Securities”) to be issued pursuant to an indenture dated October 1, 2003 (as</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originally among the Company, as issuer, Weatherford International, Inc. (“Weatherford Delaware”), a Delaware corporation, as guarantor, and Deutsche Bank Trust Company Americas (the “Trustee”), as trustee (the “2003 Indenture”, which term does not include any other document or agreement whether or not specifically referred to therein or attached as an exhibit or schedule thereto) and (ii) the guarantee by the Company (the “Guarantees”) of senior debt securities issued by Weatherford Delaware (the “Weatherford Delaware Debt Securities”, together with the Company Debt Securities, the “Debt Securities”; and the Debt Securities, together with the Guarantees, the “Securities”) pursuant to an indenture dated 18 June 2007 (as amended) originally among Weatherford Delaware, as issuer, the Company, as guarantor, and the Trustee (the “2007 Indenture”, which term does not include any other document or agreement whether or not specifically referred to therein or attached as an exhibit or schedule thereto, together with the 2003 Indenture, the “Indentures” and “Indenture” means either one of them).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purposes of giving this opinion, we have examined a copy of the Registration Statement, the 2003 Indenture and the 2007 Indenture.</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We have also reviewed the memorandum of association and the bye-laws of the Company (together, the “Constitutional Documents”) each certified by the Secretary of the Company on 16 November 2016, minutes of a meeting of the board of directors of the Company (the “Board”) held on 3 September 2003, minutes of a meeting of the Board held on 30 May 2007, minutes of a meeting of the Pricing Committee of the Board held on 13 June 2007, written resolutions of the sole director of the Company dated 6 March 2014 and minutes of a meeting of the Board held on 16 June 2014, each certified by the Secretary of the Company on 16 November 2016 (together, the “Resolutions”), and such other documents and made such enquiries as to questions of law as we have deemed necessary in order to render the opinion set forth below.</w:t>
      </w:r>
    </w:p>
    <w:p>
      <w:pPr>
        <w:spacing w:after="0" w:line="17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have assumed (a) the genuineness and authenticity of all signatures and the conformity to the originals of all copies (whether or not certified) examined by us and the authenticity and completeness of the originals from which such copies were taken, (b) that where a document has been examined by us in draft form, it will be or has been executed and/or filed in the form of that draft, and where a number of drafts of a document have been examined by us all changes thereto have been marked or otherwise drawn to our attention, (c) the accuracy and completeness of all factual representations made in the Registration Statement and other documents reviewed by us, (d) that the Resolutions were passed at one or more duly convened, constituted and quorate meetings, or by unanimous written resolutions, remain in full force and effect and have not been, and will not be, rescinded or amended, (e) that the Company will issue the Company Debt Securities and enter into any and all Guarantees, and that the Company has entered into the Indentures, in furtherance of its objects as set out in its memorandum of association, (f) that the Constitutional Documents will not be amended in any manner that would affect the opinions expressed herein,</w:t>
      </w:r>
    </w:p>
    <w:p>
      <w:pPr>
        <w:spacing w:after="0" w:line="1" w:lineRule="exact"/>
        <w:rPr>
          <w:sz w:val="20"/>
          <w:szCs w:val="20"/>
          <w:color w:val="auto"/>
        </w:rPr>
      </w:pPr>
    </w:p>
    <w:p>
      <w:pPr>
        <w:ind w:firstLine="8"/>
        <w:spacing w:after="0" w:line="281"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that there is no provision of the law of any jurisdiction, other than Bermuda, which would have any implication in relation to the opinions expressed herein, (h) that the consents given by the Bermuda Monetary Authority in its Notice to the Public dated 1 June 2005 will not have been revoked or amended at the time of issuance of any Company Debt Securities, (i) that the form and terms of any and all Securities, the issuance and sale of Securities by the Company and Weatherford Delaware and the Company’s incurrence and performance of its obligations thereunder or in respect thereof (including, without limitation, its obligations under any related agreement, the Indentures (including, without limitation, the Guarantees) and supplements to the Indentures) in accordance with the terms thereof will not violate or will not have violated the Constitutional Documents nor any applicable law, regulation, order or decree in Bermuda,</w:t>
      </w:r>
    </w:p>
    <w:p>
      <w:pPr>
        <w:spacing w:after="0" w:line="4" w:lineRule="exact"/>
        <w:rPr>
          <w:rFonts w:ascii="Arial" w:cs="Arial" w:eastAsia="Arial" w:hAnsi="Arial"/>
          <w:sz w:val="16"/>
          <w:szCs w:val="16"/>
          <w:color w:val="auto"/>
        </w:rPr>
      </w:pPr>
    </w:p>
    <w:p>
      <w:pPr>
        <w:ind w:right="60" w:firstLine="8"/>
        <w:spacing w:after="0" w:line="261"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all necessary corporate action has been or will have been taken to authorise and approve the Guarantees and any issuance of Debt Securities, the terms of the offering thereof and related matters, and that</w:t>
      </w:r>
    </w:p>
    <w:p>
      <w:pPr>
        <w:spacing w:after="0" w:line="116" w:lineRule="exact"/>
        <w:rPr>
          <w:rFonts w:ascii="Arial" w:cs="Arial" w:eastAsia="Arial" w:hAnsi="Arial"/>
          <w:sz w:val="18"/>
          <w:szCs w:val="18"/>
          <w:color w:val="auto"/>
        </w:rPr>
      </w:pPr>
    </w:p>
    <w:p>
      <w:pPr>
        <w:ind w:left="5660" w:hanging="96"/>
        <w:spacing w:after="0"/>
        <w:tabs>
          <w:tab w:leader="none" w:pos="5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420"/>
          </w:cols>
          <w:pgMar w:left="240" w:top="274" w:right="239" w:bottom="1440" w:gutter="0" w:footer="0" w:header="0"/>
        </w:sectPr>
      </w:pPr>
    </w:p>
    <w:bookmarkStart w:id="33" w:name="page34"/>
    <w:bookmarkEnd w:id="33"/>
    <w:p>
      <w:pPr>
        <w:jc w:val="both"/>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applicable definitive purchase, underwriting or similar agreement and, if any Debt Securities are to be issued, the applicable Indenture and any applicable supplements to the Indentures has been or will have been duly approved, executed and delivered by or on behalf of the Company and all other parties thereto,</w:t>
      </w:r>
    </w:p>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the applicable purchase, underwriting or similar agreement, the Debt Securities, the Indentures (including, without limitation, the Guarantees), any</w:t>
      </w:r>
    </w:p>
    <w:p>
      <w:pPr>
        <w:spacing w:after="0" w:line="32" w:lineRule="exact"/>
        <w:rPr>
          <w:rFonts w:ascii="Arial" w:cs="Arial" w:eastAsia="Arial" w:hAnsi="Arial"/>
          <w:sz w:val="16"/>
          <w:szCs w:val="16"/>
          <w:color w:val="auto"/>
        </w:rPr>
      </w:pPr>
    </w:p>
    <w:p>
      <w:pPr>
        <w:ind w:right="20"/>
        <w:spacing w:after="0" w:line="285" w:lineRule="auto"/>
        <w:rPr>
          <w:rFonts w:ascii="Arial" w:cs="Arial" w:eastAsia="Arial" w:hAnsi="Arial"/>
          <w:sz w:val="16"/>
          <w:szCs w:val="16"/>
          <w:color w:val="auto"/>
        </w:rPr>
      </w:pPr>
      <w:r>
        <w:rPr>
          <w:rFonts w:ascii="Arial" w:cs="Arial" w:eastAsia="Arial" w:hAnsi="Arial"/>
          <w:sz w:val="16"/>
          <w:szCs w:val="16"/>
          <w:color w:val="auto"/>
        </w:rPr>
        <w:t>supplements to the Indentures and any other agreement or other document relating to the Debt Securities and the Guarantees each are or will be valid, binding and enforceable in accordance with its terms pursuant to its governing law; (l) that the issuance, sale of and payment for the Debt Securities and the form of the Guarantees will be in accordance with the applicable purchase, underwriting or similar agreement duly approved by the Board, the Registration Statement (including the prospectus set forth therein and any applicable supplement or amendment thereto) and, if Debt Securities are to be issued, the applicable Indenture and any applicable supplements thereto, (m) that, upon the issue of any Debt Securities, the Company will receive consideration for the full issue price thereof and where the Debt Securities have been issued to a subsidiary of the Company, such consideration shall be from sources external to the Company and/or its subsidiaries, (n) that no Company Debt Securities will be convertible or exchangeable into shares in the capital of the Company, (o) that the Company will have complied, to the extent applicable, with the requirements of Part III of the Companies Act 1981, as amended, entitled “Prospectuses and Public Offers”, (p) the capacity, power and authority of each of the parties other than the Company to enter into and perform their obligations under any and all documents (including, without limitation, the Indentures and all supplements thereto) entered into by such parties in connection with the Guarantees and the issuance of the Debt Securities, and the due execution and delivery thereof by each party thereto, and (q) that none of the parties to such documents carries on business from premises in Bermuda, at which it employs staff and pays salaries and other expenses.</w:t>
      </w:r>
    </w:p>
    <w:p>
      <w:pPr>
        <w:spacing w:after="0" w:line="17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term “enforceable” as used in this opinion means that an obligation is of a type which the courts of Bermuda enforce. It does not mean that those obligations will be enforced in all circumstances in accordance with the terms of the Documents. In particular, the obligations of the Company in connection with any Security and any agreement or document relating thereto (a) will be subject to the laws from time to time in effect relating to bankruptcy, insolvency, liquidation, possessory liens, rights of set off, reorganisation, amalgamation, merger, moratorium or any other laws or legal procedures, whether of a similar nature or otherwise, generally affecting the rights of creditors as well as applicable international sanctions, (b) will be subject to statutory limitation of the time within which proceedings may be brought, (c) will be subject to general principles of equity and, as such, specific performance and injunctive relief, being equitable remedies, may not be available, (d) may not be given effect to by a Bermuda court if and to the extent they constitute the payment of an amount which is in the nature of a penalty and not in the nature of liquidated damages, and (e) may not be given effect by a Bermuda court to the extent that they are to be performed in a jurisdiction outside Bermuda and such performance would be illegal under the laws of that jurisdiction. Notwithstanding any contractual submission to the jurisdiction of specific courts, a Bermuda court has inherent discretion to stay or allow proceedings in the Bermuda courts.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00"/>
          </w:cols>
          <w:pgMar w:left="240" w:top="274" w:right="259" w:bottom="1440" w:gutter="0" w:footer="0" w:header="0"/>
        </w:sectPr>
      </w:pPr>
    </w:p>
    <w:bookmarkStart w:id="34" w:name="page35"/>
    <w:bookmarkEnd w:id="34"/>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the filing of the Registration Statement and in connection with the Guarantees and the issuance of the Company Debt Securities by the Company as described in the Registration Statement and is not to be relied upon in respect of any other matter.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and subject to the foregoing we are of the opinion that:</w:t>
      </w:r>
    </w:p>
    <w:p>
      <w:pPr>
        <w:spacing w:after="0" w:line="225" w:lineRule="exact"/>
        <w:rPr>
          <w:sz w:val="20"/>
          <w:szCs w:val="20"/>
          <w:color w:val="auto"/>
        </w:rPr>
      </w:pPr>
    </w:p>
    <w:p>
      <w:pPr>
        <w:ind w:right="60" w:firstLine="8"/>
        <w:spacing w:after="0" w:line="264"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is duly incorporated and existing under the laws of Bermuda in good standing (meaning solely that it has not failed to make any filing with any Bermuda governmental authority or to pay any Bermuda government fee or tax which would make it liable to be struck off the Register of Companies and thereby cease to exist under the laws of Bermuda).</w:t>
      </w:r>
    </w:p>
    <w:p>
      <w:pPr>
        <w:spacing w:after="0" w:line="181" w:lineRule="exact"/>
        <w:rPr>
          <w:rFonts w:ascii="Arial" w:cs="Arial" w:eastAsia="Arial" w:hAnsi="Arial"/>
          <w:sz w:val="18"/>
          <w:szCs w:val="18"/>
          <w:color w:val="auto"/>
        </w:rPr>
      </w:pPr>
    </w:p>
    <w:p>
      <w:pPr>
        <w:ind w:right="260" w:firstLine="8"/>
        <w:spacing w:after="0" w:line="277"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the due issuance of the Company Debt Securities and payment of the consideration therefor, such Company Debt Securities will constitute valid, binding and enforceable obligations of the Company in accordance with the terms thereof.</w:t>
      </w:r>
    </w:p>
    <w:p>
      <w:pPr>
        <w:spacing w:after="0" w:line="170" w:lineRule="exact"/>
        <w:rPr>
          <w:rFonts w:ascii="Arial" w:cs="Arial" w:eastAsia="Arial" w:hAnsi="Arial"/>
          <w:sz w:val="18"/>
          <w:szCs w:val="18"/>
          <w:color w:val="auto"/>
        </w:rPr>
      </w:pPr>
    </w:p>
    <w:p>
      <w:pPr>
        <w:ind w:right="460" w:firstLine="8"/>
        <w:spacing w:after="0" w:line="277" w:lineRule="auto"/>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the due execution and delivery of the Guarantees, the Guarantees will constitute valid, binding and enforceable obligations of the Company in accordance with the terms thereof.</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references to our firm under the caption “Legal Matters” in the prospectus forming a part of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Conyers Dill &amp; Pearman Limited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Conyers Dill &amp; Pearman Limited</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20"/>
          </w:cols>
          <w:pgMar w:left="240" w:top="274" w:right="339" w:bottom="1440" w:gutter="0" w:footer="0" w:header="0"/>
        </w:sectPr>
      </w:pPr>
    </w:p>
    <w:bookmarkStart w:id="35" w:name="page36"/>
    <w:bookmarkEnd w:id="35"/>
    <w:p>
      <w:pPr>
        <w:ind w:left="10580"/>
        <w:spacing w:after="0"/>
        <w:rPr>
          <w:sz w:val="20"/>
          <w:szCs w:val="20"/>
          <w:color w:val="auto"/>
        </w:rPr>
      </w:pPr>
      <w:r>
        <w:rPr>
          <w:rFonts w:ascii="Arial" w:cs="Arial" w:eastAsia="Arial" w:hAnsi="Arial"/>
          <w:sz w:val="16"/>
          <w:szCs w:val="16"/>
          <w:b w:val="1"/>
          <w:bCs w:val="1"/>
          <w:color w:val="auto"/>
        </w:rPr>
        <w:t>Exhibit 5.3</w:t>
      </w:r>
    </w:p>
    <w:p>
      <w:pPr>
        <w:spacing w:after="0" w:line="279"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Solicitors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-121920</wp:posOffset>
            </wp:positionV>
            <wp:extent cx="1697990" cy="1071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97990" cy="1071880"/>
                    </a:xfrm>
                    <a:prstGeom prst="rect">
                      <a:avLst/>
                    </a:prstGeom>
                    <a:noFill/>
                  </pic:spPr>
                </pic:pic>
              </a:graphicData>
            </a:graphic>
          </wp:anchor>
        </w:drawing>
      </w:r>
    </w:p>
    <w:p>
      <w:pPr>
        <w:spacing w:after="0" w:line="3"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70 Sri John Rogerson’s Quay</w:t>
      </w:r>
    </w:p>
    <w:p>
      <w:pPr>
        <w:spacing w:after="0" w:line="9"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Dublin 2 Ireland</w:t>
      </w:r>
    </w:p>
    <w:p>
      <w:pPr>
        <w:spacing w:after="0" w:line="9"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D02 R296</w:t>
      </w:r>
    </w:p>
    <w:p>
      <w:pPr>
        <w:spacing w:after="0" w:line="238"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T + 353 1 232 2000</w:t>
      </w:r>
    </w:p>
    <w:p>
      <w:pPr>
        <w:spacing w:after="0" w:line="23"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F + 353 1 232 3333</w:t>
      </w:r>
    </w:p>
    <w:p>
      <w:pPr>
        <w:spacing w:after="0" w:line="9"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W www.matheson.com</w:t>
      </w:r>
    </w:p>
    <w:p>
      <w:pPr>
        <w:spacing w:after="0" w:line="9"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DX 2 Dublin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Banhofstrasse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6340 Baar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ectPr>
          <w:pgSz w:w="11900" w:h="16838" w:orient="portrait"/>
          <w:cols w:equalWidth="0" w:num="1">
            <w:col w:w="11420"/>
          </w:cols>
          <w:pgMar w:left="240" w:top="121" w:right="239" w:bottom="144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Our Ref</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Your Ref</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16 November 2016</w:t>
      </w:r>
    </w:p>
    <w:p>
      <w:pPr>
        <w:spacing w:after="0" w:line="46" w:lineRule="exact"/>
        <w:rPr>
          <w:sz w:val="20"/>
          <w:szCs w:val="20"/>
          <w:color w:val="auto"/>
        </w:rPr>
      </w:pPr>
    </w:p>
    <w:p>
      <w:pPr>
        <w:sectPr>
          <w:pgSz w:w="11900" w:h="16838" w:orient="portrait"/>
          <w:cols w:equalWidth="0" w:num="3">
            <w:col w:w="3520" w:space="720"/>
            <w:col w:w="5080" w:space="720"/>
            <w:col w:w="138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FBO 661725.22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ectPr>
          <w:pgSz w:w="11900" w:h="16838" w:orient="portrait"/>
          <w:cols w:equalWidth="0" w:num="1">
            <w:col w:w="11420"/>
          </w:cols>
          <w:pgMar w:left="240" w:top="121" w:right="2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Weatherford International plc, an Irish public company limited by shares Registration Statement on Form S-3</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acted on behalf of Weatherford International plc, a public limited company incorporated under the laws of Ireland with company number 540406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Company’s post-effective amendment No. 2 to the registration statement on Form S-3 (including the base prospectus therein,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be filed by the Company, pursuant to the Securities Act of 1933 of the United States of America,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with the Securities and Exchange Commission of the United States of America (the “</w:t>
      </w:r>
      <w:r>
        <w:rPr>
          <w:rFonts w:ascii="Arial" w:cs="Arial" w:eastAsia="Arial" w:hAnsi="Arial"/>
          <w:sz w:val="17"/>
          <w:szCs w:val="17"/>
          <w:b w:val="1"/>
          <w:bCs w:val="1"/>
          <w:color w:val="auto"/>
        </w:rPr>
        <w:t>SEC</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Registration Statement relates to the issuance and sale from time to time, pursuant to Rule 415 of the Securities Act of:</w:t>
      </w:r>
    </w:p>
    <w:p>
      <w:pPr>
        <w:spacing w:after="0" w:line="127"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Company’s ordinary shares (nominal value of US$0.001 per share) (the “</w:t>
      </w:r>
      <w:r>
        <w:rPr>
          <w:rFonts w:ascii="Arial" w:cs="Arial" w:eastAsia="Arial" w:hAnsi="Arial"/>
          <w:sz w:val="18"/>
          <w:szCs w:val="18"/>
          <w:b w:val="1"/>
          <w:bCs w:val="1"/>
          <w:color w:val="auto"/>
        </w:rPr>
        <w:t>Registered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right="460" w:hanging="452"/>
        <w:spacing w:after="0" w:line="26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securities of Weatherford International, LLC, a Delaware limited liability company (“</w:t>
      </w:r>
      <w:r>
        <w:rPr>
          <w:rFonts w:ascii="Arial" w:cs="Arial" w:eastAsia="Arial" w:hAnsi="Arial"/>
          <w:sz w:val="18"/>
          <w:szCs w:val="18"/>
          <w:b w:val="1"/>
          <w:bCs w:val="1"/>
          <w:color w:val="auto"/>
        </w:rPr>
        <w:t>Weatherford Delaware</w:t>
      </w:r>
      <w:r>
        <w:rPr>
          <w:rFonts w:ascii="Arial" w:cs="Arial" w:eastAsia="Arial" w:hAnsi="Arial"/>
          <w:sz w:val="18"/>
          <w:szCs w:val="18"/>
          <w:color w:val="auto"/>
        </w:rPr>
        <w:t>”), in one or more series (the “</w:t>
      </w:r>
      <w:r>
        <w:rPr>
          <w:rFonts w:ascii="Arial" w:cs="Arial" w:eastAsia="Arial" w:hAnsi="Arial"/>
          <w:sz w:val="18"/>
          <w:szCs w:val="18"/>
          <w:b w:val="1"/>
          <w:bCs w:val="1"/>
          <w:color w:val="auto"/>
        </w:rPr>
        <w:t>Weatherford Delaware Debt Securities</w:t>
      </w:r>
      <w:r>
        <w:rPr>
          <w:rFonts w:ascii="Arial" w:cs="Arial" w:eastAsia="Arial" w:hAnsi="Arial"/>
          <w:sz w:val="18"/>
          <w:szCs w:val="18"/>
          <w:color w:val="auto"/>
        </w:rPr>
        <w:t>”), which are guaranteed by the Company under the terms of the Weatherford Delaware Debt Securities Indenture (as defined below);</w:t>
      </w:r>
    </w:p>
    <w:p>
      <w:pPr>
        <w:spacing w:after="0" w:line="81" w:lineRule="exact"/>
        <w:rPr>
          <w:rFonts w:ascii="Arial" w:cs="Arial" w:eastAsia="Arial" w:hAnsi="Arial"/>
          <w:sz w:val="18"/>
          <w:szCs w:val="18"/>
          <w:color w:val="auto"/>
        </w:rPr>
      </w:pPr>
    </w:p>
    <w:p>
      <w:pPr>
        <w:jc w:val="both"/>
        <w:ind w:left="460" w:right="40" w:hanging="452"/>
        <w:spacing w:after="0" w:line="266"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securities of Weatherford International Ltd., a Bermuda exempted company (“</w:t>
      </w:r>
      <w:r>
        <w:rPr>
          <w:rFonts w:ascii="Arial" w:cs="Arial" w:eastAsia="Arial" w:hAnsi="Arial"/>
          <w:sz w:val="18"/>
          <w:szCs w:val="18"/>
          <w:b w:val="1"/>
          <w:bCs w:val="1"/>
          <w:color w:val="auto"/>
        </w:rPr>
        <w:t>Weatherford Bermuda</w:t>
      </w:r>
      <w:r>
        <w:rPr>
          <w:rFonts w:ascii="Arial" w:cs="Arial" w:eastAsia="Arial" w:hAnsi="Arial"/>
          <w:sz w:val="18"/>
          <w:szCs w:val="18"/>
          <w:color w:val="auto"/>
        </w:rPr>
        <w:t>”), in one or more series (the “</w:t>
      </w:r>
      <w:r>
        <w:rPr>
          <w:rFonts w:ascii="Arial" w:cs="Arial" w:eastAsia="Arial" w:hAnsi="Arial"/>
          <w:sz w:val="18"/>
          <w:szCs w:val="18"/>
          <w:b w:val="1"/>
          <w:bCs w:val="1"/>
          <w:color w:val="auto"/>
        </w:rPr>
        <w:t>Weatherford</w:t>
      </w:r>
      <w:r>
        <w:rPr>
          <w:rFonts w:ascii="Arial" w:cs="Arial" w:eastAsia="Arial" w:hAnsi="Arial"/>
          <w:sz w:val="18"/>
          <w:szCs w:val="18"/>
          <w:color w:val="auto"/>
        </w:rPr>
        <w:t xml:space="preserve"> </w:t>
      </w:r>
      <w:r>
        <w:rPr>
          <w:rFonts w:ascii="Arial" w:cs="Arial" w:eastAsia="Arial" w:hAnsi="Arial"/>
          <w:sz w:val="18"/>
          <w:szCs w:val="18"/>
          <w:b w:val="1"/>
          <w:bCs w:val="1"/>
          <w:color w:val="auto"/>
        </w:rPr>
        <w:t>Bermuda Debt Securities</w:t>
      </w:r>
      <w:r>
        <w:rPr>
          <w:rFonts w:ascii="Arial" w:cs="Arial" w:eastAsia="Arial" w:hAnsi="Arial"/>
          <w:sz w:val="18"/>
          <w:szCs w:val="18"/>
          <w:color w:val="auto"/>
        </w:rPr>
        <w:t>”), which are guaranteed by the Company under the terms of the Weatherford Bermuda Debt Securities Indenture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80645</wp:posOffset>
            </wp:positionV>
            <wp:extent cx="5213985" cy="7886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78867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6" w:name="page37"/>
    <w:bookmarkEnd w:id="36"/>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183515</wp:posOffset>
            </wp:positionV>
            <wp:extent cx="1337945"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80340"/>
                    </a:xfrm>
                    <a:prstGeom prst="rect">
                      <a:avLst/>
                    </a:prstGeom>
                    <a:noFill/>
                  </pic:spPr>
                </pic:pic>
              </a:graphicData>
            </a:graphic>
          </wp:anchor>
        </w:drawing>
        <w:t>warrants of the Company entitling the holders thereof to subscribe for Registered Shares (the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Weatherford Bermuda Debt Securities are, or will be, issued under an indenture dated 1 October 2003, as supplemented by supplemental indentures dated 25 March 2008, 8 January 2009, 26 February 2009, 23 September 2010, 4 April 2012, 14 August 2012, 31 March 2013, 17 June 2014, 7 June 2016 and</w:t>
      </w:r>
    </w:p>
    <w:p>
      <w:pPr>
        <w:ind w:right="640"/>
        <w:spacing w:after="0" w:line="261" w:lineRule="auto"/>
        <w:rPr>
          <w:sz w:val="20"/>
          <w:szCs w:val="20"/>
          <w:color w:val="auto"/>
        </w:rPr>
      </w:pPr>
      <w:r>
        <w:rPr>
          <w:rFonts w:ascii="Arial" w:cs="Arial" w:eastAsia="Arial" w:hAnsi="Arial"/>
          <w:sz w:val="18"/>
          <w:szCs w:val="18"/>
          <w:color w:val="auto"/>
        </w:rPr>
        <w:t>17 June 2016, to which Weatherford Bermuda, as issuer, the Company and Weatherford Delaware, as guarantors, and Deutsche Bank Trust Company Americas, as trustee, are party (together the “</w:t>
      </w:r>
      <w:r>
        <w:rPr>
          <w:rFonts w:ascii="Arial" w:cs="Arial" w:eastAsia="Arial" w:hAnsi="Arial"/>
          <w:sz w:val="18"/>
          <w:szCs w:val="18"/>
          <w:b w:val="1"/>
          <w:bCs w:val="1"/>
          <w:color w:val="auto"/>
        </w:rPr>
        <w:t>Weatherford Bermuda Debt Securities Indenture</w:t>
      </w:r>
      <w:r>
        <w:rPr>
          <w:rFonts w:ascii="Arial" w:cs="Arial" w:eastAsia="Arial" w:hAnsi="Arial"/>
          <w:sz w:val="18"/>
          <w:szCs w:val="18"/>
          <w:color w:val="auto"/>
        </w:rPr>
        <w:t>”).</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Weatherford Delaware Debt Securities are, or will be, issued under an indenture, dated 18 June 2007, as supplemented by supplemental indentures dated 18 June 2007, 26 February 2009, 14 August 2012, 31 March 2013 and 17 June 2014, to which Weatherford Delaware, as issuer, the Company and Weatherford Bermuda, as guarantors, and Deutsche Bank Trust Company Americas, as trustee, are party (together the “</w:t>
      </w:r>
      <w:r>
        <w:rPr>
          <w:rFonts w:ascii="Arial" w:cs="Arial" w:eastAsia="Arial" w:hAnsi="Arial"/>
          <w:sz w:val="18"/>
          <w:szCs w:val="18"/>
          <w:b w:val="1"/>
          <w:bCs w:val="1"/>
          <w:color w:val="auto"/>
        </w:rPr>
        <w:t>Weatherford Delaware Debt</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 Indenture</w:t>
      </w:r>
      <w:r>
        <w:rPr>
          <w:rFonts w:ascii="Arial" w:cs="Arial" w:eastAsia="Arial" w:hAnsi="Arial"/>
          <w:sz w:val="18"/>
          <w:szCs w:val="18"/>
          <w:color w:val="auto"/>
        </w:rPr>
        <w:t>”).</w:t>
      </w:r>
    </w:p>
    <w:p>
      <w:pPr>
        <w:spacing w:after="0" w:line="187"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The Weatherford Delaware Debt Securities Indenture and the Weatherford Bermuda Debt Securities Indenture are collectively referred to herein as the “</w:t>
      </w:r>
      <w:r>
        <w:rPr>
          <w:rFonts w:ascii="Arial" w:cs="Arial" w:eastAsia="Arial" w:hAnsi="Arial"/>
          <w:sz w:val="16"/>
          <w:szCs w:val="16"/>
          <w:b w:val="1"/>
          <w:bCs w:val="1"/>
          <w:color w:val="auto"/>
        </w:rPr>
        <w:t>Indentures</w:t>
      </w:r>
      <w:r>
        <w:rPr>
          <w:rFonts w:ascii="Arial" w:cs="Arial" w:eastAsia="Arial" w:hAnsi="Arial"/>
          <w:sz w:val="16"/>
          <w:szCs w:val="16"/>
          <w:color w:val="auto"/>
        </w:rPr>
        <w:t>”, the Weatherford Delaware Debt Securities and the Weatherford Bermuda Debt Securities are collectively referred to herein as the “</w:t>
      </w:r>
      <w:r>
        <w:rPr>
          <w:rFonts w:ascii="Arial" w:cs="Arial" w:eastAsia="Arial" w:hAnsi="Arial"/>
          <w:sz w:val="16"/>
          <w:szCs w:val="16"/>
          <w:b w:val="1"/>
          <w:bCs w:val="1"/>
          <w:color w:val="auto"/>
        </w:rPr>
        <w:t>Debt</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and the Registration Statement, the Indentures and the Warrant are collectively referred to herein as the “</w:t>
      </w:r>
      <w:r>
        <w:rPr>
          <w:rFonts w:ascii="Arial" w:cs="Arial" w:eastAsia="Arial" w:hAnsi="Arial"/>
          <w:sz w:val="16"/>
          <w:szCs w:val="16"/>
          <w:b w:val="1"/>
          <w:bCs w:val="1"/>
          <w:color w:val="auto"/>
        </w:rPr>
        <w:t>Documents</w:t>
      </w:r>
      <w:r>
        <w:rPr>
          <w:rFonts w:ascii="Arial" w:cs="Arial" w:eastAsia="Arial" w:hAnsi="Arial"/>
          <w:sz w:val="16"/>
          <w:szCs w:val="16"/>
          <w:color w:val="auto"/>
        </w:rPr>
        <w:t>”.</w:t>
      </w:r>
    </w:p>
    <w:p>
      <w:pPr>
        <w:spacing w:after="0" w:line="29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Scope of appointment and basis of opinion</w:t>
      </w:r>
    </w:p>
    <w:p>
      <w:pPr>
        <w:spacing w:after="0" w:line="13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We have been requested by the Company to provide this opinion.</w:t>
      </w:r>
    </w:p>
    <w:p>
      <w:pPr>
        <w:spacing w:after="0" w:line="13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 the purpose of giving this opinion, we have examined:</w:t>
      </w:r>
    </w:p>
    <w:p>
      <w:pPr>
        <w:spacing w:after="0" w:line="131"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final form of the Registration Statement to be filed by the Company with the SEC;</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copies of the Indentures;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copy of the Company’s constitution (in the form of a memorandum and articles of association) (as set out in Exhibit 3.1 to the Company’s Current Report on Form 8-K filed with the SEC on 17 June 2014);</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copy minutes of meetings of the board of directors’ of the Company held on 3 March 2014, 25 March 2014, 15 May 2014, 16 May 2014, 6 June 2014, 1 June 2016, 9 June 2016 and 7 November 2016;</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copy resolutions of the board of directors’ of the Company passed on 30 May 2016 and 8 June 2016;</w:t>
      </w:r>
    </w:p>
    <w:p>
      <w:pPr>
        <w:spacing w:after="0" w:line="126" w:lineRule="exact"/>
        <w:rPr>
          <w:rFonts w:ascii="Arial" w:cs="Arial" w:eastAsia="Arial" w:hAnsi="Arial"/>
          <w:sz w:val="18"/>
          <w:szCs w:val="18"/>
          <w:color w:val="auto"/>
        </w:rPr>
      </w:pPr>
    </w:p>
    <w:p>
      <w:pPr>
        <w:ind w:left="900" w:right="440" w:hanging="446"/>
        <w:spacing w:after="0" w:line="282"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copy written resolutions of the shareholders of the Company dated 15 May 2014 (the “</w:t>
      </w:r>
      <w:r>
        <w:rPr>
          <w:rFonts w:ascii="Arial" w:cs="Arial" w:eastAsia="Arial" w:hAnsi="Arial"/>
          <w:sz w:val="18"/>
          <w:szCs w:val="18"/>
          <w:b w:val="1"/>
          <w:bCs w:val="1"/>
          <w:color w:val="auto"/>
        </w:rPr>
        <w:t>Section 60 Special Resolutions</w:t>
      </w:r>
      <w:r>
        <w:rPr>
          <w:rFonts w:ascii="Arial" w:cs="Arial" w:eastAsia="Arial" w:hAnsi="Arial"/>
          <w:sz w:val="18"/>
          <w:szCs w:val="18"/>
          <w:color w:val="auto"/>
        </w:rPr>
        <w:t>”), 27 May 2014 and 6 June 2014;</w:t>
      </w:r>
    </w:p>
    <w:p>
      <w:pPr>
        <w:spacing w:after="0" w:line="71"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copy statutory declaration of the directors of the Company made on 15 May 2014 pursuant to section 60(2) of the Companies Act 1963; and</w:t>
      </w:r>
    </w:p>
    <w:p>
      <w:pPr>
        <w:spacing w:after="0" w:line="153" w:lineRule="exact"/>
        <w:rPr>
          <w:rFonts w:ascii="Arial" w:cs="Arial" w:eastAsia="Arial" w:hAnsi="Arial"/>
          <w:sz w:val="16"/>
          <w:szCs w:val="16"/>
          <w:color w:val="auto"/>
        </w:rPr>
      </w:pPr>
    </w:p>
    <w:p>
      <w:pPr>
        <w:ind w:left="90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copy of the results of searches sent to us in a pdf attachment to email made on 15 November 2016 at the Irish Companies Registration Office, in the Register of Winding Up Petitions at the Central Office of the High Court of Ireland and at the Judgments’ Office in the Central Office of the High Court of Ireland against the Company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702" w:right="259" w:bottom="1440" w:gutter="0" w:footer="0" w:header="0"/>
        </w:sectPr>
      </w:pPr>
    </w:p>
    <w:bookmarkStart w:id="37" w:name="page38"/>
    <w:bookmarkEnd w:id="37"/>
    <w:p>
      <w:pPr>
        <w:ind w:left="460" w:right="60" w:hanging="445"/>
        <w:spacing w:after="0" w:line="264"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183515</wp:posOffset>
            </wp:positionV>
            <wp:extent cx="133794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80340"/>
                    </a:xfrm>
                    <a:prstGeom prst="rect">
                      <a:avLst/>
                    </a:prstGeom>
                    <a:noFill/>
                  </pic:spPr>
                </pic:pic>
              </a:graphicData>
            </a:graphic>
          </wp:anchor>
        </w:drawing>
        <w:t>1.3</w:t>
        <w:tab/>
        <w:t>We have made no searches or enquiries concerning, and we have not examined any contracts, instruments or documents entered into by or affecting the Company or any other person, or any corporate records of the aforesaid, save for those searches, enquiries, contracts, instruments, documents or corporate records specified as being made or examined in this opinion.</w:t>
      </w:r>
    </w:p>
    <w:p>
      <w:pPr>
        <w:spacing w:after="0" w:line="87" w:lineRule="exact"/>
        <w:rPr>
          <w:sz w:val="20"/>
          <w:szCs w:val="20"/>
          <w:color w:val="auto"/>
        </w:rPr>
      </w:pPr>
    </w:p>
    <w:p>
      <w:pPr>
        <w:ind w:left="460" w:right="20" w:hanging="445"/>
        <w:spacing w:after="0" w:line="264" w:lineRule="auto"/>
        <w:tabs>
          <w:tab w:leader="none" w:pos="440" w:val="left"/>
        </w:tabs>
        <w:rPr>
          <w:sz w:val="20"/>
          <w:szCs w:val="20"/>
          <w:color w:val="auto"/>
        </w:rPr>
      </w:pPr>
      <w:r>
        <w:rPr>
          <w:rFonts w:ascii="Arial" w:cs="Arial" w:eastAsia="Arial" w:hAnsi="Arial"/>
          <w:sz w:val="18"/>
          <w:szCs w:val="18"/>
          <w:color w:val="auto"/>
        </w:rPr>
        <w:t>1.4</w:t>
        <w:tab/>
        <w:t>We express no opinion and make no representation or warranty as to any matter of fact. Furthermore, we have not been responsible for the investigation or verification of the facts or the reasonableness of any assumption or statements of opinion contained or represented by the Company in any of the Documents nor have we attempted to determine whether any material facts have been omitted therefrom.</w:t>
      </w:r>
    </w:p>
    <w:p>
      <w:pPr>
        <w:spacing w:after="0" w:line="87" w:lineRule="exact"/>
        <w:rPr>
          <w:sz w:val="20"/>
          <w:szCs w:val="20"/>
          <w:color w:val="auto"/>
        </w:rPr>
      </w:pPr>
    </w:p>
    <w:p>
      <w:pPr>
        <w:ind w:left="460" w:hanging="445"/>
        <w:spacing w:after="0" w:line="264" w:lineRule="auto"/>
        <w:tabs>
          <w:tab w:leader="none" w:pos="440" w:val="left"/>
        </w:tabs>
        <w:rPr>
          <w:sz w:val="20"/>
          <w:szCs w:val="20"/>
          <w:color w:val="auto"/>
        </w:rPr>
      </w:pPr>
      <w:r>
        <w:rPr>
          <w:rFonts w:ascii="Arial" w:cs="Arial" w:eastAsia="Arial" w:hAnsi="Arial"/>
          <w:sz w:val="18"/>
          <w:szCs w:val="18"/>
          <w:color w:val="auto"/>
        </w:rPr>
        <w:t>1.5</w:t>
        <w:tab/>
        <w:t>We have not investigated the laws of any country other than Ireland and this opinion is given only with respect to the laws of Ireland in effect at the date of this opinion. We have assumed, without enquiry, that there is nothing in the laws of any other jurisdiction which would or might affect the opinions as stated herein.</w:t>
      </w:r>
    </w:p>
    <w:p>
      <w:pPr>
        <w:spacing w:after="0" w:line="87" w:lineRule="exact"/>
        <w:rPr>
          <w:sz w:val="20"/>
          <w:szCs w:val="20"/>
          <w:color w:val="auto"/>
        </w:rPr>
      </w:pPr>
    </w:p>
    <w:p>
      <w:pPr>
        <w:ind w:left="460" w:right="580" w:hanging="445"/>
        <w:spacing w:after="0" w:line="264" w:lineRule="auto"/>
        <w:tabs>
          <w:tab w:leader="none" w:pos="440" w:val="left"/>
        </w:tabs>
        <w:rPr>
          <w:sz w:val="20"/>
          <w:szCs w:val="20"/>
          <w:color w:val="auto"/>
        </w:rPr>
      </w:pPr>
      <w:r>
        <w:rPr>
          <w:rFonts w:ascii="Arial" w:cs="Arial" w:eastAsia="Arial" w:hAnsi="Arial"/>
          <w:sz w:val="18"/>
          <w:szCs w:val="18"/>
          <w:color w:val="auto"/>
        </w:rPr>
        <w:t>1.6</w:t>
        <w:tab/>
        <w:t>This opinion is to be construed in accordance with, and governed by, the laws of Ireland, and is given solely on the basis that any issues of interpretation or liability arising hereunder may only be brought before the Irish courts, which will have exclusive jurisdiction in respect of such matters.</w:t>
      </w:r>
    </w:p>
    <w:p>
      <w:pPr>
        <w:spacing w:after="0" w:line="87" w:lineRule="exact"/>
        <w:rPr>
          <w:sz w:val="20"/>
          <w:szCs w:val="20"/>
          <w:color w:val="auto"/>
        </w:rPr>
      </w:pPr>
    </w:p>
    <w:p>
      <w:pPr>
        <w:ind w:left="460" w:right="60" w:hanging="445"/>
        <w:spacing w:after="0" w:line="293" w:lineRule="auto"/>
        <w:tabs>
          <w:tab w:leader="none" w:pos="4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This opinion is delivered in connection with the filing of the Registration Statement with the SEC and is strictly limited to the matters stated herein and does not extend to, and is not to be read as extending by implication to, any other matter. We hereby consent to the filing of this opinion as an exhibit to the Registration Statement and to the use of our name therein. In giving this consent, we do not hereby admit that we come within the category of persons whose consent is required under section 7 of the Securities Act or the rules and regulations of the SEC promulgated thereunder. This opinion is furnished to you and the persons entitled to rely upon it pursuant to the applicable provisions of the Securities Act for use in connection with the filing of the Registration Statement and is not to be use, circulated, quoted or otherwise referred to for any other purpose without our express written consent.</w:t>
      </w:r>
    </w:p>
    <w:p>
      <w:pPr>
        <w:spacing w:after="0" w:line="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The opinions set forth in this Opinion are given on the date hereof. We assume no obligation to update the opinions set forth in this letter.</w:t>
      </w:r>
    </w:p>
    <w:p>
      <w:pPr>
        <w:spacing w:after="0" w:line="370"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Assumptions</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For the purpose of giving this opinion we have assumed: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authenticity and completeness of all documents submitted to us as originals;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completeness and conformity to originals of all documents supplied to us as certified, conformed or photostatic copies or received by us by facsimile or email transmission and the authenticity and completeness of the originals of such documents;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genuineness of the signatures and seals on all original and copy documents which we have examined;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06" w:right="239" w:bottom="1440" w:gutter="0" w:footer="0" w:header="0"/>
        </w:sectPr>
      </w:pPr>
    </w:p>
    <w:bookmarkStart w:id="38" w:name="page39"/>
    <w:bookmarkEnd w:id="38"/>
    <w:p>
      <w:pPr>
        <w:jc w:val="both"/>
        <w:ind w:left="446" w:right="160" w:hanging="446"/>
        <w:spacing w:after="0" w:line="312" w:lineRule="auto"/>
        <w:tabs>
          <w:tab w:leader="none" w:pos="446"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183515</wp:posOffset>
            </wp:positionV>
            <wp:extent cx="1337945"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80340"/>
                    </a:xfrm>
                    <a:prstGeom prst="rect">
                      <a:avLst/>
                    </a:prstGeom>
                    <a:noFill/>
                  </pic:spPr>
                </pic:pic>
              </a:graphicData>
            </a:graphic>
          </wp:anchor>
        </w:drawing>
        <w:t>that the proceedings described in the copy minutes of the meetings of the board of directors of the Company referred to above and examined for the purposes of this opinion were conducted in the manner therein described, that the meetings were properly convened and constituted and that the resolutions referred to therein were duly passed and adopted and have not since been amended or rescinded;</w:t>
      </w:r>
    </w:p>
    <w:p>
      <w:pPr>
        <w:spacing w:after="0" w:line="52" w:lineRule="exact"/>
        <w:rPr>
          <w:rFonts w:ascii="Arial" w:cs="Arial" w:eastAsia="Arial" w:hAnsi="Arial"/>
          <w:sz w:val="16"/>
          <w:szCs w:val="16"/>
          <w:color w:val="auto"/>
        </w:rPr>
      </w:pPr>
    </w:p>
    <w:p>
      <w:pPr>
        <w:ind w:left="446" w:hanging="446"/>
        <w:spacing w:after="0"/>
        <w:tabs>
          <w:tab w:leader="none" w:pos="44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that the written resolutions of the shareholders referred to above were duly passed and adopted and have not since been amended or rescinded;</w:t>
      </w:r>
    </w:p>
    <w:p>
      <w:pPr>
        <w:spacing w:after="0" w:line="153" w:lineRule="exact"/>
        <w:rPr>
          <w:rFonts w:ascii="Arial" w:cs="Arial" w:eastAsia="Arial" w:hAnsi="Arial"/>
          <w:sz w:val="16"/>
          <w:szCs w:val="16"/>
          <w:color w:val="auto"/>
        </w:rPr>
      </w:pPr>
    </w:p>
    <w:p>
      <w:pPr>
        <w:ind w:left="446" w:right="140" w:hanging="446"/>
        <w:spacing w:after="0" w:line="277" w:lineRule="auto"/>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the statutory declaration referred to in paragraph 1.2(g) as having been made pursuant to section 60(2) of the Companies Act 1963 was duly made and filed in the Companies Registration Office as therein described;</w:t>
      </w:r>
    </w:p>
    <w:p>
      <w:pPr>
        <w:spacing w:after="0" w:line="75" w:lineRule="exact"/>
        <w:rPr>
          <w:rFonts w:ascii="Arial" w:cs="Arial" w:eastAsia="Arial" w:hAnsi="Arial"/>
          <w:sz w:val="18"/>
          <w:szCs w:val="18"/>
          <w:color w:val="auto"/>
        </w:rPr>
      </w:pPr>
    </w:p>
    <w:p>
      <w:pPr>
        <w:ind w:left="446" w:right="680" w:hanging="446"/>
        <w:spacing w:after="0" w:line="277" w:lineRule="auto"/>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Registered Shares will be issued by the entry of the name of the registered owner thereof in the register of members of the Company confirming that such Registered Shares have been issued credited as fully paid;</w:t>
      </w:r>
    </w:p>
    <w:p>
      <w:pPr>
        <w:spacing w:after="0" w:line="75" w:lineRule="exact"/>
        <w:rPr>
          <w:rFonts w:ascii="Arial" w:cs="Arial" w:eastAsia="Arial" w:hAnsi="Arial"/>
          <w:sz w:val="18"/>
          <w:szCs w:val="18"/>
          <w:color w:val="auto"/>
        </w:rPr>
      </w:pPr>
    </w:p>
    <w:p>
      <w:pPr>
        <w:ind w:left="446" w:hanging="446"/>
        <w:spacing w:after="0" w:line="289" w:lineRule="auto"/>
        <w:tabs>
          <w:tab w:leader="none" w:pos="446"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that, at the time of the allotment of any Registered Shares (including upon the exercise of Warrants): (i) the Registration Statement will be effective and continue to be effective; (ii) the Company will have a sufficient number of authorised but unissued Registered Shares in its capital (at least equal to the number of Registered Shares to be allotted and issued); (iii) the directors of the Company will have been generally and unconditionally authorised, as required by section 1021(1) of the Companies Act 2014 (the “</w:t>
      </w:r>
      <w:r>
        <w:rPr>
          <w:rFonts w:ascii="Arial" w:cs="Arial" w:eastAsia="Arial" w:hAnsi="Arial"/>
          <w:sz w:val="16"/>
          <w:szCs w:val="16"/>
          <w:b w:val="1"/>
          <w:bCs w:val="1"/>
          <w:color w:val="auto"/>
        </w:rPr>
        <w:t>2014 Act</w:t>
      </w:r>
      <w:r>
        <w:rPr>
          <w:rFonts w:ascii="Arial" w:cs="Arial" w:eastAsia="Arial" w:hAnsi="Arial"/>
          <w:sz w:val="16"/>
          <w:szCs w:val="16"/>
          <w:color w:val="auto"/>
        </w:rPr>
        <w:t>”), by the constitution, from time to time, of the Company, or by ordinary resolution of the Company’s shareholders, to allot a sufficient number of Registered Shares (at least equal to the number of Registered Shares to be allotted and issued); and (iv) if issued for cash consideration, such Registered Shares will be allotted and issued in accordance with section 1022(1) of the 2014 Act or the directors will have been empowered, by special resolution of the shareholders, passed in accordance with section 1023(3) of the 2014 Act (or as appropriate under the provisions of any former enactment relating to companies), to allot and issue such Registered Shares as if the said section 1022(1) did not apply to such allotment and issue;</w:t>
      </w:r>
    </w:p>
    <w:p>
      <w:pPr>
        <w:spacing w:after="0" w:line="72" w:lineRule="exact"/>
        <w:rPr>
          <w:rFonts w:ascii="Arial" w:cs="Arial" w:eastAsia="Arial" w:hAnsi="Arial"/>
          <w:sz w:val="16"/>
          <w:szCs w:val="16"/>
          <w:color w:val="auto"/>
        </w:rPr>
      </w:pPr>
    </w:p>
    <w:p>
      <w:pPr>
        <w:ind w:left="446" w:right="20" w:hanging="446"/>
        <w:spacing w:after="0" w:line="257" w:lineRule="auto"/>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any Registered Shares allotted and issued in accordance with the Registration Statement (including upon the exercise of Warrants) will be paid-up in consideration of the receipt by the Company from the party to whom the Registered Shares are to be issued, prior to, or simultaneously with the issue of such Registered Shares, of cash and other consideration at least equal to the nominal value of such Registered Shares and, to the extent that any of the consideration for such Registered Shares is payable otherwise than in cash, that the provisions of sections 1028 to 1035 of the 2014 Act have been complied with;</w:t>
      </w:r>
    </w:p>
    <w:p>
      <w:pPr>
        <w:spacing w:after="0" w:line="93" w:lineRule="exact"/>
        <w:rPr>
          <w:rFonts w:ascii="Arial" w:cs="Arial" w:eastAsia="Arial" w:hAnsi="Arial"/>
          <w:sz w:val="18"/>
          <w:szCs w:val="18"/>
          <w:color w:val="auto"/>
        </w:rPr>
      </w:pPr>
    </w:p>
    <w:p>
      <w:pPr>
        <w:ind w:left="446" w:right="120" w:hanging="446"/>
        <w:spacing w:after="0" w:line="259" w:lineRule="auto"/>
        <w:tabs>
          <w:tab w:leader="none" w:pos="4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no Registered Shares (including upon the exercise of Warrants) will be allotted and issued: (i) for consideration of an undertaking from any person that he or another will do work or perform services for the Company or for any other person; (ii) for consideration otherwise than in cash that includes an undertaking which is to be or may be performed more than five years after the date of allotment; or (iii) for other consideration which, from time to time, is not considered good or adequate consideration;</w:t>
      </w:r>
    </w:p>
    <w:p>
      <w:pPr>
        <w:spacing w:after="0" w:line="11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6"/>
          </w:cols>
          <w:pgMar w:left="694" w:top="706" w:right="239" w:bottom="1440" w:gutter="0" w:footer="0" w:header="0"/>
        </w:sectPr>
      </w:pPr>
    </w:p>
    <w:bookmarkStart w:id="39" w:name="page40"/>
    <w:bookmarkEnd w:id="39"/>
    <w:p>
      <w:pPr>
        <w:ind w:left="446" w:right="140" w:hanging="446"/>
        <w:spacing w:after="0" w:line="264" w:lineRule="auto"/>
        <w:tabs>
          <w:tab w:leader="none" w:pos="446"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183515</wp:posOffset>
            </wp:positionV>
            <wp:extent cx="1337945"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80340"/>
                    </a:xfrm>
                    <a:prstGeom prst="rect">
                      <a:avLst/>
                    </a:prstGeom>
                    <a:noFill/>
                  </pic:spPr>
                </pic:pic>
              </a:graphicData>
            </a:graphic>
          </wp:anchor>
        </w:drawing>
        <w:t>that no Registered Shares (including upon the exercise of Warrants) or Warrants will be allotted and issued other than pursuant to a resolution of the board of directors of the Company (or duly authorised committee thereof) that has been validly and sufficiently proposed and passed in accordance with the constitution, from time to time, of the Company;</w:t>
      </w:r>
    </w:p>
    <w:p>
      <w:pPr>
        <w:spacing w:after="0" w:line="86" w:lineRule="exact"/>
        <w:rPr>
          <w:rFonts w:ascii="Arial" w:cs="Arial" w:eastAsia="Arial" w:hAnsi="Arial"/>
          <w:sz w:val="18"/>
          <w:szCs w:val="18"/>
          <w:color w:val="auto"/>
        </w:rPr>
      </w:pPr>
    </w:p>
    <w:p>
      <w:pPr>
        <w:ind w:left="446" w:right="480" w:hanging="446"/>
        <w:spacing w:after="0" w:line="277" w:lineRule="auto"/>
        <w:tabs>
          <w:tab w:leader="none" w:pos="4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the Documents and all deeds, instruments, assignments, agreements and other documents in relation to the matters contemplated by the Documents and / or this opinion are:</w:t>
      </w:r>
    </w:p>
    <w:p>
      <w:pPr>
        <w:spacing w:after="0" w:line="75" w:lineRule="exact"/>
        <w:rPr>
          <w:rFonts w:ascii="Arial" w:cs="Arial" w:eastAsia="Arial" w:hAnsi="Arial"/>
          <w:sz w:val="18"/>
          <w:szCs w:val="18"/>
          <w:color w:val="auto"/>
        </w:rPr>
      </w:pPr>
    </w:p>
    <w:p>
      <w:pPr>
        <w:ind w:left="1026" w:right="140" w:hanging="567"/>
        <w:spacing w:after="0" w:line="277" w:lineRule="auto"/>
        <w:tabs>
          <w:tab w:leader="none" w:pos="1026" w:val="left"/>
        </w:tabs>
        <w:numPr>
          <w:ilvl w:val="1"/>
          <w:numId w:val="28"/>
        </w:numPr>
        <w:rPr>
          <w:rFonts w:ascii="Arial" w:cs="Arial" w:eastAsia="Arial" w:hAnsi="Arial"/>
          <w:sz w:val="18"/>
          <w:szCs w:val="18"/>
          <w:color w:val="auto"/>
        </w:rPr>
      </w:pPr>
      <w:r>
        <w:rPr>
          <w:rFonts w:ascii="Arial" w:cs="Arial" w:eastAsia="Arial" w:hAnsi="Arial"/>
          <w:sz w:val="18"/>
          <w:szCs w:val="18"/>
          <w:color w:val="auto"/>
        </w:rPr>
        <w:t>within the capacity and powers of, have been validly authorised, executed and delivered by and are valid, legal, binding and enforceable obligations of the parties thereto; and</w:t>
      </w:r>
    </w:p>
    <w:p>
      <w:pPr>
        <w:spacing w:after="0" w:line="75" w:lineRule="exact"/>
        <w:rPr>
          <w:rFonts w:ascii="Arial" w:cs="Arial" w:eastAsia="Arial" w:hAnsi="Arial"/>
          <w:sz w:val="18"/>
          <w:szCs w:val="18"/>
          <w:color w:val="auto"/>
        </w:rPr>
      </w:pPr>
    </w:p>
    <w:p>
      <w:pPr>
        <w:ind w:left="1026" w:hanging="567"/>
        <w:spacing w:after="0"/>
        <w:tabs>
          <w:tab w:leader="none" w:pos="102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are not subject to avoidance by any person,</w:t>
      </w:r>
    </w:p>
    <w:p>
      <w:pPr>
        <w:spacing w:after="0" w:line="117" w:lineRule="exact"/>
        <w:rPr>
          <w:sz w:val="20"/>
          <w:szCs w:val="20"/>
          <w:color w:val="auto"/>
        </w:rPr>
      </w:pPr>
    </w:p>
    <w:p>
      <w:pPr>
        <w:ind w:left="466" w:right="360"/>
        <w:spacing w:after="0" w:line="277" w:lineRule="auto"/>
        <w:rPr>
          <w:sz w:val="20"/>
          <w:szCs w:val="20"/>
          <w:color w:val="auto"/>
        </w:rPr>
      </w:pPr>
      <w:r>
        <w:rPr>
          <w:rFonts w:ascii="Arial" w:cs="Arial" w:eastAsia="Arial" w:hAnsi="Arial"/>
          <w:sz w:val="18"/>
          <w:szCs w:val="18"/>
          <w:color w:val="auto"/>
        </w:rPr>
        <w:t>under all applicable laws and in all applicable jurisdictions other than (in the case of the Company) the laws of Ireland and the jurisdiction of Ireland;</w:t>
      </w:r>
    </w:p>
    <w:p>
      <w:pPr>
        <w:spacing w:after="0" w:line="76" w:lineRule="exact"/>
        <w:rPr>
          <w:sz w:val="20"/>
          <w:szCs w:val="20"/>
          <w:color w:val="auto"/>
        </w:rPr>
      </w:pPr>
    </w:p>
    <w:p>
      <w:pPr>
        <w:ind w:left="446" w:right="120" w:hanging="446"/>
        <w:spacing w:after="0" w:line="291" w:lineRule="auto"/>
        <w:tabs>
          <w:tab w:leader="none" w:pos="4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that the offering or sale (including the marketing) of any Registered Shares, Debt Securities or Warrants will be made, effected and conducted in accordance with and will not violate: (i) the constitution, from time to time, of the Company; (ii) any applicable laws and regulations (including, without limitation, (A) the securities laws and regulations of any jurisdiction (including Ireland) or supra-national authority which impose any restrictions, or mandatory requirements, in relation to the offering or sale of shares to the public in any jurisdiction (including Ireland) and any prospectus (or analogous disclosure document) prepared in connection therewith; and (B) the competition, anti-trust or merger control laws and regulations of any jurisdiction (including Ireland) or supra-national authority); and (iii) any requirement or restriction imposed by any court, governmental body or supra-national authority having jurisdiction over the Company or the members of its group;</w:t>
      </w:r>
    </w:p>
    <w:p>
      <w:pPr>
        <w:spacing w:after="0" w:line="72" w:lineRule="exact"/>
        <w:rPr>
          <w:rFonts w:ascii="Arial" w:cs="Arial" w:eastAsia="Arial" w:hAnsi="Arial"/>
          <w:sz w:val="16"/>
          <w:szCs w:val="16"/>
          <w:color w:val="auto"/>
        </w:rPr>
      </w:pPr>
    </w:p>
    <w:p>
      <w:pPr>
        <w:ind w:left="446" w:hanging="446"/>
        <w:spacing w:after="0" w:line="291" w:lineRule="auto"/>
        <w:tabs>
          <w:tab w:leader="none" w:pos="446"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that, at the time of the issuance and sale of any Debt Securities: (i) the Registration Statement will be effective and continue to be effective; (ii) the sale of and payment for any Debt Securities will be in accordance with the Registration Statement (including the prospectus set forth in the Registration Statement and any applicable supplements and amendments thereto); (iii) in any underwritten offering, a definitive purchase, underwriting or similar agreement with respect to any Debt Securities will be duly authorised and validly executed and delivered by the Company and the other parties thereto; and (iv) the issuance and sale (including the marketing) of any Debt Securities will not violate the constitution, from time to time, of the Company, any applicable law or any requirement or restriction imposed by any court or governmental body having jurisdiction over the Company or result in a default under or breach of any agreement or instrument binding on the Company;</w:t>
      </w:r>
    </w:p>
    <w:p>
      <w:pPr>
        <w:spacing w:after="0" w:line="72" w:lineRule="exact"/>
        <w:rPr>
          <w:rFonts w:ascii="Arial" w:cs="Arial" w:eastAsia="Arial" w:hAnsi="Arial"/>
          <w:sz w:val="16"/>
          <w:szCs w:val="16"/>
          <w:color w:val="auto"/>
        </w:rPr>
      </w:pPr>
    </w:p>
    <w:p>
      <w:pPr>
        <w:ind w:left="446" w:right="100" w:hanging="446"/>
        <w:spacing w:after="0" w:line="259" w:lineRule="auto"/>
        <w:tabs>
          <w:tab w:leader="none" w:pos="4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at the time of the issuance and sale of any Warrants: (i) the Registration Statement will be effective and continue to be effective; (ii) the sale of and payment for any Warrants will be in accordance with the Registration Statement (including the prospectus set forth in the Registration Statement and any applicable supplements and amendments thereto); (iii) in any underwritten offering, a definitive purchase, underwriting or similar agreement with respect to any Warrants will be duly authorised</w:t>
      </w:r>
    </w:p>
    <w:p>
      <w:pPr>
        <w:spacing w:after="0" w:line="11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6"/>
          </w:cols>
          <w:pgMar w:left="694" w:top="706" w:right="239" w:bottom="1440" w:gutter="0" w:footer="0" w:header="0"/>
        </w:sectPr>
      </w:pPr>
    </w:p>
    <w:bookmarkStart w:id="40" w:name="page41"/>
    <w:bookmarkEnd w:id="40"/>
    <w:p>
      <w:pPr>
        <w:ind w:left="466"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183515</wp:posOffset>
            </wp:positionV>
            <wp:extent cx="1337945"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80340"/>
                    </a:xfrm>
                    <a:prstGeom prst="rect">
                      <a:avLst/>
                    </a:prstGeom>
                    <a:noFill/>
                  </pic:spPr>
                </pic:pic>
              </a:graphicData>
            </a:graphic>
          </wp:anchor>
        </w:drawing>
        <w:t>and validly executed and delivered by the Company and the other parties thereto; and (iv) the issuance and sale (including the marketing) of any Warrants not violate the constitution, from time to time, of the Company, any applicable law or any requirement or restriction imposed by any court or governmental body having jurisdiction over the Company or result in a default under or breach of any agreement or instrument binding on the Company;</w:t>
      </w:r>
    </w:p>
    <w:p>
      <w:pPr>
        <w:spacing w:after="0" w:line="92" w:lineRule="exact"/>
        <w:rPr>
          <w:sz w:val="20"/>
          <w:szCs w:val="20"/>
          <w:color w:val="auto"/>
        </w:rPr>
      </w:pPr>
    </w:p>
    <w:p>
      <w:pPr>
        <w:ind w:left="446" w:right="320" w:hanging="446"/>
        <w:spacing w:after="0" w:line="264"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other than as approved by the Section 60 Special Resolutions, the Company has not, by virtue of the Documents, given, nor shall it give, directly or indirectly, financial assistance, as contemplated by section 82 of the 2014 Act, for the purpose of, or in connection with the subscription for or purchase of shares in itself or any company which is its holding company;</w:t>
      </w:r>
    </w:p>
    <w:p>
      <w:pPr>
        <w:spacing w:after="0" w:line="86" w:lineRule="exact"/>
        <w:rPr>
          <w:rFonts w:ascii="Arial" w:cs="Arial" w:eastAsia="Arial" w:hAnsi="Arial"/>
          <w:sz w:val="18"/>
          <w:szCs w:val="18"/>
          <w:color w:val="auto"/>
        </w:rPr>
      </w:pPr>
    </w:p>
    <w:p>
      <w:pPr>
        <w:ind w:left="446" w:right="240" w:hanging="446"/>
        <w:spacing w:after="0" w:line="312" w:lineRule="auto"/>
        <w:tabs>
          <w:tab w:leader="none" w:pos="446"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that the Company has not given, nor shall it give, directly or indirectly, and whether by means of a loan, guarantee, the provision of security or otherwise, any financial assistance, as contemplated by section 82 of the 2014 Act, for the purpose of, or in connection with, the purchase or subscription by any person of, or for, any Registered Shares save as permitted by, or pursuant to an exemption to, the said section 82;</w:t>
      </w:r>
    </w:p>
    <w:p>
      <w:pPr>
        <w:spacing w:after="0" w:line="52" w:lineRule="exact"/>
        <w:rPr>
          <w:rFonts w:ascii="Arial" w:cs="Arial" w:eastAsia="Arial" w:hAnsi="Arial"/>
          <w:sz w:val="16"/>
          <w:szCs w:val="16"/>
          <w:color w:val="auto"/>
        </w:rPr>
      </w:pPr>
    </w:p>
    <w:p>
      <w:pPr>
        <w:ind w:left="446" w:hanging="446"/>
        <w:spacing w:after="0" w:line="277"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insofar as any of the Documents fall to be performed in any jurisdiction other than Ireland its performance will not be illegal or ineffective by virtue of the laws of that jurisdiction;</w:t>
      </w:r>
    </w:p>
    <w:p>
      <w:pPr>
        <w:spacing w:after="0" w:line="75" w:lineRule="exact"/>
        <w:rPr>
          <w:rFonts w:ascii="Arial" w:cs="Arial" w:eastAsia="Arial" w:hAnsi="Arial"/>
          <w:sz w:val="18"/>
          <w:szCs w:val="18"/>
          <w:color w:val="auto"/>
        </w:rPr>
      </w:pPr>
    </w:p>
    <w:p>
      <w:pPr>
        <w:jc w:val="both"/>
        <w:ind w:left="446" w:right="40" w:hanging="446"/>
        <w:spacing w:after="0" w:line="264"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the Company, Weatherford Delaware and Weatherford Bermuda together comprise a “group” for the purposes of section 243 of the 2014 Act and that any person that subsequently becomes an issuer or guarantor under the Indentures or whose obligations are guaranteed thereunder by the Company will also be, and continue to be, a member of such group.</w:t>
      </w:r>
    </w:p>
    <w:p>
      <w:pPr>
        <w:spacing w:after="0" w:line="86" w:lineRule="exact"/>
        <w:rPr>
          <w:rFonts w:ascii="Arial" w:cs="Arial" w:eastAsia="Arial" w:hAnsi="Arial"/>
          <w:sz w:val="18"/>
          <w:szCs w:val="18"/>
          <w:color w:val="auto"/>
        </w:rPr>
      </w:pPr>
    </w:p>
    <w:p>
      <w:pPr>
        <w:ind w:left="446" w:right="80" w:hanging="446"/>
        <w:spacing w:after="0" w:line="277"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there is or are no factual information or documents possessed or discoverable by persons other than ourselves of which we are not aware but of which we should be aware for the purposes of this opinion;</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accuracy and completeness as to factual matters of the representations and warranties of the Company contained in the Documents;</w:t>
      </w:r>
    </w:p>
    <w:p>
      <w:pPr>
        <w:spacing w:after="0" w:line="142" w:lineRule="exact"/>
        <w:rPr>
          <w:rFonts w:ascii="Arial" w:cs="Arial" w:eastAsia="Arial" w:hAnsi="Arial"/>
          <w:sz w:val="17"/>
          <w:szCs w:val="17"/>
          <w:color w:val="auto"/>
        </w:rPr>
      </w:pPr>
    </w:p>
    <w:p>
      <w:pPr>
        <w:ind w:left="446" w:hanging="446"/>
        <w:spacing w:after="0" w:line="277"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there are no agreements or arrangements in existence which in any way amend or vary or are inconsistent with the terms of the Documents or in any way bear upon, or are inconsistent with, the contents of this opinion;</w:t>
      </w:r>
    </w:p>
    <w:p>
      <w:pPr>
        <w:spacing w:after="0" w:line="75" w:lineRule="exact"/>
        <w:rPr>
          <w:rFonts w:ascii="Arial" w:cs="Arial" w:eastAsia="Arial" w:hAnsi="Arial"/>
          <w:sz w:val="18"/>
          <w:szCs w:val="18"/>
          <w:color w:val="auto"/>
        </w:rPr>
      </w:pPr>
    </w:p>
    <w:p>
      <w:pPr>
        <w:ind w:left="446" w:right="80" w:hanging="446"/>
        <w:spacing w:after="0" w:line="259"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in approving the filing by the Company of the Registration Statement and the execution and delivery by the Company of the Indentures and any Warrants, the directors of the Company have acted, or will act, in a manner they consider, in good faith, to be in the best interests of the Company for its legitimate business purposes and would be most likely to promote the success of the Company for the benefit of its members as a whole;</w:t>
      </w:r>
    </w:p>
    <w:p>
      <w:pPr>
        <w:spacing w:after="0" w:line="92" w:lineRule="exact"/>
        <w:rPr>
          <w:rFonts w:ascii="Arial" w:cs="Arial" w:eastAsia="Arial" w:hAnsi="Arial"/>
          <w:sz w:val="18"/>
          <w:szCs w:val="18"/>
          <w:color w:val="auto"/>
        </w:rPr>
      </w:pPr>
    </w:p>
    <w:p>
      <w:pPr>
        <w:ind w:left="446" w:right="60" w:hanging="446"/>
        <w:spacing w:after="0" w:line="277"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absence of fraud and the presence of good faith on the part of all parties to the Indentures and their respective officers, employees, agents and advisers;</w:t>
      </w:r>
    </w:p>
    <w:p>
      <w:pPr>
        <w:spacing w:after="0" w:line="75" w:lineRule="exact"/>
        <w:rPr>
          <w:rFonts w:ascii="Arial" w:cs="Arial" w:eastAsia="Arial" w:hAnsi="Arial"/>
          <w:sz w:val="18"/>
          <w:szCs w:val="18"/>
          <w:color w:val="auto"/>
        </w:rPr>
      </w:pPr>
    </w:p>
    <w:p>
      <w:pPr>
        <w:ind w:left="446" w:right="20" w:hanging="446"/>
        <w:spacing w:after="0" w:line="277"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the information disclosed by the Searches was accurate at the date the Searches were made and has not been altered and that the Searches did not fail to disclose any</w:t>
      </w:r>
    </w:p>
    <w:p>
      <w:pPr>
        <w:spacing w:after="0" w:line="10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6"/>
          </w:cols>
          <w:pgMar w:left="694" w:top="706" w:right="259" w:bottom="1440" w:gutter="0" w:footer="0" w:header="0"/>
        </w:sectPr>
      </w:pPr>
    </w:p>
    <w:bookmarkStart w:id="41" w:name="page42"/>
    <w:bookmarkEnd w:id="41"/>
    <w:p>
      <w:pPr>
        <w:jc w:val="both"/>
        <w:ind w:left="912"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183515</wp:posOffset>
            </wp:positionV>
            <wp:extent cx="1337945"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80340"/>
                    </a:xfrm>
                    <a:prstGeom prst="rect">
                      <a:avLst/>
                    </a:prstGeom>
                    <a:noFill/>
                  </pic:spPr>
                </pic:pic>
              </a:graphicData>
            </a:graphic>
          </wp:anchor>
        </w:drawing>
        <w:t>information which had been delivered for registration but did not appear from the information available at the time the Searches were made or which ought to have been delivered for registration at that time, but had not been so delivered, and that no additional matters would have been disclosed by searches carried out since that time;</w:t>
      </w:r>
    </w:p>
    <w:p>
      <w:pPr>
        <w:spacing w:after="0" w:line="87" w:lineRule="exact"/>
        <w:rPr>
          <w:sz w:val="20"/>
          <w:szCs w:val="20"/>
          <w:color w:val="auto"/>
        </w:rPr>
      </w:pPr>
    </w:p>
    <w:p>
      <w:pPr>
        <w:ind w:left="892" w:right="40" w:hanging="446"/>
        <w:spacing w:after="0" w:line="273" w:lineRule="auto"/>
        <w:tabs>
          <w:tab w:leader="none" w:pos="89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that: (i) the Company was, and will be, fully solvent (A) at the time of, and immediately after, the filing of the Registration Statement, (B) at the time of, and immediately after, the execution and delivery of the Indentures and any Warrants and (C) at the date hereof; (ii) the Company would not, as a consequence of doing any act or thing which any of the Documents contemplate, permit or require the Company to do, be insolvent; and (iii) no steps have been taken or, to the best of the knowledge, information and belief of the directors of the Company, are being taken to appoint a receiver, liquidator or an examiner over the Company or any part of its undertaking or assets, or to strike the Company off the Register of Companies or to otherwise dissolve or wind up the Company; and</w:t>
      </w:r>
    </w:p>
    <w:p>
      <w:pPr>
        <w:spacing w:after="0" w:line="84" w:lineRule="exact"/>
        <w:rPr>
          <w:sz w:val="20"/>
          <w:szCs w:val="20"/>
          <w:color w:val="auto"/>
        </w:rPr>
      </w:pPr>
    </w:p>
    <w:p>
      <w:pPr>
        <w:ind w:left="892" w:right="360" w:hanging="446"/>
        <w:spacing w:after="0" w:line="277" w:lineRule="auto"/>
        <w:tabs>
          <w:tab w:leader="none" w:pos="89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truth of all representations and information given to us in reply to any queries we have made which we have considered necessary for the purposes of giving this opinion.</w:t>
      </w:r>
    </w:p>
    <w:p>
      <w:pPr>
        <w:spacing w:after="0" w:line="315" w:lineRule="exact"/>
        <w:rPr>
          <w:sz w:val="20"/>
          <w:szCs w:val="20"/>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Opinion</w:t>
      </w:r>
    </w:p>
    <w:p>
      <w:pPr>
        <w:spacing w:after="0" w:line="121" w:lineRule="exact"/>
        <w:rPr>
          <w:rFonts w:ascii="Arial" w:cs="Arial" w:eastAsia="Arial" w:hAnsi="Arial"/>
          <w:sz w:val="18"/>
          <w:szCs w:val="18"/>
          <w:color w:val="auto"/>
        </w:rPr>
      </w:pPr>
    </w:p>
    <w:p>
      <w:pPr>
        <w:ind w:left="452" w:right="80"/>
        <w:spacing w:after="0" w:line="277" w:lineRule="auto"/>
        <w:rPr>
          <w:rFonts w:ascii="Arial" w:cs="Arial" w:eastAsia="Arial" w:hAnsi="Arial"/>
          <w:sz w:val="18"/>
          <w:szCs w:val="18"/>
          <w:color w:val="auto"/>
        </w:rPr>
      </w:pPr>
      <w:r>
        <w:rPr>
          <w:rFonts w:ascii="Arial" w:cs="Arial" w:eastAsia="Arial" w:hAnsi="Arial"/>
          <w:sz w:val="18"/>
          <w:szCs w:val="18"/>
          <w:color w:val="auto"/>
        </w:rPr>
        <w:t>Based upon, and subject to, the foregoing and subject to the qualifications set out in this letter and any matter not disclosed to us, we are of the opinion that so far as the laws of Ireland are concerned and are applicable:</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Company is a public limited company, duly incorporated and existing under the laws of Ireland;</w:t>
      </w:r>
    </w:p>
    <w:p>
      <w:pPr>
        <w:spacing w:after="0" w:line="130" w:lineRule="exact"/>
        <w:rPr>
          <w:rFonts w:ascii="Arial" w:cs="Arial" w:eastAsia="Arial" w:hAnsi="Arial"/>
          <w:sz w:val="18"/>
          <w:szCs w:val="18"/>
          <w:color w:val="auto"/>
        </w:rPr>
      </w:pPr>
    </w:p>
    <w:p>
      <w:pPr>
        <w:ind w:left="892" w:hanging="446"/>
        <w:spacing w:after="0" w:line="279" w:lineRule="auto"/>
        <w:tabs>
          <w:tab w:leader="none" w:pos="892" w:val="left"/>
        </w:tabs>
        <w:numPr>
          <w:ilvl w:val="1"/>
          <w:numId w:val="33"/>
        </w:numPr>
        <w:rPr>
          <w:rFonts w:ascii="Arial" w:cs="Arial" w:eastAsia="Arial" w:hAnsi="Arial"/>
          <w:sz w:val="17"/>
          <w:szCs w:val="17"/>
          <w:color w:val="auto"/>
        </w:rPr>
      </w:pPr>
      <w:r>
        <w:rPr>
          <w:rFonts w:ascii="Arial" w:cs="Arial" w:eastAsia="Arial" w:hAnsi="Arial"/>
          <w:sz w:val="17"/>
          <w:szCs w:val="17"/>
          <w:color w:val="auto"/>
        </w:rPr>
        <w:t>upon the issuance of Registered Shares as contemplated by the Registration Statement, subject to receipt by the Company of the full consideration payable in respect thereof, such Registered Shares will be validly issued, fully-paid and non-assessable (“non-assessable” is a phrase which has no meaning under Irish law, but, for the purposes of this Opinion, shall mean the registered holders of Registered Shares are not liable, solely by virtue of their shareholding, for the payment of further amounts of capital on such shares);</w:t>
      </w:r>
    </w:p>
    <w:p>
      <w:pPr>
        <w:spacing w:after="0" w:line="76" w:lineRule="exact"/>
        <w:rPr>
          <w:rFonts w:ascii="Arial" w:cs="Arial" w:eastAsia="Arial" w:hAnsi="Arial"/>
          <w:sz w:val="17"/>
          <w:szCs w:val="17"/>
          <w:color w:val="auto"/>
        </w:rPr>
      </w:pPr>
    </w:p>
    <w:p>
      <w:pPr>
        <w:ind w:left="892" w:right="320" w:hanging="446"/>
        <w:spacing w:after="0" w:line="308" w:lineRule="auto"/>
        <w:tabs>
          <w:tab w:leader="none" w:pos="892"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Company has the requisite corporate capacity to issue Warrants and, subject to the board of directors of the Company taking all necessary corporate actions to approve the issuance thereof, the issue of Warrants will be duly authorised under Irish law; and</w:t>
      </w:r>
    </w:p>
    <w:p>
      <w:pPr>
        <w:spacing w:after="0" w:line="51" w:lineRule="exact"/>
        <w:rPr>
          <w:rFonts w:ascii="Arial" w:cs="Arial" w:eastAsia="Arial" w:hAnsi="Arial"/>
          <w:sz w:val="17"/>
          <w:szCs w:val="17"/>
          <w:color w:val="auto"/>
        </w:rPr>
      </w:pPr>
    </w:p>
    <w:p>
      <w:pPr>
        <w:ind w:left="892" w:right="160" w:hanging="446"/>
        <w:spacing w:after="0" w:line="277" w:lineRule="auto"/>
        <w:tabs>
          <w:tab w:leader="none" w:pos="8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guarantees provided for under each Indenture have been duly authorised by the Company and constitute legal, valid and binding obligations of the Company.</w:t>
      </w:r>
    </w:p>
    <w:p>
      <w:pPr>
        <w:spacing w:after="0" w:line="315" w:lineRule="exact"/>
        <w:rPr>
          <w:sz w:val="20"/>
          <w:szCs w:val="20"/>
          <w:color w:val="auto"/>
        </w:rPr>
      </w:pPr>
    </w:p>
    <w:p>
      <w:pPr>
        <w:ind w:left="452" w:hanging="452"/>
        <w:spacing w:after="0"/>
        <w:tabs>
          <w:tab w:leader="none" w:pos="452"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Qualifications</w:t>
      </w:r>
    </w:p>
    <w:p>
      <w:pPr>
        <w:spacing w:after="0" w:line="12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opinions set forth in this opinion letter are given subject to the following qualifications:</w:t>
      </w:r>
    </w:p>
    <w:p>
      <w:pPr>
        <w:spacing w:after="0" w:line="130" w:lineRule="exact"/>
        <w:rPr>
          <w:rFonts w:ascii="Arial" w:cs="Arial" w:eastAsia="Arial" w:hAnsi="Arial"/>
          <w:sz w:val="18"/>
          <w:szCs w:val="18"/>
          <w:color w:val="auto"/>
        </w:rPr>
      </w:pPr>
    </w:p>
    <w:p>
      <w:pPr>
        <w:ind w:left="892" w:right="140" w:hanging="446"/>
        <w:spacing w:after="0" w:line="277" w:lineRule="auto"/>
        <w:tabs>
          <w:tab w:leader="none" w:pos="8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search at the Companies Registration Office is not capable of revealing whether or not a winding up petition or a petition for the appointment of an examiner has been presented and a search at the Registry of Winding up Petitions at the Central Office of</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706" w:right="259" w:bottom="1440" w:gutter="0" w:footer="0" w:header="0"/>
        </w:sectPr>
      </w:pPr>
    </w:p>
    <w:bookmarkStart w:id="42" w:name="page43"/>
    <w:bookmarkEnd w:id="42"/>
    <w:p>
      <w:pPr>
        <w:ind w:left="466"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183515</wp:posOffset>
            </wp:positionV>
            <wp:extent cx="1337945"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80340"/>
                    </a:xfrm>
                    <a:prstGeom prst="rect">
                      <a:avLst/>
                    </a:prstGeom>
                    <a:noFill/>
                  </pic:spPr>
                </pic:pic>
              </a:graphicData>
            </a:graphic>
          </wp:anchor>
        </w:drawing>
        <w:t>the High Court is not capable of revealing whether or not a receiver has been appointed. Whilst each of the making of a winding up order, the making of an order for the appointment of an examiner and the appointment of a receiver may be revealed by a search at the Companies Registration Office it may not be filed at the Companies Registration Office immediately and, therefore, our searches at the Companies Registration Office may not have revealed such matters.</w:t>
      </w:r>
    </w:p>
    <w:p>
      <w:pPr>
        <w:spacing w:after="0" w:line="92" w:lineRule="exact"/>
        <w:rPr>
          <w:sz w:val="20"/>
          <w:szCs w:val="20"/>
          <w:color w:val="auto"/>
        </w:rPr>
      </w:pPr>
    </w:p>
    <w:p>
      <w:pPr>
        <w:ind w:left="446" w:right="20" w:hanging="446"/>
        <w:spacing w:after="0" w:line="286" w:lineRule="auto"/>
        <w:tabs>
          <w:tab w:leader="none" w:pos="44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expressions “valid and binding” when used in paragraph 3 above mean that the obligations expressed to be assumed under the Indentures are of a type which the courts of Ireland will treat as valid and binding; it does not mean that these obligations will necessarily be enforced in all circumstances in accordance with their terms - in particular, enforcement of obligations under the Indentures may be:</w:t>
      </w:r>
    </w:p>
    <w:p>
      <w:pPr>
        <w:spacing w:after="0" w:line="70" w:lineRule="exact"/>
        <w:rPr>
          <w:rFonts w:ascii="Arial" w:cs="Arial" w:eastAsia="Arial" w:hAnsi="Arial"/>
          <w:sz w:val="17"/>
          <w:szCs w:val="17"/>
          <w:color w:val="auto"/>
        </w:rPr>
      </w:pPr>
    </w:p>
    <w:p>
      <w:pPr>
        <w:ind w:left="1026" w:right="420" w:hanging="567"/>
        <w:spacing w:after="0" w:line="277" w:lineRule="auto"/>
        <w:tabs>
          <w:tab w:leader="none" w:pos="1026" w:val="left"/>
        </w:tabs>
        <w:numPr>
          <w:ilvl w:val="1"/>
          <w:numId w:val="35"/>
        </w:numPr>
        <w:rPr>
          <w:rFonts w:ascii="Arial" w:cs="Arial" w:eastAsia="Arial" w:hAnsi="Arial"/>
          <w:sz w:val="18"/>
          <w:szCs w:val="18"/>
          <w:color w:val="auto"/>
        </w:rPr>
      </w:pPr>
      <w:r>
        <w:rPr>
          <w:rFonts w:ascii="Arial" w:cs="Arial" w:eastAsia="Arial" w:hAnsi="Arial"/>
          <w:sz w:val="18"/>
          <w:szCs w:val="18"/>
          <w:color w:val="auto"/>
        </w:rPr>
        <w:t>limited by general principles of equity, in particular, equitable remedies (such as an order for specific performance or an injunction) which are discretionary and are not available where damages are considered to be an adequate remedy;</w:t>
      </w:r>
    </w:p>
    <w:p>
      <w:pPr>
        <w:spacing w:after="0" w:line="75" w:lineRule="exact"/>
        <w:rPr>
          <w:rFonts w:ascii="Arial" w:cs="Arial" w:eastAsia="Arial" w:hAnsi="Arial"/>
          <w:sz w:val="18"/>
          <w:szCs w:val="18"/>
          <w:color w:val="auto"/>
        </w:rPr>
      </w:pPr>
    </w:p>
    <w:p>
      <w:pPr>
        <w:ind w:left="1026" w:right="600" w:hanging="567"/>
        <w:spacing w:after="0" w:line="308" w:lineRule="auto"/>
        <w:tabs>
          <w:tab w:leader="none" w:pos="1026" w:val="left"/>
        </w:tabs>
        <w:numPr>
          <w:ilvl w:val="1"/>
          <w:numId w:val="35"/>
        </w:numPr>
        <w:rPr>
          <w:rFonts w:ascii="Arial" w:cs="Arial" w:eastAsia="Arial" w:hAnsi="Arial"/>
          <w:sz w:val="17"/>
          <w:szCs w:val="17"/>
          <w:color w:val="auto"/>
        </w:rPr>
      </w:pPr>
      <w:r>
        <w:rPr>
          <w:rFonts w:ascii="Arial" w:cs="Arial" w:eastAsia="Arial" w:hAnsi="Arial"/>
          <w:sz w:val="17"/>
          <w:szCs w:val="17"/>
          <w:color w:val="auto"/>
        </w:rPr>
        <w:t>subject to any limitations arising from examinership, administration, bankruptcy, insolvency, moratoria, receivership, liquidation, reorganisation, court scheme of arrangement, arrangement and similar laws affecting the rights of creditors;</w:t>
      </w:r>
    </w:p>
    <w:p>
      <w:pPr>
        <w:spacing w:after="0" w:line="51" w:lineRule="exact"/>
        <w:rPr>
          <w:rFonts w:ascii="Arial" w:cs="Arial" w:eastAsia="Arial" w:hAnsi="Arial"/>
          <w:sz w:val="17"/>
          <w:szCs w:val="17"/>
          <w:color w:val="auto"/>
        </w:rPr>
      </w:pPr>
    </w:p>
    <w:p>
      <w:pPr>
        <w:ind w:left="1026" w:right="600" w:hanging="567"/>
        <w:spacing w:after="0" w:line="277" w:lineRule="auto"/>
        <w:tabs>
          <w:tab w:leader="none" w:pos="1026" w:val="left"/>
        </w:tabs>
        <w:numPr>
          <w:ilvl w:val="1"/>
          <w:numId w:val="35"/>
        </w:numPr>
        <w:rPr>
          <w:rFonts w:ascii="Arial" w:cs="Arial" w:eastAsia="Arial" w:hAnsi="Arial"/>
          <w:sz w:val="18"/>
          <w:szCs w:val="18"/>
          <w:color w:val="auto"/>
        </w:rPr>
      </w:pPr>
      <w:r>
        <w:rPr>
          <w:rFonts w:ascii="Arial" w:cs="Arial" w:eastAsia="Arial" w:hAnsi="Arial"/>
          <w:sz w:val="18"/>
          <w:szCs w:val="18"/>
          <w:color w:val="auto"/>
        </w:rPr>
        <w:t>limited by the provisions of the law of Ireland applicable to contracts held to have been frustrated by events happening after their execution;</w:t>
      </w:r>
    </w:p>
    <w:p>
      <w:pPr>
        <w:spacing w:after="0" w:line="75" w:lineRule="exact"/>
        <w:rPr>
          <w:rFonts w:ascii="Arial" w:cs="Arial" w:eastAsia="Arial" w:hAnsi="Arial"/>
          <w:sz w:val="18"/>
          <w:szCs w:val="18"/>
          <w:color w:val="auto"/>
        </w:rPr>
      </w:pPr>
    </w:p>
    <w:p>
      <w:pPr>
        <w:ind w:left="1026" w:hanging="567"/>
        <w:spacing w:after="0" w:line="277" w:lineRule="auto"/>
        <w:tabs>
          <w:tab w:leader="none" w:pos="1026"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invalidated if and to the extent that performance or observance arising in a jurisdiction outside Ireland would be unlawful, unenforceable, or contrary to public policy or to the exchange control regulations under the law of such jurisdiction;</w:t>
      </w:r>
    </w:p>
    <w:p>
      <w:pPr>
        <w:spacing w:after="0" w:line="75" w:lineRule="exact"/>
        <w:rPr>
          <w:rFonts w:ascii="Arial" w:cs="Arial" w:eastAsia="Arial" w:hAnsi="Arial"/>
          <w:sz w:val="18"/>
          <w:szCs w:val="18"/>
          <w:color w:val="auto"/>
        </w:rPr>
      </w:pPr>
    </w:p>
    <w:p>
      <w:pPr>
        <w:ind w:left="1026" w:hanging="567"/>
        <w:spacing w:after="0"/>
        <w:tabs>
          <w:tab w:leader="none" w:pos="1026"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invalidated by reason of fraud; and</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35"/>
        </w:numPr>
        <w:rPr>
          <w:rFonts w:ascii="Arial" w:cs="Arial" w:eastAsia="Arial" w:hAnsi="Arial"/>
          <w:sz w:val="16"/>
          <w:szCs w:val="16"/>
          <w:color w:val="auto"/>
        </w:rPr>
      </w:pPr>
      <w:r>
        <w:rPr>
          <w:rFonts w:ascii="Arial" w:cs="Arial" w:eastAsia="Arial" w:hAnsi="Arial"/>
          <w:sz w:val="16"/>
          <w:szCs w:val="16"/>
          <w:color w:val="auto"/>
        </w:rPr>
        <w:t>barred under the Statute of Limitation Acts 1957 (as amended) or may be or become subject to the defence of set-off or counterclaim.</w:t>
      </w:r>
    </w:p>
    <w:p>
      <w:pPr>
        <w:spacing w:after="0" w:line="153" w:lineRule="exact"/>
        <w:rPr>
          <w:rFonts w:ascii="Arial" w:cs="Arial" w:eastAsia="Arial" w:hAnsi="Arial"/>
          <w:sz w:val="16"/>
          <w:szCs w:val="16"/>
          <w:color w:val="auto"/>
        </w:rPr>
      </w:pPr>
    </w:p>
    <w:p>
      <w:pPr>
        <w:ind w:left="446" w:right="200" w:hanging="446"/>
        <w:spacing w:after="0" w:line="277" w:lineRule="auto"/>
        <w:tabs>
          <w:tab w:leader="none" w:pos="4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provision of any of the Documents which provides for interest to be paid on overdue amounts at a rate higher than the predefault rate may amount to a penalty under the laws of Ireland and may therefore not be recoverable.</w:t>
      </w:r>
    </w:p>
    <w:p>
      <w:pPr>
        <w:spacing w:after="0" w:line="75" w:lineRule="exact"/>
        <w:rPr>
          <w:rFonts w:ascii="Arial" w:cs="Arial" w:eastAsia="Arial" w:hAnsi="Arial"/>
          <w:sz w:val="18"/>
          <w:szCs w:val="18"/>
          <w:color w:val="auto"/>
        </w:rPr>
      </w:pPr>
    </w:p>
    <w:p>
      <w:pPr>
        <w:ind w:left="446" w:hanging="446"/>
        <w:spacing w:after="0"/>
        <w:tabs>
          <w:tab w:leader="none" w:pos="446"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 opinion is expressed as to whether the courts of Ireland would give effect to any currency indemnity contained in any of the Documents.</w:t>
      </w:r>
    </w:p>
    <w:p>
      <w:pPr>
        <w:spacing w:after="0" w:line="142" w:lineRule="exact"/>
        <w:rPr>
          <w:rFonts w:ascii="Arial" w:cs="Arial" w:eastAsia="Arial" w:hAnsi="Arial"/>
          <w:sz w:val="17"/>
          <w:szCs w:val="17"/>
          <w:color w:val="auto"/>
        </w:rPr>
      </w:pPr>
    </w:p>
    <w:p>
      <w:pPr>
        <w:ind w:left="446" w:right="120" w:hanging="446"/>
        <w:spacing w:after="0" w:line="264" w:lineRule="auto"/>
        <w:tabs>
          <w:tab w:leader="none" w:pos="4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Irish court may refuse to give effect to a purported contractual obligation to pay costs imposed upon a party in respect of the costs of any unsuccessful litigation brought against that party and such a court may not award by way of costs all of the expenditure incurred by a successful litigant in proceedings brought before that court.</w:t>
      </w:r>
    </w:p>
    <w:p>
      <w:pPr>
        <w:spacing w:after="0" w:line="86" w:lineRule="exact"/>
        <w:rPr>
          <w:rFonts w:ascii="Arial" w:cs="Arial" w:eastAsia="Arial" w:hAnsi="Arial"/>
          <w:sz w:val="18"/>
          <w:szCs w:val="18"/>
          <w:color w:val="auto"/>
        </w:rPr>
      </w:pPr>
    </w:p>
    <w:p>
      <w:pPr>
        <w:ind w:left="446" w:right="40" w:hanging="446"/>
        <w:spacing w:after="0" w:line="277" w:lineRule="auto"/>
        <w:tabs>
          <w:tab w:leader="none" w:pos="4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Where any party to the Documents is vested with a discretion or may determine a matter in its opinion, Irish law may require that such discretion is exercised reasonably or that such opinion is based on reasonable grounds.</w:t>
      </w:r>
    </w:p>
    <w:p>
      <w:pPr>
        <w:spacing w:after="0" w:line="10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6"/>
          </w:cols>
          <w:pgMar w:left="694" w:top="706" w:right="279" w:bottom="1440" w:gutter="0" w:footer="0" w:header="0"/>
        </w:sectPr>
      </w:pPr>
    </w:p>
    <w:bookmarkStart w:id="43" w:name="page44"/>
    <w:bookmarkEnd w:id="43"/>
    <w:p>
      <w:pPr>
        <w:jc w:val="both"/>
        <w:ind w:left="900" w:right="560" w:hanging="446"/>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6066155</wp:posOffset>
            </wp:positionH>
            <wp:positionV relativeFrom="page">
              <wp:posOffset>183515</wp:posOffset>
            </wp:positionV>
            <wp:extent cx="1337945"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337945" cy="180340"/>
                    </a:xfrm>
                    <a:prstGeom prst="rect">
                      <a:avLst/>
                    </a:prstGeom>
                    <a:noFill/>
                  </pic:spPr>
                </pic:pic>
              </a:graphicData>
            </a:graphic>
          </wp:anchor>
        </w:drawing>
        <w:t>Any provision in the Documents providing that any calculation or certification is to be conclusive and binding will not be effective if such calculation or certification is fraudulent and will not necessarily prevent judicial enquiry into the merits of any claim by any party thereto.</w:t>
      </w:r>
    </w:p>
    <w:p>
      <w:pPr>
        <w:spacing w:after="0" w:line="29" w:lineRule="exact"/>
        <w:rPr>
          <w:rFonts w:ascii="Arial" w:cs="Arial" w:eastAsia="Arial" w:hAnsi="Arial"/>
          <w:sz w:val="16"/>
          <w:szCs w:val="16"/>
          <w:color w:val="auto"/>
        </w:rPr>
      </w:pPr>
    </w:p>
    <w:p>
      <w:pPr>
        <w:ind w:left="900" w:right="320" w:hanging="446"/>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Provisions as to severability may not be binding under the laws of Ireland as the question of whether or not any provision of any of the Documents which may be invalid on account of illegality or otherwise may be severed from the other provisions thereof in order to save such other provisions would be determined by an Irish court at its discretion.</w:t>
      </w:r>
    </w:p>
    <w:p>
      <w:pPr>
        <w:spacing w:after="0" w:line="86"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agreement may be varied, amended or discharged by a further agreement or affected by a collateral agreement which may be effected by an oral agreement or a course of dealing.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regards jurisdiction, the courts of Ireland may stay proceedings if concurrent proceedings are being brought elsewhere.</w:t>
      </w:r>
    </w:p>
    <w:p>
      <w:pPr>
        <w:spacing w:after="0" w:line="130" w:lineRule="exact"/>
        <w:rPr>
          <w:rFonts w:ascii="Arial" w:cs="Arial" w:eastAsia="Arial" w:hAnsi="Arial"/>
          <w:sz w:val="18"/>
          <w:szCs w:val="18"/>
          <w:color w:val="auto"/>
        </w:rPr>
      </w:pPr>
    </w:p>
    <w:p>
      <w:pPr>
        <w:ind w:left="900" w:hanging="446"/>
        <w:spacing w:after="0" w:line="276" w:lineRule="auto"/>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Whilst in the event of any proceedings being brought in the Irish courts in respect of a monetary obligation expressed to be payable in a currency other than euro, an Irish court would have power to give a judgement expressed as an order to pay a currency other than euro, it may decline to do so in its discretion and an Irish court might not enforce the benefit of any currency or conversion clause and, with respect to a bankruptcy, liquidation, insolvency, reorganisation or similar proceeding, Irish law may require that all clauses or debts are converted into euro at an exchange rate determined by the court as at a date related thereto, such as the date of commencement of a winding up.</w:t>
      </w:r>
    </w:p>
    <w:p>
      <w:pPr>
        <w:spacing w:after="0" w:line="77" w:lineRule="exact"/>
        <w:rPr>
          <w:rFonts w:ascii="Arial" w:cs="Arial" w:eastAsia="Arial" w:hAnsi="Arial"/>
          <w:sz w:val="17"/>
          <w:szCs w:val="17"/>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terms exculpating any party to the Documents from a liability or duty otherwise owed are limited by law.</w:t>
      </w:r>
    </w:p>
    <w:p>
      <w:pPr>
        <w:spacing w:after="0" w:line="130"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Companies Act 2014 Act prohibits certain steps being taken except with the leave of the court against a company after the presentation of a petition for the appointment of an examiner. This prohibition continues, if an examiner is appointed, for so long as the examiner remains appointed (maximum period of 100 days or such period as the relevant court may determine). Prohibited steps include steps taken to enforce any guarantees or security, the commencement or continuation of proceedings or execution or other legal process or the levying of distress against the company or its property and the appointment of a receiver.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right of set-of provided for in a contract may not be enforceable in all circumstances.</w:t>
      </w:r>
    </w:p>
    <w:p>
      <w:pPr>
        <w:spacing w:after="0" w:line="130" w:lineRule="exact"/>
        <w:rPr>
          <w:rFonts w:ascii="Arial" w:cs="Arial" w:eastAsia="Arial" w:hAnsi="Arial"/>
          <w:sz w:val="18"/>
          <w:szCs w:val="18"/>
          <w:color w:val="auto"/>
        </w:rPr>
      </w:pPr>
    </w:p>
    <w:p>
      <w:pPr>
        <w:ind w:left="900" w:right="240" w:hanging="446"/>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courts of Ireland may interpret restrictively any provisions purporting to allow the beneficiary of a guarantee or other suretyship to make a material amendment to the obligations to which the guarantee or suretyship relates without further reference to the guarantor or surety.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MATHESON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0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23.3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consent to the use of our reports dated February 16, 2016, with respect to the consolidated balance sheets of Weatherford International plc, as of December 31, 2015, and the related consolidated statements of operations, comprehensive income (loss), shareholders’ equity, and cash flows for each of the years in the three-year period ended December 31, 2015, the related financial statement schedule for each of the years in the three-year period ended December 31, 2015, and the effectiveness of internal control over financial reporting as of December 31, 2015, incorporated herein by reference and to the reference to our firm under the heading “Experts” in the prospectus, which reports appear in the December 31, 2015 annual report on Form 10-K of Weatherford International plc.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16,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lowerRoman"/>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713"/>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
    <w:nsid w:val="8EDBDAB"/>
    <w:multiLevelType w:val="hybridMultilevel"/>
    <w:lvl w:ilvl="0">
      <w:lvlJc w:val="left"/>
      <w:lvlText w:val="(%1)"/>
      <w:numFmt w:val="decimal"/>
      <w:start w:val="2"/>
    </w:lvl>
    <w:lvl w:ilvl="1">
      <w:lvlJc w:val="left"/>
      <w:lvlText w:val="(%2)"/>
      <w:numFmt w:val="lowerRoman"/>
      <w:start w:val="1"/>
    </w:lvl>
  </w:abstractNum>
  <w:abstractNum w:abstractNumId="13">
    <w:nsid w:val="79838CB2"/>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4">
    <w:nsid w:val="4353D0C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lowerLetter"/>
      <w:start w:val="14"/>
    </w:lvl>
  </w:abstractNum>
  <w:abstractNum w:abstractNumId="17">
    <w:nsid w:val="54E49EB4"/>
    <w:multiLevelType w:val="hybridMultilevel"/>
    <w:lvl w:ilvl="0">
      <w:lvlJc w:val="left"/>
      <w:lvlText w:val="(%1)"/>
      <w:numFmt w:val="lowerLetter"/>
      <w:start w:val="7"/>
    </w:lvl>
    <w:lvl w:ilvl="1">
      <w:lvlJc w:val="left"/>
      <w:lvlText w:val="-"/>
      <w:numFmt w:val="bullet"/>
      <w:start w:val="1"/>
    </w:lvl>
  </w:abstractNum>
  <w:abstractNum w:abstractNumId="18">
    <w:nsid w:val="71F32454"/>
    <w:multiLevelType w:val="hybridMultilevel"/>
    <w:lvl w:ilvl="0">
      <w:lvlJc w:val="left"/>
      <w:lvlText w:val="(%1)"/>
      <w:numFmt w:val="lowerLetter"/>
      <w:start w:val="10"/>
    </w:lvl>
    <w:lvl w:ilvl="1">
      <w:lvlJc w:val="left"/>
      <w:lvlText w:val="-"/>
      <w:numFmt w:val="bullet"/>
      <w:start w:val="1"/>
    </w:lvl>
  </w:abstractNum>
  <w:abstractNum w:abstractNumId="19">
    <w:nsid w:val="2CA88611"/>
    <w:multiLevelType w:val="hybridMultilevel"/>
    <w:lvl w:ilvl="0">
      <w:lvlJc w:val="left"/>
      <w:lvlText w:val="(%1)"/>
      <w:numFmt w:val="lowerLetter"/>
      <w:start w:val="1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4"/>
    </w:lvl>
  </w:abstractNum>
  <w:abstractNum w:abstractNumId="23">
    <w:nsid w:val="8138641"/>
    <w:multiLevelType w:val="hybridMultilevel"/>
    <w:lvl w:ilvl="0">
      <w:lvlJc w:val="left"/>
      <w:lvlText w:val="1"/>
      <w:numFmt w:val="bullet"/>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2"/>
      <w:numFmt w:val="bullet"/>
      <w:start w:val="1"/>
    </w:lvl>
    <w:lvl w:ilvl="1">
      <w:lvlJc w:val="left"/>
      <w:lvlText w:val="(%2)"/>
      <w:numFmt w:val="lowerLetter"/>
      <w:start w:val="1"/>
    </w:lvl>
  </w:abstractNum>
  <w:abstractNum w:abstractNumId="26">
    <w:nsid w:val="737B8DDC"/>
    <w:multiLevelType w:val="hybridMultilevel"/>
    <w:lvl w:ilvl="0">
      <w:lvlJc w:val="left"/>
      <w:lvlText w:val="(%1)"/>
      <w:numFmt w:val="lowerLetter"/>
      <w:start w:val="4"/>
    </w:lvl>
  </w:abstractNum>
  <w:abstractNum w:abstractNumId="27">
    <w:nsid w:val="6CEAF087"/>
    <w:multiLevelType w:val="hybridMultilevel"/>
    <w:lvl w:ilvl="0">
      <w:lvlJc w:val="left"/>
      <w:lvlText w:val="(%1)"/>
      <w:numFmt w:val="lowerLetter"/>
      <w:start w:val="11"/>
    </w:lvl>
    <w:lvl w:ilvl="1">
      <w:lvlJc w:val="left"/>
      <w:lvlText w:val="(%2)"/>
      <w:numFmt w:val="lowerRoman"/>
      <w:start w:val="1"/>
    </w:lvl>
  </w:abstractNum>
  <w:abstractNum w:abstractNumId="28">
    <w:nsid w:val="22221A70"/>
    <w:multiLevelType w:val="hybridMultilevel"/>
    <w:lvl w:ilvl="0">
      <w:lvlJc w:val="left"/>
      <w:lvlText w:val="(%1)"/>
      <w:numFmt w:val="lowerLetter"/>
      <w:start w:val="13"/>
    </w:lvl>
  </w:abstractNum>
  <w:abstractNum w:abstractNumId="29">
    <w:nsid w:val="4516DDE9"/>
    <w:multiLevelType w:val="hybridMultilevel"/>
    <w:lvl w:ilvl="0">
      <w:lvlJc w:val="left"/>
      <w:lvlText w:val="(%1)"/>
      <w:numFmt w:val="lowerLetter"/>
      <w:start w:val="16"/>
    </w:lvl>
  </w:abstractNum>
  <w:abstractNum w:abstractNumId="30">
    <w:nsid w:val="3006C83E"/>
    <w:multiLevelType w:val="hybridMultilevel"/>
    <w:lvl w:ilvl="0">
      <w:lvlJc w:val="left"/>
      <w:lvlText w:val="(%1)"/>
      <w:numFmt w:val="lowerLetter"/>
      <w:start w:val="26"/>
    </w:lvl>
  </w:abstractNum>
  <w:abstractNum w:abstractNumId="31">
    <w:nsid w:val="614FD4A1"/>
    <w:multiLevelType w:val="hybridMultilevel"/>
    <w:lvl w:ilvl="0">
      <w:lvlJc w:val="left"/>
      <w:lvlText w:val="(%1)"/>
      <w:numFmt w:val="lowerLetter"/>
      <w:start w:val="27"/>
    </w:lvl>
  </w:abstractNum>
  <w:abstractNum w:abstractNumId="32">
    <w:nsid w:val="419AC241"/>
    <w:multiLevelType w:val="hybridMultilevel"/>
    <w:lvl w:ilvl="0">
      <w:lvlJc w:val="left"/>
      <w:lvlText w:val="3"/>
      <w:numFmt w:val="bullet"/>
      <w:start w:val="1"/>
    </w:lvl>
    <w:lvl w:ilvl="1">
      <w:lvlJc w:val="left"/>
      <w:lvlText w:val="(%2)"/>
      <w:numFmt w:val="lowerLetter"/>
      <w:start w:val="1"/>
    </w:lvl>
  </w:abstractNum>
  <w:abstractNum w:abstractNumId="33">
    <w:nsid w:val="5577F8E1"/>
    <w:multiLevelType w:val="hybridMultilevel"/>
    <w:lvl w:ilvl="0">
      <w:lvlJc w:val="left"/>
      <w:lvlText w:val="4"/>
      <w:numFmt w:val="bullet"/>
      <w:start w:val="1"/>
    </w:lvl>
    <w:lvl w:ilvl="1">
      <w:lvlJc w:val="left"/>
      <w:lvlText w:val="(%2)"/>
      <w:numFmt w:val="lowerLetter"/>
      <w:start w:val="1"/>
    </w:lvl>
  </w:abstractNum>
  <w:abstractNum w:abstractNumId="34">
    <w:nsid w:val="440BADFC"/>
    <w:multiLevelType w:val="hybridMultilevel"/>
    <w:lvl w:ilvl="0">
      <w:lvlJc w:val="left"/>
      <w:lvlText w:val="(%1)"/>
      <w:numFmt w:val="lowerLetter"/>
      <w:start w:val="2"/>
    </w:lvl>
    <w:lvl w:ilvl="1">
      <w:lvlJc w:val="left"/>
      <w:lvlText w:val="(%2)"/>
      <w:numFmt w:val="lowerRoman"/>
      <w:start w:val="1"/>
    </w:lvl>
  </w:abstractNum>
  <w:abstractNum w:abstractNumId="35">
    <w:nsid w:val="5072367"/>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2019-12-20T23:09:00Z</dcterms:created>
  <dcterms:modified xsi:type="dcterms:W3CDTF">2019-12-20T23:09:00Z</dcterms:modified>
</cp:coreProperties>
</file>