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28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280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300"/>
            <w:col w:w="8520"/>
          </w:cols>
          <w:pgMar w:left="460" w:top="222" w:right="359" w:bottom="7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Jennings H. Keith</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8" w:right="620" w:hanging="8"/>
        <w:spacing w:after="0" w:line="238"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08"/>
        <w:spacing w:after="0"/>
        <w:rPr>
          <w:sz w:val="20"/>
          <w:szCs w:val="20"/>
          <w:color w:val="auto"/>
        </w:rPr>
      </w:pPr>
      <w:r>
        <w:rPr>
          <w:rFonts w:ascii="Arial" w:cs="Arial" w:eastAsia="Arial" w:hAnsi="Arial"/>
          <w:sz w:val="17"/>
          <w:szCs w:val="17"/>
          <w:color w:val="0000FF"/>
        </w:rPr>
        <w:t>EVP and CFO</w:t>
      </w:r>
    </w:p>
    <w:p>
      <w:pPr>
        <w:spacing w:after="0" w:line="309" w:lineRule="exact"/>
        <w:rPr>
          <w:sz w:val="24"/>
          <w:szCs w:val="24"/>
          <w:color w:val="auto"/>
        </w:rPr>
      </w:pPr>
    </w:p>
    <w:p>
      <w:pPr>
        <w:sectPr>
          <w:pgSz w:w="11900" w:h="16838" w:orient="portrait"/>
          <w:cols w:equalWidth="0" w:num="3">
            <w:col w:w="3180" w:space="720"/>
            <w:col w:w="3220" w:space="612"/>
            <w:col w:w="3348"/>
          </w:cols>
          <w:pgMar w:left="460" w:top="222" w:right="359" w:bottom="776"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4"/>
          <w:szCs w:val="24"/>
          <w:color w:val="auto"/>
        </w:rPr>
      </w:pPr>
    </w:p>
    <w:p>
      <w:pPr>
        <w:sectPr>
          <w:pgSz w:w="11900" w:h="16838" w:orient="portrait"/>
          <w:cols w:equalWidth="0" w:num="2">
            <w:col w:w="3760" w:space="140"/>
            <w:col w:w="7180"/>
          </w:cols>
          <w:pgMar w:left="460" w:top="222" w:right="359" w:bottom="77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57,898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57,898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(2)</w:t>
            </w:r>
          </w:p>
        </w:tc>
        <w:tc>
          <w:tcPr>
            <w:tcW w:w="76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17,669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76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23,485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63,714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6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23,485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27.6766</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ind w:right="13"/>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jc w:val="right"/>
              <w:ind w:right="333"/>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right"/>
              <w:ind w:right="213"/>
              <w:spacing w:after="0"/>
              <w:rPr>
                <w:sz w:val="20"/>
                <w:szCs w:val="20"/>
                <w:color w:val="auto"/>
              </w:rPr>
            </w:pPr>
            <w:r>
              <w:rPr>
                <w:rFonts w:ascii="Arial" w:cs="Arial" w:eastAsia="Arial" w:hAnsi="Arial"/>
                <w:sz w:val="11"/>
                <w:szCs w:val="11"/>
                <w:color w:val="008000"/>
              </w:rPr>
              <w:t>(1)</w:t>
            </w: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w w:val="88"/>
              </w:rPr>
              <w:t>Ordinary</w:t>
            </w: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57,898</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0"/>
                <w:szCs w:val="10"/>
                <w:color w:val="auto"/>
              </w:rPr>
            </w:pPr>
          </w:p>
        </w:tc>
        <w:tc>
          <w:tcPr>
            <w:tcW w:w="44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20"/>
              <w:spacing w:after="0" w:line="125" w:lineRule="exact"/>
              <w:rPr>
                <w:sz w:val="20"/>
                <w:szCs w:val="20"/>
                <w:color w:val="auto"/>
              </w:rPr>
            </w:pPr>
            <w:r>
              <w:rPr>
                <w:rFonts w:ascii="Arial" w:cs="Arial" w:eastAsia="Arial" w:hAnsi="Arial"/>
                <w:sz w:val="13"/>
                <w:szCs w:val="13"/>
                <w:color w:val="0000FF"/>
                <w:w w:val="85"/>
              </w:rPr>
              <w:t>57,898</w:t>
            </w: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line="125" w:lineRule="exact"/>
              <w:rPr>
                <w:sz w:val="20"/>
                <w:szCs w:val="20"/>
                <w:color w:val="auto"/>
              </w:rPr>
            </w:pPr>
            <w:r>
              <w:rPr>
                <w:rFonts w:ascii="Arial" w:cs="Arial" w:eastAsia="Arial" w:hAnsi="Arial"/>
                <w:sz w:val="13"/>
                <w:szCs w:val="13"/>
                <w:color w:val="0000FF"/>
              </w:rPr>
              <w:t>57,898</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40"/>
              <w:spacing w:after="0" w:line="143" w:lineRule="exact"/>
              <w:rPr>
                <w:sz w:val="20"/>
                <w:szCs w:val="20"/>
                <w:color w:val="auto"/>
              </w:rPr>
            </w:pPr>
            <w:r>
              <w:rPr>
                <w:rFonts w:ascii="Arial" w:cs="Arial" w:eastAsia="Arial" w:hAnsi="Arial"/>
                <w:sz w:val="13"/>
                <w:szCs w:val="13"/>
                <w:color w:val="0000FF"/>
                <w:w w:val="92"/>
              </w:rPr>
              <w:t>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w w:val="85"/>
              </w:rPr>
              <w:t>23,485</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jc w:val="right"/>
              <w:ind w:right="213"/>
              <w:spacing w:after="0"/>
              <w:rPr>
                <w:sz w:val="20"/>
                <w:szCs w:val="20"/>
                <w:color w:val="auto"/>
              </w:rPr>
            </w:pPr>
            <w:r>
              <w:rPr>
                <w:rFonts w:ascii="Arial" w:cs="Arial" w:eastAsia="Arial" w:hAnsi="Arial"/>
                <w:sz w:val="11"/>
                <w:szCs w:val="11"/>
                <w:color w:val="008000"/>
              </w:rPr>
              <w:t>(6)</w:t>
            </w:r>
          </w:p>
        </w:tc>
        <w:tc>
          <w:tcPr>
            <w:tcW w:w="540" w:type="dxa"/>
            <w:vAlign w:val="bottom"/>
          </w:tcPr>
          <w:p>
            <w:pPr>
              <w:ind w:left="80"/>
              <w:spacing w:after="0"/>
              <w:rPr>
                <w:sz w:val="20"/>
                <w:szCs w:val="20"/>
                <w:color w:val="auto"/>
              </w:rPr>
            </w:pPr>
            <w:r>
              <w:rPr>
                <w:rFonts w:ascii="Arial" w:cs="Arial" w:eastAsia="Arial" w:hAnsi="Arial"/>
                <w:sz w:val="13"/>
                <w:szCs w:val="13"/>
                <w:color w:val="0000FF"/>
                <w:w w:val="88"/>
              </w:rPr>
              <w:t>Ordinary</w:t>
            </w:r>
          </w:p>
        </w:tc>
        <w:tc>
          <w:tcPr>
            <w:tcW w:w="660" w:type="dxa"/>
            <w:vAlign w:val="bottom"/>
          </w:tcPr>
          <w:p>
            <w:pPr>
              <w:ind w:left="140"/>
              <w:spacing w:after="0" w:line="190" w:lineRule="exact"/>
              <w:rPr>
                <w:sz w:val="20"/>
                <w:szCs w:val="20"/>
                <w:color w:val="auto"/>
              </w:rPr>
            </w:pPr>
            <w:r>
              <w:rPr>
                <w:rFonts w:ascii="Arial" w:cs="Arial" w:eastAsia="Arial" w:hAnsi="Arial"/>
                <w:sz w:val="17"/>
                <w:szCs w:val="17"/>
                <w:color w:val="0000FF"/>
                <w:w w:val="96"/>
              </w:rPr>
              <w:t>23,485</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ind w:right="101"/>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Share</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ind w:left="140"/>
              <w:spacing w:after="0" w:line="105" w:lineRule="exact"/>
              <w:rPr>
                <w:sz w:val="20"/>
                <w:szCs w:val="20"/>
                <w:color w:val="auto"/>
              </w:rPr>
            </w:pPr>
            <w:r>
              <w:rPr>
                <w:rFonts w:ascii="Arial" w:cs="Arial" w:eastAsia="Arial" w:hAnsi="Arial"/>
                <w:sz w:val="12"/>
                <w:szCs w:val="12"/>
                <w:color w:val="0000FF"/>
                <w:w w:val="99"/>
              </w:rPr>
              <w:t>Shares</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2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the first installment of restricted share units ("RSUs") granted on January 4, 2021 pursuant to Issuer's Second Amended and Restated 2019 Equity Incentive Plan (the "2019 EIP"). The RSUs vest in two equal installments over the two-year period from the date of grant.</w:t>
      </w:r>
    </w:p>
    <w:p>
      <w:pPr>
        <w:spacing w:after="0" w:line="24" w:lineRule="exact"/>
        <w:rPr>
          <w:rFonts w:ascii="Arial" w:cs="Arial" w:eastAsia="Arial" w:hAnsi="Arial"/>
          <w:sz w:val="13"/>
          <w:szCs w:val="13"/>
          <w:color w:val="008000"/>
        </w:rPr>
      </w:pPr>
    </w:p>
    <w:p>
      <w:pPr>
        <w:ind w:left="40" w:right="16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RSUs to satisfy the reporting person's tax withholding obligations upon vesting, pursuant to the award agreement and the 2019 EIP under which the award was granted.</w:t>
      </w:r>
    </w:p>
    <w:p>
      <w:pPr>
        <w:spacing w:after="0" w:line="24" w:lineRule="exact"/>
        <w:rPr>
          <w:rFonts w:ascii="Arial" w:cs="Arial" w:eastAsia="Arial" w:hAnsi="Arial"/>
          <w:sz w:val="13"/>
          <w:szCs w:val="13"/>
          <w:color w:val="008000"/>
        </w:rPr>
      </w:pPr>
    </w:p>
    <w:p>
      <w:pPr>
        <w:ind w:left="40" w:right="16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deemed acquisition of the ordinary shares underlying the vested portion of phantom restricted share units ("Phantom RSUs") as a result of the election by the Committee administering the 2019 EIP to settle the 2021 Phantom RSU awards entirely in cash (see footnote 6 below).</w:t>
      </w:r>
    </w:p>
    <w:p>
      <w:pPr>
        <w:spacing w:after="0" w:line="24" w:lineRule="exact"/>
        <w:rPr>
          <w:rFonts w:ascii="Arial" w:cs="Arial" w:eastAsia="Arial" w:hAnsi="Arial"/>
          <w:sz w:val="13"/>
          <w:szCs w:val="13"/>
          <w:color w:val="008000"/>
        </w:rPr>
      </w:pPr>
    </w:p>
    <w:p>
      <w:pPr>
        <w:ind w:left="40" w:right="42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deemed disposition to the issuer of the ordinary shares underlying the vested portion of Phantom RSUs as a result of the election by the Committee administering the 2019 EIP to settle the 2021 Phantom RSU awards entirely in cash (see footnote 6 below).</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represents the volume weighted price of the Company's ordinary shares averaged for the thirty trading days immediately preceding the vesting date.</w:t>
      </w:r>
    </w:p>
    <w:p>
      <w:pPr>
        <w:spacing w:after="0" w:line="44" w:lineRule="exact"/>
        <w:rPr>
          <w:rFonts w:ascii="Arial" w:cs="Arial" w:eastAsia="Arial" w:hAnsi="Arial"/>
          <w:sz w:val="13"/>
          <w:szCs w:val="13"/>
          <w:color w:val="008000"/>
        </w:rPr>
      </w:pPr>
    </w:p>
    <w:p>
      <w:pPr>
        <w:ind w:left="40" w:right="140" w:firstLine="2"/>
        <w:spacing w:after="0" w:line="25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vesting of the Phantom RSUs granted on January 4, 2021 pursuant to the 2019 EIP. These Phantom RSUs vest in two equal installments over the two-year period from the date of grant and may be settled in cash, ordinary shares or any combination of cash and ordinary shares; provided that if settled in cash, the cumulative cash payout may not exceed 200% of the grant date fair value of such units (the "Maximum Cash Payout"). At the election of the Committee administering the 2019 EIP, it was determined that the 2021 Phantom RSU awards would be settled entirely in cash. As a result of the Maximum Cash Payout, the Reporting Person is reporting the vesting, deemed acquisition and deemed disposition of 23,485 ordinary shares. As a result of the Maximum Cash Payout having been satisfied, the remaining 33,135 ordinary shares underlying the 56,620 Phantom RSUs previously reported will not vest and have been cancelled.</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686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2022-01-06T15:27:48Z</dcterms:created>
  <dcterms:modified xsi:type="dcterms:W3CDTF">2022-01-06T15:27:48Z</dcterms:modified>
</cp:coreProperties>
</file>