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-220345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14, 2019</w:t>
      </w:r>
    </w:p>
    <w:p>
      <w:pPr>
        <w:spacing w:after="0" w:line="3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8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24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780" w:type="dxa"/>
            <w:vAlign w:val="bottom"/>
          </w:tcPr>
          <w:p>
            <w:pPr>
              <w:spacing w:after="0"/>
              <w:rPr>
                <w:sz w:val="20"/>
                <w:szCs w:val="20"/>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360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780" w:type="dxa"/>
            <w:vAlign w:val="bottom"/>
          </w:tcPr>
          <w:p>
            <w:pPr>
              <w:spacing w:after="0"/>
              <w:rPr>
                <w:sz w:val="20"/>
                <w:szCs w:val="20"/>
                <w:color w:val="auto"/>
              </w:rPr>
            </w:pPr>
          </w:p>
        </w:tc>
        <w:tc>
          <w:tcPr>
            <w:tcW w:w="28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incorporation)</w:t>
            </w:r>
          </w:p>
        </w:tc>
        <w:tc>
          <w:tcPr>
            <w:tcW w:w="2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21"/>
        </w:trPr>
        <w:tc>
          <w:tcPr>
            <w:tcW w:w="780" w:type="dxa"/>
            <w:vAlign w:val="bottom"/>
          </w:tcPr>
          <w:p>
            <w:pPr>
              <w:spacing w:after="0"/>
              <w:rPr>
                <w:sz w:val="24"/>
                <w:szCs w:val="24"/>
                <w:color w:val="auto"/>
              </w:rPr>
            </w:pPr>
          </w:p>
        </w:tc>
        <w:tc>
          <w:tcPr>
            <w:tcW w:w="2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Texas</w:t>
            </w:r>
          </w:p>
        </w:tc>
        <w:tc>
          <w:tcPr>
            <w:tcW w:w="2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78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71"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36830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4" w:lineRule="exact"/>
        <w:rPr>
          <w:rFonts w:ascii="MS PGothic" w:cs="MS PGothic" w:eastAsia="MS PGothic" w:hAnsi="MS PGothic"/>
          <w:sz w:val="22"/>
          <w:szCs w:val="22"/>
          <w:color w:val="auto"/>
        </w:rPr>
      </w:pPr>
    </w:p>
    <w:p>
      <w:pPr>
        <w:ind w:right="3080" w:firstLine="8"/>
        <w:spacing w:after="0" w:line="449"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90" w:type="dxa"/>
        <w:tblCellMar>
          <w:top w:w="0" w:type="dxa"/>
          <w:left w:w="0" w:type="dxa"/>
          <w:bottom w:w="0" w:type="dxa"/>
          <w:right w:w="0" w:type="dxa"/>
        </w:tblCellMar>
      </w:tblPr>
      <w:tr>
        <w:trPr>
          <w:trHeight w:val="238"/>
        </w:trPr>
        <w:tc>
          <w:tcPr>
            <w:tcW w:w="41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$0.001 per share</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WFTIQ</w:t>
            </w:r>
          </w:p>
        </w:tc>
        <w:tc>
          <w:tcPr>
            <w:tcW w:w="4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2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 w:lineRule="exact"/>
        <w:rPr>
          <w:sz w:val="24"/>
          <w:szCs w:val="24"/>
          <w:color w:val="auto"/>
        </w:rPr>
      </w:pPr>
    </w:p>
    <w:p>
      <w:pPr>
        <w:ind w:right="8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997" w:right="2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2" w:lineRule="exact"/>
        <w:rPr>
          <w:sz w:val="20"/>
          <w:szCs w:val="20"/>
          <w:color w:val="auto"/>
        </w:rPr>
      </w:pPr>
    </w:p>
    <w:p>
      <w:pPr>
        <w:sectPr>
          <w:pgSz w:w="11900" w:h="16838" w:orient="portrait"/>
          <w:cols w:equalWidth="0" w:num="2">
            <w:col w:w="920" w:space="720"/>
            <w:col w:w="9780"/>
          </w:cols>
          <w:pgMar w:left="240" w:top="738"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Departure of Chief Financial Officer</w:t>
      </w:r>
    </w:p>
    <w:p>
      <w:pPr>
        <w:spacing w:after="0" w:line="3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Christoph Bausch, Executive Vice President and Chief Financial Officer of Weatherford International plc (the “Company”), will step down effective November 14, 2019 and will be leaving the Company on November 30, 2019 after transitioning his responsibilities. In conjunction with his departure from the Company, Mr. Bausch will be entitled to certain benefits and compensation under the Company’s pre-existing compensation plans and applicable policies and related agreements, forms of which are on file with the Securities and Exchange Commission (the “SEC”) and described in the Company’s annual proxy statement filed with the SEC on April 30, 2019 (the “Proxy Statement”), as well as subsequent Company filings on Form 8-K. Receipt of these benefits is subject to his execution of a general release of claims in favor of the Company. These include benefits under our Swiss pension plan, our 2010 Omnibus Share Plan and related award agreements. Mr. Bausch’s departure was not the result of any dispute or disagreement with the Company on any matter relating to the Company’s accounting practices or financial statements.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July 1, 2019, the Company, Weatherford International Ltd., and Weatherford International, LLC commenced voluntary cases under Chapter 11 of the United States Bankruptcy Code in the U.S. Bankruptcy Court for the Southern District of Texas. On September 11, 2019, the Bankruptcy Court entered an order, Docket No. 343, confirming the Company’s Second Amended Joint Prepackaged Plan of Reorganization (the “Plan”). The Plan contemplates certain changes to the composition of the board of directors (the “Board”) and senior management of the Company in conjunction with the Company’s emergence from bankruptcy, such as the matters disclosed in this Item 5.02.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has appointed Christian A. Garcia to serve as the Company’s Executive Vice President and Chief Financial Officer, effective January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Garcia, 56, served as Executive Vice President and Chief Financial Officer of Visteon Corporation from October 2016 to October 2019. Prior to this role, Mr. Garcia served in various executive and leadership roles at Halliburton Company, including as Senior Vice President and Acting Chief Financial Officer, Chief Accounting Officer, and Treasurer. Mr. Garcia also served as a director of the Keane Group from March 2017 to October 2019. Mr. Garcia has a Bachelor of Science in Business Economics from the University of the Philippines and a Master of Science in Management in Finance from Purdue University, and brings extensive financial and oilfield services experience to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Compensatory Arrangements for Mr. Garcia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as Executive Vice President and Chief Financial Officer of the Company, Mr. Garcia will receive the following compensation pursuant to an offer letter he entered into with the Company:</w:t>
      </w:r>
    </w:p>
    <w:p>
      <w:pPr>
        <w:spacing w:after="0" w:line="162" w:lineRule="exact"/>
        <w:rPr>
          <w:sz w:val="20"/>
          <w:szCs w:val="20"/>
          <w:color w:val="auto"/>
        </w:rPr>
      </w:pPr>
    </w:p>
    <w:p>
      <w:pPr>
        <w:ind w:left="1040" w:hanging="384"/>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$675,000;</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sign-on bonus of $500,000, which is subject to a repayment schedule in the event that Mr. Garcia (i) does not begin employment on or around January 6, 2020 or (ii) leaves employment with the Company without Good Reason or his employment is otherwise terminated for Cause (both as defined in the CIC Agreement referenced below) before October 31, 2022;</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Executive Non-Equity Incentive Compensation Plan, with threshold, target and superior metrics (expressed as a percentage of base salary) set at 50%, 100% and 200%;</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Board, a long-term equity incentive award of $2,000,000, consisting of restricted share units, vesting in equal installments over a three year period, to be granted on the later of (i) January 6, 2020 or (ii) the date on which the Company emerges from its current chapter 11 bankruptcy proceedings, in each case, based on the share price at the time of grant and based on the terms of the Company’s then-current management incentive plan; and</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0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Board, eligibility to participate in the Company’s annual long-term incentive plan and to receive long-term incentive awards the same as similarly situated officers, subject to the Company’s then-current management</w:t>
      </w:r>
    </w:p>
    <w:p>
      <w:pPr>
        <w:sectPr>
          <w:pgSz w:w="11900" w:h="16838" w:orient="portrait"/>
          <w:cols w:equalWidth="0" w:num="1">
            <w:col w:w="11420"/>
          </w:cols>
          <w:pgMar w:left="240" w:top="73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incentive plan. For the year 2020, the Company’s Compensation Committee has recommended an award value of $2,300,000 for Mr. Garcia to the Board.</w:t>
      </w:r>
    </w:p>
    <w:p>
      <w:pPr>
        <w:spacing w:after="0" w:line="3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Garcia will also be eligible for relocation allowances and other benefits and will be subject to plans and policies in connection with his employment, as applicable to similarly situated officers of the Company.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enter into a Change in Control Agreement with Mr. Garcia (the “CIC Agreement”) that has a term of two years, automatically renewing if a change of control (as defined therein) has not occurred, unless the Company provides notice of its intent not to renew. Under the terms of the CIC Agreement, if, during the term of the CIC Agreement, Mr. Garcia’s employment is terminated in connection with a change in control, he will be entitled to receive:</w:t>
      </w:r>
    </w:p>
    <w:p>
      <w:pPr>
        <w:spacing w:after="0" w:line="180" w:lineRule="exact"/>
        <w:rPr>
          <w:sz w:val="20"/>
          <w:szCs w:val="20"/>
          <w:color w:val="auto"/>
        </w:rPr>
      </w:pPr>
    </w:p>
    <w:p>
      <w:pPr>
        <w:ind w:left="1140" w:hanging="322"/>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three times the sum of the highest base salary received in the preceding three years and the annual incentive cash compensation averaged over the preceding three years;</w:t>
      </w:r>
    </w:p>
    <w:p>
      <w:pPr>
        <w:spacing w:after="0" w:line="53"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salary, annual target incentive cash compensation for the year of termination and vacation pay, pro-rated to the date of termination;</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for three years of all dental and health benefits, provided he remains responsible for his monthly employee contribution;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outplacement services upon request for a period of up to six months beginning with the first full month after termination.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 change in control, Mr. Garcia’s equity awards will vest and any applicable forfeiture restrictions will lapse.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Garcia will also be subject to the then current executive severance guidelines as applicable to similarly situated officers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and one of its primary subsidiaries will enter into customary officer indemnification agreements (deeds of indemnity) with Mr. Garcia upon joining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information as to the Company’s current employee benefit plans or arrangements currently existing and in which Mr. Garcia will participate or have right, including in furtherance of the above, is described in the Company’s annual proxy statement filed with the Securities and Exchange Commission on April 30, 2019 and subsequent filings on Form 8-K.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Garcia and any other persons pursuant to which Mr. Garcia was selected to act as the Executive Vice President and Chief Financial Officer of the Company. Mr. Garcia does not have any family relationships subject to disclosure under Item 401(d) of Regulation S-K or any direct or indirect material interest in any transaction required to be disclosed pursuant to Item 404(a) of Regulation S-K.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Interim Chief Financial Officer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has appointed Stuart Fraser, Chief Accounting Officer and Corporate Controller, to serve as the Company’s Chief Financial Officer, effective November 14, 2019, on an interim basis until Mr. Garcia joins the Company. Mr. Fraser, 52, joined the Company in March 2015 as Vice President and Corporate Controller. In April 2016 he assumed the role of Vice President of Finance and Purchasing, Sourcing and Logistics for Global Operations and in April 2018, he assumed the role of Chief Accounting Officer and Corporate Controller. Prior to joining the Company, Mr. Fraser held a number of positions with increasing responsibility in the areas of finance, accounting and corporate tax with Schlumberger Limited and its affiliates, beginning in 1996. Mr. Fraser is a chartered accountant with over 20 years of financial experience in the oilfield service industry and holds a Bachelors of Business degree in accounting from Edith Cowan University in Perth, Australia.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Mr. Fraser and any other persons pursuant to which Mr. Fraser was selected to act as the interim Chief Financial Officer of the Company. Mr. Fraser does not have any family relationships subject to disclosure under Item 401(d) of Regulation S-K or any direct or indirect material interest in any transaction required to be disclosed pursuant to Item 404(a) of Regulation S-K. The compensation arrangements for Mr. Fraser as disclosed in the Proxy Statement and subsequent Company filings on Form 8-K remain in effect as of this time, although changes may occur in the future.</w:t>
      </w:r>
    </w:p>
    <w:p>
      <w:pPr>
        <w:sectPr>
          <w:pgSz w:w="11900" w:h="16838" w:orient="portrait"/>
          <w:cols w:equalWidth="0" w:num="1">
            <w:col w:w="11420"/>
          </w:cols>
          <w:pgMar w:left="240" w:top="580" w:right="239" w:bottom="1440" w:gutter="0" w:footer="0" w:header="0"/>
        </w:sectPr>
      </w:pPr>
    </w:p>
    <w:bookmarkStart w:id="3" w:name="page4"/>
    <w:bookmarkEnd w:id="3"/>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14, 2019, the Company issued two press releases describing certain of the matters in Item 5.02 of this Current Report on Form 8-K. A copy of each press release is furnished as Exhibit 99.1 and Exhibit 99.2 to this report and incorporated by reference herein. The information provided pursuant to this Item 7.01 is “furnished” and shall not be deemed to be “filed” with the SEC or incorporated by reference in any filing under the Securities Exchange Act of 1934, as amended, or the Securities Act of 1933, as amended, except as shall be expressly set forth by specific reference in any such filings.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54"/>
        </w:trPr>
        <w:tc>
          <w:tcPr>
            <w:tcW w:w="620" w:type="dxa"/>
            <w:vAlign w:val="bottom"/>
          </w:tcPr>
          <w:p>
            <w:pPr>
              <w:spacing w:after="0"/>
              <w:rPr>
                <w:sz w:val="24"/>
                <w:szCs w:val="24"/>
                <w:color w:val="auto"/>
              </w:rPr>
            </w:pPr>
          </w:p>
        </w:tc>
        <w:tc>
          <w:tcPr>
            <w:tcW w:w="10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(d)</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r>
      <w:tr>
        <w:trPr>
          <w:trHeight w:val="905"/>
        </w:trPr>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ind w:left="510"/>
              <w:spacing w:after="0" w:line="196" w:lineRule="exact"/>
              <w:rPr>
                <w:rFonts w:ascii="Times New Roman" w:cs="Times New Roman" w:eastAsia="Times New Roman" w:hAnsi="Times New Roman"/>
                <w:sz w:val="18"/>
                <w:szCs w:val="18"/>
                <w:color w:val="0000FF"/>
                <w:w w:val="95"/>
              </w:rPr>
            </w:pPr>
            <w:hyperlink w:anchor="page6">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issued by Weatherford International plc regarding Mr. Bausch on November 14, 2019</w:t>
            </w:r>
          </w:p>
        </w:tc>
      </w:tr>
      <w:tr>
        <w:trPr>
          <w:trHeight w:val="20"/>
        </w:trPr>
        <w:tc>
          <w:tcPr>
            <w:tcW w:w="6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r>
        <w:trPr>
          <w:trHeight w:val="250"/>
        </w:trPr>
        <w:tc>
          <w:tcPr>
            <w:tcW w:w="900" w:type="dxa"/>
            <w:vAlign w:val="bottom"/>
            <w:gridSpan w:val="2"/>
          </w:tcPr>
          <w:p>
            <w:pPr>
              <w:jc w:val="center"/>
              <w:ind w:left="510"/>
              <w:spacing w:after="0"/>
              <w:rPr>
                <w:rFonts w:ascii="Times New Roman" w:cs="Times New Roman" w:eastAsia="Times New Roman" w:hAnsi="Times New Roman"/>
                <w:sz w:val="18"/>
                <w:szCs w:val="18"/>
                <w:color w:val="0000FF"/>
                <w:w w:val="95"/>
              </w:rPr>
            </w:pPr>
            <w:hyperlink w:anchor="page7">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hyperlink>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issued by Weatherford International plc regarding Mr. Garcia on November 14, 2019</w:t>
            </w:r>
          </w:p>
        </w:tc>
      </w:tr>
      <w:tr>
        <w:trPr>
          <w:trHeight w:val="20"/>
        </w:trPr>
        <w:tc>
          <w:tcPr>
            <w:tcW w:w="6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r>
        <w:trPr>
          <w:trHeight w:val="291"/>
        </w:trPr>
        <w:tc>
          <w:tcPr>
            <w:tcW w:w="9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6"/>
              </w:rPr>
              <w:t>104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1420"/>
          </w:cols>
          <w:pgMar w:left="240" w:top="738" w:right="23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34290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Christina M. Ibrahim</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 and</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220"/>
          </w:cols>
          <w:pgMar w:left="240" w:top="57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123190</wp:posOffset>
            </wp:positionV>
            <wp:extent cx="1724025" cy="866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40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Announces Organizational Change</w:t>
      </w: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November 14, 2019 </w:t>
      </w:r>
      <w:r>
        <w:rPr>
          <w:rFonts w:ascii="Times New Roman" w:cs="Times New Roman" w:eastAsia="Times New Roman" w:hAnsi="Times New Roman"/>
          <w:sz w:val="20"/>
          <w:szCs w:val="20"/>
          <w:color w:val="auto"/>
        </w:rPr>
        <w:t>- Weatherford International plc (OTC-PINK:WFTIQ) announced today that Christoph Bausch will step down as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Vice President and Chief Financial Officer effective November 14, 2019 to pursue other opportunities. He will remain with the Company through November 30, 2019 to transition his responsibilities.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Mark A. McCollum, President and Chief Executive Officer for Weatherford, commented, “On behalf of the Board of Directors and the management team, we are grateful to Christoph for his hard work and leadership, which strengthened the Company’s focus on financial discipline, cash flow generation, and improved cost efficiencies. His tireless efforts in these areas as well as many others served employees and stakeholders well. We will continue to build upon these principles and I am confident that our talented management team will be able to support us through this transition.”</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Stuart Fraser, Vice President and Chief Accounting Officer, will serve as the interim Chief Financial Officer from November 14, 2019 until January 6, 2020, when the new Chief Financial Officer will begin. Mr. Fraser joined Weatherford in 2015 and has served in various senior financial roles including Vice President and Corporate Controller and Vice President of Finance and Purchasing, Sourcing and Logistics. Prior to joining Weatherford, he served a 19-year career with Schlumberger Ltd., where he held senior financial positions in global and regional capacities in the U.S., France, Angola, Malaysia, and Indonesia across a number of business segments covering operations, internal audit, taxation, supply chain, and transformation. Stuart is a Chartered Accountant and holds a Bachelor of Business degree from the Edith Cowan University in Australia.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Weatherford</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Weatherford is one of the largest multinational oilfield service companies providing innovative solutions, technology and services to the oil and gas industry. The Company operates in more than 80 countries and has a network of 620 locations, including manufacturing, service, research and development, and training facilities and employs more than 24,000 people. </w:t>
      </w:r>
      <w:r>
        <w:rPr>
          <w:rFonts w:ascii="Times New Roman" w:cs="Times New Roman" w:eastAsia="Times New Roman" w:hAnsi="Times New Roman"/>
          <w:sz w:val="20"/>
          <w:szCs w:val="20"/>
          <w:color w:val="1D1D1A"/>
        </w:rPr>
        <w:t>For more information, visi</w:t>
      </w:r>
      <w:r>
        <w:rPr>
          <w:rFonts w:ascii="Times New Roman" w:cs="Times New Roman" w:eastAsia="Times New Roman" w:hAnsi="Times New Roman"/>
          <w:sz w:val="20"/>
          <w:szCs w:val="20"/>
          <w:color w:val="auto"/>
        </w:rPr>
        <w:t xml:space="preserve">t </w:t>
      </w:r>
      <w:r>
        <w:rPr>
          <w:rFonts w:ascii="Times New Roman" w:cs="Times New Roman" w:eastAsia="Times New Roman" w:hAnsi="Times New Roman"/>
          <w:sz w:val="20"/>
          <w:szCs w:val="20"/>
          <w:u w:val="single" w:color="auto"/>
          <w:color w:val="auto"/>
        </w:rPr>
        <w:t>www.weatherford.com</w:t>
      </w:r>
      <w:r>
        <w:rPr>
          <w:rFonts w:ascii="Times New Roman" w:cs="Times New Roman" w:eastAsia="Times New Roman" w:hAnsi="Times New Roman"/>
          <w:sz w:val="20"/>
          <w:szCs w:val="20"/>
          <w:color w:val="auto"/>
        </w:rPr>
        <w:t xml:space="preserve"> an</w:t>
      </w:r>
      <w:r>
        <w:rPr>
          <w:rFonts w:ascii="Times New Roman" w:cs="Times New Roman" w:eastAsia="Times New Roman" w:hAnsi="Times New Roman"/>
          <w:sz w:val="20"/>
          <w:szCs w:val="20"/>
          <w:color w:val="1D1D1A"/>
        </w:rPr>
        <w:t>d connect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D1D1A"/>
        </w:rPr>
        <w:t xml:space="preserve">with Weatherford on </w:t>
      </w:r>
      <w:r>
        <w:rPr>
          <w:rFonts w:ascii="Times New Roman" w:cs="Times New Roman" w:eastAsia="Times New Roman" w:hAnsi="Times New Roman"/>
          <w:sz w:val="20"/>
          <w:szCs w:val="20"/>
          <w:u w:val="single" w:color="auto"/>
          <w:color w:val="1D1D1A"/>
        </w:rPr>
        <w:t>LinkedIn</w:t>
      </w:r>
      <w:r>
        <w:rPr>
          <w:rFonts w:ascii="Times New Roman" w:cs="Times New Roman" w:eastAsia="Times New Roman" w:hAnsi="Times New Roman"/>
          <w:sz w:val="20"/>
          <w:szCs w:val="20"/>
          <w:color w:val="1D1D1A"/>
        </w:rPr>
        <w:t xml:space="preserve">, </w:t>
      </w:r>
      <w:r>
        <w:rPr>
          <w:rFonts w:ascii="Times New Roman" w:cs="Times New Roman" w:eastAsia="Times New Roman" w:hAnsi="Times New Roman"/>
          <w:sz w:val="20"/>
          <w:szCs w:val="20"/>
          <w:u w:val="single" w:color="auto"/>
          <w:color w:val="1D1D1A"/>
        </w:rPr>
        <w:t>Facebook</w:t>
      </w:r>
      <w:r>
        <w:rPr>
          <w:rFonts w:ascii="Times New Roman" w:cs="Times New Roman" w:eastAsia="Times New Roman" w:hAnsi="Times New Roman"/>
          <w:sz w:val="20"/>
          <w:szCs w:val="20"/>
          <w:color w:val="1D1D1A"/>
        </w:rPr>
        <w:t xml:space="preserve">, </w:t>
      </w:r>
      <w:r>
        <w:rPr>
          <w:rFonts w:ascii="Times New Roman" w:cs="Times New Roman" w:eastAsia="Times New Roman" w:hAnsi="Times New Roman"/>
          <w:sz w:val="20"/>
          <w:szCs w:val="20"/>
          <w:u w:val="single" w:color="auto"/>
          <w:color w:val="1D1D1A"/>
        </w:rPr>
        <w:t>Twitter</w:t>
      </w:r>
      <w:r>
        <w:rPr>
          <w:rFonts w:ascii="Times New Roman" w:cs="Times New Roman" w:eastAsia="Times New Roman" w:hAnsi="Times New Roman"/>
          <w:sz w:val="20"/>
          <w:szCs w:val="20"/>
          <w:color w:val="1D1D1A"/>
        </w:rPr>
        <w:t xml:space="preserve"> and </w:t>
      </w:r>
      <w:r>
        <w:rPr>
          <w:rFonts w:ascii="Times New Roman" w:cs="Times New Roman" w:eastAsia="Times New Roman" w:hAnsi="Times New Roman"/>
          <w:sz w:val="20"/>
          <w:szCs w:val="20"/>
          <w:u w:val="single" w:color="auto"/>
          <w:color w:val="1D1D1A"/>
        </w:rPr>
        <w:t>YouTube</w:t>
      </w:r>
      <w:r>
        <w:rPr>
          <w:rFonts w:ascii="Times New Roman" w:cs="Times New Roman" w:eastAsia="Times New Roman" w:hAnsi="Times New Roman"/>
          <w:sz w:val="20"/>
          <w:szCs w:val="20"/>
          <w:color w:val="1D1D1A"/>
        </w:rPr>
        <w:t>.</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7500" w:type="dxa"/>
            <w:vAlign w:val="bottom"/>
          </w:tcPr>
          <w:p>
            <w:pPr>
              <w:jc w:val="right"/>
              <w:ind w:right="1581"/>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spacing w:after="0"/>
              <w:rPr>
                <w:sz w:val="22"/>
                <w:szCs w:val="22"/>
                <w:color w:val="auto"/>
              </w:rPr>
            </w:pPr>
          </w:p>
        </w:tc>
      </w:tr>
      <w:tr>
        <w:trPr>
          <w:trHeight w:val="621"/>
        </w:trPr>
        <w:tc>
          <w:tcPr>
            <w:tcW w:w="7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Weatherford Contact</w:t>
            </w:r>
          </w:p>
        </w:tc>
        <w:tc>
          <w:tcPr>
            <w:tcW w:w="1660" w:type="dxa"/>
            <w:vAlign w:val="bottom"/>
          </w:tcPr>
          <w:p>
            <w:pPr>
              <w:spacing w:after="0"/>
              <w:rPr>
                <w:sz w:val="24"/>
                <w:szCs w:val="24"/>
                <w:color w:val="auto"/>
              </w:rPr>
            </w:pP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Karen David-Green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+1.713.836.7430</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 Stakeholder Engagement and Chief Marketing Officer, Weatherford</w:t>
            </w:r>
          </w:p>
        </w:tc>
        <w:tc>
          <w:tcPr>
            <w:tcW w:w="16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123190</wp:posOffset>
            </wp:positionV>
            <wp:extent cx="17240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40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7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Weatherford Names New Chief Financial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i w:val="1"/>
          <w:iCs w:val="1"/>
          <w:color w:val="auto"/>
        </w:rPr>
        <w:t>Christian Garcia Joins Executive Leadership Team</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November 14, 2019 </w:t>
      </w:r>
      <w:r>
        <w:rPr>
          <w:rFonts w:ascii="Times New Roman" w:cs="Times New Roman" w:eastAsia="Times New Roman" w:hAnsi="Times New Roman"/>
          <w:sz w:val="20"/>
          <w:szCs w:val="20"/>
          <w:color w:val="auto"/>
        </w:rPr>
        <w:t>- Weatherford International plc (OTC-PINK:WFTIQ) announced today that Christian Garcia has been appointed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Vice President and Chief Financial Officer, effective January 6, 2020. Christian has more than 30 years of financial experience and has held leadership roles in the oilfield services, automotive electronics, software and consulting, and business equipment industries.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Christian recently served as Executive Vice President and Chief Financial Officer at Visteon Corporation, a leader in automotive cockpit electronics, and served as a board member of Keane Group, a pure-play provider of integrated well completions. Prior to these roles, he served as acting Chief Financial Officer of Halliburton, an oilfield services company, where he held a variety of leadership positions of increasing responsibility. Christian has been consistently selected to the All-America Executive Team by </w:t>
      </w:r>
      <w:r>
        <w:rPr>
          <w:rFonts w:ascii="Times New Roman" w:cs="Times New Roman" w:eastAsia="Times New Roman" w:hAnsi="Times New Roman"/>
          <w:sz w:val="20"/>
          <w:szCs w:val="20"/>
          <w:i w:val="1"/>
          <w:iCs w:val="1"/>
          <w:color w:val="auto"/>
        </w:rPr>
        <w:t>Institutional Investor</w:t>
      </w:r>
      <w:r>
        <w:rPr>
          <w:rFonts w:ascii="Times New Roman" w:cs="Times New Roman" w:eastAsia="Times New Roman" w:hAnsi="Times New Roman"/>
          <w:sz w:val="20"/>
          <w:szCs w:val="20"/>
          <w:color w:val="auto"/>
        </w:rPr>
        <w:t xml:space="preserve"> magazine in the Investor Relations and CFO categories.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Mark A. McCollum, President and Chief Executive Officer for Weatherford, stated, “Christian brings extensive oilfield services experience and his professionalism and leadership are respected throughout our industry. As we look to the future, we are delighted that he will be part of the executive team that will lead Weatherford into its next chapter.”</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 am very excited to join Weatherford as the potential for value creation is significant, given its product and technology portfolio. I look forward to partnering with Mark and the team on the next stage of the Company’s transformation,” said Christian.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Weatherford</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Weatherford is one of the largest multinational oilfield service companies providing innovative solutions, technology and services to the oil and gas industry. The Company operates in more than 80 countries and has a network of 620 locations, including manufacturing, service, research and development, and training facilities and employs more than 24,000 people. </w:t>
      </w:r>
      <w:r>
        <w:rPr>
          <w:rFonts w:ascii="Times New Roman" w:cs="Times New Roman" w:eastAsia="Times New Roman" w:hAnsi="Times New Roman"/>
          <w:sz w:val="20"/>
          <w:szCs w:val="20"/>
          <w:color w:val="1D1D1A"/>
        </w:rPr>
        <w:t>For more information, visi</w:t>
      </w:r>
      <w:r>
        <w:rPr>
          <w:rFonts w:ascii="Times New Roman" w:cs="Times New Roman" w:eastAsia="Times New Roman" w:hAnsi="Times New Roman"/>
          <w:sz w:val="20"/>
          <w:szCs w:val="20"/>
          <w:color w:val="auto"/>
        </w:rPr>
        <w:t xml:space="preserve">t </w:t>
      </w:r>
      <w:r>
        <w:rPr>
          <w:rFonts w:ascii="Times New Roman" w:cs="Times New Roman" w:eastAsia="Times New Roman" w:hAnsi="Times New Roman"/>
          <w:sz w:val="20"/>
          <w:szCs w:val="20"/>
          <w:u w:val="single" w:color="auto"/>
          <w:color w:val="auto"/>
        </w:rPr>
        <w:t>www.weatherford.com</w:t>
      </w:r>
      <w:r>
        <w:rPr>
          <w:rFonts w:ascii="Times New Roman" w:cs="Times New Roman" w:eastAsia="Times New Roman" w:hAnsi="Times New Roman"/>
          <w:sz w:val="20"/>
          <w:szCs w:val="20"/>
          <w:color w:val="auto"/>
        </w:rPr>
        <w:t xml:space="preserve"> an</w:t>
      </w:r>
      <w:r>
        <w:rPr>
          <w:rFonts w:ascii="Times New Roman" w:cs="Times New Roman" w:eastAsia="Times New Roman" w:hAnsi="Times New Roman"/>
          <w:sz w:val="20"/>
          <w:szCs w:val="20"/>
          <w:color w:val="1D1D1A"/>
        </w:rPr>
        <w:t>d connect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D1D1A"/>
        </w:rPr>
        <w:t xml:space="preserve">with Weatherford on </w:t>
      </w:r>
      <w:r>
        <w:rPr>
          <w:rFonts w:ascii="Times New Roman" w:cs="Times New Roman" w:eastAsia="Times New Roman" w:hAnsi="Times New Roman"/>
          <w:sz w:val="20"/>
          <w:szCs w:val="20"/>
          <w:u w:val="single" w:color="auto"/>
          <w:color w:val="1D1D1A"/>
        </w:rPr>
        <w:t>LinkedIn</w:t>
      </w:r>
      <w:r>
        <w:rPr>
          <w:rFonts w:ascii="Times New Roman" w:cs="Times New Roman" w:eastAsia="Times New Roman" w:hAnsi="Times New Roman"/>
          <w:sz w:val="20"/>
          <w:szCs w:val="20"/>
          <w:color w:val="1D1D1A"/>
        </w:rPr>
        <w:t xml:space="preserve">, </w:t>
      </w:r>
      <w:r>
        <w:rPr>
          <w:rFonts w:ascii="Times New Roman" w:cs="Times New Roman" w:eastAsia="Times New Roman" w:hAnsi="Times New Roman"/>
          <w:sz w:val="20"/>
          <w:szCs w:val="20"/>
          <w:u w:val="single" w:color="auto"/>
          <w:color w:val="1D1D1A"/>
        </w:rPr>
        <w:t>Facebook</w:t>
      </w:r>
      <w:r>
        <w:rPr>
          <w:rFonts w:ascii="Times New Roman" w:cs="Times New Roman" w:eastAsia="Times New Roman" w:hAnsi="Times New Roman"/>
          <w:sz w:val="20"/>
          <w:szCs w:val="20"/>
          <w:color w:val="1D1D1A"/>
        </w:rPr>
        <w:t xml:space="preserve">, </w:t>
      </w:r>
      <w:r>
        <w:rPr>
          <w:rFonts w:ascii="Times New Roman" w:cs="Times New Roman" w:eastAsia="Times New Roman" w:hAnsi="Times New Roman"/>
          <w:sz w:val="20"/>
          <w:szCs w:val="20"/>
          <w:u w:val="single" w:color="auto"/>
          <w:color w:val="1D1D1A"/>
        </w:rPr>
        <w:t>Twitter</w:t>
      </w:r>
      <w:r>
        <w:rPr>
          <w:rFonts w:ascii="Times New Roman" w:cs="Times New Roman" w:eastAsia="Times New Roman" w:hAnsi="Times New Roman"/>
          <w:sz w:val="20"/>
          <w:szCs w:val="20"/>
          <w:color w:val="1D1D1A"/>
        </w:rPr>
        <w:t xml:space="preserve"> and </w:t>
      </w:r>
      <w:r>
        <w:rPr>
          <w:rFonts w:ascii="Times New Roman" w:cs="Times New Roman" w:eastAsia="Times New Roman" w:hAnsi="Times New Roman"/>
          <w:sz w:val="20"/>
          <w:szCs w:val="20"/>
          <w:u w:val="single" w:color="auto"/>
          <w:color w:val="1D1D1A"/>
        </w:rPr>
        <w:t>YouTube</w:t>
      </w:r>
      <w:r>
        <w:rPr>
          <w:rFonts w:ascii="Times New Roman" w:cs="Times New Roman" w:eastAsia="Times New Roman" w:hAnsi="Times New Roman"/>
          <w:sz w:val="20"/>
          <w:szCs w:val="20"/>
          <w:color w:val="1D1D1A"/>
        </w:rPr>
        <w:t>.</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7500" w:type="dxa"/>
            <w:vAlign w:val="bottom"/>
          </w:tcPr>
          <w:p>
            <w:pPr>
              <w:jc w:val="right"/>
              <w:ind w:right="1581"/>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spacing w:after="0"/>
              <w:rPr>
                <w:sz w:val="22"/>
                <w:szCs w:val="22"/>
                <w:color w:val="auto"/>
              </w:rPr>
            </w:pPr>
          </w:p>
        </w:tc>
      </w:tr>
      <w:tr>
        <w:trPr>
          <w:trHeight w:val="608"/>
        </w:trPr>
        <w:tc>
          <w:tcPr>
            <w:tcW w:w="7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Weatherford Contact</w:t>
            </w:r>
          </w:p>
        </w:tc>
        <w:tc>
          <w:tcPr>
            <w:tcW w:w="1660" w:type="dxa"/>
            <w:vAlign w:val="bottom"/>
          </w:tcPr>
          <w:p>
            <w:pPr>
              <w:spacing w:after="0"/>
              <w:rPr>
                <w:sz w:val="24"/>
                <w:szCs w:val="24"/>
                <w:color w:val="auto"/>
              </w:rPr>
            </w:pP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Karen David-Green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+1.713.836.7430</w:t>
            </w:r>
          </w:p>
        </w:tc>
      </w:tr>
      <w:tr>
        <w:trPr>
          <w:trHeight w:val="28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 Stakeholder Engagement and Chief Marketing Officer, Weatherford</w:t>
            </w:r>
          </w:p>
        </w:tc>
        <w:tc>
          <w:tcPr>
            <w:tcW w:w="16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2019-12-28T01:30:28Z</dcterms:created>
  <dcterms:modified xsi:type="dcterms:W3CDTF">2019-12-28T01:30:28Z</dcterms:modified>
</cp:coreProperties>
</file>