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457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796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Jennings H. Keith</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02"/>
        <w:spacing w:after="0"/>
        <w:rPr>
          <w:sz w:val="20"/>
          <w:szCs w:val="20"/>
          <w:color w:val="auto"/>
        </w:rPr>
      </w:pPr>
      <w:r>
        <w:rPr>
          <w:rFonts w:ascii="Arial" w:cs="Arial" w:eastAsia="Arial" w:hAnsi="Arial"/>
          <w:sz w:val="17"/>
          <w:szCs w:val="17"/>
          <w:color w:val="0000FF"/>
        </w:rPr>
        <w:t>EVP and CFO</w:t>
      </w:r>
    </w:p>
    <w:p>
      <w:pPr>
        <w:spacing w:after="0" w:line="303" w:lineRule="exact"/>
        <w:rPr>
          <w:sz w:val="24"/>
          <w:szCs w:val="24"/>
          <w:color w:val="auto"/>
        </w:rPr>
      </w:pPr>
    </w:p>
    <w:p>
      <w:pPr>
        <w:sectPr>
          <w:pgSz w:w="11900" w:h="16838" w:orient="portrait"/>
          <w:cols w:equalWidth="0" w:num="3">
            <w:col w:w="3180" w:space="720"/>
            <w:col w:w="3200" w:space="638"/>
            <w:col w:w="3342"/>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2"/>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8"/>
        </w:trPr>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3"/>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2"/>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8"/>
        </w:trPr>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3"/>
        </w:trPr>
        <w:tc>
          <w:tcPr>
            <w:tcW w:w="780" w:type="dxa"/>
            <w:vAlign w:val="bottom"/>
          </w:tcPr>
          <w:p>
            <w:pPr>
              <w:ind w:left="60"/>
              <w:spacing w:after="0"/>
              <w:rPr>
                <w:sz w:val="20"/>
                <w:szCs w:val="20"/>
                <w:color w:val="auto"/>
              </w:rPr>
            </w:pPr>
            <w:r>
              <w:rPr>
                <w:rFonts w:ascii="Arial" w:cs="Arial" w:eastAsia="Arial" w:hAnsi="Arial"/>
                <w:sz w:val="13"/>
                <w:szCs w:val="13"/>
                <w:color w:val="0000FF"/>
              </w:rPr>
              <w:t>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8"/>
        </w:trPr>
        <w:tc>
          <w:tcPr>
            <w:tcW w:w="780" w:type="dxa"/>
            <w:vAlign w:val="bottom"/>
          </w:tcPr>
          <w:p>
            <w:pPr>
              <w:ind w:left="60"/>
              <w:spacing w:after="0"/>
              <w:rPr>
                <w:sz w:val="20"/>
                <w:szCs w:val="20"/>
                <w:color w:val="auto"/>
              </w:rPr>
            </w:pPr>
            <w:r>
              <w:rPr>
                <w:rFonts w:ascii="Arial" w:cs="Arial" w:eastAsia="Arial" w:hAnsi="Arial"/>
                <w:sz w:val="13"/>
                <w:szCs w:val="13"/>
                <w:color w:val="0000FF"/>
              </w:rPr>
              <w:t>Program</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201"/>
              <w:spacing w:after="0"/>
              <w:rPr>
                <w:sz w:val="20"/>
                <w:szCs w:val="20"/>
                <w:color w:val="auto"/>
              </w:rPr>
            </w:pPr>
            <w:r>
              <w:rPr>
                <w:rFonts w:ascii="Arial" w:cs="Arial" w:eastAsia="Arial" w:hAnsi="Arial"/>
                <w:sz w:val="13"/>
                <w:szCs w:val="13"/>
                <w:color w:val="0000FF"/>
              </w:rPr>
              <w:t>11/01/2021</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tcPr>
          <w:p>
            <w:pPr>
              <w:ind w:left="80"/>
              <w:spacing w:after="0"/>
              <w:rPr>
                <w:sz w:val="20"/>
                <w:szCs w:val="20"/>
                <w:color w:val="auto"/>
              </w:rPr>
            </w:pPr>
            <w:r>
              <w:rPr>
                <w:rFonts w:ascii="Arial" w:cs="Arial" w:eastAsia="Arial" w:hAnsi="Arial"/>
                <w:sz w:val="13"/>
                <w:szCs w:val="13"/>
                <w:color w:val="0000FF"/>
              </w:rPr>
              <w:t>95,011</w:t>
            </w:r>
          </w:p>
        </w:tc>
        <w:tc>
          <w:tcPr>
            <w:tcW w:w="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jc w:val="right"/>
              <w:ind w:right="224"/>
              <w:spacing w:after="0"/>
              <w:rPr>
                <w:sz w:val="20"/>
                <w:szCs w:val="20"/>
                <w:color w:val="auto"/>
              </w:rPr>
            </w:pPr>
            <w:r>
              <w:rPr>
                <w:rFonts w:ascii="Arial" w:cs="Arial" w:eastAsia="Arial" w:hAnsi="Arial"/>
                <w:sz w:val="11"/>
                <w:szCs w:val="11"/>
                <w:color w:val="008000"/>
              </w:rPr>
              <w:t>(1)</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tcPr>
          <w:p>
            <w:pPr>
              <w:ind w:left="20"/>
              <w:spacing w:after="0" w:line="188" w:lineRule="exact"/>
              <w:rPr>
                <w:sz w:val="20"/>
                <w:szCs w:val="20"/>
                <w:color w:val="auto"/>
              </w:rPr>
            </w:pPr>
            <w:r>
              <w:rPr>
                <w:rFonts w:ascii="Arial" w:cs="Arial" w:eastAsia="Arial" w:hAnsi="Arial"/>
                <w:sz w:val="17"/>
                <w:szCs w:val="17"/>
                <w:color w:val="0000FF"/>
                <w:w w:val="96"/>
              </w:rPr>
              <w:t>95,011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300"/>
              <w:spacing w:after="0"/>
              <w:rPr>
                <w:sz w:val="20"/>
                <w:szCs w:val="20"/>
                <w:color w:val="auto"/>
              </w:rPr>
            </w:pPr>
            <w:r>
              <w:rPr>
                <w:rFonts w:ascii="Arial" w:cs="Arial" w:eastAsia="Arial" w:hAnsi="Arial"/>
                <w:sz w:val="13"/>
                <w:szCs w:val="13"/>
                <w:color w:val="0000FF"/>
              </w:rPr>
              <w:t>95,011</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4"/>
        </w:trPr>
        <w:tc>
          <w:tcPr>
            <w:tcW w:w="780" w:type="dxa"/>
            <w:vAlign w:val="bottom"/>
          </w:tcPr>
          <w:p>
            <w:pPr>
              <w:ind w:left="60"/>
              <w:spacing w:after="0" w:line="104" w:lineRule="exact"/>
              <w:rPr>
                <w:sz w:val="20"/>
                <w:szCs w:val="20"/>
                <w:color w:val="auto"/>
              </w:rPr>
            </w:pPr>
            <w:r>
              <w:rPr>
                <w:rFonts w:ascii="Arial" w:cs="Arial" w:eastAsia="Arial" w:hAnsi="Arial"/>
                <w:sz w:val="12"/>
                <w:szCs w:val="12"/>
                <w:color w:val="0000FF"/>
              </w:rPr>
              <w:t>Performance</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40"/>
              <w:spacing w:after="0" w:line="104" w:lineRule="exact"/>
              <w:rPr>
                <w:sz w:val="20"/>
                <w:szCs w:val="20"/>
                <w:color w:val="auto"/>
              </w:rPr>
            </w:pPr>
            <w:r>
              <w:rPr>
                <w:rFonts w:ascii="Arial" w:cs="Arial" w:eastAsia="Arial" w:hAnsi="Arial"/>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Share 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performance share units ("PSUs") granted on November 1, 2021 under the Weatherford Accelerating Growth &amp; Efficiency Program of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Jonathan B. Wolens by Power</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2"/>
        </w:trPr>
        <w:tc>
          <w:tcPr>
            <w:tcW w:w="780" w:type="dxa"/>
            <w:vAlign w:val="bottom"/>
            <w:vMerge w:val="restart"/>
          </w:tcPr>
          <w:p>
            <w:pPr>
              <w:spacing w:after="0" w:line="185" w:lineRule="exact"/>
              <w:rPr>
                <w:sz w:val="20"/>
                <w:szCs w:val="20"/>
                <w:color w:val="auto"/>
              </w:rPr>
            </w:pPr>
            <w:r>
              <w:rPr>
                <w:rFonts w:ascii="Arial" w:cs="Arial" w:eastAsia="Arial" w:hAnsi="Arial"/>
                <w:sz w:val="17"/>
                <w:szCs w:val="17"/>
                <w:color w:val="0000FF"/>
                <w:w w:val="92"/>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8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686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2021-11-02T18:35:36Z</dcterms:created>
  <dcterms:modified xsi:type="dcterms:W3CDTF">2021-11-02T18:35:36Z</dcterms:modified>
</cp:coreProperties>
</file>