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-199390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12, 2018</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5.02(d)</w:t>
      </w:r>
    </w:p>
    <w:p>
      <w:pPr>
        <w:spacing w:after="0" w:line="20" w:lineRule="exact"/>
        <w:rPr>
          <w:sz w:val="20"/>
          <w:szCs w:val="20"/>
          <w:color w:val="auto"/>
        </w:rPr>
      </w:pPr>
      <w:r>
        <w:rPr>
          <w:sz w:val="20"/>
          <w:szCs w:val="20"/>
          <w:color w:val="auto"/>
        </w:rPr>
        <w:br w:type="column"/>
      </w:r>
    </w:p>
    <w:p>
      <w:pPr>
        <w:ind w:right="96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80" w:space="660"/>
            <w:col w:w="9780"/>
          </w:cols>
          <w:pgMar w:left="240" w:top="742" w:right="239" w:bottom="1440" w:gutter="0" w:footer="0" w:header="0"/>
        </w:sectPr>
      </w:pPr>
    </w:p>
    <w:p>
      <w:pPr>
        <w:jc w:val="both"/>
        <w:ind w:firstLine="702"/>
        <w:spacing w:after="0" w:line="277" w:lineRule="auto"/>
        <w:rPr>
          <w:sz w:val="20"/>
          <w:szCs w:val="20"/>
          <w:color w:val="auto"/>
        </w:rPr>
      </w:pPr>
      <w:r>
        <w:rPr>
          <w:rFonts w:ascii="Arial" w:cs="Arial" w:eastAsia="Arial" w:hAnsi="Arial"/>
          <w:sz w:val="18"/>
          <w:szCs w:val="18"/>
          <w:color w:val="auto"/>
        </w:rPr>
        <w:t>Effective March 12, 2018, Ms. Angela A. Minas was appointed to the Board of Directors (the “Board”) of Weatherford International plc (the “Company”). Ms. Minas will serve as a member of the Board’s Audit Committee and Health, Safety and Environment Committee.</w:t>
      </w:r>
    </w:p>
    <w:p>
      <w:pPr>
        <w:spacing w:after="0" w:line="170" w:lineRule="exact"/>
        <w:rPr>
          <w:sz w:val="20"/>
          <w:szCs w:val="20"/>
          <w:color w:val="auto"/>
        </w:rPr>
      </w:pPr>
    </w:p>
    <w:p>
      <w:pPr>
        <w:jc w:val="both"/>
        <w:ind w:firstLine="702"/>
        <w:spacing w:after="0" w:line="279" w:lineRule="auto"/>
        <w:rPr>
          <w:sz w:val="20"/>
          <w:szCs w:val="20"/>
          <w:color w:val="auto"/>
        </w:rPr>
      </w:pPr>
      <w:r>
        <w:rPr>
          <w:rFonts w:ascii="Arial" w:cs="Arial" w:eastAsia="Arial" w:hAnsi="Arial"/>
          <w:sz w:val="17"/>
          <w:szCs w:val="17"/>
          <w:color w:val="auto"/>
        </w:rPr>
        <w:t>In connection with her appointment to the Board, Ms. Minas will receive the Company’s standard compensatory arrangements for non-employee directors. A description of the compensatory arrangements for non-employee directors is included in the Company’s 2017 Proxy Statement filed with the U.S. Securities and Exchange Commission (“SEC”) on April 25, 2017. Ms. Minas will also enter into the standard director indemnification agreement with the Company and one of its primary subsidiaries, the forms of which have been previously filed with the SEC.</w:t>
      </w:r>
    </w:p>
    <w:p>
      <w:pPr>
        <w:spacing w:after="0" w:line="171" w:lineRule="exact"/>
        <w:rPr>
          <w:sz w:val="20"/>
          <w:szCs w:val="20"/>
          <w:color w:val="auto"/>
        </w:rPr>
      </w:pPr>
    </w:p>
    <w:p>
      <w:pPr>
        <w:jc w:val="both"/>
        <w:ind w:firstLine="702"/>
        <w:spacing w:after="0" w:line="312" w:lineRule="auto"/>
        <w:rPr>
          <w:sz w:val="20"/>
          <w:szCs w:val="20"/>
          <w:color w:val="auto"/>
        </w:rPr>
      </w:pPr>
      <w:r>
        <w:rPr>
          <w:rFonts w:ascii="Arial" w:cs="Arial" w:eastAsia="Arial" w:hAnsi="Arial"/>
          <w:sz w:val="16"/>
          <w:szCs w:val="16"/>
          <w:color w:val="auto"/>
        </w:rPr>
        <w:t>There are no arrangements or understandings between Ms. Minas and any other person pursuant to which she was selected as a director. Ms. Minas does not have any family relationship with any director or executive officer of the Company or any person nominated or chosen by the Company to become a director or executive officer. There are no transactions in which Ms. Minas has an interest requiring disclosure under Item 404(a) of Regulation S-K.</w:t>
      </w:r>
    </w:p>
    <w:p>
      <w:pPr>
        <w:spacing w:after="0" w:line="200" w:lineRule="exact"/>
        <w:rPr>
          <w:sz w:val="20"/>
          <w:szCs w:val="20"/>
          <w:color w:val="auto"/>
        </w:rPr>
      </w:pPr>
    </w:p>
    <w:p>
      <w:pPr>
        <w:spacing w:after="0" w:line="321"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On March 12, 2018, the Company issued a press release describing the matters in the first paragraph of Item 5.02 of this Current Report on Form 8-K. A copy of the press release is furnished as Exhibit 99.1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46"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640" w:hanging="93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37"/>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9920" w:type="dxa"/>
            <w:vAlign w:val="bottom"/>
          </w:tcPr>
          <w:p>
            <w:pPr>
              <w:ind w:left="180"/>
              <w:spacing w:after="0"/>
              <w:rPr>
                <w:sz w:val="20"/>
                <w:szCs w:val="20"/>
                <w:color w:val="auto"/>
              </w:rPr>
            </w:pPr>
            <w:r>
              <w:rPr>
                <w:rFonts w:ascii="Arial" w:cs="Arial" w:eastAsia="Arial" w:hAnsi="Arial"/>
                <w:sz w:val="18"/>
                <w:szCs w:val="18"/>
                <w:color w:val="auto"/>
              </w:rPr>
              <w:t>Press release issued by Weatherford International plc on March 12, 2018</w:t>
            </w:r>
          </w:p>
        </w:tc>
      </w:tr>
    </w:tbl>
    <w:p>
      <w:pPr>
        <w:sectPr>
          <w:pgSz w:w="11900" w:h="16838" w:orient="portrait"/>
          <w:cols w:equalWidth="0" w:num="1">
            <w:col w:w="11420"/>
          </w:cols>
          <w:pgMar w:left="240" w:top="742" w:right="23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12, 2018</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31750</wp:posOffset>
            </wp:positionV>
            <wp:extent cx="336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Christina M. Ibrahim</w:t>
      </w:r>
    </w:p>
    <w:p>
      <w:pPr>
        <w:spacing w:after="0" w:line="63" w:lineRule="exact"/>
        <w:rPr>
          <w:sz w:val="20"/>
          <w:szCs w:val="20"/>
          <w:color w:val="auto"/>
        </w:rPr>
      </w:pPr>
    </w:p>
    <w:p>
      <w:pPr>
        <w:jc w:val="center"/>
        <w:ind w:left="5880"/>
        <w:spacing w:after="0"/>
        <w:rPr>
          <w:sz w:val="20"/>
          <w:szCs w:val="20"/>
          <w:color w:val="auto"/>
        </w:rPr>
      </w:pPr>
      <w:r>
        <w:rPr>
          <w:rFonts w:ascii="Arial" w:cs="Arial" w:eastAsia="Arial" w:hAnsi="Arial"/>
          <w:sz w:val="16"/>
          <w:szCs w:val="16"/>
          <w:color w:val="auto"/>
        </w:rPr>
        <w:t>Executive Vice President, General Counsel and Corporate Secretary</w:t>
      </w:r>
    </w:p>
    <w:p>
      <w:pPr>
        <w:sectPr>
          <w:pgSz w:w="11900" w:h="16838" w:orient="portrait"/>
          <w:cols w:equalWidth="0" w:num="1">
            <w:col w:w="11100"/>
          </w:cols>
          <w:pgMar w:left="240" w:top="580"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100" w:type="dxa"/>
            <w:vAlign w:val="bottom"/>
          </w:tcPr>
          <w:p>
            <w:pPr>
              <w:spacing w:after="0"/>
              <w:rPr>
                <w:sz w:val="17"/>
                <w:szCs w:val="17"/>
                <w:color w:val="auto"/>
              </w:rPr>
            </w:pPr>
          </w:p>
        </w:tc>
        <w:tc>
          <w:tcPr>
            <w:tcW w:w="9920" w:type="dxa"/>
            <w:vAlign w:val="bottom"/>
          </w:tcPr>
          <w:p>
            <w:pPr>
              <w:ind w:left="180"/>
              <w:spacing w:after="0" w:line="196" w:lineRule="exact"/>
              <w:rPr>
                <w:sz w:val="20"/>
                <w:szCs w:val="20"/>
                <w:color w:val="auto"/>
              </w:rPr>
            </w:pPr>
            <w:r>
              <w:rPr>
                <w:rFonts w:ascii="Arial" w:cs="Arial" w:eastAsia="Arial" w:hAnsi="Arial"/>
                <w:sz w:val="18"/>
                <w:szCs w:val="18"/>
                <w:color w:val="auto"/>
              </w:rPr>
              <w:t>Press release issued by Weatherford International plc on March 12, 2018</w:t>
            </w:r>
          </w:p>
        </w:tc>
      </w:tr>
    </w:tbl>
    <w:p>
      <w:pPr>
        <w:sectPr>
          <w:pgSz w:w="11900" w:h="16838" w:orient="portrait"/>
          <w:cols w:equalWidth="0" w:num="1">
            <w:col w:w="11360"/>
          </w:cols>
          <w:pgMar w:left="280" w:top="58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Press Release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Names New Director</w:t>
      </w:r>
    </w:p>
    <w:p>
      <w:pPr>
        <w:spacing w:after="0" w:line="21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BAAR, Switzerland, March 12, 2018 </w:t>
      </w:r>
      <w:r>
        <w:rPr>
          <w:rFonts w:ascii="Arial" w:cs="Arial" w:eastAsia="Arial" w:hAnsi="Arial"/>
          <w:sz w:val="18"/>
          <w:szCs w:val="18"/>
          <w:color w:val="auto"/>
        </w:rPr>
        <w:t>– Effective today, Weatherford International plc (NYSE: WFT) has appointed Angela A. Minas to serve as a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Minas has more than 30 years of financial, management consulting and executive leadership experience in the energy sector having served as the Chief Financial Officer of DCP Midstream Partners LP and Constellation Energy Partners LLC as well as lead partner for Arthur Andersen’s North American oil and gas consulting practice. She has also served on the boards of multiple public companies including as audit committee chair. She currently serves on the Council of Overseers at the Rice University Graduate Business School. As a member of the Weatherford Board of Directors, she will serve on the Audit Committee and Health, Safety and Environment Committee.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“Angela’s extensive experience in the energy industry, as well as her deep knowledge of finance and accounting, consulting and business transformation, makes her a strong addition to the Weatherford Board,” said Mark A. McCollum, President and Chief Executive Officer. “Her passion, integrity and insight will be especially valuable as we press forward with our Company’s transformation.”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90 countries and has a network of approximately 800 locations, including manufacturing, service, research and development, and training facilities and employs approximately 29,200 people. For more information, visit </w:t>
      </w:r>
      <w:r>
        <w:rPr>
          <w:rFonts w:ascii="Arial" w:cs="Arial" w:eastAsia="Arial" w:hAnsi="Arial"/>
          <w:sz w:val="18"/>
          <w:szCs w:val="18"/>
          <w:u w:val="single" w:color="auto"/>
          <w:color w:val="auto"/>
        </w:rPr>
        <w:t>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Contacts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Christoph Bausch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+1.713.836.4615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Karen David-Green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Investor Relations, Marketing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+1.713.836.7430</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2019-12-29T00:56:41Z</dcterms:created>
  <dcterms:modified xsi:type="dcterms:W3CDTF">2019-12-29T00:56:41Z</dcterms:modified>
</cp:coreProperties>
</file>