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12,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October 12, 2021, Weatherford International plc (the “Company”) issued a press release providing preliminary third-quarter 2021 performance update and announcing third-quarter 2021 conference call.</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copy of the press release is furnished herewith as Exhibit 99.1 to this Current Report on Form 8-K. The information contained in this Item 2.02 and Exhibit 99.1 shall not be deemed “filed” for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shall be expressly set forth by specific reference in such a filing.</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October 12, 2021, the Company issued a press release announcing the commencement of the offering (the “Offering”) of $1,500 million aggregate principal amount of senior notes due 2030 (the “Notes”) by Weatherford International Ltd. (the “Issuer”), the Company’s wholly owned subsidiary. The Issuer intends to use the net proceeds from the Offering and cash on hand (i) to purchase up to $1,500 million principal amount of its 11.00% senior notes due December 1, 2024 (the “11.00% Senior Notes”) in the Tender Offer (as defined below) at the applicable tender prices, plus accrued and unpaid interest and (ii) to fund the Concurrent Redemption (as defined below). A copy of the press release relating to the Offering is attached hereto as Exhibit 99.2 and is incorporated by reference into this Item 8.01.</w:t>
      </w:r>
    </w:p>
    <w:p>
      <w:pPr>
        <w:spacing w:after="0" w:line="9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Notes will be offered and sold only to persons reasonably believed to be qualified institutional buyers in the United States pursuant to Rule 144A under the Securities Act, and outside the United States, only to non-U.S. investors pursuant to Regulation S under the Securities Act.</w:t>
      </w:r>
    </w:p>
    <w:p>
      <w:pPr>
        <w:spacing w:after="0" w:line="6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Notes have not been and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This Current Report on Form 8–K shall not constitute an offer to sell or a solicitation of an offer to purchase the Notes, or any other securities, and shall not constitute an offer, solicitation or sale in any state or jurisdiction in which such an offer, solicitation or sale would be unlawful.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 Offer</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October 12, 2021, the Company issued a press release announcing that the Issuer has commenced a cash tender offer (the “Tender Offer”) to purchase for cash up to $1,500,000,000 aggregate principal amount of its outstanding 11.00% Senior Notes. The Tender Offer is subject to, and conditioned upon, among other things, a financing condition. The financing condition may be satisfied by the Offering of the Notes.</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Holders of the 11.00% Senior Notes should refer to the Issuer’s Offer to Purchase dated October 12, 2021, available from D.F. King &amp; Co., Inc., the tender and information agent for the Tender Offer.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press release relating to the Tender Offer is attached hereto as Exhibit 99.3 and is incorporated by reference into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Conditional Notice of Partial Redemption</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Issuer intends to issue a conditional notice of partial optional redemption to the holders of its 11.00% Senior Notes, providing for the redemption of up to $1,500,000,000 aggregate principal amount of the Issuer’s remaining outstanding 11.00% Senior Notes not tendered and purchased in the Offer (the “Concurrent Redemption”). The principal amount of 11.00% Senior Notes to be redeemed will be equal to the difference between (i) $1.5 billion and (ii) the aggregate principal amount of the 11.00% Senior Notes purchased by the Issuer in the Tender Offer. The redemption price for the</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11.00% Senior Notes to be redeemed will be equal to 100% of the principal amount of the 11.00% Senior Notes to be redeemed plus the Make Whole Premium (as defined in the indenture governing the 11.00% Senior Notes) as of, and accrued and unpaid interest to, but excluding, the redemption date. The redemption date for the Concurrent Redemption is expected to be November 15, 2021. The Concurrent Redemption will be conditioned on (i) the Issuer receiving the funds from the offer and sale of at least $1.5 billion aggregate principal amount of the Notes and the closing of the Offering and (ii) the Issuer purchasing less than $1.5 billion aggregate principal amount of the 11.00% Senior Notes pursuant to the Tender Offer. The Issuer intends to use the net proceeds from the Offering and cash on hand to fund the Concurrent Redemption.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does not constitute a notice of redemption with respect to the 11.00% Senior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 Current Report on Form 8-K contains forward-looking statements concerning, among other things, the Company’s strategy and financing plans and goals. These forward-looking statements are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6"/>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Document Description</w:t>
            </w: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gridSpan w:val="5"/>
          </w:tcPr>
          <w:p>
            <w:pPr>
              <w:ind w:left="20"/>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of Weatherford International plc providing preliminary third-quarter 2021 performance update and announcing third-quarter</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2021 conference call, dated October 12, 2021.</w:t>
              </w:r>
            </w:hyperlink>
          </w:p>
        </w:tc>
        <w:tc>
          <w:tcPr>
            <w:tcW w:w="662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Press Release of Weatherford International plc announcing the commencement of the offering of the Notes, dated October 12, 2021.</w:t>
              </w:r>
            </w:hyperlink>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99.3</w:t>
            </w:r>
          </w:p>
        </w:tc>
        <w:tc>
          <w:tcPr>
            <w:tcW w:w="10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Press Release of Weatherford International plc announcing the commencement of the tender offer, dated October 12, 2021.</w:t>
              </w:r>
            </w:hyperlink>
          </w:p>
        </w:tc>
        <w:tc>
          <w:tcPr>
            <w:tcW w:w="660" w:type="dxa"/>
            <w:vAlign w:val="bottom"/>
            <w:tcBorders>
              <w:top w:val="single" w:sz="8" w:color="0000EE"/>
            </w:tcBorders>
          </w:tcPr>
          <w:p>
            <w:pPr>
              <w:spacing w:after="0"/>
              <w:rPr>
                <w:sz w:val="17"/>
                <w:szCs w:val="17"/>
                <w:color w:val="auto"/>
              </w:rPr>
            </w:pPr>
          </w:p>
        </w:tc>
        <w:tc>
          <w:tcPr>
            <w:tcW w:w="480" w:type="dxa"/>
            <w:vAlign w:val="bottom"/>
            <w:gridSpan w:val="2"/>
          </w:tcPr>
          <w:p>
            <w:pPr>
              <w:spacing w:after="0"/>
              <w:rPr>
                <w:sz w:val="17"/>
                <w:szCs w:val="17"/>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574"/>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C. Weatherholt</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1"/>
              </w:rPr>
              <w:t>Executive Vice President, General Counsel and Chief</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Compliance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79930" cy="86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993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86" w:lineRule="exact"/>
        <w:rPr>
          <w:sz w:val="20"/>
          <w:szCs w:val="20"/>
          <w:color w:val="auto"/>
        </w:rPr>
      </w:pPr>
    </w:p>
    <w:p>
      <w:pPr>
        <w:jc w:val="center"/>
        <w:spacing w:after="0" w:line="297" w:lineRule="auto"/>
        <w:rPr>
          <w:sz w:val="20"/>
          <w:szCs w:val="20"/>
          <w:color w:val="auto"/>
        </w:rPr>
      </w:pPr>
      <w:r>
        <w:rPr>
          <w:rFonts w:ascii="Arial" w:cs="Arial" w:eastAsia="Arial" w:hAnsi="Arial"/>
          <w:sz w:val="27"/>
          <w:szCs w:val="27"/>
          <w:b w:val="1"/>
          <w:bCs w:val="1"/>
          <w:color w:val="auto"/>
        </w:rPr>
        <w:t>Weatherford Provides Preliminary Third-Quarter 2021 Performance Update and Announces Third-Quarter 2021 Conference Call</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HOUSTON, October 12, 2021 – </w:t>
      </w:r>
      <w:r>
        <w:rPr>
          <w:rFonts w:ascii="Arial" w:cs="Arial" w:eastAsia="Arial" w:hAnsi="Arial"/>
          <w:sz w:val="18"/>
          <w:szCs w:val="18"/>
          <w:color w:val="auto"/>
        </w:rPr>
        <w:t>Weatherford International plc (NASDAQ: WFRD) (“Weatherford” or the “Company”) provides a preliminary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update for the fiscal quarter ended September 30, 2021 and announces it will host a conference call on Tuesday, November 2, 2021 to discuss the Company’s results for the third quarter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FINANCIAL PERFORMANCE UPDATE FOR Q3’21 RELATIVE TO Q2’21</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revenues expected to increase by 4% to 5%</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EBITDA expected to be higher by at least 25% and Adjusted EBITDA margins expected to increase by at least 350 basis points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expected to increase by at least 50%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 from operations and free cash flow expected to be at least 75% higher</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Girish Saligram, President and Chief Executive Officer, commented, “Our focus on driving our key imperatives continues to deliver demonstrable proof of the ongoing operational turnaround at Weatherford. We expect to outperform relative to the expectations we laid out in July for Q3, driven by our ability to capture activity increases at greater fall through margins. We recognize that we still have work to do to ensure our goal of sustainable profitability and positive free cash flow generation across cycles and at baseload activity levels. We are committed to institutionalizing the current improvements in our core operating processes to ensure balanced performance going forward. We will provide further details on our Q3 results, as well as the expected impact on Q4</w:t>
      </w:r>
    </w:p>
    <w:p>
      <w:pPr>
        <w:spacing w:after="0" w:line="2" w:lineRule="exact"/>
        <w:rPr>
          <w:sz w:val="20"/>
          <w:szCs w:val="20"/>
          <w:color w:val="auto"/>
        </w:rPr>
      </w:pPr>
    </w:p>
    <w:p>
      <w:pPr>
        <w:ind w:right="5160"/>
        <w:spacing w:after="0" w:line="317" w:lineRule="auto"/>
        <w:rPr>
          <w:sz w:val="20"/>
          <w:szCs w:val="20"/>
          <w:color w:val="auto"/>
        </w:rPr>
      </w:pPr>
      <w:r>
        <w:rPr>
          <w:rFonts w:ascii="Arial" w:cs="Arial" w:eastAsia="Arial" w:hAnsi="Arial"/>
          <w:sz w:val="18"/>
          <w:szCs w:val="18"/>
          <w:color w:val="auto"/>
        </w:rPr>
        <w:t>and full-year guidance, as part of our scheduled earnings release on November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Non-GAAP Measures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Weatherford reports its financial results in accordance with U.S. generally accepted accounting principles (GAAP). However, the Company’s management believes that certain non-GAAP financial measures and ratios may provide users of this financial information additional meaningful comparisons between current results and results of prior periods and comparisons with peer companies. The non-GAAP amounts provided should not be considered as substitutes for operating income, net income or other data prepared and reported in accordance with GAAP, but should be viewed in addition to the Company’s reported results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right="180"/>
        <w:spacing w:after="0" w:line="259" w:lineRule="auto"/>
        <w:rPr>
          <w:sz w:val="20"/>
          <w:szCs w:val="20"/>
          <w:color w:val="auto"/>
        </w:rPr>
      </w:pPr>
      <w:r>
        <w:rPr>
          <w:rFonts w:ascii="Arial" w:cs="Arial" w:eastAsia="Arial" w:hAnsi="Arial"/>
          <w:sz w:val="18"/>
          <w:szCs w:val="18"/>
          <w:color w:val="auto"/>
        </w:rPr>
        <w:t>The percentages reported above are preliminary. The Company is currently unable to determine its net income (loss) for the third quarter 2021 without unreasonable effort because it is still calculating certain income statement line items such as income taxes. Additional information about the Company’s Non-GAAP Measures including reconciliations to GAAP measures are available in the Company’s most recently filed Earnings Release on Form 8-K for the period ended June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CONFERENCE CALL</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conference call will begin on Tuesday, November 2, 2021 at 9:00 a.m. Eastern Time (8:00 a.m. Central Time). Prior to the conference call, the Company will issue a press release announcing the results and the associated presentation slides will be uploaded to the investor relations section of the Weatherford website.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Listeners can participate in the conference call via a </w:t>
      </w:r>
      <w:r>
        <w:rPr>
          <w:rFonts w:ascii="Arial" w:cs="Arial" w:eastAsia="Arial" w:hAnsi="Arial"/>
          <w:sz w:val="17"/>
          <w:szCs w:val="17"/>
          <w:u w:val="single" w:color="auto"/>
          <w:color w:val="0000FF"/>
        </w:rPr>
        <w:t>live webcast.</w:t>
      </w:r>
      <w:r>
        <w:rPr>
          <w:rFonts w:ascii="Arial" w:cs="Arial" w:eastAsia="Arial" w:hAnsi="Arial"/>
          <w:sz w:val="17"/>
          <w:szCs w:val="17"/>
          <w:color w:val="auto"/>
        </w:rPr>
        <w:t xml:space="preserve"> Alternatively, the conference call can be accessed by </w:t>
      </w:r>
      <w:r>
        <w:rPr>
          <w:rFonts w:ascii="Arial" w:cs="Arial" w:eastAsia="Arial" w:hAnsi="Arial"/>
          <w:sz w:val="17"/>
          <w:szCs w:val="17"/>
          <w:u w:val="single" w:color="auto"/>
          <w:color w:val="0000FF"/>
        </w:rPr>
        <w:t>registering in advance</w:t>
      </w:r>
      <w:r>
        <w:rPr>
          <w:rFonts w:ascii="Arial" w:cs="Arial" w:eastAsia="Arial" w:hAnsi="Arial"/>
          <w:sz w:val="17"/>
          <w:szCs w:val="17"/>
          <w:color w:val="auto"/>
        </w:rPr>
        <w:t xml:space="preserv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telephonic replay of the conference call will be available until November 16, 2021, at 5:00 p.m. Eastern Time. To access the replay, please dial +1 877-344-7529 (within the U.S.) or +1 412-317-0088 (outside of the U.S.) and reference conference number 10160194.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news release contains forward-looking statements concerning, among other things, the Company’s expectations regarding quarterly revenues, operating income and losses, adjusted EBITDA, free cash flow,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 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is a leading global energy services company. Operating in more than 75 countries, the Company answers the challenges of the energy industry with its global talent network of approximately 17,000 team members and approximately 365 operating locations, including manufacturing, research and development, service, and training facilities. Visit </w:t>
      </w:r>
      <w:r>
        <w:rPr>
          <w:rFonts w:ascii="Arial" w:cs="Arial" w:eastAsia="Arial" w:hAnsi="Arial"/>
          <w:sz w:val="18"/>
          <w:szCs w:val="18"/>
          <w:u w:val="single" w:color="auto"/>
          <w:color w:val="0000FF"/>
        </w:rPr>
        <w:t>weatherford.com</w:t>
      </w:r>
      <w:r>
        <w:rPr>
          <w:rFonts w:ascii="Arial" w:cs="Arial" w:eastAsia="Arial" w:hAnsi="Arial"/>
          <w:sz w:val="18"/>
          <w:szCs w:val="18"/>
          <w:color w:val="auto"/>
        </w:rPr>
        <w:t xml:space="preserve"> for more information or connect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Instagram</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YouTube</w:t>
      </w:r>
      <w:r>
        <w:rPr>
          <w:rFonts w:ascii="Arial" w:cs="Arial" w:eastAsia="Arial" w:hAnsi="Arial"/>
          <w:sz w:val="18"/>
          <w:szCs w:val="18"/>
          <w:color w:val="000000"/>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kelley.hughes@weatherford.com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 w:name="page8"/>
    <w:bookmarkEnd w:id="7"/>
    <w:p>
      <w:pPr>
        <w:ind w:left="1012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Announces the Commencement of a $1,500,000,000 Senior Notes Offering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HOUSTON, October 12, 2021/PRNewswire/ -- Weatherford International plc (NASDAQ: WFRD) (“Weatherford” or the “Company”) today announced that its wholly owned subsidiary, Weatherford International Ltd. (the “Issuer”) is proposing to issue $1,500 million aggregate principal amount of senior notes due 2030 (the “Notes”) in a private offering that is exempt from the registration requirements of the Securities Act of 1933, as amended (the “Securities Act”). The Notes will be guaranteed by the Company and the same subsidiaries of the Company that guarantee the Issuer’s 6.50% Senior Secured First Lien Notes due September 15, 2028. The offering is subject to market conditions and other factors.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Issuer intends to use the net proceeds from the offering and cash on hand to purchase, in a separately announced tender offer, or redeem, up to $1,500 million principal amount of its 11.00% senior notes due December 1, 2024.</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are being offered only to persons reasonably believed to be qualified institutional buyers in reliance on Rule 144A under the Securities Act, and outside the United States, only to non-U.S. investors pursuant to Regulation S under the Securities Act. The Notes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Notes or any other securities and shall not constitute an offer, solicitation or sale in any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kelley.hughes@weatherford.com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left="10120"/>
        <w:spacing w:after="0"/>
        <w:rPr>
          <w:sz w:val="20"/>
          <w:szCs w:val="20"/>
          <w:color w:val="auto"/>
        </w:rPr>
      </w:pPr>
      <w:r>
        <w:rPr>
          <w:rFonts w:ascii="Arial" w:cs="Arial" w:eastAsia="Arial" w:hAnsi="Arial"/>
          <w:sz w:val="18"/>
          <w:szCs w:val="18"/>
          <w:b w:val="1"/>
          <w:bCs w:val="1"/>
          <w:color w:val="auto"/>
        </w:rPr>
        <w:t>EXHIBIT 99.3</w:t>
      </w:r>
    </w:p>
    <w:p>
      <w:pPr>
        <w:spacing w:after="0" w:line="25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Weatherford International plc Announces Cash Tender Offer for up to $1,500 million of Weatherford International Ltd.’s 11.00% Senior Notes Due 2024</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HOUSTON, October 12, 2021/PRNewswire/ -- Weatherford International plc (NASDAQ: WFRD) (“Weatherford” or the “Company”) today announced that its wholly owned subsidiary, Weatherford International Ltd. (the “Issuer”), has commenced a tender offer (the “Tender Offer”) to purchase for cash up to $1,500,000,000 aggregate principal amount of its outstanding 11.00% Senior Notes due 2024 (the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and conditions of the Tender Offer are described in an Offer to Purchase, dated October 12, 2021 (the “Offer to Purchase”). The following table summarizes the material pricing terms of the Tender Offer.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Tender</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Offer</w:t>
            </w: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Aggregate</w:t>
            </w:r>
          </w:p>
        </w:tc>
        <w:tc>
          <w:tcPr>
            <w:tcW w:w="15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Tender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Consideration</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Early Tender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Consideration</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Title of Security</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Amount</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CUSIP / ISIN</w:t>
            </w:r>
          </w:p>
        </w:tc>
        <w:tc>
          <w:tcPr>
            <w:tcW w:w="1460" w:type="dxa"/>
            <w:vAlign w:val="bottom"/>
          </w:tcPr>
          <w:p>
            <w:pPr>
              <w:jc w:val="right"/>
              <w:ind w:right="553"/>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23"/>
                <w:szCs w:val="23"/>
                <w:color w:val="auto"/>
              </w:rPr>
            </w:pPr>
          </w:p>
        </w:tc>
        <w:tc>
          <w:tcPr>
            <w:tcW w:w="156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7"/>
              </w:rPr>
              <w:t>Payment</w:t>
            </w:r>
            <w:r>
              <w:rPr>
                <w:rFonts w:ascii="Arial" w:cs="Arial" w:eastAsia="Arial" w:hAnsi="Arial"/>
                <w:sz w:val="29"/>
                <w:szCs w:val="29"/>
                <w:b w:val="1"/>
                <w:bCs w:val="1"/>
                <w:color w:val="auto"/>
                <w:w w:val="87"/>
                <w:vertAlign w:val="superscript"/>
              </w:rPr>
              <w:t>(2)</w:t>
            </w:r>
          </w:p>
        </w:tc>
        <w:tc>
          <w:tcPr>
            <w:tcW w:w="1460" w:type="dxa"/>
            <w:vAlign w:val="bottom"/>
          </w:tcPr>
          <w:p>
            <w:pPr>
              <w:jc w:val="right"/>
              <w:ind w:right="474"/>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96"/>
        </w:trPr>
        <w:tc>
          <w:tcPr>
            <w:tcW w:w="14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Senior Notes due</w:t>
            </w:r>
          </w:p>
        </w:tc>
        <w:tc>
          <w:tcPr>
            <w:tcW w:w="12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4"/>
                <w:szCs w:val="14"/>
                <w:color w:val="auto"/>
              </w:rPr>
              <w:t>$2,100,000,000</w:t>
            </w:r>
            <w:r>
              <w:rPr>
                <w:rFonts w:ascii="Arial" w:cs="Arial" w:eastAsia="Arial" w:hAnsi="Arial"/>
                <w:sz w:val="22"/>
                <w:szCs w:val="22"/>
                <w:color w:val="auto"/>
                <w:vertAlign w:val="superscript"/>
              </w:rPr>
              <w:t>(4)</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$1,500,000,000</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947075AP2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273"/>
              <w:spacing w:after="0" w:line="196" w:lineRule="exact"/>
              <w:rPr>
                <w:sz w:val="20"/>
                <w:szCs w:val="20"/>
                <w:color w:val="auto"/>
              </w:rPr>
            </w:pPr>
            <w:r>
              <w:rPr>
                <w:rFonts w:ascii="Arial" w:cs="Arial" w:eastAsia="Arial" w:hAnsi="Arial"/>
                <w:sz w:val="18"/>
                <w:szCs w:val="18"/>
                <w:color w:val="auto"/>
              </w:rPr>
              <w:t>$1,014.76</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$50.00</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$1,064.76</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US947075AP29</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1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$1,000 principal amount of Notes validly tendered and accepted for payment.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 $1,000 principal amount of Notes validly tendered and not validly withdrawn prior to the Early Tender Deadline and accepted for payment.</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Tender Offer Consideration and Early Tender Payment.</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Of the $2,100,000,000 outstanding aggregate principal amount of Notes as of the date hereof, $200,000,000 in aggregate principal amount of Notes have been called for redemption at a price of 103.000% of the principal amount thereof, plus accrued and unpaid interest to the redemption date. The redemption of such Notes in the $200,000,000 aggregate principal amount is expected to occur on October 20, 2021. Prior to December 1, 2022, the Issuer may redeem up to an additional $300 million in the aggregate principal amount of the Notes at a redemption price of 103.000% of the principal amount of the Notes being redeemed plus accrued and unpaid interest, if any, to the redemption date. The Issuer intends to issue a notice of conditional redemption providing for the redemption of up to $1,500,000,000 aggregate principal amount of the Issuer’s remaining outstanding Notes not tendered and purchased in the Tender Offer (the “Concurrent Redemption”). The principal amount of the Notes to be redeemed will be equal to the difference between (i) $1.5 billion and (ii) the aggregate principal amount of the Notes purchased by the Issuer in the Tender Offer. The redemption price for the Notes to be redeemed will be equal to 100.00% of the principal amount of the Notes to be redeemed plus the Make Whole Premium (as defined in the indenture governing the Notes) as of, and accrued and unpaid interest to, but excluding, the redemption date. The redemption date for the Concurrent Redemption is expected to be November 15, 2021. The Concurrent Redemption is conditioned on the satisfaction or waiver of the following conditions: (i) the consummation of a debt financing in the aggregate principal amount of at least $1.5 billion and (ii) the Issuer purchasing less than $1.5 billion aggregate principal amount of the Notes pursuant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The Tender Offer will expire at Midnight, New York City time, at the end of November 8, 2021, unless extended or earlier terminated by the Issuer (the “Expiration Date”). In order to be eligible to receive the Total Consideration (as described below) for tendered Notes, holders must validly tender and not validly withdraw their Notes prior to 5:00 p.m., New York City time, on October 25, 2021, unless extended or earlier terminated by the Issuer (such date and time, as it may be extended, the “Early Tender Deadline”).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consummation of the Tender Offer is subject to, and conditioned upon, the satisfaction or waiver of certain conditions described in the Offer to Purchase, including, among other things, the Issuer consummating the New Notes Issuance (as defined in the Offer to Purchase) on terms satisfactory to it, on or prior to the Early Settlement Date (as defined in the Offer to Purchase).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Consideration” for each $1,000 principal amount of Notes validly tendered and not validly withdrawn and accepted for purchase pursuant to the Tender Offer will be an amount equal to $1,064.76 payable in cash to holders that validly tender their Notes prior to the Early Tender Deadline, plus accrued and unpaid interest.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Total Consideration set forth above includes an “Early Tender Payment” of $50.00 per $1,000 principal amount of Notes, payable only to holders that validly tender and do not validly withdraw their Notes prior to the Early Tender Deadline. Holders of Notes who validly tendered after the Early Tender Deadline will not receive an Early Tender Payment.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validly tendered prior to the Early Tender Deadline may be validly withdrawn at any time prior to the Early Tender Deadline. Notes validly tendered prior to the Early Tender Deadline may not be validly withdrawn after the Early Tender Deadline.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may be subject to proration if the aggregate principal amount of Notes validly tendered and not validly withdrawn would cause the Maximum Tender Amount (as defined in the Offer to Purchase) to be exceeded. In the event any tendered Notes are not accepted for purchase due to proration, they will be promptly returned or credited to the Holder’s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Notes purchased pursuant to the Tender Offer will be cancelled.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complete terms and conditions of the Tender Offer are set forth in the Offer to Purchase. Holders are urged to read the Offer to Purchase carefully when they become available.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any security. No offer, solicitation, or sale will be made in any jurisdiction in which such an offer, solicitation, or sale would be unlawful. This disclosure does not constitute a notice of redemption with respect to the Notes.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Morgan Stanley &amp; Co. LLC is the dealer manager (the “Dealer Manager”) in the Tender Offer. D.F. King &amp; Co., Inc. has been retained to serve as both the tender and the information agent (the “Tender and Information Agent”) for the Tender Offer. Questions regarding the Tender Offer should be directed to the Dealer Manager at 1 (800) 624-1808 or (212) 761-1057. Requests for copies of the Offer to Purchase and other related materials should be directed to D.F. King &amp; Co., Inc. at weatherford@dfking.com (email), (800) 290-6428 (U.S. Toll-Free) or (212) 269-5550 (Banks and Brokers).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None of the Company, its board of directors, the Issuer, the Dealer Manager, the Tender and Information Agent, the Trustee under the Indenture, or any of the Issuer’s affiliates, makes any recommendation as to whether holders of the Notes should tender any Notes in response to the Tender Offer. The Tender Offer is made only by the Offer to Purchase. The Tender Offer is not being made to holders of Notes in any jurisdiction in which the making or acceptance thereof would not be in compliance with the securities, blue sky or other laws of such jurisdiction. In any jurisdiction in which the Tender Offer is required to be made by a licensed broker or dealer, the Tender Offer will be deemed to be made on behalf of the Issuer by the Dealer Manager or one or more registered brokers or dealers that are licensed under the laws of such jurisdiction.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63636"/>
        </w:rPr>
        <w:t>About Weatherford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63636"/>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investor.relations@weatherford.com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kelley.hughes@weatherford.com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2021-10-12T06:40:47Z</dcterms:created>
  <dcterms:modified xsi:type="dcterms:W3CDTF">2021-10-12T06:40:47Z</dcterms:modified>
</cp:coreProperties>
</file>