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-627380</wp:posOffset>
            </wp:positionV>
            <wp:extent cx="58420" cy="640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828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82803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300"/>
            <w:col w:w="8520"/>
          </w:cols>
          <w:pgMar w:left="460" w:top="222" w:right="359" w:bottom="77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Weatherholt Scott C</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WFRD</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01/04/2022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8" w:right="620" w:hanging="8"/>
        <w:spacing w:after="0" w:line="238"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20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988"/>
        <w:spacing w:after="0"/>
        <w:rPr>
          <w:sz w:val="20"/>
          <w:szCs w:val="20"/>
          <w:color w:val="auto"/>
        </w:rPr>
      </w:pPr>
      <w:r>
        <w:rPr>
          <w:rFonts w:ascii="Arial" w:cs="Arial" w:eastAsia="Arial" w:hAnsi="Arial"/>
          <w:sz w:val="17"/>
          <w:szCs w:val="17"/>
          <w:color w:val="0000FF"/>
        </w:rPr>
        <w:t>EVP, GC &amp; CCO</w:t>
      </w:r>
    </w:p>
    <w:p>
      <w:pPr>
        <w:spacing w:after="0" w:line="309" w:lineRule="exact"/>
        <w:rPr>
          <w:sz w:val="24"/>
          <w:szCs w:val="24"/>
          <w:color w:val="auto"/>
        </w:rPr>
      </w:pPr>
    </w:p>
    <w:p>
      <w:pPr>
        <w:sectPr>
          <w:pgSz w:w="11900" w:h="16838" w:orient="portrait"/>
          <w:cols w:equalWidth="0" w:num="3">
            <w:col w:w="3180" w:space="720"/>
            <w:col w:w="3220" w:space="612"/>
            <w:col w:w="3348"/>
          </w:cols>
          <w:pgMar w:left="460" w:top="222" w:right="359" w:bottom="776"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20"/>
              <w:spacing w:after="0"/>
              <w:rPr>
                <w:sz w:val="20"/>
                <w:szCs w:val="20"/>
                <w:color w:val="auto"/>
              </w:rPr>
            </w:pPr>
            <w:r>
              <w:rPr>
                <w:rFonts w:ascii="Arial" w:cs="Arial" w:eastAsia="Arial" w:hAnsi="Arial"/>
                <w:sz w:val="17"/>
                <w:szCs w:val="17"/>
                <w:color w:val="0000FF"/>
              </w:rPr>
              <w:t>TX</w:t>
            </w:r>
          </w:p>
        </w:tc>
        <w:tc>
          <w:tcPr>
            <w:tcW w:w="1620" w:type="dxa"/>
            <w:vAlign w:val="bottom"/>
          </w:tcPr>
          <w:p>
            <w:pPr>
              <w:ind w:left="420"/>
              <w:spacing w:after="0"/>
              <w:rPr>
                <w:sz w:val="20"/>
                <w:szCs w:val="20"/>
                <w:color w:val="auto"/>
              </w:rPr>
            </w:pPr>
            <w:r>
              <w:rPr>
                <w:rFonts w:ascii="Arial" w:cs="Arial" w:eastAsia="Arial" w:hAnsi="Arial"/>
                <w:sz w:val="17"/>
                <w:szCs w:val="17"/>
                <w:color w:val="0000FF"/>
              </w:rPr>
              <w:t>77056</w:t>
            </w:r>
          </w:p>
        </w:tc>
      </w:tr>
      <w:tr>
        <w:trPr>
          <w:trHeight w:val="150"/>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6"/>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9"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9" w:lineRule="exact"/>
        <w:rPr>
          <w:sz w:val="24"/>
          <w:szCs w:val="24"/>
          <w:color w:val="auto"/>
        </w:rPr>
      </w:pPr>
    </w:p>
    <w:p>
      <w:pPr>
        <w:sectPr>
          <w:pgSz w:w="11900" w:h="16838" w:orient="portrait"/>
          <w:cols w:equalWidth="0" w:num="2">
            <w:col w:w="3760" w:space="140"/>
            <w:col w:w="7180"/>
          </w:cols>
          <w:pgMar w:left="460" w:top="222" w:right="359" w:bottom="77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8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18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5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50"/>
              <w:spacing w:after="0"/>
              <w:rPr>
                <w:sz w:val="20"/>
                <w:szCs w:val="20"/>
                <w:color w:val="auto"/>
              </w:rPr>
            </w:pPr>
            <w:r>
              <w:rPr>
                <w:rFonts w:ascii="Arial" w:cs="Arial" w:eastAsia="Arial" w:hAnsi="Arial"/>
                <w:sz w:val="17"/>
                <w:szCs w:val="17"/>
                <w:color w:val="0000FF"/>
                <w:w w:val="91"/>
              </w:rPr>
              <w:t>01/04/2022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35,585</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35,585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50"/>
              <w:spacing w:after="0"/>
              <w:rPr>
                <w:sz w:val="20"/>
                <w:szCs w:val="20"/>
                <w:color w:val="auto"/>
              </w:rPr>
            </w:pPr>
            <w:r>
              <w:rPr>
                <w:rFonts w:ascii="Arial" w:cs="Arial" w:eastAsia="Arial" w:hAnsi="Arial"/>
                <w:sz w:val="17"/>
                <w:szCs w:val="17"/>
                <w:color w:val="0000FF"/>
                <w:w w:val="91"/>
              </w:rPr>
              <w:t>01/04/2022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F</w:t>
            </w:r>
            <w:r>
              <w:rPr>
                <w:rFonts w:ascii="Arial" w:cs="Arial" w:eastAsia="Arial" w:hAnsi="Arial"/>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8,928</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27.9</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26,657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50"/>
              <w:spacing w:after="0"/>
              <w:rPr>
                <w:sz w:val="20"/>
                <w:szCs w:val="20"/>
                <w:color w:val="auto"/>
              </w:rPr>
            </w:pPr>
            <w:r>
              <w:rPr>
                <w:rFonts w:ascii="Arial" w:cs="Arial" w:eastAsia="Arial" w:hAnsi="Arial"/>
                <w:sz w:val="17"/>
                <w:szCs w:val="17"/>
                <w:color w:val="0000FF"/>
                <w:w w:val="91"/>
              </w:rPr>
              <w:t>01/04/2022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(3)</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14,434</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41,091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50"/>
              <w:spacing w:after="0"/>
              <w:rPr>
                <w:sz w:val="20"/>
                <w:szCs w:val="20"/>
                <w:color w:val="auto"/>
              </w:rPr>
            </w:pPr>
            <w:r>
              <w:rPr>
                <w:rFonts w:ascii="Arial" w:cs="Arial" w:eastAsia="Arial" w:hAnsi="Arial"/>
                <w:sz w:val="17"/>
                <w:szCs w:val="17"/>
                <w:color w:val="0000FF"/>
                <w:w w:val="91"/>
              </w:rPr>
              <w:t>01/04/2022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(4)</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14,434</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27.6766</w:t>
            </w:r>
            <w:r>
              <w:rPr>
                <w:rFonts w:ascii="Arial" w:cs="Arial" w:eastAsia="Arial" w:hAnsi="Arial"/>
                <w:sz w:val="21"/>
                <w:szCs w:val="21"/>
                <w:color w:val="008000"/>
                <w:w w:val="86"/>
                <w:vertAlign w:val="superscript"/>
              </w:rPr>
              <w:t>(5)</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26,657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Expiration</w:t>
            </w:r>
          </w:p>
        </w:tc>
        <w:tc>
          <w:tcPr>
            <w:tcW w:w="54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vMerge w:val="restart"/>
          </w:tcPr>
          <w:p>
            <w:pPr>
              <w:ind w:left="400"/>
              <w:spacing w:after="0"/>
              <w:rPr>
                <w:sz w:val="20"/>
                <w:szCs w:val="20"/>
                <w:color w:val="auto"/>
              </w:rPr>
            </w:pPr>
            <w:r>
              <w:rPr>
                <w:rFonts w:ascii="Arial" w:cs="Arial" w:eastAsia="Arial" w:hAnsi="Arial"/>
                <w:sz w:val="11"/>
                <w:szCs w:val="11"/>
                <w:color w:val="008000"/>
              </w:rPr>
              <w:t>(1)</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540" w:type="dxa"/>
            <w:vAlign w:val="bottom"/>
            <w:vMerge w:val="restart"/>
          </w:tcPr>
          <w:p>
            <w:pPr>
              <w:ind w:left="80"/>
              <w:spacing w:after="0"/>
              <w:rPr>
                <w:sz w:val="20"/>
                <w:szCs w:val="20"/>
                <w:color w:val="auto"/>
              </w:rPr>
            </w:pPr>
            <w:r>
              <w:rPr>
                <w:rFonts w:ascii="Arial" w:cs="Arial" w:eastAsia="Arial" w:hAnsi="Arial"/>
                <w:sz w:val="13"/>
                <w:szCs w:val="13"/>
                <w:color w:val="0000FF"/>
                <w:w w:val="88"/>
              </w:rPr>
              <w:t>Ordinary</w:t>
            </w:r>
          </w:p>
        </w:tc>
        <w:tc>
          <w:tcPr>
            <w:tcW w:w="660" w:type="dxa"/>
            <w:vAlign w:val="bottom"/>
            <w:vMerge w:val="restart"/>
          </w:tcPr>
          <w:p>
            <w:pPr>
              <w:ind w:left="140"/>
              <w:spacing w:after="0"/>
              <w:rPr>
                <w:sz w:val="20"/>
                <w:szCs w:val="20"/>
                <w:color w:val="auto"/>
              </w:rPr>
            </w:pPr>
            <w:r>
              <w:rPr>
                <w:rFonts w:ascii="Arial" w:cs="Arial" w:eastAsia="Arial" w:hAnsi="Arial"/>
                <w:sz w:val="17"/>
                <w:szCs w:val="17"/>
                <w:color w:val="0000FF"/>
                <w:w w:val="96"/>
              </w:rPr>
              <w:t>35,585</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Share</w:t>
            </w:r>
          </w:p>
        </w:tc>
        <w:tc>
          <w:tcPr>
            <w:tcW w:w="780" w:type="dxa"/>
            <w:vAlign w:val="bottom"/>
            <w:vMerge w:val="continue"/>
          </w:tcPr>
          <w:p>
            <w:pPr>
              <w:spacing w:after="0"/>
              <w:rPr>
                <w:sz w:val="10"/>
                <w:szCs w:val="10"/>
                <w:color w:val="auto"/>
              </w:rPr>
            </w:pPr>
          </w:p>
        </w:tc>
        <w:tc>
          <w:tcPr>
            <w:tcW w:w="1040" w:type="dxa"/>
            <w:vAlign w:val="bottom"/>
          </w:tcPr>
          <w:p>
            <w:pPr>
              <w:jc w:val="right"/>
              <w:ind w:right="139"/>
              <w:spacing w:after="0" w:line="125" w:lineRule="exact"/>
              <w:rPr>
                <w:sz w:val="20"/>
                <w:szCs w:val="20"/>
                <w:color w:val="auto"/>
              </w:rPr>
            </w:pPr>
            <w:r>
              <w:rPr>
                <w:rFonts w:ascii="Arial" w:cs="Arial" w:eastAsia="Arial" w:hAnsi="Arial"/>
                <w:sz w:val="13"/>
                <w:szCs w:val="13"/>
                <w:color w:val="0000FF"/>
              </w:rPr>
              <w:t>01/04/2022</w:t>
            </w:r>
          </w:p>
        </w:tc>
        <w:tc>
          <w:tcPr>
            <w:tcW w:w="1140" w:type="dxa"/>
            <w:vAlign w:val="bottom"/>
          </w:tcPr>
          <w:p>
            <w:pPr>
              <w:spacing w:after="0"/>
              <w:rPr>
                <w:sz w:val="10"/>
                <w:szCs w:val="10"/>
                <w:color w:val="auto"/>
              </w:rPr>
            </w:pPr>
          </w:p>
        </w:tc>
        <w:tc>
          <w:tcPr>
            <w:tcW w:w="440" w:type="dxa"/>
            <w:vAlign w:val="bottom"/>
          </w:tcPr>
          <w:p>
            <w:pPr>
              <w:ind w:left="160"/>
              <w:spacing w:after="0" w:line="125"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0"/>
                <w:szCs w:val="10"/>
                <w:color w:val="auto"/>
              </w:rPr>
            </w:pPr>
          </w:p>
        </w:tc>
        <w:tc>
          <w:tcPr>
            <w:tcW w:w="680" w:type="dxa"/>
            <w:vAlign w:val="bottom"/>
          </w:tcPr>
          <w:p>
            <w:pPr>
              <w:ind w:left="320"/>
              <w:spacing w:after="0" w:line="125" w:lineRule="exact"/>
              <w:rPr>
                <w:sz w:val="20"/>
                <w:szCs w:val="20"/>
                <w:color w:val="auto"/>
              </w:rPr>
            </w:pPr>
            <w:r>
              <w:rPr>
                <w:rFonts w:ascii="Arial" w:cs="Arial" w:eastAsia="Arial" w:hAnsi="Arial"/>
                <w:sz w:val="13"/>
                <w:szCs w:val="13"/>
                <w:color w:val="0000FF"/>
                <w:w w:val="85"/>
              </w:rPr>
              <w:t>35,585</w:t>
            </w: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ind w:left="10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jc w:val="right"/>
              <w:spacing w:after="0" w:line="125" w:lineRule="exact"/>
              <w:rPr>
                <w:sz w:val="20"/>
                <w:szCs w:val="20"/>
                <w:color w:val="auto"/>
              </w:rPr>
            </w:pPr>
            <w:r>
              <w:rPr>
                <w:rFonts w:ascii="Arial" w:cs="Arial" w:eastAsia="Arial" w:hAnsi="Arial"/>
                <w:sz w:val="13"/>
                <w:szCs w:val="13"/>
                <w:color w:val="0000FF"/>
              </w:rPr>
              <w:t>35,585</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ind w:left="140"/>
              <w:spacing w:after="0" w:line="143" w:lineRule="exact"/>
              <w:rPr>
                <w:sz w:val="20"/>
                <w:szCs w:val="20"/>
                <w:color w:val="auto"/>
              </w:rPr>
            </w:pPr>
            <w:r>
              <w:rPr>
                <w:rFonts w:ascii="Arial" w:cs="Arial" w:eastAsia="Arial" w:hAnsi="Arial"/>
                <w:sz w:val="13"/>
                <w:szCs w:val="13"/>
                <w:color w:val="0000FF"/>
                <w:w w:val="92"/>
              </w:rPr>
              <w:t>Shares</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Phantom</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ind w:left="340"/>
              <w:spacing w:after="0"/>
              <w:rPr>
                <w:sz w:val="20"/>
                <w:szCs w:val="20"/>
                <w:color w:val="auto"/>
              </w:rPr>
            </w:pPr>
            <w:r>
              <w:rPr>
                <w:rFonts w:ascii="Arial" w:cs="Arial" w:eastAsia="Arial" w:hAnsi="Arial"/>
                <w:sz w:val="11"/>
                <w:szCs w:val="11"/>
                <w:color w:val="008000"/>
              </w:rPr>
              <w:t>(6)</w:t>
            </w:r>
          </w:p>
        </w:tc>
        <w:tc>
          <w:tcPr>
            <w:tcW w:w="1040" w:type="dxa"/>
            <w:vAlign w:val="bottom"/>
          </w:tcPr>
          <w:p>
            <w:pPr>
              <w:jc w:val="right"/>
              <w:ind w:right="139"/>
              <w:spacing w:after="0"/>
              <w:rPr>
                <w:sz w:val="20"/>
                <w:szCs w:val="20"/>
                <w:color w:val="auto"/>
              </w:rPr>
            </w:pPr>
            <w:r>
              <w:rPr>
                <w:rFonts w:ascii="Arial" w:cs="Arial" w:eastAsia="Arial" w:hAnsi="Arial"/>
                <w:sz w:val="13"/>
                <w:szCs w:val="13"/>
                <w:color w:val="0000FF"/>
              </w:rPr>
              <w:t>01/04/2022</w:t>
            </w:r>
          </w:p>
        </w:tc>
        <w:tc>
          <w:tcPr>
            <w:tcW w:w="1140" w:type="dxa"/>
            <w:vAlign w:val="bottom"/>
          </w:tcPr>
          <w:p>
            <w:pPr>
              <w:spacing w:after="0"/>
              <w:rPr>
                <w:sz w:val="16"/>
                <w:szCs w:val="16"/>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6"/>
                <w:szCs w:val="16"/>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w w:val="85"/>
              </w:rPr>
              <w:t>14,434</w:t>
            </w:r>
          </w:p>
        </w:tc>
        <w:tc>
          <w:tcPr>
            <w:tcW w:w="800" w:type="dxa"/>
            <w:vAlign w:val="bottom"/>
          </w:tcPr>
          <w:p>
            <w:pPr>
              <w:ind w:left="400"/>
              <w:spacing w:after="0"/>
              <w:rPr>
                <w:sz w:val="20"/>
                <w:szCs w:val="20"/>
                <w:color w:val="auto"/>
              </w:rPr>
            </w:pPr>
            <w:r>
              <w:rPr>
                <w:rFonts w:ascii="Arial" w:cs="Arial" w:eastAsia="Arial" w:hAnsi="Arial"/>
                <w:sz w:val="11"/>
                <w:szCs w:val="11"/>
                <w:color w:val="008000"/>
              </w:rPr>
              <w:t>(6)</w:t>
            </w:r>
          </w:p>
        </w:tc>
        <w:tc>
          <w:tcPr>
            <w:tcW w:w="760" w:type="dxa"/>
            <w:vAlign w:val="bottom"/>
          </w:tcPr>
          <w:p>
            <w:pPr>
              <w:jc w:val="center"/>
              <w:spacing w:after="0"/>
              <w:rPr>
                <w:sz w:val="20"/>
                <w:szCs w:val="20"/>
                <w:color w:val="auto"/>
              </w:rPr>
            </w:pPr>
            <w:r>
              <w:rPr>
                <w:rFonts w:ascii="Arial" w:cs="Arial" w:eastAsia="Arial" w:hAnsi="Arial"/>
                <w:sz w:val="11"/>
                <w:szCs w:val="11"/>
                <w:color w:val="008000"/>
              </w:rPr>
              <w:t>(6)</w:t>
            </w:r>
          </w:p>
        </w:tc>
        <w:tc>
          <w:tcPr>
            <w:tcW w:w="540" w:type="dxa"/>
            <w:vAlign w:val="bottom"/>
          </w:tcPr>
          <w:p>
            <w:pPr>
              <w:ind w:left="80"/>
              <w:spacing w:after="0"/>
              <w:rPr>
                <w:sz w:val="20"/>
                <w:szCs w:val="20"/>
                <w:color w:val="auto"/>
              </w:rPr>
            </w:pPr>
            <w:r>
              <w:rPr>
                <w:rFonts w:ascii="Arial" w:cs="Arial" w:eastAsia="Arial" w:hAnsi="Arial"/>
                <w:sz w:val="13"/>
                <w:szCs w:val="13"/>
                <w:color w:val="0000FF"/>
                <w:w w:val="88"/>
              </w:rPr>
              <w:t>Ordinary</w:t>
            </w:r>
          </w:p>
        </w:tc>
        <w:tc>
          <w:tcPr>
            <w:tcW w:w="660" w:type="dxa"/>
            <w:vAlign w:val="bottom"/>
          </w:tcPr>
          <w:p>
            <w:pPr>
              <w:ind w:left="140"/>
              <w:spacing w:after="0" w:line="190" w:lineRule="exact"/>
              <w:rPr>
                <w:sz w:val="20"/>
                <w:szCs w:val="20"/>
                <w:color w:val="auto"/>
              </w:rPr>
            </w:pPr>
            <w:r>
              <w:rPr>
                <w:rFonts w:ascii="Arial" w:cs="Arial" w:eastAsia="Arial" w:hAnsi="Arial"/>
                <w:sz w:val="17"/>
                <w:szCs w:val="17"/>
                <w:color w:val="0000FF"/>
                <w:w w:val="96"/>
              </w:rPr>
              <w:t>14,434</w:t>
            </w:r>
          </w:p>
        </w:tc>
        <w:tc>
          <w:tcPr>
            <w:tcW w:w="18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jc w:val="right"/>
              <w:ind w:right="101"/>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Share</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ind w:left="140"/>
              <w:spacing w:after="0" w:line="105" w:lineRule="exact"/>
              <w:rPr>
                <w:sz w:val="20"/>
                <w:szCs w:val="20"/>
                <w:color w:val="auto"/>
              </w:rPr>
            </w:pPr>
            <w:r>
              <w:rPr>
                <w:rFonts w:ascii="Arial" w:cs="Arial" w:eastAsia="Arial" w:hAnsi="Arial"/>
                <w:sz w:val="12"/>
                <w:szCs w:val="12"/>
                <w:color w:val="0000FF"/>
                <w:w w:val="99"/>
              </w:rPr>
              <w:t>Shares</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Units</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320" w:firstLine="2"/>
        <w:spacing w:after="0" w:line="250"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vesting of the first installment of restricted share units ("RSUs") granted on January 4, 2021 pursuant to Issuer's Second Amended and Restated 2019 Equity Incentive Plan (the "2019 EIP"). The RSUs vest in two equal installments over the two-year period from the date of grant.</w:t>
      </w:r>
    </w:p>
    <w:p>
      <w:pPr>
        <w:spacing w:after="0" w:line="24" w:lineRule="exact"/>
        <w:rPr>
          <w:rFonts w:ascii="Arial" w:cs="Arial" w:eastAsia="Arial" w:hAnsi="Arial"/>
          <w:sz w:val="13"/>
          <w:szCs w:val="13"/>
          <w:color w:val="008000"/>
        </w:rPr>
      </w:pPr>
    </w:p>
    <w:p>
      <w:pPr>
        <w:ind w:left="40" w:right="160" w:firstLine="2"/>
        <w:spacing w:after="0" w:line="250"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Transaction was a withholding of a portion of vested RSUs to satisfy the reporting person's tax withholding obligations upon vesting, pursuant to the award agreement and the 2019 EIP under which the award was granted.</w:t>
      </w:r>
    </w:p>
    <w:p>
      <w:pPr>
        <w:spacing w:after="0" w:line="24" w:lineRule="exact"/>
        <w:rPr>
          <w:rFonts w:ascii="Arial" w:cs="Arial" w:eastAsia="Arial" w:hAnsi="Arial"/>
          <w:sz w:val="13"/>
          <w:szCs w:val="13"/>
          <w:color w:val="008000"/>
        </w:rPr>
      </w:pPr>
    </w:p>
    <w:p>
      <w:pPr>
        <w:ind w:left="40" w:right="160" w:firstLine="2"/>
        <w:spacing w:after="0" w:line="250"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deemed acquisition of the ordinary shares underlying the vested portion of phantom restricted share units ("Phantom RSUs") as a result of the election by the Committee administering the 2019 EIP to settle the 2021 Phantom RSU awards entirely in cash (see footnote 6 below).</w:t>
      </w:r>
    </w:p>
    <w:p>
      <w:pPr>
        <w:spacing w:after="0" w:line="24" w:lineRule="exact"/>
        <w:rPr>
          <w:rFonts w:ascii="Arial" w:cs="Arial" w:eastAsia="Arial" w:hAnsi="Arial"/>
          <w:sz w:val="13"/>
          <w:szCs w:val="13"/>
          <w:color w:val="008000"/>
        </w:rPr>
      </w:pPr>
    </w:p>
    <w:p>
      <w:pPr>
        <w:ind w:left="40" w:right="420" w:firstLine="2"/>
        <w:spacing w:after="0" w:line="250"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deemed disposition to the issuer of the ordinary shares underlying the vested portion of Phantom RSUs as a result of the election by the Committee administering the 2019 EIP to settle the 2021 Phantom RSU awards entirely in cash (see footnote 6 below).</w:t>
      </w:r>
    </w:p>
    <w:p>
      <w:pPr>
        <w:spacing w:after="0" w:line="2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Price represents the volume weighted price of the Company's ordinary shares averaged for the thirty trading days immediately preceding the vesting date.</w:t>
      </w:r>
    </w:p>
    <w:p>
      <w:pPr>
        <w:spacing w:after="0" w:line="44" w:lineRule="exact"/>
        <w:rPr>
          <w:rFonts w:ascii="Arial" w:cs="Arial" w:eastAsia="Arial" w:hAnsi="Arial"/>
          <w:sz w:val="13"/>
          <w:szCs w:val="13"/>
          <w:color w:val="008000"/>
        </w:rPr>
      </w:pPr>
    </w:p>
    <w:p>
      <w:pPr>
        <w:ind w:left="40" w:right="140" w:firstLine="2"/>
        <w:spacing w:after="0" w:line="258"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vesting of the Phantom RSUs granted on January 4, 2021 pursuant to the 2019 EIP. These Phantom RSUs vest in two equal installments over the two-year period from the date of grant and may be settled in cash, ordinary shares or any combination of cash and ordinary shares; provided that if settled in cash, the cumulative cash payout may not exceed 200% of the grant date fair value of such units (the "Maximum Cash Payout"). At the election of the Committee administering the 2019 EIP, it was determined that the 2021 Phantom RSU awards would be settled entirely in cash. As a result of the Maximum Cash Payout, the Reporting Person is reporting the vesting, deemed acquisition and deemed disposition of 14,434 ordinary shares. As a result of the Maximum Cash Payout having been satisfied, the remaining 20,366 ordinary shares underlying the 34,800 Phantom RSUs previously reported will not vest and have been cancelled.</w:t>
      </w:r>
    </w:p>
    <w:p>
      <w:pPr>
        <w:spacing w:after="0" w:line="1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7"/>
              </w:rPr>
              <w:t>Jonathan B. Wolens by Power</w:t>
            </w:r>
          </w:p>
        </w:tc>
        <w:tc>
          <w:tcPr>
            <w:tcW w:w="1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01/06/2022</w:t>
            </w:r>
          </w:p>
        </w:tc>
        <w:tc>
          <w:tcPr>
            <w:tcW w:w="0" w:type="dxa"/>
            <w:vAlign w:val="bottom"/>
          </w:tcPr>
          <w:p>
            <w:pPr>
              <w:spacing w:after="0"/>
              <w:rPr>
                <w:sz w:val="1"/>
                <w:szCs w:val="1"/>
                <w:color w:val="auto"/>
              </w:rPr>
            </w:pPr>
          </w:p>
        </w:tc>
      </w:tr>
      <w:tr>
        <w:trPr>
          <w:trHeight w:val="88"/>
        </w:trPr>
        <w:tc>
          <w:tcPr>
            <w:tcW w:w="780" w:type="dxa"/>
            <w:vAlign w:val="bottom"/>
            <w:vMerge w:val="restart"/>
          </w:tcPr>
          <w:p>
            <w:pPr>
              <w:spacing w:after="0" w:line="187" w:lineRule="exact"/>
              <w:rPr>
                <w:sz w:val="20"/>
                <w:szCs w:val="20"/>
                <w:color w:val="auto"/>
              </w:rPr>
            </w:pPr>
            <w:r>
              <w:rPr>
                <w:rFonts w:ascii="Arial" w:cs="Arial" w:eastAsia="Arial" w:hAnsi="Arial"/>
                <w:sz w:val="17"/>
                <w:szCs w:val="17"/>
                <w:color w:val="0000FF"/>
                <w:w w:val="92"/>
              </w:rPr>
              <w:t>of Attorney</w:t>
            </w:r>
          </w:p>
        </w:tc>
        <w:tc>
          <w:tcPr>
            <w:tcW w:w="14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780" w:type="dxa"/>
            <w:vAlign w:val="bottom"/>
            <w:tcBorders>
              <w:bottom w:val="single" w:sz="8" w:color="auto"/>
            </w:tcBorders>
            <w:vMerge w:val="continue"/>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77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9429"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2022-01-06T15:30:13Z</dcterms:created>
  <dcterms:modified xsi:type="dcterms:W3CDTF">2022-01-06T15:30:13Z</dcterms:modified>
</cp:coreProperties>
</file>