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MACAULAY WILLIAM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2000 SAINT JAMES PLACE,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08/24/2018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9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08/24/2018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731,815</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2.8612</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399,443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2"/>
                <w:szCs w:val="22"/>
                <w:color w:val="auto"/>
              </w:rPr>
            </w:pPr>
          </w:p>
        </w:tc>
        <w:tc>
          <w:tcPr>
            <w:tcW w:w="1580" w:type="dxa"/>
            <w:vAlign w:val="bottom"/>
            <w:gridSpan w:val="2"/>
            <w:vMerge w:val="restart"/>
          </w:tcPr>
          <w:p>
            <w:pPr>
              <w:ind w:left="620"/>
              <w:spacing w:after="0"/>
              <w:rPr>
                <w:sz w:val="20"/>
                <w:szCs w:val="20"/>
                <w:color w:val="auto"/>
              </w:rPr>
            </w:pPr>
            <w:r>
              <w:rPr>
                <w:rFonts w:ascii="Arial" w:cs="Arial" w:eastAsia="Arial" w:hAnsi="Arial"/>
                <w:sz w:val="18"/>
                <w:szCs w:val="18"/>
                <w:color w:val="0000FF"/>
              </w:rPr>
              <w:t>08/24/2018</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26,472</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220" w:type="dxa"/>
            <w:vAlign w:val="bottom"/>
          </w:tcPr>
          <w:p>
            <w:pPr>
              <w:spacing w:after="0"/>
              <w:rPr>
                <w:sz w:val="22"/>
                <w:szCs w:val="22"/>
                <w:color w:val="auto"/>
              </w:rPr>
            </w:pPr>
          </w:p>
        </w:tc>
        <w:tc>
          <w:tcPr>
            <w:tcW w:w="700" w:type="dxa"/>
            <w:vAlign w:val="bottom"/>
            <w:gridSpan w:val="2"/>
            <w:vMerge w:val="restart"/>
          </w:tcPr>
          <w:p>
            <w:pPr>
              <w:jc w:val="center"/>
              <w:ind w:right="9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2.875</w:t>
            </w:r>
          </w:p>
        </w:tc>
        <w:tc>
          <w:tcPr>
            <w:tcW w:w="440" w:type="dxa"/>
            <w:vAlign w:val="bottom"/>
          </w:tcPr>
          <w:p>
            <w:pPr>
              <w:spacing w:after="0"/>
              <w:rPr>
                <w:sz w:val="22"/>
                <w:szCs w:val="22"/>
                <w:color w:val="auto"/>
              </w:rPr>
            </w:pPr>
          </w:p>
        </w:tc>
        <w:tc>
          <w:tcPr>
            <w:tcW w:w="780" w:type="dxa"/>
            <w:vAlign w:val="bottom"/>
            <w:vMerge w:val="restart"/>
          </w:tcPr>
          <w:p>
            <w:pPr>
              <w:jc w:val="center"/>
              <w:ind w:right="434"/>
              <w:spacing w:after="0"/>
              <w:rPr>
                <w:sz w:val="20"/>
                <w:szCs w:val="20"/>
                <w:color w:val="auto"/>
              </w:rPr>
            </w:pPr>
            <w:r>
              <w:rPr>
                <w:rFonts w:ascii="Arial" w:cs="Arial" w:eastAsia="Arial" w:hAnsi="Arial"/>
                <w:sz w:val="18"/>
                <w:szCs w:val="18"/>
                <w:color w:val="0000FF"/>
                <w:w w:val="79"/>
              </w:rPr>
              <w:t>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2"/>
                <w:szCs w:val="22"/>
                <w:color w:val="auto"/>
              </w:rPr>
            </w:pPr>
          </w:p>
        </w:tc>
        <w:tc>
          <w:tcPr>
            <w:tcW w:w="1580" w:type="dxa"/>
            <w:vAlign w:val="bottom"/>
            <w:gridSpan w:val="2"/>
            <w:vMerge w:val="restart"/>
          </w:tcPr>
          <w:p>
            <w:pPr>
              <w:ind w:left="620"/>
              <w:spacing w:after="0"/>
              <w:rPr>
                <w:sz w:val="20"/>
                <w:szCs w:val="20"/>
                <w:color w:val="auto"/>
              </w:rPr>
            </w:pPr>
            <w:r>
              <w:rPr>
                <w:rFonts w:ascii="Arial" w:cs="Arial" w:eastAsia="Arial" w:hAnsi="Arial"/>
                <w:sz w:val="18"/>
                <w:szCs w:val="18"/>
                <w:color w:val="0000FF"/>
              </w:rPr>
              <w:t>08/24/2018</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(1)(4)</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9,304</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220" w:type="dxa"/>
            <w:vAlign w:val="bottom"/>
          </w:tcPr>
          <w:p>
            <w:pPr>
              <w:spacing w:after="0"/>
              <w:rPr>
                <w:sz w:val="22"/>
                <w:szCs w:val="22"/>
                <w:color w:val="auto"/>
              </w:rPr>
            </w:pPr>
          </w:p>
        </w:tc>
        <w:tc>
          <w:tcPr>
            <w:tcW w:w="700" w:type="dxa"/>
            <w:vAlign w:val="bottom"/>
            <w:gridSpan w:val="2"/>
            <w:vMerge w:val="restart"/>
          </w:tcPr>
          <w:p>
            <w:pPr>
              <w:jc w:val="center"/>
              <w:ind w:right="9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2.875</w:t>
            </w:r>
          </w:p>
        </w:tc>
        <w:tc>
          <w:tcPr>
            <w:tcW w:w="440" w:type="dxa"/>
            <w:vAlign w:val="bottom"/>
          </w:tcPr>
          <w:p>
            <w:pPr>
              <w:spacing w:after="0"/>
              <w:rPr>
                <w:sz w:val="22"/>
                <w:szCs w:val="22"/>
                <w:color w:val="auto"/>
              </w:rPr>
            </w:pPr>
          </w:p>
        </w:tc>
        <w:tc>
          <w:tcPr>
            <w:tcW w:w="780" w:type="dxa"/>
            <w:vAlign w:val="bottom"/>
            <w:vMerge w:val="restart"/>
          </w:tcPr>
          <w:p>
            <w:pPr>
              <w:jc w:val="center"/>
              <w:ind w:right="434"/>
              <w:spacing w:after="0"/>
              <w:rPr>
                <w:sz w:val="20"/>
                <w:szCs w:val="20"/>
                <w:color w:val="auto"/>
              </w:rPr>
            </w:pPr>
            <w:r>
              <w:rPr>
                <w:rFonts w:ascii="Arial" w:cs="Arial" w:eastAsia="Arial" w:hAnsi="Arial"/>
                <w:sz w:val="18"/>
                <w:szCs w:val="18"/>
                <w:color w:val="0000FF"/>
                <w:w w:val="79"/>
              </w:rPr>
              <w:t>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10"/>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were sold for tax planning purposes.</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$2.83 to $2.89, inclusive. The reporting person undertakes to provide Weatherford International plc, any security holder of Weatherford International plc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by the Linda R. Macaulay Revocable Trust. The reporting person's spouse is the beneficiary of that trust and the reporting person has no voting or investment control.</w:t>
      </w:r>
    </w:p>
    <w:p>
      <w:pPr>
        <w:spacing w:after="0" w:line="41" w:lineRule="exact"/>
        <w:rPr>
          <w:rFonts w:ascii="Arial" w:cs="Arial" w:eastAsia="Arial" w:hAnsi="Arial"/>
          <w:sz w:val="14"/>
          <w:szCs w:val="14"/>
          <w:color w:val="008000"/>
        </w:rPr>
      </w:pPr>
    </w:p>
    <w:p>
      <w:pPr>
        <w:ind w:left="40" w:right="12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Anne R. Macaulay 2016 Trust and the Elizabeth Macaulay Lewis 2016 Trust, respectively. The reporting person's children are the beneficiaries of those trusts and the reporting person has no voting or investment control. No further beneficial ownership of trust shares beneficially owned following 8/24/18 transaction reflects the prior distribution of 6,200 shares in November 2016 from such trusts to the reporting person's children who were, at the time of such distributions, living outside the reporting person's household.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Patrick Cowherd, by Power of</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08/28/2018</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5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842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2019-12-24T08:45:22Z</dcterms:created>
  <dcterms:modified xsi:type="dcterms:W3CDTF">2019-12-24T08:45:22Z</dcterms:modified>
</cp:coreProperties>
</file>