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20"/>
        <w:spacing w:after="0"/>
        <w:rPr>
          <w:sz w:val="20"/>
          <w:szCs w:val="20"/>
          <w:color w:val="auto"/>
        </w:rPr>
      </w:pPr>
      <w:r>
        <w:rPr>
          <w:rFonts w:ascii="Arial" w:cs="Arial" w:eastAsia="Arial" w:hAnsi="Arial"/>
          <w:sz w:val="22"/>
          <w:szCs w:val="22"/>
          <w:b w:val="1"/>
          <w:bCs w:val="1"/>
          <w:color w:val="auto"/>
        </w:rPr>
        <w:t>As filed with the Securities and Exchange Commission on June 19, 2017</w:t>
      </w:r>
    </w:p>
    <w:p>
      <w:pPr>
        <w:spacing w:after="0" w:line="28"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333-13531, 333-112378, 333-81676 and 333-36598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-61595</wp:posOffset>
            </wp:positionH>
            <wp:positionV relativeFrom="paragraph">
              <wp:posOffset>81915</wp:posOffset>
            </wp:positionV>
            <wp:extent cx="58572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7240" cy="17145"/>
                    </a:xfrm>
                    <a:prstGeom prst="rect">
                      <a:avLst/>
                    </a:prstGeom>
                    <a:noFill/>
                  </pic:spPr>
                </pic:pic>
              </a:graphicData>
            </a:graphic>
          </wp:anchor>
        </w:drawing>
      </w:r>
    </w:p>
    <w:p>
      <w:pPr>
        <w:spacing w:after="0" w:line="257"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-61595</wp:posOffset>
            </wp:positionH>
            <wp:positionV relativeFrom="paragraph">
              <wp:posOffset>-160020</wp:posOffset>
            </wp:positionV>
            <wp:extent cx="58572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8"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200"/>
        <w:spacing w:after="0" w:line="239" w:lineRule="auto"/>
        <w:rPr>
          <w:sz w:val="20"/>
          <w:szCs w:val="20"/>
          <w:color w:val="auto"/>
        </w:rPr>
      </w:pPr>
      <w:r>
        <w:rPr>
          <w:rFonts w:ascii="Arial" w:cs="Arial" w:eastAsia="Arial" w:hAnsi="Arial"/>
          <w:sz w:val="22"/>
          <w:szCs w:val="22"/>
          <w:b w:val="1"/>
          <w:bCs w:val="1"/>
          <w:color w:val="auto"/>
        </w:rPr>
        <w:t>Washington, D.C. 20549</w:t>
      </w:r>
    </w:p>
    <w:p>
      <w:pPr>
        <w:ind w:left="25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34" w:lineRule="exact"/>
        <w:rPr>
          <w:sz w:val="24"/>
          <w:szCs w:val="24"/>
          <w:color w:val="auto"/>
        </w:rPr>
      </w:pP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POST-EFFECTIVE AMENDMENT NO.</w:t>
      </w:r>
      <w:r>
        <w:rPr>
          <w:sz w:val="20"/>
          <w:szCs w:val="20"/>
          <w:color w:val="auto"/>
        </w:rPr>
        <w:tab/>
      </w:r>
      <w:r>
        <w:rPr>
          <w:rFonts w:ascii="Arial" w:cs="Arial" w:eastAsia="Arial" w:hAnsi="Arial"/>
          <w:sz w:val="21"/>
          <w:szCs w:val="21"/>
          <w:b w:val="1"/>
          <w:bCs w:val="1"/>
          <w:color w:val="auto"/>
        </w:rPr>
        <w:t>4 TO FORM S-8 REGISTRATION STATEMENT NO. 333-13531</w:t>
      </w:r>
    </w:p>
    <w:p>
      <w:pPr>
        <w:spacing w:after="0" w:line="301" w:lineRule="exact"/>
        <w:rPr>
          <w:sz w:val="24"/>
          <w:szCs w:val="24"/>
          <w:color w:val="auto"/>
        </w:rPr>
      </w:pPr>
    </w:p>
    <w:p>
      <w:pPr>
        <w:ind w:left="4200" w:right="280" w:hanging="3802"/>
        <w:spacing w:after="0" w:line="269" w:lineRule="auto"/>
        <w:tabs>
          <w:tab w:leader="none" w:pos="4180" w:val="left"/>
        </w:tabs>
        <w:rPr>
          <w:sz w:val="20"/>
          <w:szCs w:val="20"/>
          <w:color w:val="auto"/>
        </w:rPr>
      </w:pPr>
      <w:r>
        <w:rPr>
          <w:rFonts w:ascii="Arial" w:cs="Arial" w:eastAsia="Arial" w:hAnsi="Arial"/>
          <w:sz w:val="22"/>
          <w:szCs w:val="22"/>
          <w:b w:val="1"/>
          <w:bCs w:val="1"/>
          <w:color w:val="auto"/>
        </w:rPr>
        <w:t>POST-EFFECTIVE AMENDMENT NO.</w:t>
        <w:tab/>
        <w:t>3 TO FORM S-8 REGISTRATION STATEMENT NO. 333-112378</w:t>
      </w:r>
    </w:p>
    <w:p>
      <w:pPr>
        <w:spacing w:after="0" w:line="203" w:lineRule="exact"/>
        <w:rPr>
          <w:sz w:val="24"/>
          <w:szCs w:val="24"/>
          <w:color w:val="auto"/>
        </w:rPr>
      </w:pPr>
    </w:p>
    <w:p>
      <w:pPr>
        <w:ind w:left="1520"/>
        <w:spacing w:after="0"/>
        <w:tabs>
          <w:tab w:leader="none" w:pos="5520" w:val="left"/>
        </w:tabs>
        <w:rPr>
          <w:sz w:val="20"/>
          <w:szCs w:val="20"/>
          <w:color w:val="auto"/>
        </w:rPr>
      </w:pPr>
      <w:r>
        <w:rPr>
          <w:rFonts w:ascii="Arial" w:cs="Arial" w:eastAsia="Arial" w:hAnsi="Arial"/>
          <w:sz w:val="22"/>
          <w:szCs w:val="22"/>
          <w:b w:val="1"/>
          <w:bCs w:val="1"/>
          <w:color w:val="auto"/>
        </w:rPr>
        <w:t>POST-EFFECTIVE AMENDMENT NO.</w:t>
      </w:r>
      <w:r>
        <w:rPr>
          <w:sz w:val="20"/>
          <w:szCs w:val="20"/>
          <w:color w:val="auto"/>
        </w:rPr>
        <w:tab/>
      </w:r>
      <w:r>
        <w:rPr>
          <w:rFonts w:ascii="Arial" w:cs="Arial" w:eastAsia="Arial" w:hAnsi="Arial"/>
          <w:sz w:val="21"/>
          <w:szCs w:val="21"/>
          <w:b w:val="1"/>
          <w:bCs w:val="1"/>
          <w:color w:val="auto"/>
        </w:rPr>
        <w:t>4 TO FORM S-8 REGISTRATION</w:t>
      </w:r>
    </w:p>
    <w:p>
      <w:pPr>
        <w:spacing w:after="0" w:line="28" w:lineRule="exact"/>
        <w:rPr>
          <w:sz w:val="24"/>
          <w:szCs w:val="24"/>
          <w:color w:val="auto"/>
        </w:rPr>
      </w:pPr>
    </w:p>
    <w:p>
      <w:pPr>
        <w:ind w:left="3140"/>
        <w:spacing w:after="0"/>
        <w:rPr>
          <w:sz w:val="20"/>
          <w:szCs w:val="20"/>
          <w:color w:val="auto"/>
        </w:rPr>
      </w:pPr>
      <w:r>
        <w:rPr>
          <w:rFonts w:ascii="Arial" w:cs="Arial" w:eastAsia="Arial" w:hAnsi="Arial"/>
          <w:sz w:val="22"/>
          <w:szCs w:val="22"/>
          <w:b w:val="1"/>
          <w:bCs w:val="1"/>
          <w:color w:val="auto"/>
        </w:rPr>
        <w:t>STATEMENT NO. 333-81676</w:t>
      </w:r>
    </w:p>
    <w:p>
      <w:pPr>
        <w:spacing w:after="0" w:line="236" w:lineRule="exact"/>
        <w:rPr>
          <w:sz w:val="24"/>
          <w:szCs w:val="24"/>
          <w:color w:val="auto"/>
        </w:rPr>
      </w:pPr>
    </w:p>
    <w:p>
      <w:pPr>
        <w:ind w:left="1520"/>
        <w:spacing w:after="0"/>
        <w:tabs>
          <w:tab w:leader="none" w:pos="5520" w:val="left"/>
        </w:tabs>
        <w:rPr>
          <w:sz w:val="20"/>
          <w:szCs w:val="20"/>
          <w:color w:val="auto"/>
        </w:rPr>
      </w:pPr>
      <w:r>
        <w:rPr>
          <w:rFonts w:ascii="Arial" w:cs="Arial" w:eastAsia="Arial" w:hAnsi="Arial"/>
          <w:sz w:val="22"/>
          <w:szCs w:val="22"/>
          <w:b w:val="1"/>
          <w:bCs w:val="1"/>
          <w:color w:val="auto"/>
        </w:rPr>
        <w:t>POST-EFFECTIVE AMENDMENT NO.</w:t>
      </w:r>
      <w:r>
        <w:rPr>
          <w:sz w:val="20"/>
          <w:szCs w:val="20"/>
          <w:color w:val="auto"/>
        </w:rPr>
        <w:tab/>
      </w:r>
      <w:r>
        <w:rPr>
          <w:rFonts w:ascii="Arial" w:cs="Arial" w:eastAsia="Arial" w:hAnsi="Arial"/>
          <w:sz w:val="21"/>
          <w:szCs w:val="21"/>
          <w:b w:val="1"/>
          <w:bCs w:val="1"/>
          <w:color w:val="auto"/>
        </w:rPr>
        <w:t>4 TO FORM S-8 REGISTRATION</w:t>
      </w:r>
    </w:p>
    <w:p>
      <w:pPr>
        <w:spacing w:after="0" w:line="28" w:lineRule="exact"/>
        <w:rPr>
          <w:sz w:val="24"/>
          <w:szCs w:val="24"/>
          <w:color w:val="auto"/>
        </w:rPr>
      </w:pPr>
    </w:p>
    <w:p>
      <w:pPr>
        <w:ind w:left="3140"/>
        <w:spacing w:after="0"/>
        <w:rPr>
          <w:sz w:val="20"/>
          <w:szCs w:val="20"/>
          <w:color w:val="auto"/>
        </w:rPr>
      </w:pPr>
      <w:r>
        <w:rPr>
          <w:rFonts w:ascii="Arial" w:cs="Arial" w:eastAsia="Arial" w:hAnsi="Arial"/>
          <w:sz w:val="22"/>
          <w:szCs w:val="22"/>
          <w:b w:val="1"/>
          <w:bCs w:val="1"/>
          <w:color w:val="auto"/>
        </w:rPr>
        <w:t>STATEMENT NO. 333-36598</w:t>
      </w:r>
    </w:p>
    <w:p>
      <w:pPr>
        <w:spacing w:after="0" w:line="196" w:lineRule="exact"/>
        <w:rPr>
          <w:sz w:val="24"/>
          <w:szCs w:val="24"/>
          <w:color w:val="auto"/>
        </w:rPr>
      </w:pPr>
    </w:p>
    <w:p>
      <w:pPr>
        <w:ind w:left="2520"/>
        <w:spacing w:after="0"/>
        <w:rPr>
          <w:sz w:val="20"/>
          <w:szCs w:val="20"/>
          <w:color w:val="auto"/>
        </w:rPr>
      </w:pPr>
      <w:r>
        <w:rPr>
          <w:rFonts w:ascii="Arial" w:cs="Arial" w:eastAsia="Arial" w:hAnsi="Arial"/>
          <w:sz w:val="22"/>
          <w:szCs w:val="22"/>
          <w:b w:val="1"/>
          <w:bCs w:val="1"/>
          <w:color w:val="auto"/>
        </w:rPr>
        <w:t>UNDER THE SECURITIES ACT OF 1933</w:t>
      </w:r>
    </w:p>
    <w:p>
      <w:pPr>
        <w:spacing w:after="0" w:line="19"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Weatherford International public limited company</w:t>
      </w:r>
    </w:p>
    <w:p>
      <w:pPr>
        <w:spacing w:after="0" w:line="12"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4200" w:type="dxa"/>
            <w:vAlign w:val="bottom"/>
          </w:tcPr>
          <w:p>
            <w:pPr>
              <w:ind w:left="780"/>
              <w:spacing w:after="0"/>
              <w:rPr>
                <w:sz w:val="20"/>
                <w:szCs w:val="20"/>
                <w:color w:val="auto"/>
              </w:rPr>
            </w:pPr>
            <w:r>
              <w:rPr>
                <w:rFonts w:ascii="Arial" w:cs="Arial" w:eastAsia="Arial" w:hAnsi="Arial"/>
                <w:sz w:val="18"/>
                <w:szCs w:val="18"/>
                <w:b w:val="1"/>
                <w:bCs w:val="1"/>
                <w:color w:val="auto"/>
              </w:rPr>
              <w:t>Ireland</w:t>
            </w:r>
          </w:p>
        </w:tc>
        <w:tc>
          <w:tcPr>
            <w:tcW w:w="3300" w:type="dxa"/>
            <w:vAlign w:val="bottom"/>
          </w:tcPr>
          <w:p>
            <w:pPr>
              <w:jc w:val="center"/>
              <w:ind w:left="1966"/>
              <w:spacing w:after="0"/>
              <w:rPr>
                <w:sz w:val="20"/>
                <w:szCs w:val="20"/>
                <w:color w:val="auto"/>
              </w:rPr>
            </w:pPr>
            <w:r>
              <w:rPr>
                <w:rFonts w:ascii="Arial" w:cs="Arial" w:eastAsia="Arial" w:hAnsi="Arial"/>
                <w:sz w:val="18"/>
                <w:szCs w:val="18"/>
                <w:b w:val="1"/>
                <w:bCs w:val="1"/>
                <w:color w:val="auto"/>
                <w:w w:val="89"/>
              </w:rPr>
              <w:t>98-0606750</w:t>
            </w:r>
          </w:p>
        </w:tc>
      </w:tr>
      <w:tr>
        <w:trPr>
          <w:trHeight w:val="135"/>
        </w:trPr>
        <w:tc>
          <w:tcPr>
            <w:tcW w:w="4200" w:type="dxa"/>
            <w:vAlign w:val="bottom"/>
          </w:tcPr>
          <w:p>
            <w:pPr>
              <w:jc w:val="center"/>
              <w:ind w:right="198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30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200" w:type="dxa"/>
            <w:vAlign w:val="bottom"/>
          </w:tcPr>
          <w:p>
            <w:pPr>
              <w:jc w:val="center"/>
              <w:ind w:right="1963"/>
              <w:spacing w:after="0"/>
              <w:rPr>
                <w:sz w:val="20"/>
                <w:szCs w:val="20"/>
                <w:color w:val="auto"/>
              </w:rPr>
            </w:pPr>
            <w:r>
              <w:rPr>
                <w:rFonts w:ascii="Arial" w:cs="Arial" w:eastAsia="Arial" w:hAnsi="Arial"/>
                <w:sz w:val="13"/>
                <w:szCs w:val="13"/>
                <w:b w:val="1"/>
                <w:bCs w:val="1"/>
                <w:color w:val="auto"/>
                <w:w w:val="88"/>
              </w:rPr>
              <w:t>incorporation or organization)</w:t>
            </w:r>
          </w:p>
        </w:tc>
        <w:tc>
          <w:tcPr>
            <w:tcW w:w="3300" w:type="dxa"/>
            <w:vAlign w:val="bottom"/>
          </w:tcPr>
          <w:p>
            <w:pPr>
              <w:jc w:val="center"/>
              <w:ind w:left="1966"/>
              <w:spacing w:after="0"/>
              <w:rPr>
                <w:sz w:val="20"/>
                <w:szCs w:val="20"/>
                <w:color w:val="auto"/>
              </w:rPr>
            </w:pPr>
            <w:r>
              <w:rPr>
                <w:rFonts w:ascii="Arial" w:cs="Arial" w:eastAsia="Arial" w:hAnsi="Arial"/>
                <w:sz w:val="13"/>
                <w:szCs w:val="13"/>
                <w:b w:val="1"/>
                <w:bCs w:val="1"/>
                <w:color w:val="auto"/>
                <w:w w:val="91"/>
              </w:rPr>
              <w:t>Identification Number)</w:t>
            </w:r>
          </w:p>
        </w:tc>
      </w:tr>
      <w:tr>
        <w:trPr>
          <w:trHeight w:val="241"/>
        </w:trPr>
        <w:tc>
          <w:tcPr>
            <w:tcW w:w="4200" w:type="dxa"/>
            <w:vAlign w:val="bottom"/>
          </w:tcPr>
          <w:p>
            <w:pPr>
              <w:jc w:val="center"/>
              <w:ind w:right="1963"/>
              <w:spacing w:after="0"/>
              <w:rPr>
                <w:sz w:val="20"/>
                <w:szCs w:val="20"/>
                <w:color w:val="auto"/>
              </w:rPr>
            </w:pPr>
            <w:r>
              <w:rPr>
                <w:rFonts w:ascii="Arial" w:cs="Arial" w:eastAsia="Arial" w:hAnsi="Arial"/>
                <w:sz w:val="18"/>
                <w:szCs w:val="18"/>
                <w:b w:val="1"/>
                <w:bCs w:val="1"/>
                <w:color w:val="auto"/>
                <w:w w:val="85"/>
              </w:rPr>
              <w:t>Weststrasse 1</w:t>
            </w:r>
          </w:p>
        </w:tc>
        <w:tc>
          <w:tcPr>
            <w:tcW w:w="3300" w:type="dxa"/>
            <w:vAlign w:val="bottom"/>
          </w:tcPr>
          <w:p>
            <w:pPr>
              <w:spacing w:after="0"/>
              <w:rPr>
                <w:sz w:val="20"/>
                <w:szCs w:val="20"/>
                <w:color w:val="auto"/>
              </w:rPr>
            </w:pPr>
          </w:p>
        </w:tc>
      </w:tr>
      <w:tr>
        <w:trPr>
          <w:trHeight w:val="216"/>
        </w:trPr>
        <w:tc>
          <w:tcPr>
            <w:tcW w:w="4200" w:type="dxa"/>
            <w:vAlign w:val="bottom"/>
          </w:tcPr>
          <w:p>
            <w:pPr>
              <w:jc w:val="center"/>
              <w:ind w:right="1983"/>
              <w:spacing w:after="0"/>
              <w:rPr>
                <w:sz w:val="20"/>
                <w:szCs w:val="20"/>
                <w:color w:val="auto"/>
              </w:rPr>
            </w:pPr>
            <w:r>
              <w:rPr>
                <w:rFonts w:ascii="Arial" w:cs="Arial" w:eastAsia="Arial" w:hAnsi="Arial"/>
                <w:sz w:val="18"/>
                <w:szCs w:val="18"/>
                <w:b w:val="1"/>
                <w:bCs w:val="1"/>
                <w:color w:val="auto"/>
                <w:w w:val="91"/>
              </w:rPr>
              <w:t>6340 Baar, Switzerland</w:t>
            </w:r>
          </w:p>
        </w:tc>
        <w:tc>
          <w:tcPr>
            <w:tcW w:w="3300" w:type="dxa"/>
            <w:vAlign w:val="bottom"/>
          </w:tcPr>
          <w:p>
            <w:pPr>
              <w:jc w:val="center"/>
              <w:ind w:left="1966"/>
              <w:spacing w:after="0"/>
              <w:rPr>
                <w:sz w:val="20"/>
                <w:szCs w:val="20"/>
                <w:color w:val="auto"/>
              </w:rPr>
            </w:pPr>
            <w:r>
              <w:rPr>
                <w:rFonts w:ascii="Arial" w:cs="Arial" w:eastAsia="Arial" w:hAnsi="Arial"/>
                <w:sz w:val="18"/>
                <w:szCs w:val="18"/>
                <w:b w:val="1"/>
                <w:bCs w:val="1"/>
                <w:color w:val="auto"/>
                <w:w w:val="92"/>
              </w:rPr>
              <w:t>CH 6340</w:t>
            </w:r>
          </w:p>
        </w:tc>
      </w:tr>
      <w:tr>
        <w:trPr>
          <w:trHeight w:val="164"/>
        </w:trPr>
        <w:tc>
          <w:tcPr>
            <w:tcW w:w="4200" w:type="dxa"/>
            <w:vAlign w:val="bottom"/>
          </w:tcPr>
          <w:p>
            <w:pPr>
              <w:jc w:val="center"/>
              <w:ind w:right="1963"/>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330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56" w:lineRule="exact"/>
        <w:rPr>
          <w:sz w:val="24"/>
          <w:szCs w:val="24"/>
          <w:color w:val="auto"/>
        </w:rPr>
      </w:pPr>
    </w:p>
    <w:p>
      <w:pPr>
        <w:jc w:val="center"/>
        <w:ind w:right="1200"/>
        <w:spacing w:after="0"/>
        <w:rPr>
          <w:sz w:val="20"/>
          <w:szCs w:val="20"/>
          <w:color w:val="auto"/>
        </w:rPr>
      </w:pPr>
      <w:r>
        <w:rPr>
          <w:rFonts w:ascii="Arial" w:cs="Arial" w:eastAsia="Arial" w:hAnsi="Arial"/>
          <w:sz w:val="21"/>
          <w:szCs w:val="21"/>
          <w:b w:val="1"/>
          <w:bCs w:val="1"/>
          <w:color w:val="auto"/>
        </w:rPr>
        <w:t>Weatherford International plc 2010 Omnibus Incentive Plan (As Amended and Restated)</w:t>
      </w:r>
    </w:p>
    <w:p>
      <w:pPr>
        <w:spacing w:after="0" w:line="69"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(Full title of the plan)</w:t>
      </w:r>
    </w:p>
    <w:p>
      <w:pPr>
        <w:spacing w:after="0" w:line="28" w:lineRule="exact"/>
        <w:rPr>
          <w:sz w:val="24"/>
          <w:szCs w:val="24"/>
          <w:color w:val="auto"/>
        </w:rPr>
      </w:pPr>
    </w:p>
    <w:p>
      <w:pPr>
        <w:ind w:left="2200"/>
        <w:spacing w:after="0"/>
        <w:rPr>
          <w:sz w:val="20"/>
          <w:szCs w:val="20"/>
          <w:color w:val="auto"/>
        </w:rPr>
      </w:pPr>
      <w:r>
        <w:rPr>
          <w:rFonts w:ascii="Arial" w:cs="Arial" w:eastAsia="Arial" w:hAnsi="Arial"/>
          <w:sz w:val="22"/>
          <w:szCs w:val="22"/>
          <w:b w:val="1"/>
          <w:bCs w:val="1"/>
          <w:color w:val="auto"/>
        </w:rPr>
        <w:t>___________________________________________</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Christina M. Ibrahim</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Weatherford International plc</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Executive Vice President, General Counsel and Corporate Secretary</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2000 St. James Place</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Houston, Texas 77056</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(713) 836-4000</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(Name, address and telephone number, including area code, of agent for service)</w:t>
      </w:r>
    </w:p>
    <w:p>
      <w:pPr>
        <w:spacing w:after="0" w:line="4" w:lineRule="exact"/>
        <w:rPr>
          <w:sz w:val="24"/>
          <w:szCs w:val="24"/>
          <w:color w:val="auto"/>
        </w:rPr>
      </w:pPr>
    </w:p>
    <w:p>
      <w:pPr>
        <w:ind w:left="2200"/>
        <w:spacing w:after="0"/>
        <w:rPr>
          <w:sz w:val="20"/>
          <w:szCs w:val="20"/>
          <w:color w:val="auto"/>
        </w:rPr>
      </w:pPr>
      <w:r>
        <w:rPr>
          <w:rFonts w:ascii="Arial" w:cs="Arial" w:eastAsia="Arial" w:hAnsi="Arial"/>
          <w:sz w:val="22"/>
          <w:szCs w:val="22"/>
          <w:b w:val="1"/>
          <w:bCs w:val="1"/>
          <w:color w:val="auto"/>
        </w:rPr>
        <w:t>___________________________________________</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22"/>
          <w:szCs w:val="22"/>
          <w:i w:val="1"/>
          <w:iCs w:val="1"/>
          <w:color w:val="auto"/>
        </w:rPr>
        <w:t>with copy to:</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John M. Greer</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Latham &amp; Watkins LLP</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811 Main Street, Suite 3700</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Houston, Texas 77002</w:t>
      </w:r>
    </w:p>
    <w:p>
      <w:pPr>
        <w:jc w:val="center"/>
        <w:ind w:right="1200"/>
        <w:spacing w:after="0" w:line="239" w:lineRule="auto"/>
        <w:rPr>
          <w:sz w:val="20"/>
          <w:szCs w:val="20"/>
          <w:color w:val="auto"/>
        </w:rPr>
      </w:pPr>
      <w:r>
        <w:rPr>
          <w:rFonts w:ascii="Arial" w:cs="Arial" w:eastAsia="Arial" w:hAnsi="Arial"/>
          <w:sz w:val="22"/>
          <w:szCs w:val="22"/>
          <w:b w:val="1"/>
          <w:bCs w:val="1"/>
          <w:color w:val="auto"/>
        </w:rPr>
        <w:t>(713) 546-5400</w:t>
      </w:r>
    </w:p>
    <w:p>
      <w:pPr>
        <w:ind w:left="2580"/>
        <w:spacing w:after="0"/>
        <w:rPr>
          <w:sz w:val="20"/>
          <w:szCs w:val="20"/>
          <w:color w:val="auto"/>
        </w:rPr>
      </w:pPr>
      <w:r>
        <w:rPr>
          <w:rFonts w:ascii="Arial" w:cs="Arial" w:eastAsia="Arial" w:hAnsi="Arial"/>
          <w:sz w:val="18"/>
          <w:szCs w:val="18"/>
          <w:b w:val="1"/>
          <w:bCs w:val="1"/>
          <w:color w:val="auto"/>
        </w:rPr>
        <w:t>___________________________________________</w:t>
      </w:r>
    </w:p>
    <w:p>
      <w:pPr>
        <w:sectPr>
          <w:pgSz w:w="11900" w:h="16838" w:orient="portrait"/>
          <w:cols w:equalWidth="0" w:num="1">
            <w:col w:w="10220"/>
          </w:cols>
          <w:pgMar w:left="1440" w:top="693" w:right="239" w:bottom="1440" w:gutter="0" w:footer="0" w:header="0"/>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196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4680" w:type="dxa"/>
            <w:vAlign w:val="bottom"/>
            <w:vMerge w:val="restart"/>
          </w:tcPr>
          <w:p>
            <w:pPr>
              <w:ind w:left="340"/>
              <w:spacing w:after="0"/>
              <w:rPr>
                <w:sz w:val="20"/>
                <w:szCs w:val="20"/>
                <w:color w:val="auto"/>
              </w:rPr>
            </w:pPr>
            <w:r>
              <w:rPr>
                <w:rFonts w:ascii="Arial" w:cs="Arial" w:eastAsia="Arial" w:hAnsi="Arial"/>
                <w:sz w:val="18"/>
                <w:szCs w:val="18"/>
                <w:color w:val="auto"/>
              </w:rPr>
              <w:t>x</w:t>
            </w:r>
          </w:p>
        </w:tc>
        <w:tc>
          <w:tcPr>
            <w:tcW w:w="3240" w:type="dxa"/>
            <w:vAlign w:val="bottom"/>
            <w:vMerge w:val="restart"/>
          </w:tcPr>
          <w:p>
            <w:pPr>
              <w:ind w:left="78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68"/>
        </w:trPr>
        <w:tc>
          <w:tcPr>
            <w:tcW w:w="1960" w:type="dxa"/>
            <w:vAlign w:val="bottom"/>
            <w:vMerge w:val="continue"/>
          </w:tcPr>
          <w:p>
            <w:pPr>
              <w:spacing w:after="0"/>
              <w:rPr>
                <w:sz w:val="5"/>
                <w:szCs w:val="5"/>
                <w:color w:val="auto"/>
              </w:rPr>
            </w:pPr>
          </w:p>
        </w:tc>
        <w:tc>
          <w:tcPr>
            <w:tcW w:w="4680" w:type="dxa"/>
            <w:vAlign w:val="bottom"/>
            <w:vMerge w:val="continue"/>
          </w:tcPr>
          <w:p>
            <w:pPr>
              <w:spacing w:after="0"/>
              <w:rPr>
                <w:sz w:val="5"/>
                <w:szCs w:val="5"/>
                <w:color w:val="auto"/>
              </w:rPr>
            </w:pPr>
          </w:p>
        </w:tc>
        <w:tc>
          <w:tcPr>
            <w:tcW w:w="32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96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4680" w:type="dxa"/>
            <w:vAlign w:val="bottom"/>
          </w:tcPr>
          <w:p>
            <w:pPr>
              <w:ind w:left="340"/>
              <w:spacing w:after="0"/>
              <w:rPr>
                <w:sz w:val="20"/>
                <w:szCs w:val="20"/>
                <w:color w:val="auto"/>
              </w:rPr>
            </w:pPr>
            <w:r>
              <w:rPr>
                <w:rFonts w:ascii="Arial" w:cs="Arial" w:eastAsia="Arial" w:hAnsi="Arial"/>
                <w:sz w:val="18"/>
                <w:szCs w:val="18"/>
                <w:color w:val="auto"/>
              </w:rPr>
              <w:t>o (Do not check if a smaller reporting company)</w:t>
            </w:r>
          </w:p>
        </w:tc>
        <w:tc>
          <w:tcPr>
            <w:tcW w:w="3240" w:type="dxa"/>
            <w:vAlign w:val="bottom"/>
            <w:vMerge w:val="restart"/>
          </w:tcPr>
          <w:p>
            <w:pPr>
              <w:ind w:left="78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68"/>
        </w:trPr>
        <w:tc>
          <w:tcPr>
            <w:tcW w:w="1960" w:type="dxa"/>
            <w:vAlign w:val="bottom"/>
            <w:vMerge w:val="continue"/>
          </w:tcPr>
          <w:p>
            <w:pPr>
              <w:spacing w:after="0"/>
              <w:rPr>
                <w:sz w:val="5"/>
                <w:szCs w:val="5"/>
                <w:color w:val="auto"/>
              </w:rPr>
            </w:pPr>
          </w:p>
        </w:tc>
        <w:tc>
          <w:tcPr>
            <w:tcW w:w="4680" w:type="dxa"/>
            <w:vAlign w:val="bottom"/>
          </w:tcPr>
          <w:p>
            <w:pPr>
              <w:spacing w:after="0"/>
              <w:rPr>
                <w:sz w:val="5"/>
                <w:szCs w:val="5"/>
                <w:color w:val="auto"/>
              </w:rPr>
            </w:pPr>
          </w:p>
        </w:tc>
        <w:tc>
          <w:tcPr>
            <w:tcW w:w="32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3240" w:type="dxa"/>
            <w:vAlign w:val="bottom"/>
            <w:vMerge w:val="restart"/>
          </w:tcPr>
          <w:p>
            <w:pPr>
              <w:ind w:left="78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4680" w:type="dxa"/>
            <w:vAlign w:val="bottom"/>
          </w:tcPr>
          <w:p>
            <w:pPr>
              <w:spacing w:after="0"/>
              <w:rPr>
                <w:sz w:val="5"/>
                <w:szCs w:val="5"/>
                <w:color w:val="auto"/>
              </w:rPr>
            </w:pPr>
          </w:p>
        </w:tc>
        <w:tc>
          <w:tcPr>
            <w:tcW w:w="32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160020</wp:posOffset>
            </wp:positionV>
            <wp:extent cx="58572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66040</wp:posOffset>
            </wp:positionV>
            <wp:extent cx="58572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17145"/>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These Post-Effective Amendments relate to the following Registration Statements on Form S-8 (collectively, the “</w:t>
      </w:r>
      <w:r>
        <w:rPr>
          <w:rFonts w:ascii="Arial" w:cs="Arial" w:eastAsia="Arial" w:hAnsi="Arial"/>
          <w:sz w:val="17"/>
          <w:szCs w:val="17"/>
          <w:u w:val="single" w:color="auto"/>
          <w:color w:val="auto"/>
        </w:rPr>
        <w:t>Registration Statements</w:t>
      </w:r>
      <w:r>
        <w:rPr>
          <w:rFonts w:ascii="Arial" w:cs="Arial" w:eastAsia="Arial" w:hAnsi="Arial"/>
          <w:sz w:val="17"/>
          <w:szCs w:val="17"/>
          <w:color w:val="auto"/>
        </w:rPr>
        <w:t>”), filed by Weatherford International plc, an Irish public limited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with the Securities and Exchange Commission:</w:t>
      </w:r>
    </w:p>
    <w:p>
      <w:pPr>
        <w:spacing w:after="0" w:line="147" w:lineRule="exact"/>
        <w:rPr>
          <w:sz w:val="20"/>
          <w:szCs w:val="20"/>
          <w:color w:val="auto"/>
        </w:rPr>
      </w:pPr>
    </w:p>
    <w:p>
      <w:pPr>
        <w:jc w:val="both"/>
        <w:ind w:left="66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333-13531), as amended, pertaining to, among other things, the registration of 1,000,000 ordinary shares of the Company, par value $0.001 per share (“</w:t>
      </w:r>
      <w:r>
        <w:rPr>
          <w:rFonts w:ascii="Arial" w:cs="Arial" w:eastAsia="Arial" w:hAnsi="Arial"/>
          <w:sz w:val="18"/>
          <w:szCs w:val="18"/>
          <w:u w:val="single" w:color="auto"/>
          <w:color w:val="auto"/>
        </w:rPr>
        <w:t>Ordinary Shares</w:t>
      </w:r>
      <w:r>
        <w:rPr>
          <w:rFonts w:ascii="Arial" w:cs="Arial" w:eastAsia="Arial" w:hAnsi="Arial"/>
          <w:sz w:val="18"/>
          <w:szCs w:val="18"/>
          <w:color w:val="auto"/>
        </w:rPr>
        <w:t>”), to be delivered under the Weatherford International, Inc. Foreign Executive Deferred Compensation Stock Plan (the “</w:t>
      </w:r>
      <w:r>
        <w:rPr>
          <w:rFonts w:ascii="Arial" w:cs="Arial" w:eastAsia="Arial" w:hAnsi="Arial"/>
          <w:sz w:val="18"/>
          <w:szCs w:val="18"/>
          <w:u w:val="single" w:color="auto"/>
          <w:color w:val="auto"/>
        </w:rPr>
        <w:t>Foreign Executive Plan</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Registration Statement (Form S-8 No. 333-112378), as amended, pertaining to (i) the registration of 200,000 Ordinary Shares to be delivered under the Foreign Executive Plan, (ii) the registration of 3,000,000 Ordinary Shares to be delivered under the Weatherford International, LLC 401(k) Savings Plan (the “</w:t>
      </w:r>
      <w:r>
        <w:rPr>
          <w:rFonts w:ascii="Arial" w:cs="Arial" w:eastAsia="Arial" w:hAnsi="Arial"/>
          <w:sz w:val="17"/>
          <w:szCs w:val="17"/>
          <w:u w:val="single" w:color="auto"/>
          <w:color w:val="auto"/>
        </w:rPr>
        <w:t>401(k) Plan</w:t>
      </w:r>
      <w:r>
        <w:rPr>
          <w:rFonts w:ascii="Arial" w:cs="Arial" w:eastAsia="Arial" w:hAnsi="Arial"/>
          <w:sz w:val="17"/>
          <w:szCs w:val="17"/>
          <w:color w:val="auto"/>
        </w:rPr>
        <w:t>”) and (iii) the registration of 150,000 Ordinary Shares to be delivered under the Weatherford International Ltd. Deferred Compensation Plan for Non-Employee Directors, as amended (the “</w:t>
      </w:r>
      <w:r>
        <w:rPr>
          <w:rFonts w:ascii="Arial" w:cs="Arial" w:eastAsia="Arial" w:hAnsi="Arial"/>
          <w:sz w:val="17"/>
          <w:szCs w:val="17"/>
          <w:u w:val="single" w:color="auto"/>
          <w:color w:val="auto"/>
        </w:rPr>
        <w:t>Non-Employee Directors Plan</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333-81676), as amended, pertaining to, among other things, the registration of an aggregate of 360,000 Ordinary Shares to be delivered under the Stock Option Agreements Dated September 26, 2001 with Non-Employee Directors (the “</w:t>
      </w:r>
      <w:r>
        <w:rPr>
          <w:rFonts w:ascii="Arial" w:cs="Arial" w:eastAsia="Arial" w:hAnsi="Arial"/>
          <w:sz w:val="18"/>
          <w:szCs w:val="18"/>
          <w:u w:val="single" w:color="auto"/>
          <w:color w:val="auto"/>
        </w:rPr>
        <w:t>Stock Option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Agreements</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333-36598), as amended, pertaining to, among other things, the registration of 3,000,000 Ordinary Shares to be delivered under the 401(k) Plan.</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1, 2016, the Company removed its Ordinary Shares as an investment option under the 401(k) Plan. All benefits under (i) the Foreign Executive Plan and (ii) the Non-Employee Directors Plan were distributed on January 3, 2017 in accordance with the terms of the respective plan and these plans are no longer in effect. The Stock Option Agreements have all expired pursuant to their terms. In accordance with an undertaking made by the Company in the Registration Statements to remove from registration, by means of a post-effective amendment, any of the securities that had been registered for issuance that remain unsold at the termination of such offering, the Company hereby files these Post-Effective Amendments to the Registration Statements in order to deregister all Ordinary Shares that were registered under the Registration Statements and remain unissued under the Foreign Executive Plan, the 401(k) Plan, the Non-Employee Directors Plan and the Stock Option Agreements.</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certifies that it has duly caused these post-effective amendments to the Registration Statements to be signed on its behalf by the undersigned thereunto duly authorized, in Baar, Switzerland on June 19, 2017.</w:t>
      </w:r>
    </w:p>
    <w:p>
      <w:pPr>
        <w:spacing w:after="0" w:line="322"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WEATHERFORD INTERNATIONAL PLC</w:t>
      </w:r>
    </w:p>
    <w:p>
      <w:pPr>
        <w:spacing w:after="0" w:line="39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31750</wp:posOffset>
            </wp:positionV>
            <wp:extent cx="240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5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Mark A. McCollum</w:t>
      </w:r>
    </w:p>
    <w:p>
      <w:pPr>
        <w:spacing w:after="0" w:line="6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President, Chief Executive Officer and Director</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Mark A. McCollum, Christina M. Ibrahim and Charity R. Kohl and each of them (with full power to act alone), as his/her true and lawful attorneys-in-fact and agents, with full power of substitution and re-substitution, for him/her in his/her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these post-effective amendments to the Registration Statements have been signed by the following persons in the capacities indicated on June 19, 2017.</w:t>
      </w:r>
    </w:p>
    <w:p>
      <w:pPr>
        <w:sectPr>
          <w:pgSz w:w="11900" w:h="16838" w:orient="portrait"/>
          <w:cols w:equalWidth="0" w:num="1">
            <w:col w:w="11420"/>
          </w:cols>
          <w:pgMar w:left="240" w:top="580" w:right="239" w:bottom="1440" w:gutter="0" w:footer="0" w:header="0"/>
        </w:sectPr>
      </w:pPr>
    </w:p>
    <w:bookmarkStart w:id="4" w:name="page5"/>
    <w:bookmarkEnd w:id="4"/>
    <w:p>
      <w:pPr>
        <w:ind w:left="1040"/>
        <w:spacing w:after="0"/>
        <w:tabs>
          <w:tab w:leader="none" w:pos="6660" w:val="left"/>
        </w:tabs>
        <w:rPr>
          <w:sz w:val="20"/>
          <w:szCs w:val="20"/>
          <w:color w:val="auto"/>
        </w:rPr>
      </w:pPr>
      <w:r>
        <w:rPr>
          <w:rFonts w:ascii="Arial" w:cs="Arial" w:eastAsia="Arial" w:hAnsi="Arial"/>
          <w:sz w:val="17"/>
          <w:szCs w:val="17"/>
          <w:b w:val="1"/>
          <w:bCs w:val="1"/>
          <w:color w:val="auto"/>
        </w:rPr>
        <w:t>Signature</w:t>
      </w:r>
      <w:r>
        <w:rPr>
          <w:sz w:val="20"/>
          <w:szCs w:val="20"/>
          <w:color w:val="auto"/>
        </w:rPr>
        <w:tab/>
      </w:r>
      <w:r>
        <w:rPr>
          <w:rFonts w:ascii="Arial" w:cs="Arial" w:eastAsia="Arial" w:hAnsi="Arial"/>
          <w:sz w:val="17"/>
          <w:szCs w:val="17"/>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41910</wp:posOffset>
            </wp:positionV>
            <wp:extent cx="69291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ectPr>
          <w:pgSz w:w="11900" w:h="16838" w:orient="portrait"/>
          <w:cols w:equalWidth="0" w:num="1">
            <w:col w:w="9019"/>
          </w:cols>
          <w:pgMar w:left="1440" w:top="742" w:right="1440" w:bottom="1440" w:gutter="0" w:footer="0" w:header="0"/>
        </w:sectPr>
      </w:pPr>
    </w:p>
    <w:p>
      <w:pPr>
        <w:spacing w:after="0" w:line="200"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 Mark A. McCollum</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 A. McCollum</w:t>
      </w:r>
    </w:p>
    <w:p>
      <w:pPr>
        <w:spacing w:after="0" w:line="373" w:lineRule="exact"/>
        <w:rPr>
          <w:sz w:val="20"/>
          <w:szCs w:val="20"/>
          <w:color w:val="auto"/>
        </w:rPr>
      </w:pPr>
    </w:p>
    <w:p>
      <w:pPr>
        <w:ind w:left="740"/>
        <w:spacing w:after="0"/>
        <w:rPr>
          <w:sz w:val="20"/>
          <w:szCs w:val="20"/>
          <w:color w:val="auto"/>
        </w:rPr>
      </w:pPr>
      <w:r>
        <w:rPr>
          <w:rFonts w:ascii="Arial" w:cs="Arial" w:eastAsia="Arial" w:hAnsi="Arial"/>
          <w:sz w:val="17"/>
          <w:szCs w:val="17"/>
          <w:u w:val="single" w:color="auto"/>
          <w:color w:val="auto"/>
        </w:rPr>
        <w:t>/s/ Christoph Bausch</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Christoph Bausch</w:t>
      </w:r>
    </w:p>
    <w:p>
      <w:pPr>
        <w:spacing w:after="0" w:line="200" w:lineRule="exact"/>
        <w:rPr>
          <w:sz w:val="20"/>
          <w:szCs w:val="20"/>
          <w:color w:val="auto"/>
        </w:rPr>
      </w:pPr>
    </w:p>
    <w:p>
      <w:pPr>
        <w:spacing w:after="0" w:line="28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 Douglas M. Mills</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Douglas M. Mills</w:t>
      </w:r>
    </w:p>
    <w:p>
      <w:pPr>
        <w:spacing w:after="0" w:line="200" w:lineRule="exact"/>
        <w:rPr>
          <w:sz w:val="20"/>
          <w:szCs w:val="20"/>
          <w:color w:val="auto"/>
        </w:rPr>
      </w:pPr>
    </w:p>
    <w:p>
      <w:pPr>
        <w:spacing w:after="0" w:line="281" w:lineRule="exact"/>
        <w:rPr>
          <w:sz w:val="20"/>
          <w:szCs w:val="20"/>
          <w:color w:val="auto"/>
        </w:rPr>
      </w:pPr>
    </w:p>
    <w:p>
      <w:pPr>
        <w:jc w:val="right"/>
        <w:ind w:right="760"/>
        <w:spacing w:after="0"/>
        <w:rPr>
          <w:sz w:val="20"/>
          <w:szCs w:val="20"/>
          <w:color w:val="auto"/>
        </w:rPr>
      </w:pPr>
      <w:r>
        <w:rPr>
          <w:rFonts w:ascii="Arial" w:cs="Arial" w:eastAsia="Arial" w:hAnsi="Arial"/>
          <w:sz w:val="17"/>
          <w:szCs w:val="17"/>
          <w:u w:val="single" w:color="auto"/>
          <w:color w:val="auto"/>
        </w:rPr>
        <w:t>/s/ William E. Macaulay</w:t>
      </w:r>
    </w:p>
    <w:p>
      <w:pPr>
        <w:spacing w:after="0" w:line="35"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William E. Macaulay</w:t>
      </w:r>
    </w:p>
    <w:p>
      <w:pPr>
        <w:spacing w:after="0" w:line="200" w:lineRule="exact"/>
        <w:rPr>
          <w:sz w:val="20"/>
          <w:szCs w:val="20"/>
          <w:color w:val="auto"/>
        </w:rPr>
      </w:pPr>
    </w:p>
    <w:p>
      <w:pPr>
        <w:spacing w:after="0" w:line="227"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/s/ Mohamed A. Awad</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Mohamed A. Awad</w:t>
      </w:r>
    </w:p>
    <w:p>
      <w:pPr>
        <w:spacing w:after="0" w:line="200" w:lineRule="exact"/>
        <w:rPr>
          <w:sz w:val="20"/>
          <w:szCs w:val="20"/>
          <w:color w:val="auto"/>
        </w:rPr>
      </w:pPr>
    </w:p>
    <w:p>
      <w:pPr>
        <w:spacing w:after="0" w:line="227"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/s/ David J. Butters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David J. Butters</w:t>
      </w:r>
    </w:p>
    <w:p>
      <w:pPr>
        <w:spacing w:after="0" w:line="200" w:lineRule="exact"/>
        <w:rPr>
          <w:sz w:val="20"/>
          <w:szCs w:val="20"/>
          <w:color w:val="auto"/>
        </w:rPr>
      </w:pPr>
    </w:p>
    <w:p>
      <w:pPr>
        <w:spacing w:after="0" w:line="22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 John D. Gass</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John D. Gass</w:t>
      </w: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Arial" w:cs="Arial" w:eastAsia="Arial" w:hAnsi="Arial"/>
          <w:sz w:val="16"/>
          <w:szCs w:val="16"/>
          <w:u w:val="single" w:color="auto"/>
          <w:color w:val="auto"/>
        </w:rPr>
        <w:t>/s/ Sir Emyr Jones Parry</w:t>
      </w:r>
    </w:p>
    <w:p>
      <w:pPr>
        <w:spacing w:after="0" w:line="4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Sir Emyr Jones Parry</w:t>
      </w:r>
    </w:p>
    <w:p>
      <w:pPr>
        <w:spacing w:after="0" w:line="200" w:lineRule="exact"/>
        <w:rPr>
          <w:sz w:val="20"/>
          <w:szCs w:val="20"/>
          <w:color w:val="auto"/>
        </w:rPr>
      </w:pPr>
    </w:p>
    <w:p>
      <w:pPr>
        <w:spacing w:after="0" w:line="227" w:lineRule="exact"/>
        <w:rPr>
          <w:sz w:val="20"/>
          <w:szCs w:val="20"/>
          <w:color w:val="auto"/>
        </w:rPr>
      </w:pPr>
    </w:p>
    <w:p>
      <w:pPr>
        <w:ind w:left="720"/>
        <w:spacing w:after="0"/>
        <w:rPr>
          <w:sz w:val="20"/>
          <w:szCs w:val="20"/>
          <w:color w:val="auto"/>
        </w:rPr>
      </w:pPr>
      <w:r>
        <w:rPr>
          <w:rFonts w:ascii="Arial" w:cs="Arial" w:eastAsia="Arial" w:hAnsi="Arial"/>
          <w:sz w:val="17"/>
          <w:szCs w:val="17"/>
          <w:u w:val="single" w:color="auto"/>
          <w:color w:val="auto"/>
        </w:rPr>
        <w:t>/s/ Francis S. Kalman</w:t>
      </w:r>
    </w:p>
    <w:p>
      <w:pPr>
        <w:spacing w:after="0" w:line="3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Francis S. Kalman</w:t>
      </w: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/s/ Robert K. Moses, Jr.</w:t>
      </w:r>
    </w:p>
    <w:p>
      <w:pPr>
        <w:spacing w:after="0" w:line="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Robert K. Moses, Jr.</w:t>
      </w:r>
    </w:p>
    <w:p>
      <w:pPr>
        <w:spacing w:after="0" w:line="200" w:lineRule="exact"/>
        <w:rPr>
          <w:sz w:val="20"/>
          <w:szCs w:val="20"/>
          <w:color w:val="auto"/>
        </w:rPr>
      </w:pPr>
    </w:p>
    <w:p>
      <w:pPr>
        <w:spacing w:after="0" w:line="227" w:lineRule="exact"/>
        <w:rPr>
          <w:sz w:val="20"/>
          <w:szCs w:val="20"/>
          <w:color w:val="auto"/>
        </w:rPr>
      </w:pPr>
    </w:p>
    <w:p>
      <w:pPr>
        <w:ind w:left="680"/>
        <w:spacing w:after="0"/>
        <w:rPr>
          <w:sz w:val="20"/>
          <w:szCs w:val="20"/>
          <w:color w:val="auto"/>
        </w:rPr>
      </w:pPr>
      <w:r>
        <w:rPr>
          <w:rFonts w:ascii="Arial" w:cs="Arial" w:eastAsia="Arial" w:hAnsi="Arial"/>
          <w:sz w:val="17"/>
          <w:szCs w:val="17"/>
          <w:u w:val="single" w:color="auto"/>
          <w:color w:val="auto"/>
        </w:rPr>
        <w:t>/s/ Dr. Guillermo Ortiz</w:t>
      </w:r>
    </w:p>
    <w:p>
      <w:pPr>
        <w:spacing w:after="0" w:line="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Dr. Guillermo Ortiz</w:t>
      </w:r>
    </w:p>
    <w:p>
      <w:pPr>
        <w:spacing w:after="0" w:line="200" w:lineRule="exact"/>
        <w:rPr>
          <w:sz w:val="20"/>
          <w:szCs w:val="20"/>
          <w:color w:val="auto"/>
        </w:rPr>
      </w:pPr>
    </w:p>
    <w:p>
      <w:pPr>
        <w:spacing w:after="0" w:line="227"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/s/ Christina M. Ibrahim</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Christina M. Ibrahim</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1799"/>
        <w:spacing w:after="0" w:line="277"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200" w:lineRule="exact"/>
        <w:rPr>
          <w:sz w:val="20"/>
          <w:szCs w:val="20"/>
          <w:color w:val="auto"/>
        </w:rPr>
      </w:pPr>
    </w:p>
    <w:p>
      <w:pPr>
        <w:spacing w:after="0" w:line="241" w:lineRule="exact"/>
        <w:rPr>
          <w:sz w:val="20"/>
          <w:szCs w:val="20"/>
          <w:color w:val="auto"/>
        </w:rPr>
      </w:pPr>
    </w:p>
    <w:p>
      <w:pPr>
        <w:ind w:right="1399"/>
        <w:spacing w:after="0" w:line="277" w:lineRule="auto"/>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Authorized U.S. Representative</w:t>
      </w:r>
    </w:p>
    <w:sectPr>
      <w:pgSz w:w="11900" w:h="16838" w:orient="portrait"/>
      <w:cols w:equalWidth="0" w:num="2">
        <w:col w:w="3060" w:space="720"/>
        <w:col w:w="5239"/>
      </w:cols>
      <w:pgMar w:left="1440" w:top="7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2019-12-07T23:27:03Z</dcterms:created>
  <dcterms:modified xsi:type="dcterms:W3CDTF">2019-12-07T23:27:03Z</dcterms:modified>
</cp:coreProperties>
</file>