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Weatherford International PLC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$0.0001 Par Value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G48833118</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31-Dec-21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ind w:left="1700" w:hanging="955"/>
        <w:spacing w:after="0" w:line="238" w:lineRule="auto"/>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7" w:lineRule="exact"/>
        <w:rPr>
          <w:sz w:val="24"/>
          <w:szCs w:val="24"/>
          <w:color w:val="auto"/>
        </w:rPr>
      </w:pPr>
    </w:p>
    <w:p>
      <w:pPr>
        <w:ind w:right="275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jc w:val="both"/>
        <w:ind w:right="26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G48833118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Barclays PLC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 [ ]</w:t>
      </w:r>
    </w:p>
    <w:p>
      <w:pPr>
        <w:spacing w:after="0" w:line="238" w:lineRule="auto"/>
        <w:rPr>
          <w:sz w:val="20"/>
          <w:szCs w:val="20"/>
          <w:color w:val="auto"/>
        </w:rPr>
      </w:pPr>
      <w:r>
        <w:rPr>
          <w:rFonts w:ascii="Courier New" w:cs="Courier New" w:eastAsia="Courier New" w:hAnsi="Courier New"/>
          <w:sz w:val="18"/>
          <w:szCs w:val="18"/>
          <w:color w:val="auto"/>
        </w:rPr>
        <w:t>(b)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3. 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England, United Kingdom</w:t>
            </w:r>
          </w:p>
        </w:tc>
        <w:tc>
          <w:tcPr>
            <w:tcW w:w="8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2900" w:type="dxa"/>
            <w:vAlign w:val="bottom"/>
          </w:tcPr>
          <w:p>
            <w:pPr>
              <w:spacing w:after="0"/>
              <w:rPr>
                <w:sz w:val="24"/>
                <w:szCs w:val="24"/>
                <w:color w:val="auto"/>
              </w:rPr>
            </w:pP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4,648,337</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2"/>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4,648,337</w:t>
            </w:r>
          </w:p>
        </w:tc>
      </w:tr>
      <w:tr>
        <w:trPr>
          <w:trHeight w:val="203"/>
        </w:trPr>
        <w:tc>
          <w:tcPr>
            <w:tcW w:w="290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2"/>
        </w:trPr>
        <w:tc>
          <w:tcPr>
            <w:tcW w:w="2900" w:type="dxa"/>
            <w:vAlign w:val="bottom"/>
          </w:tcPr>
          <w:p>
            <w:pPr>
              <w:spacing w:after="0"/>
              <w:rPr>
                <w:sz w:val="17"/>
                <w:szCs w:val="17"/>
                <w:color w:val="auto"/>
              </w:rPr>
            </w:pP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 Aggregate Amount Beneficially Owned by Each Reporting Person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4,648,337</w:t>
      </w:r>
    </w:p>
    <w:p>
      <w:pPr>
        <w:spacing w:after="0" w:line="238" w:lineRule="auto"/>
        <w:rPr>
          <w:sz w:val="20"/>
          <w:szCs w:val="20"/>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6.63%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G48833118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 Names of Reporting Persons.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Bank PLC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 ]</w:t>
      </w:r>
    </w:p>
    <w:p>
      <w:pPr>
        <w:spacing w:after="0" w:line="238" w:lineRule="auto"/>
        <w:rPr>
          <w:sz w:val="20"/>
          <w:szCs w:val="20"/>
          <w:color w:val="auto"/>
        </w:rPr>
      </w:pPr>
      <w:r>
        <w:rPr>
          <w:rFonts w:ascii="Courier New" w:cs="Courier New" w:eastAsia="Courier New" w:hAnsi="Courier New"/>
          <w:sz w:val="18"/>
          <w:szCs w:val="18"/>
          <w:color w:val="auto"/>
        </w:rPr>
        <w:t>(b)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3. 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England, United Kingdom</w:t>
            </w:r>
          </w:p>
        </w:tc>
        <w:tc>
          <w:tcPr>
            <w:tcW w:w="8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2900" w:type="dxa"/>
            <w:vAlign w:val="bottom"/>
          </w:tcPr>
          <w:p>
            <w:pPr>
              <w:spacing w:after="0"/>
              <w:rPr>
                <w:sz w:val="24"/>
                <w:szCs w:val="24"/>
                <w:color w:val="auto"/>
              </w:rPr>
            </w:pP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4,648,289</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4,648,289</w:t>
            </w:r>
          </w:p>
        </w:tc>
      </w:tr>
      <w:tr>
        <w:trPr>
          <w:trHeight w:val="203"/>
        </w:trPr>
        <w:tc>
          <w:tcPr>
            <w:tcW w:w="290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rPr>
                <w:sz w:val="17"/>
                <w:szCs w:val="17"/>
                <w:color w:val="auto"/>
              </w:rPr>
            </w:pP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 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4,648,289</w:t>
      </w:r>
    </w:p>
    <w:p>
      <w:pPr>
        <w:spacing w:after="0" w:line="238" w:lineRule="auto"/>
        <w:rPr>
          <w:sz w:val="20"/>
          <w:szCs w:val="20"/>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6.63%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G48833118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6979" w:firstLine="8"/>
        <w:spacing w:after="0" w:line="536" w:lineRule="auto"/>
        <w:tabs>
          <w:tab w:leader="none" w:pos="31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Barclays Capital Inc.</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218"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3. 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6019" w:firstLine="8"/>
        <w:spacing w:after="0" w:line="558" w:lineRule="auto"/>
        <w:tabs>
          <w:tab w:leader="none" w:pos="31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Connecticut, United States</w:t>
      </w:r>
    </w:p>
    <w:p>
      <w:pPr>
        <w:sectPr>
          <w:pgSz w:w="11900" w:h="16838" w:orient="portrait"/>
          <w:cols w:equalWidth="0" w:num="1">
            <w:col w:w="10139"/>
          </w:cols>
          <w:pgMar w:left="320" w:top="136"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17"/>
                <w:szCs w:val="17"/>
                <w:color w:val="auto"/>
              </w:rPr>
            </w:pPr>
          </w:p>
        </w:tc>
        <w:tc>
          <w:tcPr>
            <w:tcW w:w="1320" w:type="dxa"/>
            <w:vAlign w:val="bottom"/>
          </w:tcPr>
          <w:p>
            <w:pPr>
              <w:ind w:left="100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32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3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32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2"/>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3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2380" w:type="dxa"/>
            <w:vAlign w:val="bottom"/>
          </w:tcPr>
          <w:p>
            <w:pPr>
              <w:spacing w:after="0"/>
              <w:rPr>
                <w:sz w:val="17"/>
                <w:szCs w:val="17"/>
                <w:color w:val="auto"/>
              </w:rPr>
            </w:pP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380" w:type="dxa"/>
            <w:vAlign w:val="bottom"/>
          </w:tcPr>
          <w:p>
            <w:pPr>
              <w:spacing w:after="0"/>
              <w:rPr>
                <w:sz w:val="17"/>
                <w:szCs w:val="17"/>
                <w:color w:val="auto"/>
              </w:rPr>
            </w:pPr>
          </w:p>
        </w:tc>
        <w:tc>
          <w:tcPr>
            <w:tcW w:w="13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2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6" w:lineRule="exact"/>
        <w:rPr>
          <w:rFonts w:ascii="Courier New" w:cs="Courier New" w:eastAsia="Courier New" w:hAnsi="Courier New"/>
          <w:sz w:val="18"/>
          <w:szCs w:val="18"/>
          <w:color w:val="auto"/>
        </w:rPr>
      </w:pPr>
    </w:p>
    <w:p>
      <w:pPr>
        <w:spacing w:after="0"/>
        <w:tabs>
          <w:tab w:leader="none" w:pos="0" w:val="left"/>
        </w:tabs>
        <w:numPr>
          <w:ilvl w:val="0"/>
          <w:numId w:val="8"/>
        </w:numPr>
        <w:rPr>
          <w:rFonts w:ascii="Courier New" w:cs="Courier New" w:eastAsia="Courier New" w:hAnsi="Courier New"/>
          <w:sz w:val="18"/>
          <w:szCs w:val="18"/>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Name of Issuer:</w:t>
      </w:r>
    </w:p>
    <w:p>
      <w:pPr>
        <w:ind w:left="860"/>
        <w:spacing w:after="0" w:line="238" w:lineRule="auto"/>
        <w:rPr>
          <w:sz w:val="20"/>
          <w:szCs w:val="20"/>
          <w:color w:val="auto"/>
        </w:rPr>
      </w:pPr>
      <w:r>
        <w:rPr>
          <w:rFonts w:ascii="Courier New" w:cs="Courier New" w:eastAsia="Courier New" w:hAnsi="Courier New"/>
          <w:sz w:val="18"/>
          <w:szCs w:val="18"/>
          <w:color w:val="auto"/>
        </w:rPr>
        <w:t>Weatherford International PLC</w:t>
      </w:r>
    </w:p>
    <w:p>
      <w:pPr>
        <w:spacing w:after="0" w:line="200" w:lineRule="exact"/>
        <w:rPr>
          <w:sz w:val="20"/>
          <w:szCs w:val="20"/>
          <w:color w:val="auto"/>
        </w:rPr>
      </w:pPr>
    </w:p>
    <w:p>
      <w:pPr>
        <w:spacing w:after="0" w:line="210" w:lineRule="exact"/>
        <w:rPr>
          <w:sz w:val="20"/>
          <w:szCs w:val="20"/>
          <w:color w:val="auto"/>
        </w:rPr>
      </w:pPr>
    </w:p>
    <w:p>
      <w:pPr>
        <w:ind w:left="860" w:right="4659" w:hanging="852"/>
        <w:spacing w:after="0" w:line="235" w:lineRule="auto"/>
        <w:tabs>
          <w:tab w:leader="none" w:pos="43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2000 St. James Place</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Houston TX 77056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ind w:left="1280" w:hanging="429"/>
        <w:spacing w:after="0" w:line="238" w:lineRule="auto"/>
        <w:tabs>
          <w:tab w:leader="none" w:pos="12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PLC</w:t>
      </w:r>
    </w:p>
    <w:p>
      <w:pPr>
        <w:ind w:left="1280" w:hanging="429"/>
        <w:spacing w:after="0" w:line="238" w:lineRule="auto"/>
        <w:tabs>
          <w:tab w:leader="none" w:pos="12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Bank PLC</w:t>
      </w:r>
    </w:p>
    <w:p>
      <w:pPr>
        <w:ind w:left="1280" w:hanging="429"/>
        <w:spacing w:after="0" w:line="238" w:lineRule="auto"/>
        <w:tabs>
          <w:tab w:leader="none" w:pos="12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Capital Inc.</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1280" w:hanging="429"/>
        <w:spacing w:after="0" w:line="238" w:lineRule="auto"/>
        <w:tabs>
          <w:tab w:leader="none" w:pos="12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PLC</w:t>
      </w:r>
    </w:p>
    <w:p>
      <w:pPr>
        <w:ind w:left="860"/>
        <w:spacing w:after="0" w:line="238" w:lineRule="auto"/>
        <w:rPr>
          <w:sz w:val="20"/>
          <w:szCs w:val="20"/>
          <w:color w:val="auto"/>
        </w:rPr>
      </w:pPr>
      <w:r>
        <w:rPr>
          <w:rFonts w:ascii="Courier New" w:cs="Courier New" w:eastAsia="Courier New" w:hAnsi="Courier New"/>
          <w:sz w:val="18"/>
          <w:szCs w:val="18"/>
          <w:color w:val="auto"/>
        </w:rPr>
        <w:t>1 Churchill Place,</w:t>
      </w:r>
    </w:p>
    <w:p>
      <w:pPr>
        <w:ind w:left="860"/>
        <w:spacing w:after="0"/>
        <w:rPr>
          <w:sz w:val="20"/>
          <w:szCs w:val="20"/>
          <w:color w:val="auto"/>
        </w:rPr>
      </w:pPr>
      <w:r>
        <w:rPr>
          <w:rFonts w:ascii="Courier New" w:cs="Courier New" w:eastAsia="Courier New" w:hAnsi="Courier New"/>
          <w:sz w:val="18"/>
          <w:szCs w:val="18"/>
          <w:color w:val="auto"/>
        </w:rPr>
        <w:t>London, E14 5HP, England</w:t>
      </w:r>
    </w:p>
    <w:p>
      <w:pPr>
        <w:spacing w:after="0" w:line="206" w:lineRule="exact"/>
        <w:rPr>
          <w:sz w:val="20"/>
          <w:szCs w:val="20"/>
          <w:color w:val="auto"/>
        </w:rPr>
      </w:pPr>
    </w:p>
    <w:p>
      <w:pPr>
        <w:ind w:left="860" w:right="6759" w:hanging="9"/>
        <w:spacing w:after="0" w:line="279" w:lineRule="auto"/>
        <w:tabs>
          <w:tab w:leader="none" w:pos="1281"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Barclays Bank PLC 1 Churchill Place, London, E14 5HP, England</w:t>
      </w:r>
    </w:p>
    <w:p>
      <w:pPr>
        <w:spacing w:after="0" w:line="374" w:lineRule="exact"/>
        <w:rPr>
          <w:rFonts w:ascii="Courier New" w:cs="Courier New" w:eastAsia="Courier New" w:hAnsi="Courier New"/>
          <w:sz w:val="16"/>
          <w:szCs w:val="16"/>
          <w:color w:val="auto"/>
        </w:rPr>
      </w:pPr>
    </w:p>
    <w:p>
      <w:pPr>
        <w:ind w:left="1280" w:hanging="429"/>
        <w:spacing w:after="0"/>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Capital Inc.</w:t>
      </w:r>
    </w:p>
    <w:p>
      <w:pPr>
        <w:spacing w:after="0" w:line="4" w:lineRule="exact"/>
        <w:rPr>
          <w:rFonts w:ascii="Courier New" w:cs="Courier New" w:eastAsia="Courier New" w:hAnsi="Courier New"/>
          <w:sz w:val="18"/>
          <w:szCs w:val="18"/>
          <w:color w:val="auto"/>
        </w:rPr>
      </w:pPr>
    </w:p>
    <w:p>
      <w:pPr>
        <w:ind w:left="860" w:right="73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745 Seventh Ave New York, NY 10019</w:t>
      </w:r>
    </w:p>
    <w:p>
      <w:pPr>
        <w:spacing w:after="0" w:line="36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280" w:hanging="429"/>
        <w:spacing w:after="0" w:line="238" w:lineRule="auto"/>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PLC: England, United Kingdom</w:t>
      </w:r>
    </w:p>
    <w:p>
      <w:pPr>
        <w:ind w:left="1280" w:hanging="429"/>
        <w:spacing w:after="0" w:line="238" w:lineRule="auto"/>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Bank PLC: England, United Kingdom</w:t>
      </w:r>
    </w:p>
    <w:p>
      <w:pPr>
        <w:ind w:left="1280" w:hanging="429"/>
        <w:spacing w:after="0" w:line="238" w:lineRule="auto"/>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Capital Inc.: Connecticut, United States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$0.0001 Par Value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G48833118</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3. If this statement is filed pursuant to Sub-Section 240.13d-1</w:t>
      </w:r>
    </w:p>
    <w:p>
      <w:pPr>
        <w:ind w:left="860"/>
        <w:spacing w:after="0" w:line="238" w:lineRule="auto"/>
        <w:rPr>
          <w:sz w:val="20"/>
          <w:szCs w:val="20"/>
          <w:color w:val="auto"/>
        </w:rPr>
      </w:pPr>
      <w:r>
        <w:rPr>
          <w:rFonts w:ascii="Courier New" w:cs="Courier New" w:eastAsia="Courier New" w:hAnsi="Courier New"/>
          <w:sz w:val="18"/>
          <w:szCs w:val="18"/>
          <w:color w:val="auto"/>
        </w:rPr>
        <w:t>(b) or 240.13d-2(b)</w:t>
      </w:r>
    </w:p>
    <w:p>
      <w:pPr>
        <w:ind w:left="8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860" w:right="4339" w:hanging="852"/>
        <w:spacing w:after="0" w:line="235" w:lineRule="auto"/>
        <w:tabs>
          <w:tab w:leader="none" w:pos="43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ind w:left="420" w:hanging="412"/>
        <w:spacing w:after="0" w:line="238"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w:t>
      </w:r>
    </w:p>
    <w:p>
      <w:pPr>
        <w:spacing w:after="0" w:line="207" w:lineRule="exact"/>
        <w:rPr>
          <w:sz w:val="20"/>
          <w:szCs w:val="20"/>
          <w:color w:val="auto"/>
        </w:rPr>
      </w:pPr>
    </w:p>
    <w:p>
      <w:pPr>
        <w:ind w:left="860" w:right="2659" w:hanging="852"/>
        <w:spacing w:after="0" w:line="235" w:lineRule="auto"/>
        <w:tabs>
          <w:tab w:leader="none" w:pos="43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w:t>
      </w:r>
    </w:p>
    <w:p>
      <w:pPr>
        <w:spacing w:after="0" w:line="207" w:lineRule="exact"/>
        <w:rPr>
          <w:sz w:val="20"/>
          <w:szCs w:val="20"/>
          <w:color w:val="auto"/>
        </w:rPr>
      </w:pPr>
    </w:p>
    <w:p>
      <w:pPr>
        <w:ind w:left="860" w:right="2859" w:hanging="852"/>
        <w:spacing w:after="0" w:line="235" w:lineRule="auto"/>
        <w:tabs>
          <w:tab w:leader="none" w:pos="43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Sub-Section 240.13d-1(b)(1)(ii)(F);</w:t>
      </w:r>
    </w:p>
    <w:p>
      <w:pPr>
        <w:spacing w:after="0" w:line="5" w:lineRule="exact"/>
        <w:rPr>
          <w:rFonts w:ascii="Courier New" w:cs="Courier New" w:eastAsia="Courier New" w:hAnsi="Courier New"/>
          <w:sz w:val="18"/>
          <w:szCs w:val="18"/>
          <w:color w:val="auto"/>
        </w:rPr>
      </w:pPr>
    </w:p>
    <w:p>
      <w:pPr>
        <w:ind w:left="860" w:right="2859" w:hanging="852"/>
        <w:spacing w:after="0" w:line="235" w:lineRule="auto"/>
        <w:tabs>
          <w:tab w:leader="none" w:pos="43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Sub-Section 240.13d-1(b)(1)(ii)(G);</w:t>
      </w:r>
    </w:p>
    <w:p>
      <w:pPr>
        <w:spacing w:after="0" w:line="5" w:lineRule="exact"/>
        <w:rPr>
          <w:rFonts w:ascii="Courier New" w:cs="Courier New" w:eastAsia="Courier New" w:hAnsi="Courier New"/>
          <w:sz w:val="18"/>
          <w:szCs w:val="18"/>
          <w:color w:val="auto"/>
        </w:rPr>
      </w:pPr>
    </w:p>
    <w:p>
      <w:pPr>
        <w:ind w:left="860" w:right="3499" w:hanging="852"/>
        <w:spacing w:after="0" w:line="235" w:lineRule="auto"/>
        <w:tabs>
          <w:tab w:leader="none" w:pos="43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3079" w:hanging="852"/>
        <w:spacing w:after="0" w:line="236" w:lineRule="auto"/>
        <w:tabs>
          <w:tab w:leader="none" w:pos="43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non-U.S. institution that is the functional equivalent</w:t>
      </w:r>
    </w:p>
    <w:p>
      <w:pPr>
        <w:ind w:left="860"/>
        <w:spacing w:after="0" w:line="238" w:lineRule="auto"/>
        <w:rPr>
          <w:sz w:val="20"/>
          <w:szCs w:val="20"/>
          <w:color w:val="auto"/>
        </w:rPr>
      </w:pPr>
      <w:r>
        <w:rPr>
          <w:rFonts w:ascii="Courier New" w:cs="Courier New" w:eastAsia="Courier New" w:hAnsi="Courier New"/>
          <w:sz w:val="18"/>
          <w:szCs w:val="18"/>
          <w:color w:val="auto"/>
        </w:rPr>
        <w:t>of any of the institutions listed in</w:t>
      </w:r>
    </w:p>
    <w:p>
      <w:pPr>
        <w:ind w:left="860"/>
        <w:spacing w:after="0"/>
        <w:rPr>
          <w:sz w:val="20"/>
          <w:szCs w:val="20"/>
          <w:color w:val="auto"/>
        </w:rPr>
      </w:pPr>
      <w:r>
        <w:rPr>
          <w:rFonts w:ascii="Courier New" w:cs="Courier New" w:eastAsia="Courier New" w:hAnsi="Courier New"/>
          <w:sz w:val="18"/>
          <w:szCs w:val="18"/>
          <w:color w:val="auto"/>
        </w:rPr>
        <w:t>Rule 240.13d-1 (b)(1)(ii)(A) through (I);</w:t>
      </w:r>
    </w:p>
    <w:p>
      <w:pPr>
        <w:ind w:left="420" w:hanging="412"/>
        <w:spacing w:after="0" w:line="237"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Sub-Section 240.13d-1(b)(1)(ii)(J).</w:t>
      </w:r>
    </w:p>
    <w:p>
      <w:pPr>
        <w:spacing w:after="0" w:line="207"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Provide the following information regarding the</w:t>
      </w:r>
    </w:p>
    <w:p>
      <w:pPr>
        <w:ind w:left="860"/>
        <w:spacing w:after="0" w:line="238" w:lineRule="auto"/>
        <w:rPr>
          <w:sz w:val="20"/>
          <w:szCs w:val="20"/>
          <w:color w:val="auto"/>
        </w:rPr>
      </w:pPr>
      <w:r>
        <w:rPr>
          <w:rFonts w:ascii="Courier New" w:cs="Courier New" w:eastAsia="Courier New" w:hAnsi="Courier New"/>
          <w:sz w:val="18"/>
          <w:szCs w:val="18"/>
          <w:color w:val="auto"/>
        </w:rPr>
        <w:t>aggregate number and percentage of the class of securities</w:t>
      </w:r>
    </w:p>
    <w:p>
      <w:pPr>
        <w:ind w:left="860"/>
        <w:spacing w:after="0" w:line="238" w:lineRule="auto"/>
        <w:rPr>
          <w:sz w:val="20"/>
          <w:szCs w:val="20"/>
          <w:color w:val="auto"/>
        </w:rPr>
      </w:pPr>
      <w:r>
        <w:rPr>
          <w:rFonts w:ascii="Courier New" w:cs="Courier New" w:eastAsia="Courier New" w:hAnsi="Courier New"/>
          <w:sz w:val="18"/>
          <w:szCs w:val="18"/>
          <w:color w:val="auto"/>
        </w:rPr>
        <w:t>of the issuer identified in Item 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Amount beneficially owned:</w:t>
      </w:r>
    </w:p>
    <w:p>
      <w:pPr>
        <w:ind w:left="8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Percent of class:</w:t>
      </w:r>
    </w:p>
    <w:p>
      <w:pPr>
        <w:ind w:left="860"/>
        <w:spacing w:after="0" w:line="238" w:lineRule="auto"/>
        <w:rPr>
          <w:sz w:val="20"/>
          <w:szCs w:val="20"/>
          <w:color w:val="auto"/>
        </w:rPr>
      </w:pPr>
      <w:r>
        <w:rPr>
          <w:rFonts w:ascii="Courier New" w:cs="Courier New" w:eastAsia="Courier New" w:hAnsi="Courier New"/>
          <w:sz w:val="18"/>
          <w:szCs w:val="18"/>
          <w:color w:val="auto"/>
        </w:rPr>
        <w:t>See the response(s)to Item 11 on the attached cover page(s).</w:t>
      </w:r>
    </w:p>
    <w:p>
      <w:pPr>
        <w:spacing w:after="0" w:line="201" w:lineRule="exact"/>
        <w:rPr>
          <w:sz w:val="20"/>
          <w:szCs w:val="20"/>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1700" w:right="4239" w:hanging="849"/>
        <w:spacing w:after="0" w:line="236" w:lineRule="auto"/>
        <w:tabs>
          <w:tab w:leader="none" w:pos="1595"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the response(s) to Item 5 on the attached cover page(s).</w:t>
      </w:r>
    </w:p>
    <w:p>
      <w:pPr>
        <w:spacing w:after="0" w:line="208" w:lineRule="exact"/>
        <w:rPr>
          <w:rFonts w:ascii="Courier New" w:cs="Courier New" w:eastAsia="Courier New" w:hAnsi="Courier New"/>
          <w:sz w:val="18"/>
          <w:szCs w:val="18"/>
          <w:color w:val="auto"/>
        </w:rPr>
      </w:pPr>
    </w:p>
    <w:p>
      <w:pPr>
        <w:ind w:left="1700" w:right="4019" w:hanging="849"/>
        <w:spacing w:after="0" w:line="236" w:lineRule="auto"/>
        <w:tabs>
          <w:tab w:leader="none" w:pos="1595"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the response(s) to Item 6 on the attached cover page(s).</w:t>
      </w:r>
    </w:p>
    <w:p>
      <w:pPr>
        <w:spacing w:after="0" w:line="208" w:lineRule="exact"/>
        <w:rPr>
          <w:rFonts w:ascii="Courier New" w:cs="Courier New" w:eastAsia="Courier New" w:hAnsi="Courier New"/>
          <w:sz w:val="18"/>
          <w:szCs w:val="18"/>
          <w:color w:val="auto"/>
        </w:rPr>
      </w:pPr>
    </w:p>
    <w:p>
      <w:pPr>
        <w:ind w:left="1700" w:right="4559" w:hanging="849"/>
        <w:spacing w:after="0" w:line="235" w:lineRule="auto"/>
        <w:tabs>
          <w:tab w:leader="none" w:pos="1595"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5" w:lineRule="exact"/>
        <w:rPr>
          <w:rFonts w:ascii="Courier New" w:cs="Courier New" w:eastAsia="Courier New" w:hAnsi="Courier New"/>
          <w:sz w:val="18"/>
          <w:szCs w:val="18"/>
          <w:color w:val="auto"/>
        </w:rPr>
      </w:pPr>
    </w:p>
    <w:p>
      <w:pPr>
        <w:ind w:left="1700" w:right="45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7 on the attached cover page(s).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1700" w:right="4339" w:hanging="849"/>
        <w:spacing w:after="0" w:line="235" w:lineRule="auto"/>
        <w:tabs>
          <w:tab w:leader="none" w:pos="1595"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5" w:lineRule="exact"/>
        <w:rPr>
          <w:rFonts w:ascii="Courier New" w:cs="Courier New" w:eastAsia="Courier New" w:hAnsi="Courier New"/>
          <w:sz w:val="18"/>
          <w:szCs w:val="18"/>
          <w:color w:val="auto"/>
        </w:rPr>
      </w:pPr>
    </w:p>
    <w:p>
      <w:pPr>
        <w:ind w:left="1700" w:right="45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8 on the attached cover page(s).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80" w:type="dxa"/>
            <w:vAlign w:val="bottom"/>
            <w:gridSpan w:val="2"/>
          </w:tcPr>
          <w:p>
            <w:pPr>
              <w:spacing w:after="0"/>
              <w:rPr>
                <w:sz w:val="20"/>
                <w:szCs w:val="20"/>
                <w:color w:val="auto"/>
              </w:rPr>
            </w:pPr>
            <w:r>
              <w:rPr>
                <w:rFonts w:ascii="Courier New" w:cs="Courier New" w:eastAsia="Courier New" w:hAnsi="Courier New"/>
                <w:sz w:val="18"/>
                <w:szCs w:val="18"/>
                <w:color w:val="auto"/>
              </w:rPr>
              <w:t>If this</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98"/>
              </w:rPr>
              <w:t>statement is being</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filed to report the fact</w:t>
            </w:r>
          </w:p>
        </w:tc>
      </w:tr>
      <w:tr>
        <w:trPr>
          <w:trHeight w:val="202"/>
        </w:trPr>
        <w:tc>
          <w:tcPr>
            <w:tcW w:w="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that as</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of the date hereof</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the reporting person has ceased</w:t>
            </w:r>
          </w:p>
        </w:tc>
      </w:tr>
      <w:tr>
        <w:trPr>
          <w:trHeight w:val="203"/>
        </w:trPr>
        <w:tc>
          <w:tcPr>
            <w:tcW w:w="5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 be</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beneficial owner</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of more than five percent of the</w:t>
            </w:r>
          </w:p>
        </w:tc>
      </w:tr>
      <w:tr>
        <w:trPr>
          <w:trHeight w:val="203"/>
        </w:trPr>
        <w:tc>
          <w:tcPr>
            <w:tcW w:w="5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class</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 securities, check</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following</w:t>
            </w:r>
          </w:p>
        </w:tc>
      </w:tr>
    </w:tbl>
    <w:p>
      <w:pPr>
        <w:spacing w:after="0" w:line="201"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860" w:right="423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339" w:right="1440" w:bottom="0" w:gutter="0" w:footer="0" w:header="0"/>
        </w:sectPr>
      </w:pPr>
    </w:p>
    <w:bookmarkStart w:id="4" w:name="page5"/>
    <w:bookmarkEnd w:id="4"/>
    <w:p>
      <w:pPr>
        <w:ind w:left="1700" w:right="3279" w:hanging="1684"/>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Exhibit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44"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980" w:space="720"/>
            <w:col w:w="8439"/>
          </w:cols>
          <w:pgMar w:left="320" w:top="344" w:right="1440" w:bottom="0" w:gutter="0" w:footer="0" w:header="0"/>
          <w:type w:val="continuous"/>
        </w:sectPr>
      </w:pPr>
    </w:p>
    <w:p>
      <w:pPr>
        <w:spacing w:after="0" w:line="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By signing below I certify that, to the best of my</w:t>
      </w:r>
    </w:p>
    <w:p>
      <w:pPr>
        <w:ind w:left="1700"/>
        <w:spacing w:after="0" w:line="238" w:lineRule="auto"/>
        <w:rPr>
          <w:sz w:val="20"/>
          <w:szCs w:val="20"/>
          <w:color w:val="auto"/>
        </w:rPr>
      </w:pPr>
      <w:r>
        <w:rPr>
          <w:rFonts w:ascii="Courier New" w:cs="Courier New" w:eastAsia="Courier New" w:hAnsi="Courier New"/>
          <w:sz w:val="18"/>
          <w:szCs w:val="18"/>
          <w:color w:val="auto"/>
        </w:rPr>
        <w:t>knowledge and belief, the securities referred to</w:t>
      </w:r>
    </w:p>
    <w:p>
      <w:pPr>
        <w:ind w:left="1700"/>
        <w:spacing w:after="0" w:line="238" w:lineRule="auto"/>
        <w:rPr>
          <w:sz w:val="20"/>
          <w:szCs w:val="20"/>
          <w:color w:val="auto"/>
        </w:rPr>
      </w:pPr>
      <w:r>
        <w:rPr>
          <w:rFonts w:ascii="Courier New" w:cs="Courier New" w:eastAsia="Courier New" w:hAnsi="Courier New"/>
          <w:sz w:val="18"/>
          <w:szCs w:val="18"/>
          <w:color w:val="auto"/>
        </w:rPr>
        <w:t>above were acquired and are held in the ordinary</w:t>
      </w:r>
    </w:p>
    <w:p>
      <w:pPr>
        <w:ind w:left="1700"/>
        <w:spacing w:after="0"/>
        <w:rPr>
          <w:sz w:val="20"/>
          <w:szCs w:val="20"/>
          <w:color w:val="auto"/>
        </w:rPr>
      </w:pPr>
      <w:r>
        <w:rPr>
          <w:rFonts w:ascii="Courier New" w:cs="Courier New" w:eastAsia="Courier New" w:hAnsi="Courier New"/>
          <w:sz w:val="18"/>
          <w:szCs w:val="18"/>
          <w:color w:val="auto"/>
        </w:rPr>
        <w:t>course of business and were not acquired and are</w:t>
      </w:r>
    </w:p>
    <w:p>
      <w:pPr>
        <w:ind w:left="1700"/>
        <w:spacing w:after="0" w:line="237" w:lineRule="auto"/>
        <w:rPr>
          <w:sz w:val="20"/>
          <w:szCs w:val="20"/>
          <w:color w:val="auto"/>
        </w:rPr>
      </w:pPr>
      <w:r>
        <w:rPr>
          <w:rFonts w:ascii="Courier New" w:cs="Courier New" w:eastAsia="Courier New" w:hAnsi="Courier New"/>
          <w:sz w:val="18"/>
          <w:szCs w:val="18"/>
          <w:color w:val="auto"/>
        </w:rPr>
        <w:t>not held for the purpose of or with the effect of</w:t>
      </w:r>
    </w:p>
    <w:p>
      <w:pPr>
        <w:ind w:left="1700"/>
        <w:spacing w:after="0" w:line="238" w:lineRule="auto"/>
        <w:rPr>
          <w:sz w:val="20"/>
          <w:szCs w:val="20"/>
          <w:color w:val="auto"/>
        </w:rPr>
      </w:pPr>
      <w:r>
        <w:rPr>
          <w:rFonts w:ascii="Courier New" w:cs="Courier New" w:eastAsia="Courier New" w:hAnsi="Courier New"/>
          <w:sz w:val="18"/>
          <w:szCs w:val="18"/>
          <w:color w:val="auto"/>
        </w:rPr>
        <w:t>changing or influencing the</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control of the issuer of the securities and were not</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acquired and are not held in connection</w:t>
      </w:r>
    </w:p>
    <w:p>
      <w:pPr>
        <w:ind w:left="1700"/>
        <w:spacing w:after="0" w:line="238" w:lineRule="auto"/>
        <w:rPr>
          <w:sz w:val="20"/>
          <w:szCs w:val="20"/>
          <w:color w:val="auto"/>
        </w:rPr>
      </w:pPr>
      <w:r>
        <w:rPr>
          <w:rFonts w:ascii="Courier New" w:cs="Courier New" w:eastAsia="Courier New" w:hAnsi="Courier New"/>
          <w:sz w:val="18"/>
          <w:szCs w:val="18"/>
          <w:color w:val="auto"/>
        </w:rPr>
        <w:t>with or as a participant in any transaction</w:t>
      </w:r>
    </w:p>
    <w:p>
      <w:pPr>
        <w:ind w:left="1700"/>
        <w:spacing w:after="0" w:line="238" w:lineRule="auto"/>
        <w:rPr>
          <w:sz w:val="20"/>
          <w:szCs w:val="20"/>
          <w:color w:val="auto"/>
        </w:rPr>
      </w:pPr>
      <w:r>
        <w:rPr>
          <w:rFonts w:ascii="Courier New" w:cs="Courier New" w:eastAsia="Courier New" w:hAnsi="Courier New"/>
          <w:sz w:val="18"/>
          <w:szCs w:val="18"/>
          <w:color w:val="auto"/>
        </w:rPr>
        <w:t>having that purpose or effect.</w:t>
      </w:r>
    </w:p>
    <w:p>
      <w:pPr>
        <w:sectPr>
          <w:pgSz w:w="11900" w:h="16838" w:orient="portrait"/>
          <w:cols w:equalWidth="0" w:num="1">
            <w:col w:w="10139"/>
          </w:cols>
          <w:pgMar w:left="320" w:top="34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After reasonable inquiry and to the best of my</w:t>
      </w:r>
    </w:p>
    <w:p>
      <w:pPr>
        <w:ind w:left="1700"/>
        <w:spacing w:after="0" w:line="238" w:lineRule="auto"/>
        <w:rPr>
          <w:sz w:val="20"/>
          <w:szCs w:val="20"/>
          <w:color w:val="auto"/>
        </w:rPr>
      </w:pPr>
      <w:r>
        <w:rPr>
          <w:rFonts w:ascii="Courier New" w:cs="Courier New" w:eastAsia="Courier New" w:hAnsi="Courier New"/>
          <w:sz w:val="18"/>
          <w:szCs w:val="18"/>
          <w:color w:val="auto"/>
        </w:rPr>
        <w:t>knowledge and belief, I certify that the</w:t>
      </w:r>
    </w:p>
    <w:p>
      <w:pPr>
        <w:ind w:left="1700"/>
        <w:spacing w:after="0" w:line="238" w:lineRule="auto"/>
        <w:rPr>
          <w:sz w:val="20"/>
          <w:szCs w:val="20"/>
          <w:color w:val="auto"/>
        </w:rPr>
      </w:pPr>
      <w:r>
        <w:rPr>
          <w:rFonts w:ascii="Courier New" w:cs="Courier New" w:eastAsia="Courier New" w:hAnsi="Courier New"/>
          <w:sz w:val="18"/>
          <w:szCs w:val="18"/>
          <w:color w:val="auto"/>
        </w:rPr>
        <w:t>information set forth in this statement is true,</w:t>
      </w:r>
    </w:p>
    <w:p>
      <w:pPr>
        <w:ind w:left="1700"/>
        <w:spacing w:after="0"/>
        <w:rPr>
          <w:sz w:val="20"/>
          <w:szCs w:val="20"/>
          <w:color w:val="auto"/>
        </w:rPr>
      </w:pPr>
      <w:r>
        <w:rPr>
          <w:rFonts w:ascii="Courier New" w:cs="Courier New" w:eastAsia="Courier New" w:hAnsi="Courier New"/>
          <w:sz w:val="18"/>
          <w:szCs w:val="18"/>
          <w:color w:val="auto"/>
        </w:rPr>
        <w:t>complete and correct.</w:t>
      </w:r>
    </w:p>
    <w:p>
      <w:pPr>
        <w:spacing w:after="0" w:line="20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Dated: February 08, 2022</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By : Ramya Rao</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INDEX TO EXHIBITS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A</w:t>
      </w:r>
      <w:r>
        <w:rPr>
          <w:sz w:val="20"/>
          <w:szCs w:val="20"/>
          <w:color w:val="auto"/>
        </w:rPr>
        <w:tab/>
      </w:r>
      <w:r>
        <w:rPr>
          <w:rFonts w:ascii="Courier New" w:cs="Courier New" w:eastAsia="Courier New" w:hAnsi="Courier New"/>
          <w:sz w:val="16"/>
          <w:szCs w:val="16"/>
          <w:color w:val="auto"/>
        </w:rPr>
        <w:t>Item 7 Information</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B</w:t>
      </w:r>
      <w:r>
        <w:rPr>
          <w:sz w:val="20"/>
          <w:szCs w:val="20"/>
          <w:color w:val="auto"/>
        </w:rPr>
        <w:tab/>
      </w:r>
      <w:r>
        <w:rPr>
          <w:rFonts w:ascii="Courier New" w:cs="Courier New" w:eastAsia="Courier New" w:hAnsi="Courier New"/>
          <w:sz w:val="16"/>
          <w:szCs w:val="16"/>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left="860" w:right="4119"/>
        <w:spacing w:after="0" w:line="235" w:lineRule="auto"/>
        <w:rPr>
          <w:sz w:val="20"/>
          <w:szCs w:val="20"/>
          <w:color w:val="auto"/>
        </w:rPr>
      </w:pPr>
      <w:r>
        <w:rPr>
          <w:rFonts w:ascii="Courier New" w:cs="Courier New" w:eastAsia="Courier New" w:hAnsi="Courier New"/>
          <w:sz w:val="18"/>
          <w:szCs w:val="18"/>
          <w:color w:val="auto"/>
        </w:rPr>
        <w:t>The securities being reported on by Barclays PLC, as a parent holding company,</w:t>
      </w:r>
    </w:p>
    <w:p>
      <w:pPr>
        <w:spacing w:after="0" w:line="6" w:lineRule="exact"/>
        <w:rPr>
          <w:sz w:val="20"/>
          <w:szCs w:val="20"/>
          <w:color w:val="auto"/>
        </w:rPr>
      </w:pPr>
    </w:p>
    <w:p>
      <w:pPr>
        <w:ind w:left="860" w:right="3699"/>
        <w:spacing w:after="0" w:line="235" w:lineRule="auto"/>
        <w:rPr>
          <w:sz w:val="20"/>
          <w:szCs w:val="20"/>
          <w:color w:val="auto"/>
        </w:rPr>
      </w:pPr>
      <w:r>
        <w:rPr>
          <w:rFonts w:ascii="Courier New" w:cs="Courier New" w:eastAsia="Courier New" w:hAnsi="Courier New"/>
          <w:sz w:val="18"/>
          <w:szCs w:val="18"/>
          <w:color w:val="auto"/>
        </w:rPr>
        <w:t>are owned, or may be deemed to be beneficially owned, by</w:t>
      </w:r>
    </w:p>
    <w:p>
      <w:pPr>
        <w:ind w:left="860"/>
        <w:spacing w:after="0"/>
        <w:rPr>
          <w:sz w:val="20"/>
          <w:szCs w:val="20"/>
          <w:color w:val="auto"/>
        </w:rPr>
      </w:pPr>
      <w:r>
        <w:rPr>
          <w:rFonts w:ascii="Courier New" w:cs="Courier New" w:eastAsia="Courier New" w:hAnsi="Courier New"/>
          <w:sz w:val="18"/>
          <w:szCs w:val="18"/>
          <w:color w:val="auto"/>
        </w:rPr>
        <w:t>Barclays Bank PLC,</w:t>
      </w:r>
    </w:p>
    <w:p>
      <w:pPr>
        <w:ind w:left="860"/>
        <w:spacing w:after="0" w:line="238" w:lineRule="auto"/>
        <w:rPr>
          <w:sz w:val="20"/>
          <w:szCs w:val="20"/>
          <w:color w:val="auto"/>
        </w:rPr>
      </w:pPr>
      <w:r>
        <w:rPr>
          <w:rFonts w:ascii="Courier New" w:cs="Courier New" w:eastAsia="Courier New" w:hAnsi="Courier New"/>
          <w:sz w:val="18"/>
          <w:szCs w:val="18"/>
          <w:color w:val="auto"/>
        </w:rPr>
        <w:t>a non-US banking institution registered with the Financial</w:t>
      </w:r>
    </w:p>
    <w:p>
      <w:pPr>
        <w:ind w:left="860"/>
        <w:spacing w:after="0" w:line="238" w:lineRule="auto"/>
        <w:rPr>
          <w:sz w:val="20"/>
          <w:szCs w:val="20"/>
          <w:color w:val="auto"/>
        </w:rPr>
      </w:pPr>
      <w:r>
        <w:rPr>
          <w:rFonts w:ascii="Courier New" w:cs="Courier New" w:eastAsia="Courier New" w:hAnsi="Courier New"/>
          <w:sz w:val="18"/>
          <w:szCs w:val="18"/>
          <w:color w:val="auto"/>
        </w:rPr>
        <w:t>Conduct</w:t>
      </w:r>
    </w:p>
    <w:p>
      <w:pPr>
        <w:ind w:left="860"/>
        <w:spacing w:after="0"/>
        <w:rPr>
          <w:sz w:val="20"/>
          <w:szCs w:val="20"/>
          <w:color w:val="auto"/>
        </w:rPr>
      </w:pPr>
      <w:r>
        <w:rPr>
          <w:rFonts w:ascii="Courier New" w:cs="Courier New" w:eastAsia="Courier New" w:hAnsi="Courier New"/>
          <w:sz w:val="18"/>
          <w:szCs w:val="18"/>
          <w:color w:val="auto"/>
        </w:rPr>
        <w:t>Authority</w:t>
      </w:r>
    </w:p>
    <w:p>
      <w:pPr>
        <w:spacing w:after="0" w:line="3" w:lineRule="exact"/>
        <w:rPr>
          <w:sz w:val="20"/>
          <w:szCs w:val="20"/>
          <w:color w:val="auto"/>
        </w:rPr>
      </w:pPr>
    </w:p>
    <w:p>
      <w:pPr>
        <w:ind w:left="860" w:right="2659"/>
        <w:spacing w:after="0" w:line="235" w:lineRule="auto"/>
        <w:rPr>
          <w:sz w:val="20"/>
          <w:szCs w:val="20"/>
          <w:color w:val="auto"/>
        </w:rPr>
      </w:pPr>
      <w:r>
        <w:rPr>
          <w:rFonts w:ascii="Courier New" w:cs="Courier New" w:eastAsia="Courier New" w:hAnsi="Courier New"/>
          <w:sz w:val="18"/>
          <w:szCs w:val="18"/>
          <w:color w:val="auto"/>
        </w:rPr>
        <w:t>authorised by the Prudential Regulation Authority and regulated by the Financial</w:t>
      </w:r>
    </w:p>
    <w:p>
      <w:pPr>
        <w:ind w:left="860"/>
        <w:spacing w:after="0"/>
        <w:rPr>
          <w:sz w:val="20"/>
          <w:szCs w:val="20"/>
          <w:color w:val="auto"/>
        </w:rPr>
      </w:pPr>
      <w:r>
        <w:rPr>
          <w:rFonts w:ascii="Courier New" w:cs="Courier New" w:eastAsia="Courier New" w:hAnsi="Courier New"/>
          <w:sz w:val="18"/>
          <w:szCs w:val="18"/>
          <w:color w:val="auto"/>
        </w:rPr>
        <w:t>Conduct Authority and the Prudential Regulation Authority in</w:t>
      </w:r>
    </w:p>
    <w:p>
      <w:pPr>
        <w:ind w:left="860"/>
        <w:spacing w:after="0" w:line="238" w:lineRule="auto"/>
        <w:rPr>
          <w:sz w:val="20"/>
          <w:szCs w:val="20"/>
          <w:color w:val="auto"/>
        </w:rPr>
      </w:pPr>
      <w:r>
        <w:rPr>
          <w:rFonts w:ascii="Courier New" w:cs="Courier New" w:eastAsia="Courier New" w:hAnsi="Courier New"/>
          <w:sz w:val="18"/>
          <w:szCs w:val="18"/>
          <w:color w:val="auto"/>
        </w:rPr>
        <w:t>the United Kingdom.</w:t>
      </w:r>
    </w:p>
    <w:p>
      <w:pPr>
        <w:ind w:left="860"/>
        <w:spacing w:after="0" w:line="238" w:lineRule="auto"/>
        <w:rPr>
          <w:sz w:val="20"/>
          <w:szCs w:val="20"/>
          <w:color w:val="auto"/>
        </w:rPr>
      </w:pPr>
      <w:r>
        <w:rPr>
          <w:rFonts w:ascii="Courier New" w:cs="Courier New" w:eastAsia="Courier New" w:hAnsi="Courier New"/>
          <w:sz w:val="18"/>
          <w:szCs w:val="18"/>
          <w:color w:val="auto"/>
        </w:rPr>
        <w:t>Barclays Bank PLC,</w:t>
      </w:r>
    </w:p>
    <w:p>
      <w:pPr>
        <w:ind w:left="860"/>
        <w:spacing w:after="0"/>
        <w:rPr>
          <w:sz w:val="20"/>
          <w:szCs w:val="20"/>
          <w:color w:val="auto"/>
        </w:rPr>
      </w:pPr>
      <w:r>
        <w:rPr>
          <w:rFonts w:ascii="Courier New" w:cs="Courier New" w:eastAsia="Courier New" w:hAnsi="Courier New"/>
          <w:sz w:val="18"/>
          <w:szCs w:val="18"/>
          <w:color w:val="auto"/>
        </w:rPr>
        <w:t>is a wholly-owned subsidiary of Barclays PLC.</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ectPr>
          <w:pgSz w:w="11900" w:h="16838" w:orient="portrait"/>
          <w:cols w:equalWidth="0" w:num="1">
            <w:col w:w="10139"/>
          </w:cols>
          <w:pgMar w:left="320" w:top="344" w:right="1440" w:bottom="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JOINT FILING AGREEMENT</w:t>
      </w:r>
    </w:p>
    <w:p>
      <w:pPr>
        <w:spacing w:after="0" w:line="4"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8"/>
          <w:szCs w:val="18"/>
          <w:color w:val="auto"/>
        </w:rPr>
        <w:t>The undersigned hereby agree that the Statement on Schedule 13G filed herewith (and any amendments thereto), is being filed jointly with the Securities and Exchange Commission pursuant to</w:t>
      </w:r>
    </w:p>
    <w:p>
      <w:pPr>
        <w:spacing w:after="0" w:line="6" w:lineRule="exact"/>
        <w:rPr>
          <w:sz w:val="20"/>
          <w:szCs w:val="20"/>
          <w:color w:val="auto"/>
        </w:rPr>
      </w:pPr>
    </w:p>
    <w:p>
      <w:pPr>
        <w:ind w:right="3819"/>
        <w:spacing w:after="0" w:line="235" w:lineRule="auto"/>
        <w:rPr>
          <w:sz w:val="20"/>
          <w:szCs w:val="20"/>
          <w:color w:val="auto"/>
        </w:rPr>
      </w:pPr>
      <w:r>
        <w:rPr>
          <w:rFonts w:ascii="Courier New" w:cs="Courier New" w:eastAsia="Courier New" w:hAnsi="Courier New"/>
          <w:sz w:val="18"/>
          <w:szCs w:val="18"/>
          <w:color w:val="auto"/>
        </w:rPr>
        <w:t>Rule 13d-1(k) (1) under the Securities Exchange Act of 1934, as amended, on behalf of each such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08, 2022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 Ramya Rao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Bank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 Ramya Rao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Capital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 Ramya Rao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Vice President</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0"/>
    </w:lvl>
  </w:abstractNum>
  <w:abstractNum w:abstractNumId="2">
    <w:nsid w:val="1F16E9E8"/>
    <w:multiLevelType w:val="hybridMultilevel"/>
    <w:lvl w:ilvl="0">
      <w:lvlJc w:val="left"/>
      <w:lvlText w:val="%1."/>
      <w:numFmt w:val="decimal"/>
      <w:start w:val="10"/>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9"/>
    </w:lvl>
  </w:abstractNum>
  <w:abstractNum w:abstractNumId="7">
    <w:nsid w:val="109CF92E"/>
    <w:multiLevelType w:val="hybridMultilevel"/>
    <w:lvl w:ilvl="0">
      <w:lvlJc w:val="left"/>
      <w:lvlText w:val="%1"/>
      <w:numFmt w:val="decimal"/>
      <w:start w:val="48"/>
    </w:lvl>
  </w:abstractNum>
  <w:abstractNum w:abstractNumId="8">
    <w:nsid w:val="DED7263"/>
    <w:multiLevelType w:val="hybridMultilevel"/>
    <w:lvl w:ilvl="0">
      <w:lvlJc w:val="left"/>
      <w:lvlText w:val="%1."/>
      <w:numFmt w:val="decimal"/>
      <w:start w:val="10"/>
    </w:lvl>
  </w:abstractNum>
  <w:abstractNum w:abstractNumId="9">
    <w:nsid w:val="7FDCC233"/>
    <w:multiLevelType w:val="hybridMultilevel"/>
    <w:lvl w:ilvl="0">
      <w:lvlJc w:val="left"/>
      <w:lvlText w:val="(%1)"/>
      <w:numFmt w:val="lowerLetter"/>
      <w:start w:val="2"/>
    </w:lvl>
  </w:abstractNum>
  <w:abstractNum w:abstractNumId="10">
    <w:nsid w:val="1BEFD79F"/>
    <w:multiLevelType w:val="hybridMultilevel"/>
    <w:lvl w:ilvl="0">
      <w:lvlJc w:val="left"/>
      <w:lvlText w:val="(%1)"/>
      <w:numFmt w:val="lowerLetter"/>
      <w:start w:val="1"/>
    </w:lvl>
    <w:lvl w:ilvl="1">
      <w:lvlJc w:val="left"/>
      <w:lvlText w:val="(%2)"/>
      <w:numFmt w:val="decimal"/>
      <w:start w:val="1"/>
    </w:lvl>
  </w:abstractNum>
  <w:abstractNum w:abstractNumId="11">
    <w:nsid w:val="41A7C4C9"/>
    <w:multiLevelType w:val="hybridMultilevel"/>
    <w:lvl w:ilvl="0">
      <w:lvlJc w:val="left"/>
      <w:lvlText w:val="%1"/>
      <w:numFmt w:val="lowerLetter"/>
      <w:start w:val="1"/>
    </w:lvl>
    <w:lvl w:ilvl="1">
      <w:lvlJc w:val="left"/>
      <w:lvlText w:val="(%2)"/>
      <w:numFmt w:val="decimal"/>
      <w:start w:val="2"/>
    </w:lvl>
  </w:abstractNum>
  <w:abstractNum w:abstractNumId="12">
    <w:nsid w:val="6B68079A"/>
    <w:multiLevelType w:val="hybridMultilevel"/>
    <w:lvl w:ilvl="0">
      <w:lvlJc w:val="left"/>
      <w:lvlText w:val="(%1)"/>
      <w:numFmt w:val="lowerLetter"/>
      <w:start w:val="3"/>
    </w:lvl>
    <w:lvl w:ilvl="1">
      <w:lvlJc w:val="left"/>
      <w:lvlText w:val="(%2)"/>
      <w:numFmt w:val="decimal"/>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6"/>
    </w:lvl>
  </w:abstractNum>
  <w:abstractNum w:abstractNumId="16">
    <w:nsid w:val="431BD7B7"/>
    <w:multiLevelType w:val="hybridMultilevel"/>
    <w:lvl w:ilvl="0">
      <w:lvlJc w:val="left"/>
      <w:lvlText w:val="(%1)"/>
      <w:numFmt w:val="lowerLetter"/>
      <w:start w:val="11"/>
    </w:lvl>
  </w:abstractNum>
  <w:abstractNum w:abstractNumId="17">
    <w:nsid w:val="3F2DBA31"/>
    <w:multiLevelType w:val="hybridMultilevel"/>
    <w:lvl w:ilvl="0">
      <w:lvlJc w:val="left"/>
      <w:lvlText w:val="(%1)"/>
      <w:numFmt w:val="lowerLetter"/>
      <w:start w:val="3"/>
    </w:lvl>
    <w:lvl w:ilvl="1">
      <w:lvlJc w:val="left"/>
      <w:lvlText w:val="(%2)"/>
      <w:numFmt w:val="lowerRoman"/>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2022-02-12T00:01:20Z</dcterms:created>
  <dcterms:modified xsi:type="dcterms:W3CDTF">2022-02-12T00:01:20Z</dcterms:modified>
</cp:coreProperties>
</file>