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November 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Weatherford International public limited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4300" w:type="dxa"/>
            <w:vAlign w:val="bottom"/>
          </w:tcPr>
          <w:p>
            <w:pPr>
              <w:jc w:val="center"/>
              <w:ind w:right="2581"/>
              <w:spacing w:after="0"/>
              <w:rPr>
                <w:sz w:val="20"/>
                <w:szCs w:val="20"/>
                <w:color w:val="auto"/>
              </w:rPr>
            </w:pPr>
            <w:r>
              <w:rPr>
                <w:rFonts w:ascii="Arial" w:cs="Arial" w:eastAsia="Arial" w:hAnsi="Arial"/>
                <w:sz w:val="18"/>
                <w:szCs w:val="18"/>
                <w:b w:val="1"/>
                <w:bCs w:val="1"/>
                <w:color w:val="auto"/>
                <w:w w:val="94"/>
              </w:rPr>
              <w:t>Ireland</w:t>
            </w:r>
          </w:p>
        </w:tc>
        <w:tc>
          <w:tcPr>
            <w:tcW w:w="2220" w:type="dxa"/>
            <w:vAlign w:val="bottom"/>
          </w:tcPr>
          <w:p>
            <w:pPr>
              <w:ind w:left="40"/>
              <w:spacing w:after="0"/>
              <w:rPr>
                <w:sz w:val="20"/>
                <w:szCs w:val="20"/>
                <w:color w:val="auto"/>
              </w:rPr>
            </w:pPr>
            <w:r>
              <w:rPr>
                <w:rFonts w:ascii="Arial" w:cs="Arial" w:eastAsia="Arial" w:hAnsi="Arial"/>
                <w:sz w:val="18"/>
                <w:szCs w:val="18"/>
                <w:b w:val="1"/>
                <w:bCs w:val="1"/>
                <w:color w:val="auto"/>
              </w:rPr>
              <w:t>001-36504</w:t>
            </w:r>
          </w:p>
        </w:tc>
        <w:tc>
          <w:tcPr>
            <w:tcW w:w="2520" w:type="dxa"/>
            <w:vAlign w:val="bottom"/>
          </w:tcPr>
          <w:p>
            <w:pPr>
              <w:jc w:val="center"/>
              <w:ind w:left="1321"/>
              <w:spacing w:after="0"/>
              <w:rPr>
                <w:sz w:val="20"/>
                <w:szCs w:val="20"/>
                <w:color w:val="auto"/>
              </w:rPr>
            </w:pPr>
            <w:r>
              <w:rPr>
                <w:rFonts w:ascii="Arial" w:cs="Arial" w:eastAsia="Arial" w:hAnsi="Arial"/>
                <w:sz w:val="18"/>
                <w:szCs w:val="18"/>
                <w:b w:val="1"/>
                <w:bCs w:val="1"/>
                <w:color w:val="auto"/>
                <w:w w:val="91"/>
              </w:rPr>
              <w:t>98-0606750</w:t>
            </w:r>
          </w:p>
        </w:tc>
      </w:tr>
      <w:tr>
        <w:trPr>
          <w:trHeight w:val="149"/>
        </w:trPr>
        <w:tc>
          <w:tcPr>
            <w:tcW w:w="4300" w:type="dxa"/>
            <w:vAlign w:val="bottom"/>
          </w:tcPr>
          <w:p>
            <w:pPr>
              <w:jc w:val="center"/>
              <w:ind w:right="258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00" w:type="dxa"/>
            <w:vAlign w:val="bottom"/>
          </w:tcPr>
          <w:p>
            <w:pPr>
              <w:jc w:val="center"/>
              <w:ind w:right="2561"/>
              <w:spacing w:after="0"/>
              <w:rPr>
                <w:sz w:val="20"/>
                <w:szCs w:val="20"/>
                <w:color w:val="auto"/>
              </w:rPr>
            </w:pPr>
            <w:r>
              <w:rPr>
                <w:rFonts w:ascii="Arial" w:cs="Arial" w:eastAsia="Arial" w:hAnsi="Arial"/>
                <w:sz w:val="14"/>
                <w:szCs w:val="14"/>
                <w:b w:val="1"/>
                <w:bCs w:val="1"/>
                <w:color w:val="auto"/>
                <w:w w:val="94"/>
              </w:rPr>
              <w:t>of incorporation)</w:t>
            </w:r>
          </w:p>
        </w:tc>
        <w:tc>
          <w:tcPr>
            <w:tcW w:w="2220" w:type="dxa"/>
            <w:vAlign w:val="bottom"/>
          </w:tcPr>
          <w:p>
            <w:pPr>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4300" w:type="dxa"/>
            <w:vAlign w:val="bottom"/>
          </w:tcPr>
          <w:p>
            <w:pPr>
              <w:jc w:val="center"/>
              <w:ind w:left="1041"/>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2220" w:type="dxa"/>
            <w:vAlign w:val="bottom"/>
          </w:tcPr>
          <w:p>
            <w:pPr>
              <w:spacing w:after="0"/>
              <w:rPr>
                <w:sz w:val="24"/>
                <w:szCs w:val="24"/>
                <w:color w:val="auto"/>
              </w:rPr>
            </w:pPr>
          </w:p>
        </w:tc>
        <w:tc>
          <w:tcPr>
            <w:tcW w:w="2520" w:type="dxa"/>
            <w:vAlign w:val="bottom"/>
          </w:tcPr>
          <w:p>
            <w:pPr>
              <w:jc w:val="center"/>
              <w:ind w:left="1321"/>
              <w:spacing w:after="0"/>
              <w:rPr>
                <w:sz w:val="20"/>
                <w:szCs w:val="20"/>
                <w:color w:val="auto"/>
              </w:rPr>
            </w:pPr>
            <w:r>
              <w:rPr>
                <w:rFonts w:ascii="Arial" w:cs="Arial" w:eastAsia="Arial" w:hAnsi="Arial"/>
                <w:sz w:val="18"/>
                <w:szCs w:val="18"/>
                <w:b w:val="1"/>
                <w:bCs w:val="1"/>
                <w:color w:val="auto"/>
                <w:w w:val="95"/>
              </w:rPr>
              <w:t>CH 6340</w:t>
            </w:r>
          </w:p>
        </w:tc>
      </w:tr>
      <w:tr>
        <w:trPr>
          <w:trHeight w:val="186"/>
        </w:trPr>
        <w:tc>
          <w:tcPr>
            <w:tcW w:w="4300" w:type="dxa"/>
            <w:vAlign w:val="bottom"/>
          </w:tcPr>
          <w:p>
            <w:pPr>
              <w:jc w:val="center"/>
              <w:ind w:left="10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ind w:right="4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November 9, 2016, Weatherford International plc (the “Company”) has accepted the resignation of Bernard Duroc-Danner as Chief Executive Officer (“CEO”), President and Chairman of the Board of Directors (the “Board”) of the Company and appointed Mr. Krishna Shivram as interim CEO. Mr. Shivram will also continue as Chief Financial Officer until a new Chief Financial Officer is appointed in the coming days. Mr. Rayne, current Vice Chairman of the Board, will serve as Chairman of the Board.</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Mr. Shivram was previously appointed Executive Vice President and Chief Financial Officer of the Company in November 2013. He has over 25 years of financial and operational management experience in the oilfield service industry and previously worked for Schlumberger Ltd. in a variety of roles across the globe. Immediately prior to joining Weatherford, Mr. Shivram served as Vice President and Treasurer of Schlumberger Ltd. since January 2011. Mr. Shivram is a Chartered Accountant and has experience in financial accounting, income taxes and treasury operations, along with a strong background in corporate finance and mergers and acquisitions.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selection of Mr. Shivram was not pursuant to any arrangement or understanding between him and any other person. There is no family relationship between Mr. Shivram and any director or executive officer of the Company. The compensation arrangements for Mr. Shivram as disclosed in the Company’s annual proxy statement filed with the Securities and Exchange Commission on April 26, 2016 (the “Proxy Statement”), remain in effect as of this time, although changes may occur in the future.</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connection with his resignation, Dr. Duroc-Danner will receive the compensation under Section 5(b) of his existing employment agreement, the material terms of which are described in the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November 9, 2016, the Company issued a press release describing the matters in the first paragraph of Item 5.02 of this Current Report on Form 8-K. A copy of the press release is furnished as Exhibit 99.1 to this report and incorporated by reference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exhibit listed below is furnished pursuant to Item 9.01 of this Form 8-K and shall not be deemed “filed” for purposes of Section 18 of the Securities Exchange Act of 1934, as amended, nor shall it be incorporated by reference into any filing under the Securities Act of 1933, as amended.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14"/>
                <w:szCs w:val="1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2"/>
              </w:rPr>
              <w:t>Exhibit Description</w:t>
            </w:r>
          </w:p>
        </w:tc>
        <w:tc>
          <w:tcPr>
            <w:tcW w:w="15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88"/>
              </w:rPr>
              <w:t>News release dated November 9, 2016</w:t>
            </w:r>
          </w:p>
        </w:tc>
        <w:tc>
          <w:tcPr>
            <w:tcW w:w="0" w:type="dxa"/>
            <w:vAlign w:val="bottom"/>
          </w:tcPr>
          <w:p>
            <w:pPr>
              <w:spacing w:after="0"/>
              <w:rPr>
                <w:sz w:val="1"/>
                <w:szCs w:val="1"/>
                <w:color w:val="auto"/>
              </w:rPr>
            </w:pPr>
          </w:p>
        </w:tc>
      </w:tr>
    </w:tbl>
    <w:p>
      <w:pPr>
        <w:sectPr>
          <w:pgSz w:w="11900" w:h="16838" w:orient="portrait"/>
          <w:cols w:equalWidth="0" w:num="1">
            <w:col w:w="11360"/>
          </w:cols>
          <w:pgMar w:left="240" w:top="270" w:right="29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2016</w:t>
      </w:r>
    </w:p>
    <w:p>
      <w:pPr>
        <w:spacing w:after="0" w:line="225"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Christina M. Ibrahim</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General Counsel</w:t>
      </w:r>
    </w:p>
    <w:p>
      <w:pPr>
        <w:sectPr>
          <w:pgSz w:w="11900" w:h="16838" w:orient="portrait"/>
          <w:cols w:equalWidth="0" w:num="1">
            <w:col w:w="10740"/>
          </w:cols>
          <w:pgMar w:left="240" w:top="270" w:right="919" w:bottom="1440" w:gutter="0" w:footer="0" w:header="0"/>
        </w:sectPr>
      </w:pPr>
    </w:p>
    <w:bookmarkStart w:id="3" w:name="page4"/>
    <w:bookmarkEnd w:id="3"/>
    <w:p>
      <w:pPr>
        <w:jc w:val="right"/>
        <w:ind w:right="36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EXHIBIT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14"/>
                <w:szCs w:val="1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2"/>
              </w:rPr>
              <w:t>Exhibit Description</w:t>
            </w:r>
          </w:p>
        </w:tc>
        <w:tc>
          <w:tcPr>
            <w:tcW w:w="15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88"/>
              </w:rPr>
              <w:t>News release dated November 9, 2016</w:t>
            </w:r>
          </w:p>
        </w:tc>
        <w:tc>
          <w:tcPr>
            <w:tcW w:w="0" w:type="dxa"/>
            <w:vAlign w:val="bottom"/>
          </w:tcPr>
          <w:p>
            <w:pPr>
              <w:spacing w:after="0"/>
              <w:rPr>
                <w:sz w:val="1"/>
                <w:szCs w:val="1"/>
                <w:color w:val="auto"/>
              </w:rPr>
            </w:pPr>
          </w:p>
        </w:tc>
      </w:tr>
    </w:tbl>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423670" cy="608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367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PRESS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Announces Chairman and Chief Executive Officer Departure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Appointment of Chairman of the Board and Chief Executive Officer</w:t>
      </w:r>
    </w:p>
    <w:p>
      <w:pPr>
        <w:spacing w:after="0" w:line="1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BAAR, Switzerland, November 9, 2016 –Weatherford International plc (NYSE: WFT) announces the departure of Bernard J. Duroc-Danner, Chairman of the Board, President and Chief Executive Officer effective immediately. Mr. Robert Rayne, current Vice Chairman of the Board, will serve as Chairman of the Board. Mr. Krishna Shivram will lead the Company as interim Chief Executive Officer, and will continue as Chief Financial Officer (CFO) until a new CFO is named in the coming days.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Statement</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Board is extremely grateful to Dr. Duroc-Danner for his leadership, vision, loyalty and the guidance provided to Weatherford and its predecessors for the past 30 years. He has grown and steered the Company from humble beginnings into one of the leading oilfield service providers that it is today, providing numerous contributions to both the Company and the industry.</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Mr. Rayne commented further, “We look forward to moving ahead to build upon the successes of the Company that Dr. Duroc-Danner has built and grown and are infinitely thankful for his service. We will continue to rely on our very experienced and talented management team to steer the Company forward and to continue making progress on enhancing shareholder value. We have full confidence that Mr. Shivram is the right person to lead the Company in this very challenging market and he has our full support.”</w:t>
      </w:r>
    </w:p>
    <w:p>
      <w:pPr>
        <w:spacing w:after="0" w:line="18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Mr. Shivram commented, “I am grateful to the Board for this opportunity to further serve Weatherford. We have the people, technology and global reach to thrive in an improving market backdrop. I look forward to the challenges and opportunities ahead, and want to personally thank Bernard for his mentorship and guidance.”</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Krishna Shivram was appointed Executive Vice President and Chief Financial Officer of the Company in November 2013. Mr. Shivram has over 25 years of financial and operational management experience in the oilfield service industry and previously worked for Schlumberger Ltd. in a variety of roles across the globe.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Weatherford</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Weatherford is one of the largest multinational oilfield service companies providing innovative solutions, technology and services to the oil and gas industry. The Company operates in over 100 countries and has a network of approximately 1,000 locations, including manufacturing, service, research and development, and training facilities and employs approximately 31,000 people. For more information, visit </w:t>
      </w:r>
      <w:r>
        <w:rPr>
          <w:rFonts w:ascii="Arial" w:cs="Arial" w:eastAsia="Arial" w:hAnsi="Arial"/>
          <w:sz w:val="18"/>
          <w:szCs w:val="18"/>
          <w:u w:val="single" w:color="auto"/>
          <w:color w:val="auto"/>
        </w:rPr>
        <w:t>www.weatherford.com</w:t>
      </w:r>
      <w:r>
        <w:rPr>
          <w:rFonts w:ascii="Arial" w:cs="Arial" w:eastAsia="Arial" w:hAnsi="Arial"/>
          <w:sz w:val="18"/>
          <w:szCs w:val="18"/>
          <w:color w:val="auto"/>
        </w:rPr>
        <w:t xml:space="preserve"> and connect with Weatherford on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YouTube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Facebook</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news release contains forward-looking statements. These forward-looking statements include, among other things, the Company’s forecasts and expectations regarding business outlook and performance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Forward-looking statements are also affected by the risk factors described in the Company’s Annual Report on Form 10-K for the year ended December 31, 2015, the Company’s Quarterly Reports on Form 10-Q, and those set forth from time-to-time in the Company’s other filings with the Securities and Exchange Commission (“SEC”). We undertake no obligation to correct or update any forward-looking statement, whether as a result of new information, future events, or otherwise, except to the extent required under federal securities laws.</w:t>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Krishna Shivram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+1.713.836.4610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Karen David-Green</w:t>
      </w:r>
    </w:p>
    <w:p>
      <w:pPr>
        <w:spacing w:after="0" w:line="23" w:lineRule="exact"/>
        <w:rPr>
          <w:sz w:val="20"/>
          <w:szCs w:val="20"/>
          <w:color w:val="auto"/>
        </w:rPr>
      </w:pPr>
    </w:p>
    <w:p>
      <w:pPr>
        <w:ind w:right="5560"/>
        <w:spacing w:after="0" w:line="261" w:lineRule="auto"/>
        <w:rPr>
          <w:sz w:val="20"/>
          <w:szCs w:val="20"/>
          <w:color w:val="auto"/>
        </w:rPr>
      </w:pPr>
      <w:r>
        <w:rPr>
          <w:rFonts w:ascii="Arial" w:cs="Arial" w:eastAsia="Arial" w:hAnsi="Arial"/>
          <w:sz w:val="18"/>
          <w:szCs w:val="18"/>
          <w:color w:val="auto"/>
        </w:rPr>
        <w:t>Vice President – Investor Relations, Corporate Marketing and Communications +1.713.836.7430</w:t>
      </w:r>
    </w:p>
    <w:sectPr>
      <w:pgSz w:w="11900" w:h="16838" w:orient="portrait"/>
      <w:cols w:equalWidth="0" w:num="1">
        <w:col w:w="11300"/>
      </w:cols>
      <w:pgMar w:left="240" w:top="27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2019-12-09T00:54:03Z</dcterms:created>
  <dcterms:modified xsi:type="dcterms:W3CDTF">2019-12-09T00:54:03Z</dcterms:modified>
</cp:coreProperties>
</file>