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021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Mills Desmond J</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Weatherford International plc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WFRD</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11/01/2021</w:t>
      </w:r>
    </w:p>
    <w:p>
      <w:pPr>
        <w:spacing w:after="0" w:line="20" w:lineRule="exact"/>
        <w:rPr>
          <w:sz w:val="24"/>
          <w:szCs w:val="24"/>
          <w:color w:val="auto"/>
        </w:rPr>
      </w:pPr>
      <w:r>
        <w:rPr>
          <w:sz w:val="24"/>
          <w:szCs w:val="24"/>
          <w:color w:val="auto"/>
        </w:rPr>
        <w:br w:type="column"/>
      </w:r>
    </w:p>
    <w:p>
      <w:pPr>
        <w:ind w:left="9" w:right="700" w:hanging="9"/>
        <w:spacing w:after="0" w:line="23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09"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89"/>
        <w:spacing w:after="0"/>
        <w:rPr>
          <w:sz w:val="20"/>
          <w:szCs w:val="20"/>
          <w:color w:val="auto"/>
        </w:rPr>
      </w:pPr>
      <w:r>
        <w:rPr>
          <w:rFonts w:ascii="Arial" w:cs="Arial" w:eastAsia="Arial" w:hAnsi="Arial"/>
          <w:sz w:val="16"/>
          <w:szCs w:val="16"/>
          <w:color w:val="0000FF"/>
        </w:rPr>
        <w:t>SVP &amp; Chief Accounting Officer</w:t>
      </w:r>
    </w:p>
    <w:p>
      <w:pPr>
        <w:spacing w:after="0" w:line="303" w:lineRule="exact"/>
        <w:rPr>
          <w:sz w:val="24"/>
          <w:szCs w:val="24"/>
          <w:color w:val="auto"/>
        </w:rPr>
      </w:pPr>
    </w:p>
    <w:p>
      <w:pPr>
        <w:sectPr>
          <w:pgSz w:w="11900" w:h="16838" w:orient="portrait"/>
          <w:cols w:equalWidth="0" w:num="3">
            <w:col w:w="3180" w:space="720"/>
            <w:col w:w="3140" w:space="691"/>
            <w:col w:w="3349"/>
          </w:cols>
          <w:pgMar w:left="460" w:top="219"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0000FF"/>
              </w:rPr>
              <w:t>HOUSTON</w:t>
            </w:r>
          </w:p>
        </w:tc>
        <w:tc>
          <w:tcPr>
            <w:tcW w:w="1020" w:type="dxa"/>
            <w:vAlign w:val="bottom"/>
          </w:tcPr>
          <w:p>
            <w:pPr>
              <w:ind w:left="220"/>
              <w:spacing w:after="0"/>
              <w:rPr>
                <w:sz w:val="20"/>
                <w:szCs w:val="20"/>
                <w:color w:val="auto"/>
              </w:rPr>
            </w:pPr>
            <w:r>
              <w:rPr>
                <w:rFonts w:ascii="Arial" w:cs="Arial" w:eastAsia="Arial" w:hAnsi="Arial"/>
                <w:sz w:val="16"/>
                <w:szCs w:val="16"/>
                <w:color w:val="0000FF"/>
              </w:rPr>
              <w:t>TX</w:t>
            </w:r>
          </w:p>
        </w:tc>
        <w:tc>
          <w:tcPr>
            <w:tcW w:w="1620" w:type="dxa"/>
            <w:vAlign w:val="bottom"/>
          </w:tcPr>
          <w:p>
            <w:pPr>
              <w:ind w:left="420"/>
              <w:spacing w:after="0"/>
              <w:rPr>
                <w:sz w:val="20"/>
                <w:szCs w:val="20"/>
                <w:color w:val="auto"/>
              </w:rPr>
            </w:pPr>
            <w:r>
              <w:rPr>
                <w:rFonts w:ascii="Arial" w:cs="Arial" w:eastAsia="Arial" w:hAnsi="Arial"/>
                <w:sz w:val="16"/>
                <w:szCs w:val="16"/>
                <w:color w:val="0000FF"/>
              </w:rPr>
              <w:t>77056</w:t>
            </w:r>
          </w:p>
        </w:tc>
      </w:tr>
      <w:tr>
        <w:trPr>
          <w:trHeight w:val="146"/>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2"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7" w:lineRule="exact"/>
        <w:rPr>
          <w:sz w:val="24"/>
          <w:szCs w:val="24"/>
          <w:color w:val="auto"/>
        </w:rPr>
      </w:pPr>
    </w:p>
    <w:p>
      <w:pPr>
        <w:sectPr>
          <w:pgSz w:w="11900" w:h="16838" w:orient="portrait"/>
          <w:cols w:equalWidth="0" w:num="2">
            <w:col w:w="3760" w:space="14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40" w:type="dxa"/>
            <w:vAlign w:val="bottom"/>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8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60"/>
              <w:spacing w:after="0"/>
              <w:rPr>
                <w:sz w:val="20"/>
                <w:szCs w:val="20"/>
                <w:color w:val="auto"/>
              </w:rPr>
            </w:pPr>
            <w:r>
              <w:rPr>
                <w:rFonts w:ascii="Arial" w:cs="Arial" w:eastAsia="Arial" w:hAnsi="Arial"/>
                <w:sz w:val="13"/>
                <w:szCs w:val="13"/>
                <w:color w:val="0000FF"/>
              </w:rPr>
              <w:t>2021</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0000FF"/>
                <w:w w:val="82"/>
              </w:rPr>
              <w:t>2021</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60" w:type="dxa"/>
            <w:vAlign w:val="bottom"/>
          </w:tcPr>
          <w:p>
            <w:pPr>
              <w:ind w:left="60"/>
              <w:spacing w:after="0"/>
              <w:rPr>
                <w:sz w:val="20"/>
                <w:szCs w:val="20"/>
                <w:color w:val="auto"/>
              </w:rPr>
            </w:pPr>
            <w:r>
              <w:rPr>
                <w:rFonts w:ascii="Arial" w:cs="Arial" w:eastAsia="Arial" w:hAnsi="Arial"/>
                <w:sz w:val="13"/>
                <w:szCs w:val="13"/>
                <w:color w:val="0000FF"/>
              </w:rPr>
              <w:t>Program</w:t>
            </w:r>
          </w:p>
        </w:tc>
        <w:tc>
          <w:tcPr>
            <w:tcW w:w="760" w:type="dxa"/>
            <w:vAlign w:val="bottom"/>
          </w:tcPr>
          <w:p>
            <w:pPr>
              <w:ind w:left="340"/>
              <w:spacing w:after="0"/>
              <w:rPr>
                <w:sz w:val="20"/>
                <w:szCs w:val="20"/>
                <w:color w:val="auto"/>
              </w:rPr>
            </w:pPr>
            <w:r>
              <w:rPr>
                <w:rFonts w:ascii="Arial" w:cs="Arial" w:eastAsia="Arial" w:hAnsi="Arial"/>
                <w:sz w:val="10"/>
                <w:szCs w:val="10"/>
                <w:color w:val="008000"/>
              </w:rPr>
              <w:t>(1)</w:t>
            </w:r>
          </w:p>
        </w:tc>
        <w:tc>
          <w:tcPr>
            <w:tcW w:w="1060" w:type="dxa"/>
            <w:vAlign w:val="bottom"/>
            <w:vMerge w:val="restart"/>
          </w:tcPr>
          <w:p>
            <w:pPr>
              <w:jc w:val="right"/>
              <w:ind w:right="182"/>
              <w:spacing w:after="0"/>
              <w:rPr>
                <w:sz w:val="20"/>
                <w:szCs w:val="20"/>
                <w:color w:val="auto"/>
              </w:rPr>
            </w:pPr>
            <w:r>
              <w:rPr>
                <w:rFonts w:ascii="Arial" w:cs="Arial" w:eastAsia="Arial" w:hAnsi="Arial"/>
                <w:sz w:val="13"/>
                <w:szCs w:val="13"/>
                <w:color w:val="0000FF"/>
              </w:rPr>
              <w:t>11/01/2021</w:t>
            </w:r>
          </w:p>
        </w:tc>
        <w:tc>
          <w:tcPr>
            <w:tcW w:w="1060" w:type="dxa"/>
            <w:vAlign w:val="bottom"/>
          </w:tcPr>
          <w:p>
            <w:pPr>
              <w:spacing w:after="0"/>
              <w:rPr>
                <w:sz w:val="13"/>
                <w:szCs w:val="13"/>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17,102</w:t>
            </w:r>
          </w:p>
        </w:tc>
        <w:tc>
          <w:tcPr>
            <w:tcW w:w="280" w:type="dxa"/>
            <w:vAlign w:val="bottom"/>
          </w:tcPr>
          <w:p>
            <w:pPr>
              <w:spacing w:after="0"/>
              <w:rPr>
                <w:sz w:val="13"/>
                <w:szCs w:val="13"/>
                <w:color w:val="auto"/>
              </w:rPr>
            </w:pPr>
          </w:p>
        </w:tc>
        <w:tc>
          <w:tcPr>
            <w:tcW w:w="760" w:type="dxa"/>
            <w:vAlign w:val="bottom"/>
          </w:tcPr>
          <w:p>
            <w:pPr>
              <w:ind w:left="320"/>
              <w:spacing w:after="0"/>
              <w:rPr>
                <w:sz w:val="20"/>
                <w:szCs w:val="20"/>
                <w:color w:val="auto"/>
              </w:rPr>
            </w:pPr>
            <w:r>
              <w:rPr>
                <w:rFonts w:ascii="Arial" w:cs="Arial" w:eastAsia="Arial" w:hAnsi="Arial"/>
                <w:sz w:val="10"/>
                <w:szCs w:val="10"/>
                <w:color w:val="008000"/>
              </w:rPr>
              <w:t>(1)</w:t>
            </w:r>
          </w:p>
        </w:tc>
        <w:tc>
          <w:tcPr>
            <w:tcW w:w="700" w:type="dxa"/>
            <w:vAlign w:val="bottom"/>
          </w:tcPr>
          <w:p>
            <w:pPr>
              <w:jc w:val="right"/>
              <w:ind w:right="225"/>
              <w:spacing w:after="0"/>
              <w:rPr>
                <w:sz w:val="20"/>
                <w:szCs w:val="20"/>
                <w:color w:val="auto"/>
              </w:rPr>
            </w:pPr>
            <w:r>
              <w:rPr>
                <w:rFonts w:ascii="Arial" w:cs="Arial" w:eastAsia="Arial" w:hAnsi="Arial"/>
                <w:sz w:val="10"/>
                <w:szCs w:val="10"/>
                <w:color w:val="008000"/>
              </w:rPr>
              <w:t>(1)</w:t>
            </w:r>
          </w:p>
        </w:tc>
        <w:tc>
          <w:tcPr>
            <w:tcW w:w="840" w:type="dxa"/>
            <w:vAlign w:val="bottom"/>
          </w:tcPr>
          <w:p>
            <w:pPr>
              <w:jc w:val="center"/>
              <w:spacing w:after="0"/>
              <w:rPr>
                <w:sz w:val="20"/>
                <w:szCs w:val="20"/>
                <w:color w:val="auto"/>
              </w:rPr>
            </w:pPr>
            <w:r>
              <w:rPr>
                <w:rFonts w:ascii="Arial" w:cs="Arial" w:eastAsia="Arial" w:hAnsi="Arial"/>
                <w:sz w:val="13"/>
                <w:szCs w:val="13"/>
                <w:color w:val="0000FF"/>
                <w:w w:val="88"/>
              </w:rPr>
              <w:t>Program</w:t>
            </w: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17,102</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vMerge w:val="restart"/>
          </w:tcPr>
          <w:p>
            <w:pPr>
              <w:ind w:left="280"/>
              <w:spacing w:after="0"/>
              <w:rPr>
                <w:sz w:val="20"/>
                <w:szCs w:val="20"/>
                <w:color w:val="auto"/>
              </w:rPr>
            </w:pPr>
            <w:r>
              <w:rPr>
                <w:rFonts w:ascii="Arial" w:cs="Arial" w:eastAsia="Arial" w:hAnsi="Arial"/>
                <w:sz w:val="13"/>
                <w:szCs w:val="13"/>
                <w:color w:val="0000FF"/>
              </w:rPr>
              <w:t>17,102</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60" w:type="dxa"/>
            <w:vAlign w:val="bottom"/>
          </w:tcPr>
          <w:p>
            <w:pPr>
              <w:ind w:left="60"/>
              <w:spacing w:after="0" w:line="117" w:lineRule="exact"/>
              <w:rPr>
                <w:sz w:val="20"/>
                <w:szCs w:val="20"/>
                <w:color w:val="auto"/>
              </w:rPr>
            </w:pPr>
            <w:r>
              <w:rPr>
                <w:rFonts w:ascii="Arial" w:cs="Arial" w:eastAsia="Arial" w:hAnsi="Arial"/>
                <w:sz w:val="13"/>
                <w:szCs w:val="13"/>
                <w:color w:val="0000FF"/>
                <w:w w:val="91"/>
              </w:rPr>
              <w:t>Performance</w:t>
            </w: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ind w:left="80"/>
              <w:spacing w:after="0" w:line="117" w:lineRule="exact"/>
              <w:rPr>
                <w:sz w:val="20"/>
                <w:szCs w:val="20"/>
                <w:color w:val="auto"/>
              </w:rPr>
            </w:pPr>
            <w:r>
              <w:rPr>
                <w:rFonts w:ascii="Arial" w:cs="Arial" w:eastAsia="Arial" w:hAnsi="Arial"/>
                <w:sz w:val="13"/>
                <w:szCs w:val="13"/>
                <w:color w:val="0000FF"/>
                <w:w w:val="99"/>
              </w:rPr>
              <w:t>Performance</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760" w:type="dxa"/>
            <w:vAlign w:val="bottom"/>
          </w:tcPr>
          <w:p>
            <w:pPr>
              <w:ind w:left="60"/>
              <w:spacing w:after="0"/>
              <w:rPr>
                <w:sz w:val="20"/>
                <w:szCs w:val="20"/>
                <w:color w:val="auto"/>
              </w:rPr>
            </w:pPr>
            <w:r>
              <w:rPr>
                <w:rFonts w:ascii="Arial" w:cs="Arial" w:eastAsia="Arial" w:hAnsi="Arial"/>
                <w:sz w:val="13"/>
                <w:szCs w:val="13"/>
                <w:color w:val="0000FF"/>
              </w:rPr>
              <w:t>Share 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0000FF"/>
                <w:w w:val="88"/>
              </w:rPr>
              <w:t>Share Units</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160" w:hanging="2"/>
        <w:spacing w:after="0" w:line="233"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performance share units ("PSUs") granted on November 1, 2021 under the Weatherford Accelerating Growth &amp; Efficiency Program of the Second Amended and Restated 2019 Equity Incentive Plan. The number of PSUs reported is the target award and may be subject to a payout ranging from 0% to 100% of target award depending on the actual achievement of the performance goals at the end of the performance period. The performance period is the Issuer's fiscal years beginning on January 1, 2022 ending December 31, 2024.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1" w:lineRule="auto"/>
        <w:rPr>
          <w:sz w:val="20"/>
          <w:szCs w:val="20"/>
          <w:color w:val="auto"/>
        </w:rPr>
      </w:pPr>
      <w:r>
        <w:rPr>
          <w:rFonts w:ascii="Arial" w:cs="Arial" w:eastAsia="Arial" w:hAnsi="Arial"/>
          <w:sz w:val="16"/>
          <w:szCs w:val="16"/>
          <w:color w:val="0000FF"/>
        </w:rPr>
        <w:t xml:space="preserve">Jonathan B. Wolens by Power of </w:t>
      </w:r>
      <w:r>
        <w:rPr>
          <w:rFonts w:ascii="Arial" w:cs="Arial" w:eastAsia="Arial" w:hAnsi="Arial"/>
          <w:sz w:val="32"/>
          <w:szCs w:val="32"/>
          <w:color w:val="0000FF"/>
          <w:vertAlign w:val="subscript"/>
        </w:rPr>
        <w:t>11/02/2021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9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369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6957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69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196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2021-11-02T18:36:15Z</dcterms:created>
  <dcterms:modified xsi:type="dcterms:W3CDTF">2021-11-02T18:36:15Z</dcterms:modified>
</cp:coreProperties>
</file>