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Weatherford International public limited company</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20"/>
          </w:cols>
          <w:pgMar w:left="240" w:top="544" w:right="239" w:bottom="1440" w:gutter="0" w:footer="0" w:header="0"/>
          <w:type w:val="continuous"/>
        </w:sectPr>
      </w:pPr>
    </w:p>
    <w:p>
      <w:pPr>
        <w:spacing w:after="0" w:line="218"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780" w:space="720"/>
            <w:col w:w="2920"/>
          </w:cols>
          <w:pgMar w:left="240" w:top="544" w:right="23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Title of each class</w:t>
            </w: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Trading symbol</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32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WFTIF</w:t>
            </w:r>
          </w:p>
        </w:tc>
        <w:tc>
          <w:tcPr>
            <w:tcW w:w="1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ind w:left="340"/>
        <w:spacing w:after="0"/>
        <w:tabs>
          <w:tab w:leader="none" w:pos="25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6" w:lineRule="exact"/>
        <w:rPr>
          <w:sz w:val="24"/>
          <w:szCs w:val="24"/>
          <w:color w:val="auto"/>
        </w:rPr>
      </w:pPr>
    </w:p>
    <w:p>
      <w:pPr>
        <w:spacing w:after="0"/>
        <w:tabs>
          <w:tab w:leader="none" w:pos="770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Backstop Commitment Agreement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July 1, 2019, Weatherford International plc, Weatherford International Ltd., and Weatherford International, LLC (collectively, the “</w:t>
      </w:r>
      <w:r>
        <w:rPr>
          <w:rFonts w:ascii="Arial" w:cs="Arial" w:eastAsia="Arial" w:hAnsi="Arial"/>
          <w:sz w:val="18"/>
          <w:szCs w:val="18"/>
          <w:u w:val="single" w:color="auto"/>
          <w:color w:val="auto"/>
        </w:rPr>
        <w:t>Weatherford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commitment parties thereto (the “</w:t>
      </w:r>
      <w:r>
        <w:rPr>
          <w:rFonts w:ascii="Arial" w:cs="Arial" w:eastAsia="Arial" w:hAnsi="Arial"/>
          <w:sz w:val="18"/>
          <w:szCs w:val="18"/>
          <w:u w:val="single" w:color="auto"/>
          <w:color w:val="auto"/>
        </w:rPr>
        <w:t>Commitment Parties</w:t>
      </w:r>
      <w:r>
        <w:rPr>
          <w:rFonts w:ascii="Arial" w:cs="Arial" w:eastAsia="Arial" w:hAnsi="Arial"/>
          <w:sz w:val="18"/>
          <w:szCs w:val="18"/>
          <w:color w:val="auto"/>
        </w:rPr>
        <w:t>”) entered into a Backstop Commitment Agreement (the “</w:t>
      </w:r>
      <w:r>
        <w:rPr>
          <w:rFonts w:ascii="Arial" w:cs="Arial" w:eastAsia="Arial" w:hAnsi="Arial"/>
          <w:sz w:val="18"/>
          <w:szCs w:val="18"/>
          <w:u w:val="single" w:color="auto"/>
          <w:color w:val="auto"/>
        </w:rPr>
        <w:t>Backstop</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Agreement</w:t>
      </w:r>
      <w:r>
        <w:rPr>
          <w:rFonts w:ascii="Arial" w:cs="Arial" w:eastAsia="Arial" w:hAnsi="Arial"/>
          <w:sz w:val="18"/>
          <w:szCs w:val="18"/>
          <w:color w:val="auto"/>
        </w:rPr>
        <w:t>”).</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terms of the Company’s prepackaged plan of reorganization (the “</w:t>
      </w:r>
      <w:r>
        <w:rPr>
          <w:rFonts w:ascii="Arial" w:cs="Arial" w:eastAsia="Arial" w:hAnsi="Arial"/>
          <w:sz w:val="18"/>
          <w:szCs w:val="18"/>
          <w:u w:val="single" w:color="auto"/>
          <w:color w:val="auto"/>
        </w:rPr>
        <w:t>Plan</w:t>
      </w:r>
      <w:r>
        <w:rPr>
          <w:rFonts w:ascii="Arial" w:cs="Arial" w:eastAsia="Arial" w:hAnsi="Arial"/>
          <w:sz w:val="18"/>
          <w:szCs w:val="18"/>
          <w:color w:val="auto"/>
        </w:rPr>
        <w:t>”) under Chapter 11 of the United States Bankruptcy Code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and subject to approval by the U.S. Bankruptcy Court for the Southern District of Texas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in connection with confirmation of the Plan, the Company intends to offer (the “</w:t>
      </w:r>
      <w:r>
        <w:rPr>
          <w:rFonts w:ascii="Arial" w:cs="Arial" w:eastAsia="Arial" w:hAnsi="Arial"/>
          <w:sz w:val="18"/>
          <w:szCs w:val="18"/>
          <w:u w:val="single" w:color="auto"/>
          <w:color w:val="auto"/>
        </w:rPr>
        <w:t>Rights Offering</w:t>
      </w:r>
      <w:r>
        <w:rPr>
          <w:rFonts w:ascii="Arial" w:cs="Arial" w:eastAsia="Arial" w:hAnsi="Arial"/>
          <w:sz w:val="18"/>
          <w:szCs w:val="18"/>
          <w:color w:val="auto"/>
        </w:rPr>
        <w:t>”) to holders of its existing unsecured notes, including the Commitment Parties, subscription rights to purchase new senior unsecured notes with a 5-year maturity in aggregate principal amount of $1,250,000,000 (the “</w:t>
      </w:r>
      <w:r>
        <w:rPr>
          <w:rFonts w:ascii="Arial" w:cs="Arial" w:eastAsia="Arial" w:hAnsi="Arial"/>
          <w:sz w:val="18"/>
          <w:szCs w:val="18"/>
          <w:u w:val="single" w:color="auto"/>
          <w:color w:val="auto"/>
        </w:rPr>
        <w:t>2024 Notes</w:t>
      </w:r>
      <w:r>
        <w:rPr>
          <w:rFonts w:ascii="Arial" w:cs="Arial" w:eastAsia="Arial" w:hAnsi="Arial"/>
          <w:sz w:val="18"/>
          <w:szCs w:val="18"/>
          <w:color w:val="auto"/>
        </w:rPr>
        <w:t>”), upon the Company’s emergence from bankruptcy.</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Subject to the terms and conditions contained in the Backstop Commitment Agreement, the Commitment Parties have committed to purchase any 2024 Notes that are not duly subscribed for pursuant to the Rights Offering at a price equal to $1,000 per $1,000 in principal amount of 2024 Notes purchased by such Commitment Party. As consideration for the commitment by the Commitment Parties, the Weatherford Parties made an aggregate payment in an amount equal to $62,500,000 in cash to the Commitment Parties. Subject to certain termination rights set forth in the Backstop Commitment Agreement, such payment is non-refundable, regardless of the principal amount of unsubscribed 2024 Notes (if any) purchased by the Commitment Parties.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transactions contemplated by the Backstop Commitment Agreement are conditioned upon the satisfaction or waiver of customary conditions for transactions of this nature, including, without limitation, that (i) the Bankruptcy Court shall have approved the Rights Offering, (ii) the Bankruptcy Court shall have confirmed the Plan and (iii) the Rights Offering shall have been conducted, in all material respects, in accordance with the approval of the Bankruptcy Court, the Plan and the Backstop Commitment Agreement attached as an exhibit thereto.</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foregoing description of the Backstop Commitment Agreement does not purport to be complete and is qualified in its entirety by the full text of the Backstop Commitment Agreement, a copy of which is filed as Exhibit 10.1 to this Current Report on Form 8-K and is incorporated by reference in this Item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Support Agreement Amendment</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previously announced, on May 10, 2019, the Weatherford Parties entered into a Restructuring Support Agreement (the “</w:t>
      </w:r>
      <w:r>
        <w:rPr>
          <w:rFonts w:ascii="Arial" w:cs="Arial" w:eastAsia="Arial" w:hAnsi="Arial"/>
          <w:sz w:val="16"/>
          <w:szCs w:val="16"/>
          <w:u w:val="single" w:color="auto"/>
          <w:color w:val="auto"/>
        </w:rPr>
        <w:t>RSA</w:t>
      </w:r>
      <w:r>
        <w:rPr>
          <w:rFonts w:ascii="Arial" w:cs="Arial" w:eastAsia="Arial" w:hAnsi="Arial"/>
          <w:sz w:val="16"/>
          <w:szCs w:val="16"/>
          <w:color w:val="auto"/>
        </w:rPr>
        <w:t>”) with certain of the holders of the Company’s outstanding unsecured notes (the “</w:t>
      </w:r>
      <w:r>
        <w:rPr>
          <w:rFonts w:ascii="Arial" w:cs="Arial" w:eastAsia="Arial" w:hAnsi="Arial"/>
          <w:sz w:val="16"/>
          <w:szCs w:val="16"/>
          <w:u w:val="single" w:color="auto"/>
          <w:color w:val="auto"/>
        </w:rPr>
        <w:t>Noteholders</w:t>
      </w:r>
      <w:r>
        <w:rPr>
          <w:rFonts w:ascii="Arial" w:cs="Arial" w:eastAsia="Arial" w:hAnsi="Arial"/>
          <w:sz w:val="16"/>
          <w:szCs w:val="16"/>
          <w:color w:val="auto"/>
        </w:rPr>
        <w:t>”). On July 1, 2019, the Weatherford Parties and certain of the Noteholders entered into an amendment to the RSA (the “</w:t>
      </w:r>
      <w:r>
        <w:rPr>
          <w:rFonts w:ascii="Arial" w:cs="Arial" w:eastAsia="Arial" w:hAnsi="Arial"/>
          <w:sz w:val="16"/>
          <w:szCs w:val="16"/>
          <w:u w:val="single" w:color="auto"/>
          <w:color w:val="auto"/>
        </w:rPr>
        <w:t>RSA Amendment</w:t>
      </w:r>
      <w:r>
        <w:rPr>
          <w:rFonts w:ascii="Arial" w:cs="Arial" w:eastAsia="Arial" w:hAnsi="Arial"/>
          <w:sz w:val="16"/>
          <w:szCs w:val="16"/>
          <w:color w:val="auto"/>
        </w:rPr>
        <w:t>”) which amends, among other things, the maximum consideration to be paid to Lazard Freres &amp; Co. LLC, the Company’s financial advisor, and provides for the proceedings related to the Cases (as defined below) to be conducted in Bermuda.</w:t>
      </w:r>
    </w:p>
    <w:p>
      <w:pPr>
        <w:spacing w:after="0" w:line="154"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foregoing description of the RSA Amendment does not purport to be complete and is qualified in its entirety by the full text of the RSA Amendment, a copy of which is filed as Exhibit 10.2 to this Current Report on Form 8-K and is incorporated by reference in this Item 1.01.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Forbearance Agreements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July 1, 2019, the Company and the lenders (the “</w:t>
      </w:r>
      <w:r>
        <w:rPr>
          <w:rFonts w:ascii="Arial" w:cs="Arial" w:eastAsia="Arial" w:hAnsi="Arial"/>
          <w:sz w:val="16"/>
          <w:szCs w:val="16"/>
          <w:u w:val="single" w:color="auto"/>
          <w:color w:val="auto"/>
        </w:rPr>
        <w:t>Credit Agreement Lenders</w:t>
      </w:r>
      <w:r>
        <w:rPr>
          <w:rFonts w:ascii="Arial" w:cs="Arial" w:eastAsia="Arial" w:hAnsi="Arial"/>
          <w:sz w:val="16"/>
          <w:szCs w:val="16"/>
          <w:color w:val="auto"/>
        </w:rPr>
        <w:t>”) under the Credit Agreement (as defined below) entered into a forbearance agreement (the “</w:t>
      </w:r>
      <w:r>
        <w:rPr>
          <w:rFonts w:ascii="Arial" w:cs="Arial" w:eastAsia="Arial" w:hAnsi="Arial"/>
          <w:sz w:val="16"/>
          <w:szCs w:val="16"/>
          <w:u w:val="single" w:color="auto"/>
          <w:color w:val="auto"/>
        </w:rPr>
        <w:t>Credit Agreement Forbearance Agreement</w:t>
      </w:r>
      <w:r>
        <w:rPr>
          <w:rFonts w:ascii="Arial" w:cs="Arial" w:eastAsia="Arial" w:hAnsi="Arial"/>
          <w:sz w:val="16"/>
          <w:szCs w:val="16"/>
          <w:color w:val="auto"/>
        </w:rPr>
        <w:t>”) with respect to certain defaults under the Credit Agreement. Specifically, under the Credit Agreement Forbearance Agreement, the Credit Agreement Lenders agreed to forbear from exercising their rights and remedies available to them due to the Specified Defaults (as defined in the Credit Agreement Forbearance Agreement), including the right to accelerate any indebtedness, for a specified period of time. Under the terms of the Credit Agreement Forbearance Agreement, the Company will pay a fee for the ratable account of the Credit Agreement Lenders in an amount equal to 0.25% on the outstanding principal amount of the loans and total letter of credit exposure under the Credit Agreement, with such fee due and payable on the effective date of the Credit Agreement Forbearance Agreement. Additionally, (i) to the extent such entities are not currently guarantors under the Credit Agreement, all subsidiaries of the Company who will be guarantors under the DIP Facility (as defined below) will join as guarantors under the Credit Agreement and (ii) all U.S. and Canadian subsidiaries of the Company will grant a second lien security interest in favor of the Credit Agreement Lenders in the same assets that such U.S. and Canadian subsidiaries are pledging a first lien security interest in under the DIP Facility; provided that the aggregate amount of the guaranteed obligations to be secured under the Credit Agreement shall not exceed $100,000,000; and provided, further, that if the obligations under the Credit Agreement are not paid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 xml:space="preserve">in full by November 30, 2019, such security interest of the Credit Agreement Lenders shall automatically transition from second liens to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liens with the liens under the DIP Facility.</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On July 1, 2019, the Company and the lenders (the “</w:t>
      </w:r>
      <w:r>
        <w:rPr>
          <w:rFonts w:ascii="Arial" w:cs="Arial" w:eastAsia="Arial" w:hAnsi="Arial"/>
          <w:sz w:val="16"/>
          <w:szCs w:val="16"/>
          <w:u w:val="single" w:color="auto"/>
          <w:color w:val="auto"/>
        </w:rPr>
        <w:t>Term Loan Lenders</w:t>
      </w:r>
      <w:r>
        <w:rPr>
          <w:rFonts w:ascii="Arial" w:cs="Arial" w:eastAsia="Arial" w:hAnsi="Arial"/>
          <w:sz w:val="16"/>
          <w:szCs w:val="16"/>
          <w:color w:val="auto"/>
        </w:rPr>
        <w:t>”) under the Term Loan (as defined below) entered into a forbearance agreement (the “</w:t>
      </w:r>
      <w:r>
        <w:rPr>
          <w:rFonts w:ascii="Arial" w:cs="Arial" w:eastAsia="Arial" w:hAnsi="Arial"/>
          <w:sz w:val="16"/>
          <w:szCs w:val="16"/>
          <w:u w:val="single" w:color="auto"/>
          <w:color w:val="auto"/>
        </w:rPr>
        <w:t>Term Loan Forbearance Agreement</w:t>
      </w:r>
      <w:r>
        <w:rPr>
          <w:rFonts w:ascii="Arial" w:cs="Arial" w:eastAsia="Arial" w:hAnsi="Arial"/>
          <w:sz w:val="16"/>
          <w:szCs w:val="16"/>
          <w:color w:val="auto"/>
        </w:rPr>
        <w:t>”) with respect to certain defaults under the Term Loan. Specifically, under the Term Loan Forbearance Agreement, the Term Loan Lenders agreed to forbear from exercising their rights and remedies available to them due to the Specified Defaults (as defined in the Term Loan Forbearance Agreement), including the right to accelerate any indebtedness, for a specified period of time.</w:t>
      </w:r>
    </w:p>
    <w:p>
      <w:pPr>
        <w:spacing w:after="0" w:line="15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July 1, 2019, the Company and the lenders (the “</w:t>
      </w:r>
      <w:r>
        <w:rPr>
          <w:rFonts w:ascii="Arial" w:cs="Arial" w:eastAsia="Arial" w:hAnsi="Arial"/>
          <w:sz w:val="16"/>
          <w:szCs w:val="16"/>
          <w:u w:val="single" w:color="auto"/>
          <w:color w:val="auto"/>
        </w:rPr>
        <w:t>364-Day Lenders</w:t>
      </w:r>
      <w:r>
        <w:rPr>
          <w:rFonts w:ascii="Arial" w:cs="Arial" w:eastAsia="Arial" w:hAnsi="Arial"/>
          <w:sz w:val="16"/>
          <w:szCs w:val="16"/>
          <w:color w:val="auto"/>
        </w:rPr>
        <w:t>”) under the 364-Day Credit Agreement (as defined below) entered into a forbearance agreement (the “</w:t>
      </w:r>
      <w:r>
        <w:rPr>
          <w:rFonts w:ascii="Arial" w:cs="Arial" w:eastAsia="Arial" w:hAnsi="Arial"/>
          <w:sz w:val="16"/>
          <w:szCs w:val="16"/>
          <w:u w:val="single" w:color="auto"/>
          <w:color w:val="auto"/>
        </w:rPr>
        <w:t>364-Day Forbearance Agreement</w:t>
      </w:r>
      <w:r>
        <w:rPr>
          <w:rFonts w:ascii="Arial" w:cs="Arial" w:eastAsia="Arial" w:hAnsi="Arial"/>
          <w:sz w:val="16"/>
          <w:szCs w:val="16"/>
          <w:color w:val="auto"/>
        </w:rPr>
        <w:t>”) with respect to certain defaults under the 364-Day Credit Agreement. Specifically, under the 364-Day Forbearance Agreement, the 364-Day Lenders agreed to forbear from exercising their rights and remedies available to them due to the Specified Defaults (as defined in the 364-Day Forbearance Agreement), including the right to accelerate any indebtedness, for a specified period of time.</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July 1, 2019, the Weatherford Parties and three lenders (the “Swap Counterparties”) each party to a hedging agreement with Weatherford International Ltd.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(as defined in the Swap Agreements) for a specified period of time.</w:t>
      </w:r>
    </w:p>
    <w:p>
      <w:pPr>
        <w:spacing w:after="0" w:line="15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 foregoing descriptions of the Credit Agreement Forbearance Agreement, the Term Loan Forbearance Agreement, the 364-Day Forbearance Agreement and the Swap Forbearance Agreement do not purport to be complete and are qualified in their entirety by the full text of the Credit Agreement Forbearance Agreement, the Term Loan Forbearance Agreement, the 364-Day Forbearance Agreement and the Swap Forbearance Agreement, copies of which are filed as Exhibit 10.3, Exhibit 10.4, Exhibit 10.5 and Exhibit 10.6, respectively, to this Current Report on Form 8-K and are incorporated by reference in this Item 1.01.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1.03</w:t>
      </w:r>
      <w:r>
        <w:rPr>
          <w:sz w:val="20"/>
          <w:szCs w:val="20"/>
          <w:color w:val="auto"/>
        </w:rPr>
        <w:tab/>
      </w:r>
      <w:r>
        <w:rPr>
          <w:rFonts w:ascii="Arial" w:cs="Arial" w:eastAsia="Arial" w:hAnsi="Arial"/>
          <w:sz w:val="16"/>
          <w:szCs w:val="16"/>
          <w:b w:val="1"/>
          <w:bCs w:val="1"/>
          <w:color w:val="auto"/>
        </w:rPr>
        <w:t>Bankruptcy or Receivership.</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July 1, 2019, the Weatherford Parties commenced voluntary cases under the Bankruptcy Code in the Bankruptcy Court (the “</w:t>
      </w:r>
      <w:r>
        <w:rPr>
          <w:rFonts w:ascii="Arial" w:cs="Arial" w:eastAsia="Arial" w:hAnsi="Arial"/>
          <w:sz w:val="18"/>
          <w:szCs w:val="18"/>
          <w:u w:val="single" w:color="auto"/>
          <w:color w:val="auto"/>
        </w:rPr>
        <w:t>Cases</w:t>
      </w:r>
      <w:r>
        <w:rPr>
          <w:rFonts w:ascii="Arial" w:cs="Arial" w:eastAsia="Arial" w:hAnsi="Arial"/>
          <w:sz w:val="18"/>
          <w:szCs w:val="18"/>
          <w:color w:val="auto"/>
        </w:rPr>
        <w:t>”) and filed the Plan with the Bankruptcy Court.</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previously disclosed, on June 28, 2019, the Company commenced a solicitation to seek acceptance of the Plan by certain of the Company’s creditors. The Company expects the solicitation period to end on August 1, 2019. Copies of the Plan, then in effect, and the disclosure statement related to the solicitation were furnished as Exhibit 99.1 to the Company’s Current Report on Form 8-K filed on June 28, 2019.</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The Company has filed a motion with the Bankruptcy Court seeking joint administration of the Cases under the caption </w:t>
      </w:r>
      <w:r>
        <w:rPr>
          <w:rFonts w:ascii="Arial" w:cs="Arial" w:eastAsia="Arial" w:hAnsi="Arial"/>
          <w:sz w:val="17"/>
          <w:szCs w:val="17"/>
          <w:i w:val="1"/>
          <w:iCs w:val="1"/>
          <w:color w:val="auto"/>
        </w:rPr>
        <w:t>In re Weatherford</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plc, et al</w:t>
      </w:r>
      <w:r>
        <w:rPr>
          <w:rFonts w:ascii="Arial" w:cs="Arial" w:eastAsia="Arial" w:hAnsi="Arial"/>
          <w:sz w:val="17"/>
          <w:szCs w:val="17"/>
          <w:color w:val="auto"/>
        </w:rPr>
        <w:t>. The Company will continue to operate its businesses as “debtors-in-possession” under the jurisdiction of the Bankruptcy Court and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applicable provisions of the Bankruptcy Code and orders of the Bankruptcy Court. The Plan and requested first day relief anticipate that vendors and other unsecured creditors who continue to work with the Company on existing terms will be paid in full and in the ordinary course of business. All existing customer and vendor contracts are expected to remain in place and be serviced in the ordinary course of business.</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Additional information about the Cases may be obtained by visiting http://www.primeclerk.com/Weatherford or by calling 844-233-5155 (Toll Free) or 917-942-6392 (International).</w:t>
      </w:r>
    </w:p>
    <w:p>
      <w:pPr>
        <w:spacing w:after="0" w:line="166"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Item 2.04 Triggering Events that Accelerate or Increase a Direct Financial Obligation or an Obligation Under an Off-Balance Sheet Arrangement.</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filing of the Cases described above in Item 1.03 constitutes an event of default that accelerated the Company’s obligations under the following debt instruments (the “</w:t>
      </w:r>
      <w:r>
        <w:rPr>
          <w:rFonts w:ascii="Arial" w:cs="Arial" w:eastAsia="Arial" w:hAnsi="Arial"/>
          <w:sz w:val="18"/>
          <w:szCs w:val="18"/>
          <w:u w:val="single" w:color="auto"/>
          <w:color w:val="auto"/>
        </w:rPr>
        <w:t>Debt Instruments</w:t>
      </w:r>
      <w:r>
        <w:rPr>
          <w:rFonts w:ascii="Arial" w:cs="Arial" w:eastAsia="Arial" w:hAnsi="Arial"/>
          <w:sz w:val="18"/>
          <w:szCs w:val="18"/>
          <w:color w:val="auto"/>
        </w:rPr>
        <w:t>”):</w:t>
      </w:r>
    </w:p>
    <w:p>
      <w:pPr>
        <w:spacing w:after="0" w:line="170" w:lineRule="exact"/>
        <w:rPr>
          <w:sz w:val="20"/>
          <w:szCs w:val="20"/>
          <w:color w:val="auto"/>
        </w:rPr>
      </w:pPr>
    </w:p>
    <w:p>
      <w:pPr>
        <w:jc w:val="both"/>
        <w:ind w:left="1060" w:right="440" w:hanging="323"/>
        <w:spacing w:after="0" w:line="264" w:lineRule="auto"/>
        <w:tabs>
          <w:tab w:leader="none" w:pos="10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Term Loan Agreement, dated May 4, 2016, by and among Weatherford International Ltd., Weatherford International plc, JPMorgan Chase Bank, N.A. and the lenders party thereto from time to time (as amended, supplemented or otherwise modified prior to the date hereof, the “</w:t>
      </w:r>
      <w:r>
        <w:rPr>
          <w:rFonts w:ascii="Arial" w:cs="Arial" w:eastAsia="Arial" w:hAnsi="Arial"/>
          <w:sz w:val="18"/>
          <w:szCs w:val="18"/>
          <w:u w:val="single" w:color="auto"/>
          <w:color w:val="auto"/>
        </w:rPr>
        <w:t>Term Loan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60" w:right="300" w:hanging="323"/>
        <w:spacing w:after="0" w:line="264" w:lineRule="auto"/>
        <w:tabs>
          <w:tab w:leader="none" w:pos="1024" w:val="left"/>
        </w:tabs>
        <w:numPr>
          <w:ilvl w:val="0"/>
          <w:numId w:val="1"/>
        </w:numPr>
        <w:rPr>
          <w:rFonts w:ascii="Arial" w:cs="Arial" w:eastAsia="Arial" w:hAnsi="Arial"/>
          <w:sz w:val="18"/>
          <w:szCs w:val="18"/>
          <w:color w:val="auto"/>
        </w:rPr>
      </w:pPr>
      <w:r>
        <w:rPr>
          <w:rFonts w:ascii="Arial" w:cs="Arial" w:eastAsia="Arial" w:hAnsi="Arial"/>
          <w:sz w:val="18"/>
          <w:szCs w:val="18"/>
          <w:color w:val="auto"/>
        </w:rPr>
        <w:t>364-Day Revolving Credit Agreement, dated August 16, 2018, by and among Weatherford International Ltd., Weatherford International plc, JPMorgan Chase Bank, N.A., Morgan Stanley Senior Funding, Inc. as collateral agent, and the lenders party thereto from time to time (the “</w:t>
      </w:r>
      <w:r>
        <w:rPr>
          <w:rFonts w:ascii="Arial" w:cs="Arial" w:eastAsia="Arial" w:hAnsi="Arial"/>
          <w:sz w:val="18"/>
          <w:szCs w:val="18"/>
          <w:u w:val="single" w:color="auto"/>
          <w:color w:val="auto"/>
        </w:rPr>
        <w:t>364-Day Credit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60" w:right="40" w:hanging="323"/>
        <w:spacing w:after="0" w:line="286" w:lineRule="auto"/>
        <w:tabs>
          <w:tab w:leader="none" w:pos="1024" w:val="left"/>
        </w:tabs>
        <w:numPr>
          <w:ilvl w:val="0"/>
          <w:numId w:val="1"/>
        </w:numPr>
        <w:rPr>
          <w:rFonts w:ascii="Arial" w:cs="Arial" w:eastAsia="Arial" w:hAnsi="Arial"/>
          <w:sz w:val="17"/>
          <w:szCs w:val="17"/>
          <w:color w:val="auto"/>
        </w:rPr>
      </w:pPr>
      <w:r>
        <w:rPr>
          <w:rFonts w:ascii="Arial" w:cs="Arial" w:eastAsia="Arial" w:hAnsi="Arial"/>
          <w:sz w:val="17"/>
          <w:szCs w:val="17"/>
          <w:color w:val="auto"/>
        </w:rPr>
        <w:t>Amended and Restated Credit Agreement, dated May 9, 2016, by and among Weatherford International Ltd., WOFS Assurance Limited, Weatherford International plc, by and among the other borrowers party thereto, JPMorgan Chase Bank, N.A. and the lenders party thereto from time to time (as amended, supplemented or otherwise modified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ind w:left="1060" w:right="200" w:hanging="323"/>
        <w:spacing w:after="0" w:line="264" w:lineRule="auto"/>
        <w:tabs>
          <w:tab w:leader="none" w:pos="1024" w:val="left"/>
        </w:tabs>
        <w:numPr>
          <w:ilvl w:val="0"/>
          <w:numId w:val="2"/>
        </w:numPr>
        <w:rPr>
          <w:rFonts w:ascii="Arial" w:cs="Arial" w:eastAsia="Arial" w:hAnsi="Arial"/>
          <w:sz w:val="18"/>
          <w:szCs w:val="18"/>
          <w:color w:val="auto"/>
        </w:rPr>
      </w:pPr>
      <w:r>
        <w:rPr>
          <w:rFonts w:ascii="Arial" w:cs="Arial" w:eastAsia="Arial" w:hAnsi="Arial"/>
          <w:sz w:val="18"/>
          <w:szCs w:val="18"/>
          <w:color w:val="auto"/>
        </w:rPr>
        <w:t>5.125% Senior Notes due 2020, issued under that certain Indenture, dated as of October 1, 2003, by and among the Weatherford Parties and Deutsche Bank Trust Company Americas, as indenture trustee, as amended, restated, modified, supplemented, or replaced from time to time (the “</w:t>
      </w:r>
      <w:r>
        <w:rPr>
          <w:rFonts w:ascii="Arial" w:cs="Arial" w:eastAsia="Arial" w:hAnsi="Arial"/>
          <w:sz w:val="18"/>
          <w:szCs w:val="18"/>
          <w:u w:val="single" w:color="auto"/>
          <w:color w:val="auto"/>
        </w:rPr>
        <w:t>Bermuda Indenture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5.875% Senior Notes due 2021,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7.75% Senior Notes due 2021,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 Senior Notes due 2022,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8.25% Senior Notes due 2023,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9.875% Senior Notes due 2024, issued under the Bermuda Indenture</w:t>
      </w:r>
    </w:p>
    <w:p>
      <w:pPr>
        <w:spacing w:after="0" w:line="225" w:lineRule="exact"/>
        <w:rPr>
          <w:rFonts w:ascii="Arial" w:cs="Arial" w:eastAsia="Arial" w:hAnsi="Arial"/>
          <w:sz w:val="18"/>
          <w:szCs w:val="18"/>
          <w:color w:val="auto"/>
        </w:rPr>
      </w:pPr>
    </w:p>
    <w:p>
      <w:pPr>
        <w:ind w:left="1060" w:right="200" w:hanging="323"/>
        <w:spacing w:after="0" w:line="264" w:lineRule="auto"/>
        <w:tabs>
          <w:tab w:leader="none" w:pos="1024" w:val="left"/>
        </w:tabs>
        <w:numPr>
          <w:ilvl w:val="0"/>
          <w:numId w:val="2"/>
        </w:numPr>
        <w:rPr>
          <w:rFonts w:ascii="Arial" w:cs="Arial" w:eastAsia="Arial" w:hAnsi="Arial"/>
          <w:sz w:val="18"/>
          <w:szCs w:val="18"/>
          <w:color w:val="auto"/>
        </w:rPr>
      </w:pPr>
      <w:r>
        <w:rPr>
          <w:rFonts w:ascii="Arial" w:cs="Arial" w:eastAsia="Arial" w:hAnsi="Arial"/>
          <w:sz w:val="18"/>
          <w:szCs w:val="18"/>
          <w:color w:val="auto"/>
        </w:rPr>
        <w:t>9.875% Senior Notes due 2025, issued under that certain Indenture, dated as of June 18, 2007 by and among the Weatherford Parties and Deutsche Bank Trust Company Americas, as indenture trustee, as amended, restated, modified, supplemented, or replaced from time to time (the “</w:t>
      </w:r>
      <w:r>
        <w:rPr>
          <w:rFonts w:ascii="Arial" w:cs="Arial" w:eastAsia="Arial" w:hAnsi="Arial"/>
          <w:sz w:val="18"/>
          <w:szCs w:val="18"/>
          <w:u w:val="single" w:color="auto"/>
          <w:color w:val="auto"/>
        </w:rPr>
        <w:t>Delaware Indenture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6.50% Senior Notes due 2036,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6.80% Senior Notes due 2037, issued under the Delaware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7.00% Senior Notes due 2038,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9.875% Senior Notes due 2039,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6.75% Senior Notes due 2040, issued under the Bermuda Indenture</w:t>
      </w:r>
    </w:p>
    <w:p>
      <w:pPr>
        <w:spacing w:after="0" w:line="225" w:lineRule="exact"/>
        <w:rPr>
          <w:rFonts w:ascii="Arial" w:cs="Arial" w:eastAsia="Arial" w:hAnsi="Arial"/>
          <w:sz w:val="18"/>
          <w:szCs w:val="18"/>
          <w:color w:val="auto"/>
        </w:rPr>
      </w:pPr>
    </w:p>
    <w:p>
      <w:pPr>
        <w:ind w:left="1020" w:hanging="28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5.95% Senior Notes due 2042, issued under the Bermuda Indenture</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Debt Instruments provide that, as a result of the Cases, the principal and interest due thereunder shall be immediately due and payable. Any efforts to enforce such payment obligations under the Debt Instruments are automatically stayed as a result of the Cases, and the creditors’ rights of enforcement in respect of the Debt Instruments are subject to the applicable provisions of the Bankruptcy Code.</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have entered into amendments to the Change in Control Agreements that we previously entered into with our executive officers, including the named executive officers. The amendments will be effective as of the date of the Company’s emergence from bankruptcy and clarify certain provisions in light of the filing of the Cases, which will constitute a Change in Control under the agreements. The definition of Good Reason triggered by a reduction in compensation and benefits was modified to specifically refer to a reduction in total annual target direct compensation, which is defined as the sum of annual base salary, annual short term incentive opportunity at target and annual long-term incentive opportunity at target, and for 2019 would include target short-term incentives paid under the Company’s 2019 Executive Bonus Plan and any cash retention award paid pursuant to the retention award letters entered into with the executive officers in 2019. The amendments also provide that the amount of bonus used to determine severance, which is otherwise based on a three-year average of bonuses paid, will not include 2019 or any such amounts paid under the Company’s 2019 Executive Bonus Plan. Finally, the amendments clarify that any prorated bonus paid under the Change in Control Agreement would be without duplication of any amounts paid under the Company’s 2019 Executive Bonus Plan.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connection with the filing of the Cases, the Company issued a press release on July 1, 2019, a copy of which is attached as Exhibit 99.1 to this Current Report on Form 8-K.</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or the Exchange Act, whether made before or after the date hereof and regardless of any general incorporation language in such filings, except to the extent expressly set forth by specific reference in such a filing.</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July 1, 2019, the Company received commitments from lenders for a $1,750 million senior secured superpriority debtor-in-possession credit agreement with revolving loan and term loan facilities thereunder (the “</w:t>
      </w:r>
      <w:r>
        <w:rPr>
          <w:rFonts w:ascii="Arial" w:cs="Arial" w:eastAsia="Arial" w:hAnsi="Arial"/>
          <w:sz w:val="18"/>
          <w:szCs w:val="18"/>
          <w:u w:val="single" w:color="auto"/>
          <w:color w:val="auto"/>
        </w:rPr>
        <w:t>DIP Facility</w:t>
      </w:r>
      <w:r>
        <w:rPr>
          <w:rFonts w:ascii="Arial" w:cs="Arial" w:eastAsia="Arial" w:hAnsi="Arial"/>
          <w:sz w:val="18"/>
          <w:szCs w:val="18"/>
          <w:color w:val="auto"/>
        </w:rPr>
        <w:t>”). Subject to approval by the Court, the proceeds of the DIP Facility will be used to repay amounts outstanding under the Term Loan and 364-Day Credit Agreement, to cash collateralize certain outstanding letters of credit, to pay fees and expenses in connection with the Cases and transactional and professional fees related thereto and for ordinary course working capital. The closing of the DIP Facility is contingent on the satisfaction of customary conditions, including receipt of an order by the Court approving the borrowings under the DIP Facility.</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 w:name="page5"/>
    <w:bookmarkEnd w:id="4"/>
    <w:p>
      <w:pPr>
        <w:ind w:right="80" w:firstLine="648"/>
        <w:spacing w:after="0" w:line="284" w:lineRule="auto"/>
        <w:rPr>
          <w:sz w:val="20"/>
          <w:szCs w:val="20"/>
          <w:color w:val="auto"/>
        </w:rPr>
      </w:pPr>
      <w:r>
        <w:rPr>
          <w:rFonts w:ascii="Arial" w:cs="Arial" w:eastAsia="Arial" w:hAnsi="Arial"/>
          <w:sz w:val="16"/>
          <w:szCs w:val="16"/>
          <w:color w:val="auto"/>
        </w:rPr>
        <w:t>Certain statements in this Current Report on Form 8-K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other filings with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the Plan in accordance with the terms of the RSA; risks attendant to the bankruptcy process, including our ability to obtain court approvals with respect to motions filed in the Cases, the outcomes of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the Plan; restrictions on us due to the terms of any debtor-in-possession credit facility that we will enter into in connection with the Cases and restrictions imposed by the applicable courts;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20" w:hanging="793"/>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60" w:type="dxa"/>
            <w:vAlign w:val="bottom"/>
            <w:vMerge w:val="restart"/>
          </w:tcPr>
          <w:p>
            <w:pPr>
              <w:jc w:val="right"/>
              <w:ind w:right="4288"/>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Backstop Commitment Agreement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RSA Amendment</w:t>
              </w:r>
            </w:hyperlink>
          </w:p>
        </w:tc>
        <w:tc>
          <w:tcPr>
            <w:tcW w:w="1220" w:type="dxa"/>
            <w:vAlign w:val="bottom"/>
            <w:tcBorders>
              <w:top w:val="single" w:sz="8" w:color="0000EE"/>
            </w:tcBorders>
            <w:gridSpan w:val="2"/>
          </w:tcPr>
          <w:p>
            <w:pPr>
              <w:spacing w:after="0"/>
              <w:rPr>
                <w:sz w:val="24"/>
                <w:szCs w:val="24"/>
                <w:color w:val="auto"/>
              </w:rPr>
            </w:pPr>
          </w:p>
        </w:tc>
        <w:tc>
          <w:tcPr>
            <w:tcW w:w="742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Credit Agreement Forbearance Agreement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3060" w:type="dxa"/>
            <w:vAlign w:val="bottom"/>
            <w:tcBorders>
              <w:top w:val="single" w:sz="8" w:color="0000EE"/>
            </w:tcBorders>
            <w:gridSpan w:val="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Term Loan Forbearance Agreement</w:t>
              </w:r>
            </w:hyperlink>
          </w:p>
        </w:tc>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rFonts w:ascii="Arial" w:cs="Arial" w:eastAsia="Arial" w:hAnsi="Arial"/>
                <w:sz w:val="18"/>
                <w:szCs w:val="18"/>
                <w:color w:val="0000EE"/>
                <w:w w:val="94"/>
              </w:rPr>
            </w:pPr>
            <w:hyperlink w:anchor="page175">
              <w:r>
                <w:rPr>
                  <w:rFonts w:ascii="Arial" w:cs="Arial" w:eastAsia="Arial" w:hAnsi="Arial"/>
                  <w:sz w:val="18"/>
                  <w:szCs w:val="18"/>
                  <w:color w:val="0000EE"/>
                  <w:w w:val="94"/>
                </w:rPr>
                <w:t>364-Day Forbearance Agreement</w:t>
              </w:r>
            </w:hyperlink>
          </w:p>
        </w:tc>
        <w:tc>
          <w:tcPr>
            <w:tcW w:w="73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01">
              <w:r>
                <w:rPr>
                  <w:rFonts w:ascii="Arial" w:cs="Arial" w:eastAsia="Arial" w:hAnsi="Arial"/>
                  <w:sz w:val="18"/>
                  <w:szCs w:val="18"/>
                  <w:color w:val="0000EE"/>
                  <w:w w:val="88"/>
                </w:rPr>
                <w:t>Swap Agreement Forbearance Agreement</w:t>
              </w:r>
            </w:hyperlink>
          </w:p>
        </w:tc>
        <w:tc>
          <w:tcPr>
            <w:tcW w:w="69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right"/>
              <w:ind w:right="334"/>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Press Release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940" w:type="dxa"/>
            <w:vAlign w:val="bottom"/>
            <w:gridSpan w:val="7"/>
          </w:tcPr>
          <w:p>
            <w:pPr>
              <w:jc w:val="right"/>
              <w:ind w:right="5588"/>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vMerge w:val="restart"/>
          </w:tcPr>
          <w:p>
            <w:pPr>
              <w:spacing w:after="0"/>
              <w:rPr>
                <w:sz w:val="20"/>
                <w:szCs w:val="20"/>
                <w:color w:val="auto"/>
              </w:rPr>
            </w:pPr>
            <w:r>
              <w:rPr>
                <w:rFonts w:ascii="Arial" w:cs="Arial" w:eastAsia="Arial" w:hAnsi="Arial"/>
                <w:sz w:val="18"/>
                <w:szCs w:val="18"/>
                <w:color w:val="auto"/>
              </w:rPr>
              <w:t>Date: July 1, 2019</w:t>
            </w:r>
          </w:p>
        </w:tc>
        <w:tc>
          <w:tcPr>
            <w:tcW w:w="510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vMerge w:val="continue"/>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320" w:type="dxa"/>
            <w:vAlign w:val="bottom"/>
          </w:tcPr>
          <w:p>
            <w:pPr>
              <w:ind w:left="57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M. Ibrahim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Christina M. Ibrahim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57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w w:val="91"/>
              </w:rPr>
              <w:t>Executive Vice President, General Counsel, Chief Compliance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and Corporate 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5660"/>
              <w:spacing w:after="0"/>
              <w:rPr>
                <w:sz w:val="20"/>
                <w:szCs w:val="20"/>
                <w:color w:val="auto"/>
              </w:rPr>
            </w:pPr>
            <w:r>
              <w:rPr>
                <w:rFonts w:ascii="Arial" w:cs="Arial" w:eastAsia="Arial" w:hAnsi="Arial"/>
                <w:sz w:val="18"/>
                <w:szCs w:val="18"/>
                <w:color w:val="auto"/>
              </w:rPr>
              <w:t>6</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BACKSTOP COMMITMENT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OTHER DEBTORS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THE COMMITMENT PARTIES PARTY HERETO</w:t>
      </w:r>
    </w:p>
    <w:p>
      <w:pPr>
        <w:spacing w:after="0" w:line="23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July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381635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8520" w:type="dxa"/>
            <w:vAlign w:val="bottom"/>
          </w:tcPr>
          <w:p>
            <w:pPr>
              <w:ind w:left="3040"/>
              <w:spacing w:after="0"/>
              <w:rPr>
                <w:sz w:val="20"/>
                <w:szCs w:val="20"/>
                <w:color w:val="auto"/>
              </w:rPr>
            </w:pPr>
            <w:r>
              <w:rPr>
                <w:rFonts w:ascii="Arial" w:cs="Arial" w:eastAsia="Arial" w:hAnsi="Arial"/>
                <w:sz w:val="18"/>
                <w:szCs w:val="18"/>
                <w:color w:val="auto"/>
              </w:rPr>
              <w:t>TABLE OF CONTENTS</w:t>
            </w:r>
          </w:p>
        </w:tc>
        <w:tc>
          <w:tcPr>
            <w:tcW w:w="1140" w:type="dxa"/>
            <w:vAlign w:val="bottom"/>
          </w:tcPr>
          <w:p>
            <w:pPr>
              <w:spacing w:after="0"/>
              <w:rPr>
                <w:sz w:val="20"/>
                <w:szCs w:val="20"/>
                <w:color w:val="auto"/>
              </w:rPr>
            </w:pPr>
          </w:p>
        </w:tc>
      </w:tr>
      <w:tr>
        <w:trPr>
          <w:trHeight w:val="365"/>
        </w:trPr>
        <w:tc>
          <w:tcPr>
            <w:tcW w:w="17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1.1</w:t>
            </w:r>
          </w:p>
        </w:tc>
        <w:tc>
          <w:tcPr>
            <w:tcW w:w="852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1.2</w:t>
            </w:r>
          </w:p>
        </w:tc>
        <w:tc>
          <w:tcPr>
            <w:tcW w:w="852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 BACKSTOP COMMITMENT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2.1</w:t>
            </w:r>
          </w:p>
        </w:tc>
        <w:tc>
          <w:tcPr>
            <w:tcW w:w="8520" w:type="dxa"/>
            <w:vAlign w:val="bottom"/>
          </w:tcPr>
          <w:p>
            <w:pPr>
              <w:ind w:left="320"/>
              <w:spacing w:after="0"/>
              <w:rPr>
                <w:sz w:val="20"/>
                <w:szCs w:val="20"/>
                <w:color w:val="auto"/>
              </w:rPr>
            </w:pPr>
            <w:r>
              <w:rPr>
                <w:rFonts w:ascii="Arial" w:cs="Arial" w:eastAsia="Arial" w:hAnsi="Arial"/>
                <w:sz w:val="18"/>
                <w:szCs w:val="18"/>
                <w:color w:val="auto"/>
              </w:rPr>
              <w:t>The Rights Offering; Subscription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2.2</w:t>
            </w:r>
          </w:p>
        </w:tc>
        <w:tc>
          <w:tcPr>
            <w:tcW w:w="8520" w:type="dxa"/>
            <w:vAlign w:val="bottom"/>
          </w:tcPr>
          <w:p>
            <w:pPr>
              <w:ind w:left="320"/>
              <w:spacing w:after="0"/>
              <w:rPr>
                <w:sz w:val="20"/>
                <w:szCs w:val="20"/>
                <w:color w:val="auto"/>
              </w:rPr>
            </w:pPr>
            <w:r>
              <w:rPr>
                <w:rFonts w:ascii="Arial" w:cs="Arial" w:eastAsia="Arial" w:hAnsi="Arial"/>
                <w:sz w:val="18"/>
                <w:szCs w:val="18"/>
                <w:color w:val="auto"/>
              </w:rPr>
              <w:t>The Commitment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2.3</w:t>
            </w:r>
          </w:p>
        </w:tc>
        <w:tc>
          <w:tcPr>
            <w:tcW w:w="8520" w:type="dxa"/>
            <w:vAlign w:val="bottom"/>
          </w:tcPr>
          <w:p>
            <w:pPr>
              <w:ind w:left="320"/>
              <w:spacing w:after="0"/>
              <w:rPr>
                <w:sz w:val="20"/>
                <w:szCs w:val="20"/>
                <w:color w:val="auto"/>
              </w:rPr>
            </w:pPr>
            <w:r>
              <w:rPr>
                <w:rFonts w:ascii="Arial" w:cs="Arial" w:eastAsia="Arial" w:hAnsi="Arial"/>
                <w:sz w:val="18"/>
                <w:szCs w:val="18"/>
                <w:color w:val="auto"/>
              </w:rPr>
              <w:t>Commitment Party Default; Replacement of Defaulting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2.4</w:t>
            </w:r>
          </w:p>
        </w:tc>
        <w:tc>
          <w:tcPr>
            <w:tcW w:w="8520" w:type="dxa"/>
            <w:vAlign w:val="bottom"/>
          </w:tcPr>
          <w:p>
            <w:pPr>
              <w:ind w:left="320"/>
              <w:spacing w:after="0"/>
              <w:rPr>
                <w:sz w:val="20"/>
                <w:szCs w:val="20"/>
                <w:color w:val="auto"/>
              </w:rPr>
            </w:pPr>
            <w:r>
              <w:rPr>
                <w:rFonts w:ascii="Arial" w:cs="Arial" w:eastAsia="Arial" w:hAnsi="Arial"/>
                <w:sz w:val="18"/>
                <w:szCs w:val="18"/>
                <w:color w:val="auto"/>
              </w:rPr>
              <w:t>Assignment of Commitment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2.5</w:t>
            </w:r>
          </w:p>
        </w:tc>
        <w:tc>
          <w:tcPr>
            <w:tcW w:w="8520" w:type="dxa"/>
            <w:vAlign w:val="bottom"/>
          </w:tcPr>
          <w:p>
            <w:pPr>
              <w:ind w:left="320"/>
              <w:spacing w:after="0"/>
              <w:rPr>
                <w:sz w:val="20"/>
                <w:szCs w:val="20"/>
                <w:color w:val="auto"/>
              </w:rPr>
            </w:pPr>
            <w:r>
              <w:rPr>
                <w:rFonts w:ascii="Arial" w:cs="Arial" w:eastAsia="Arial" w:hAnsi="Arial"/>
                <w:sz w:val="18"/>
                <w:szCs w:val="18"/>
                <w:color w:val="auto"/>
              </w:rPr>
              <w:t>Escrow Account Funding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2.6</w:t>
            </w:r>
          </w:p>
        </w:tc>
        <w:tc>
          <w:tcPr>
            <w:tcW w:w="8520" w:type="dxa"/>
            <w:vAlign w:val="bottom"/>
          </w:tcPr>
          <w:p>
            <w:pPr>
              <w:ind w:left="320"/>
              <w:spacing w:after="0"/>
              <w:rPr>
                <w:sz w:val="20"/>
                <w:szCs w:val="20"/>
                <w:color w:val="auto"/>
              </w:rPr>
            </w:pPr>
            <w:r>
              <w:rPr>
                <w:rFonts w:ascii="Arial" w:cs="Arial" w:eastAsia="Arial" w:hAnsi="Arial"/>
                <w:sz w:val="18"/>
                <w:szCs w:val="18"/>
                <w:color w:val="auto"/>
              </w:rPr>
              <w:t>Closing</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III BACKSTOP COMMITMENT PAYMENT AND EXPENSE REIMBURSEMENT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3.1</w:t>
            </w:r>
          </w:p>
        </w:tc>
        <w:tc>
          <w:tcPr>
            <w:tcW w:w="8520" w:type="dxa"/>
            <w:vAlign w:val="bottom"/>
          </w:tcPr>
          <w:p>
            <w:pPr>
              <w:ind w:left="320"/>
              <w:spacing w:after="0"/>
              <w:rPr>
                <w:sz w:val="20"/>
                <w:szCs w:val="20"/>
                <w:color w:val="auto"/>
              </w:rPr>
            </w:pPr>
            <w:r>
              <w:rPr>
                <w:rFonts w:ascii="Arial" w:cs="Arial" w:eastAsia="Arial" w:hAnsi="Arial"/>
                <w:sz w:val="18"/>
                <w:szCs w:val="18"/>
                <w:color w:val="auto"/>
              </w:rPr>
              <w:t>Amount Payable by the Debtors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3.2</w:t>
            </w:r>
          </w:p>
        </w:tc>
        <w:tc>
          <w:tcPr>
            <w:tcW w:w="8520" w:type="dxa"/>
            <w:vAlign w:val="bottom"/>
          </w:tcPr>
          <w:p>
            <w:pPr>
              <w:ind w:left="320"/>
              <w:spacing w:after="0"/>
              <w:rPr>
                <w:sz w:val="20"/>
                <w:szCs w:val="20"/>
                <w:color w:val="auto"/>
              </w:rPr>
            </w:pPr>
            <w:r>
              <w:rPr>
                <w:rFonts w:ascii="Arial" w:cs="Arial" w:eastAsia="Arial" w:hAnsi="Arial"/>
                <w:sz w:val="18"/>
                <w:szCs w:val="18"/>
                <w:color w:val="auto"/>
              </w:rPr>
              <w:t>Expense Reimbursement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THE DEBTORS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4.1</w:t>
            </w:r>
          </w:p>
        </w:tc>
        <w:tc>
          <w:tcPr>
            <w:tcW w:w="8520" w:type="dxa"/>
            <w:vAlign w:val="bottom"/>
          </w:tcPr>
          <w:p>
            <w:pPr>
              <w:ind w:left="320"/>
              <w:spacing w:after="0"/>
              <w:rPr>
                <w:sz w:val="20"/>
                <w:szCs w:val="20"/>
                <w:color w:val="auto"/>
              </w:rPr>
            </w:pPr>
            <w:r>
              <w:rPr>
                <w:rFonts w:ascii="Arial" w:cs="Arial" w:eastAsia="Arial" w:hAnsi="Arial"/>
                <w:sz w:val="18"/>
                <w:szCs w:val="18"/>
                <w:color w:val="auto"/>
              </w:rPr>
              <w:t>Organization and Qualification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w:t>
            </w:r>
          </w:p>
        </w:tc>
        <w:tc>
          <w:tcPr>
            <w:tcW w:w="8520" w:type="dxa"/>
            <w:vAlign w:val="bottom"/>
          </w:tcPr>
          <w:p>
            <w:pPr>
              <w:ind w:left="320"/>
              <w:spacing w:after="0"/>
              <w:rPr>
                <w:sz w:val="20"/>
                <w:szCs w:val="20"/>
                <w:color w:val="auto"/>
              </w:rPr>
            </w:pPr>
            <w:r>
              <w:rPr>
                <w:rFonts w:ascii="Arial" w:cs="Arial" w:eastAsia="Arial" w:hAnsi="Arial"/>
                <w:sz w:val="18"/>
                <w:szCs w:val="18"/>
                <w:color w:val="auto"/>
              </w:rPr>
              <w:t>Corporate Power and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4.3</w:t>
            </w:r>
          </w:p>
        </w:tc>
        <w:tc>
          <w:tcPr>
            <w:tcW w:w="8520" w:type="dxa"/>
            <w:vAlign w:val="bottom"/>
          </w:tcPr>
          <w:p>
            <w:pPr>
              <w:ind w:left="320"/>
              <w:spacing w:after="0"/>
              <w:rPr>
                <w:sz w:val="20"/>
                <w:szCs w:val="20"/>
                <w:color w:val="auto"/>
              </w:rPr>
            </w:pPr>
            <w:r>
              <w:rPr>
                <w:rFonts w:ascii="Arial" w:cs="Arial" w:eastAsia="Arial" w:hAnsi="Arial"/>
                <w:sz w:val="18"/>
                <w:szCs w:val="18"/>
                <w:color w:val="auto"/>
              </w:rPr>
              <w:t>Execution and Delivery; Enforceability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4.4</w:t>
            </w:r>
          </w:p>
        </w:tc>
        <w:tc>
          <w:tcPr>
            <w:tcW w:w="8520" w:type="dxa"/>
            <w:vAlign w:val="bottom"/>
          </w:tcPr>
          <w:p>
            <w:pPr>
              <w:ind w:left="320"/>
              <w:spacing w:after="0"/>
              <w:rPr>
                <w:sz w:val="20"/>
                <w:szCs w:val="20"/>
                <w:color w:val="auto"/>
              </w:rPr>
            </w:pPr>
            <w:r>
              <w:rPr>
                <w:rFonts w:ascii="Arial" w:cs="Arial" w:eastAsia="Arial" w:hAnsi="Arial"/>
                <w:sz w:val="18"/>
                <w:szCs w:val="18"/>
                <w:color w:val="auto"/>
              </w:rPr>
              <w:t>Authorized and Issued Equity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4.5</w:t>
            </w:r>
          </w:p>
        </w:tc>
        <w:tc>
          <w:tcPr>
            <w:tcW w:w="8520" w:type="dxa"/>
            <w:vAlign w:val="bottom"/>
          </w:tcPr>
          <w:p>
            <w:pPr>
              <w:ind w:left="320"/>
              <w:spacing w:after="0"/>
              <w:rPr>
                <w:sz w:val="20"/>
                <w:szCs w:val="20"/>
                <w:color w:val="auto"/>
              </w:rPr>
            </w:pPr>
            <w:r>
              <w:rPr>
                <w:rFonts w:ascii="Arial" w:cs="Arial" w:eastAsia="Arial" w:hAnsi="Arial"/>
                <w:sz w:val="18"/>
                <w:szCs w:val="18"/>
                <w:color w:val="auto"/>
              </w:rPr>
              <w:t>Rights Offering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4.6</w:t>
            </w:r>
          </w:p>
        </w:tc>
        <w:tc>
          <w:tcPr>
            <w:tcW w:w="8520" w:type="dxa"/>
            <w:vAlign w:val="bottom"/>
          </w:tcPr>
          <w:p>
            <w:pPr>
              <w:ind w:left="320"/>
              <w:spacing w:after="0"/>
              <w:rPr>
                <w:sz w:val="20"/>
                <w:szCs w:val="20"/>
                <w:color w:val="auto"/>
              </w:rPr>
            </w:pPr>
            <w:r>
              <w:rPr>
                <w:rFonts w:ascii="Arial" w:cs="Arial" w:eastAsia="Arial" w:hAnsi="Arial"/>
                <w:sz w:val="18"/>
                <w:szCs w:val="18"/>
                <w:color w:val="auto"/>
              </w:rPr>
              <w:t>No Conflict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4.7</w:t>
            </w:r>
          </w:p>
        </w:tc>
        <w:tc>
          <w:tcPr>
            <w:tcW w:w="8520" w:type="dxa"/>
            <w:vAlign w:val="bottom"/>
          </w:tcPr>
          <w:p>
            <w:pPr>
              <w:ind w:left="320"/>
              <w:spacing w:after="0"/>
              <w:rPr>
                <w:sz w:val="20"/>
                <w:szCs w:val="20"/>
                <w:color w:val="auto"/>
              </w:rPr>
            </w:pPr>
            <w:r>
              <w:rPr>
                <w:rFonts w:ascii="Arial" w:cs="Arial" w:eastAsia="Arial" w:hAnsi="Arial"/>
                <w:sz w:val="18"/>
                <w:szCs w:val="18"/>
                <w:color w:val="auto"/>
              </w:rPr>
              <w:t>Consents and Approvals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4.8</w:t>
            </w:r>
          </w:p>
        </w:tc>
        <w:tc>
          <w:tcPr>
            <w:tcW w:w="8520" w:type="dxa"/>
            <w:vAlign w:val="bottom"/>
          </w:tcPr>
          <w:p>
            <w:pPr>
              <w:ind w:left="320"/>
              <w:spacing w:after="0"/>
              <w:rPr>
                <w:sz w:val="20"/>
                <w:szCs w:val="20"/>
                <w:color w:val="auto"/>
              </w:rPr>
            </w:pPr>
            <w:r>
              <w:rPr>
                <w:rFonts w:ascii="Arial" w:cs="Arial" w:eastAsia="Arial" w:hAnsi="Arial"/>
                <w:sz w:val="18"/>
                <w:szCs w:val="18"/>
                <w:color w:val="auto"/>
              </w:rPr>
              <w:t>Arm’s-Length</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4.9</w:t>
            </w:r>
          </w:p>
        </w:tc>
        <w:tc>
          <w:tcPr>
            <w:tcW w:w="85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4.10</w:t>
            </w:r>
          </w:p>
        </w:tc>
        <w:tc>
          <w:tcPr>
            <w:tcW w:w="8520" w:type="dxa"/>
            <w:vAlign w:val="bottom"/>
          </w:tcPr>
          <w:p>
            <w:pPr>
              <w:ind w:left="320"/>
              <w:spacing w:after="0"/>
              <w:rPr>
                <w:sz w:val="20"/>
                <w:szCs w:val="20"/>
                <w:color w:val="auto"/>
              </w:rPr>
            </w:pPr>
            <w:r>
              <w:rPr>
                <w:rFonts w:ascii="Arial" w:cs="Arial" w:eastAsia="Arial" w:hAnsi="Arial"/>
                <w:sz w:val="18"/>
                <w:szCs w:val="18"/>
                <w:color w:val="auto"/>
              </w:rPr>
              <w:t>Company SEC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4.11</w:t>
            </w:r>
          </w:p>
        </w:tc>
        <w:tc>
          <w:tcPr>
            <w:tcW w:w="852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4.12</w:t>
            </w:r>
          </w:p>
        </w:tc>
        <w:tc>
          <w:tcPr>
            <w:tcW w:w="8520" w:type="dxa"/>
            <w:vAlign w:val="bottom"/>
          </w:tcPr>
          <w:p>
            <w:pPr>
              <w:ind w:left="320"/>
              <w:spacing w:after="0"/>
              <w:rPr>
                <w:sz w:val="20"/>
                <w:szCs w:val="20"/>
                <w:color w:val="auto"/>
              </w:rPr>
            </w:pPr>
            <w:r>
              <w:rPr>
                <w:rFonts w:ascii="Arial" w:cs="Arial" w:eastAsia="Arial" w:hAnsi="Arial"/>
                <w:sz w:val="18"/>
                <w:szCs w:val="18"/>
                <w:color w:val="auto"/>
              </w:rPr>
              <w:t>No Violation; Compliance with Laws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4.13</w:t>
            </w:r>
          </w:p>
        </w:tc>
        <w:tc>
          <w:tcPr>
            <w:tcW w:w="852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4.14</w:t>
            </w:r>
          </w:p>
        </w:tc>
        <w:tc>
          <w:tcPr>
            <w:tcW w:w="8520" w:type="dxa"/>
            <w:vAlign w:val="bottom"/>
          </w:tcPr>
          <w:p>
            <w:pPr>
              <w:ind w:left="320"/>
              <w:spacing w:after="0"/>
              <w:rPr>
                <w:sz w:val="20"/>
                <w:szCs w:val="20"/>
                <w:color w:val="auto"/>
              </w:rPr>
            </w:pPr>
            <w:r>
              <w:rPr>
                <w:rFonts w:ascii="Arial" w:cs="Arial" w:eastAsia="Arial" w:hAnsi="Arial"/>
                <w:sz w:val="18"/>
                <w:szCs w:val="18"/>
                <w:color w:val="auto"/>
              </w:rPr>
              <w:t>Labor Relations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4.15</w:t>
            </w:r>
          </w:p>
        </w:tc>
        <w:tc>
          <w:tcPr>
            <w:tcW w:w="852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4.16</w:t>
            </w:r>
          </w:p>
        </w:tc>
        <w:tc>
          <w:tcPr>
            <w:tcW w:w="8520" w:type="dxa"/>
            <w:vAlign w:val="bottom"/>
          </w:tcPr>
          <w:p>
            <w:pPr>
              <w:ind w:left="320"/>
              <w:spacing w:after="0"/>
              <w:rPr>
                <w:sz w:val="20"/>
                <w:szCs w:val="20"/>
                <w:color w:val="auto"/>
              </w:rPr>
            </w:pPr>
            <w:r>
              <w:rPr>
                <w:rFonts w:ascii="Arial" w:cs="Arial" w:eastAsia="Arial" w:hAnsi="Arial"/>
                <w:sz w:val="18"/>
                <w:szCs w:val="18"/>
                <w:color w:val="auto"/>
              </w:rPr>
              <w:t>Real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4.17</w:t>
            </w:r>
          </w:p>
        </w:tc>
        <w:tc>
          <w:tcPr>
            <w:tcW w:w="8520" w:type="dxa"/>
            <w:vAlign w:val="bottom"/>
          </w:tcPr>
          <w:p>
            <w:pPr>
              <w:ind w:left="320"/>
              <w:spacing w:after="0"/>
              <w:rPr>
                <w:sz w:val="20"/>
                <w:szCs w:val="20"/>
                <w:color w:val="auto"/>
              </w:rPr>
            </w:pPr>
            <w:r>
              <w:rPr>
                <w:rFonts w:ascii="Arial" w:cs="Arial" w:eastAsia="Arial" w:hAnsi="Arial"/>
                <w:sz w:val="18"/>
                <w:szCs w:val="18"/>
                <w:color w:val="auto"/>
              </w:rPr>
              <w:t>No Undisclosed Relationships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4.18</w:t>
            </w:r>
          </w:p>
        </w:tc>
        <w:tc>
          <w:tcPr>
            <w:tcW w:w="8520" w:type="dxa"/>
            <w:vAlign w:val="bottom"/>
          </w:tcPr>
          <w:p>
            <w:pPr>
              <w:ind w:left="320"/>
              <w:spacing w:after="0"/>
              <w:rPr>
                <w:sz w:val="20"/>
                <w:szCs w:val="20"/>
                <w:color w:val="auto"/>
              </w:rPr>
            </w:pPr>
            <w:r>
              <w:rPr>
                <w:rFonts w:ascii="Arial" w:cs="Arial" w:eastAsia="Arial" w:hAnsi="Arial"/>
                <w:sz w:val="18"/>
                <w:szCs w:val="18"/>
                <w:color w:val="auto"/>
              </w:rPr>
              <w:t>Licenses and Permits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4.19</w:t>
            </w:r>
          </w:p>
        </w:tc>
        <w:tc>
          <w:tcPr>
            <w:tcW w:w="8520" w:type="dxa"/>
            <w:vAlign w:val="bottom"/>
          </w:tcPr>
          <w:p>
            <w:pPr>
              <w:ind w:left="320"/>
              <w:spacing w:after="0"/>
              <w:rPr>
                <w:sz w:val="20"/>
                <w:szCs w:val="20"/>
                <w:color w:val="auto"/>
              </w:rPr>
            </w:pPr>
            <w:r>
              <w:rPr>
                <w:rFonts w:ascii="Arial" w:cs="Arial" w:eastAsia="Arial" w:hAnsi="Arial"/>
                <w:sz w:val="18"/>
                <w:szCs w:val="18"/>
                <w:color w:val="auto"/>
              </w:rPr>
              <w:t>Environmental</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4.20</w:t>
            </w:r>
          </w:p>
        </w:tc>
        <w:tc>
          <w:tcPr>
            <w:tcW w:w="8520" w:type="dxa"/>
            <w:vAlign w:val="bottom"/>
          </w:tcPr>
          <w:p>
            <w:pPr>
              <w:ind w:left="320"/>
              <w:spacing w:after="0"/>
              <w:rPr>
                <w:sz w:val="20"/>
                <w:szCs w:val="20"/>
                <w:color w:val="auto"/>
              </w:rPr>
            </w:pPr>
            <w:r>
              <w:rPr>
                <w:rFonts w:ascii="Arial" w:cs="Arial" w:eastAsia="Arial" w:hAnsi="Arial"/>
                <w:sz w:val="18"/>
                <w:szCs w:val="18"/>
                <w:color w:val="auto"/>
              </w:rPr>
              <w:t>Taxes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4.21</w:t>
            </w:r>
          </w:p>
        </w:tc>
        <w:tc>
          <w:tcPr>
            <w:tcW w:w="8520" w:type="dxa"/>
            <w:vAlign w:val="bottom"/>
          </w:tcPr>
          <w:p>
            <w:pPr>
              <w:ind w:left="320"/>
              <w:spacing w:after="0"/>
              <w:rPr>
                <w:sz w:val="20"/>
                <w:szCs w:val="20"/>
                <w:color w:val="auto"/>
              </w:rPr>
            </w:pPr>
            <w:r>
              <w:rPr>
                <w:rFonts w:ascii="Arial" w:cs="Arial" w:eastAsia="Arial" w:hAnsi="Arial"/>
                <w:sz w:val="18"/>
                <w:szCs w:val="18"/>
                <w:color w:val="auto"/>
              </w:rPr>
              <w:t>Employee Benefit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4.22</w:t>
            </w:r>
          </w:p>
        </w:tc>
        <w:tc>
          <w:tcPr>
            <w:tcW w:w="8520" w:type="dxa"/>
            <w:vAlign w:val="bottom"/>
          </w:tcPr>
          <w:p>
            <w:pPr>
              <w:ind w:left="320"/>
              <w:spacing w:after="0"/>
              <w:rPr>
                <w:sz w:val="20"/>
                <w:szCs w:val="20"/>
                <w:color w:val="auto"/>
              </w:rPr>
            </w:pPr>
            <w:r>
              <w:rPr>
                <w:rFonts w:ascii="Arial" w:cs="Arial" w:eastAsia="Arial" w:hAnsi="Arial"/>
                <w:sz w:val="18"/>
                <w:szCs w:val="18"/>
                <w:color w:val="auto"/>
              </w:rPr>
              <w:t>Internal Control Over Financial Reporting</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4.23</w:t>
            </w:r>
          </w:p>
        </w:tc>
        <w:tc>
          <w:tcPr>
            <w:tcW w:w="8520" w:type="dxa"/>
            <w:vAlign w:val="bottom"/>
          </w:tcPr>
          <w:p>
            <w:pPr>
              <w:ind w:left="320"/>
              <w:spacing w:after="0"/>
              <w:rPr>
                <w:sz w:val="20"/>
                <w:szCs w:val="20"/>
                <w:color w:val="auto"/>
              </w:rPr>
            </w:pPr>
            <w:r>
              <w:rPr>
                <w:rFonts w:ascii="Arial" w:cs="Arial" w:eastAsia="Arial" w:hAnsi="Arial"/>
                <w:sz w:val="18"/>
                <w:szCs w:val="18"/>
                <w:color w:val="auto"/>
              </w:rPr>
              <w:t>Disclosure Controls and Procedures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4.24</w:t>
            </w:r>
          </w:p>
        </w:tc>
        <w:tc>
          <w:tcPr>
            <w:tcW w:w="852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4.25</w:t>
            </w:r>
          </w:p>
        </w:tc>
        <w:tc>
          <w:tcPr>
            <w:tcW w:w="8520" w:type="dxa"/>
            <w:vAlign w:val="bottom"/>
          </w:tcPr>
          <w:p>
            <w:pPr>
              <w:ind w:left="320"/>
              <w:spacing w:after="0"/>
              <w:rPr>
                <w:sz w:val="20"/>
                <w:szCs w:val="20"/>
                <w:color w:val="auto"/>
              </w:rPr>
            </w:pPr>
            <w:r>
              <w:rPr>
                <w:rFonts w:ascii="Arial" w:cs="Arial" w:eastAsia="Arial" w:hAnsi="Arial"/>
                <w:sz w:val="18"/>
                <w:szCs w:val="18"/>
                <w:color w:val="auto"/>
              </w:rPr>
              <w:t>No Unlawful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4.26</w:t>
            </w:r>
          </w:p>
        </w:tc>
        <w:tc>
          <w:tcPr>
            <w:tcW w:w="8520" w:type="dxa"/>
            <w:vAlign w:val="bottom"/>
          </w:tcPr>
          <w:p>
            <w:pPr>
              <w:ind w:left="320"/>
              <w:spacing w:after="0"/>
              <w:rPr>
                <w:sz w:val="20"/>
                <w:szCs w:val="20"/>
                <w:color w:val="auto"/>
              </w:rPr>
            </w:pPr>
            <w:r>
              <w:rPr>
                <w:rFonts w:ascii="Arial" w:cs="Arial" w:eastAsia="Arial" w:hAnsi="Arial"/>
                <w:sz w:val="18"/>
                <w:szCs w:val="18"/>
                <w:color w:val="auto"/>
              </w:rPr>
              <w:t>Compliance with Money Laundering and Sanctions Laws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TABLE OF CONTENTS (cont’d)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11"/>
        </w:trPr>
        <w:tc>
          <w:tcPr>
            <w:tcW w:w="1760" w:type="dxa"/>
            <w:vAlign w:val="bottom"/>
          </w:tcPr>
          <w:p>
            <w:pPr>
              <w:ind w:left="520"/>
              <w:spacing w:after="0"/>
              <w:rPr>
                <w:sz w:val="20"/>
                <w:szCs w:val="20"/>
                <w:color w:val="auto"/>
              </w:rPr>
            </w:pPr>
            <w:r>
              <w:rPr>
                <w:rFonts w:ascii="Arial" w:cs="Arial" w:eastAsia="Arial" w:hAnsi="Arial"/>
                <w:sz w:val="18"/>
                <w:szCs w:val="18"/>
                <w:color w:val="auto"/>
              </w:rPr>
              <w:t>Section 4.27</w:t>
            </w:r>
          </w:p>
        </w:tc>
        <w:tc>
          <w:tcPr>
            <w:tcW w:w="8520" w:type="dxa"/>
            <w:vAlign w:val="bottom"/>
          </w:tcPr>
          <w:p>
            <w:pPr>
              <w:ind w:left="320"/>
              <w:spacing w:after="0"/>
              <w:rPr>
                <w:sz w:val="20"/>
                <w:szCs w:val="20"/>
                <w:color w:val="auto"/>
              </w:rPr>
            </w:pPr>
            <w:r>
              <w:rPr>
                <w:rFonts w:ascii="Arial" w:cs="Arial" w:eastAsia="Arial" w:hAnsi="Arial"/>
                <w:sz w:val="18"/>
                <w:szCs w:val="18"/>
                <w:color w:val="auto"/>
              </w:rPr>
              <w:t>No Broker’s Fees</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4.28</w:t>
            </w:r>
          </w:p>
        </w:tc>
        <w:tc>
          <w:tcPr>
            <w:tcW w:w="8520" w:type="dxa"/>
            <w:vAlign w:val="bottom"/>
          </w:tcPr>
          <w:p>
            <w:pPr>
              <w:ind w:left="320"/>
              <w:spacing w:after="0"/>
              <w:rPr>
                <w:sz w:val="20"/>
                <w:szCs w:val="20"/>
                <w:color w:val="auto"/>
              </w:rPr>
            </w:pPr>
            <w:r>
              <w:rPr>
                <w:rFonts w:ascii="Arial" w:cs="Arial" w:eastAsia="Arial" w:hAnsi="Arial"/>
                <w:sz w:val="18"/>
                <w:szCs w:val="18"/>
                <w:color w:val="auto"/>
              </w:rPr>
              <w:t>Investment Company Act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4.29</w:t>
            </w:r>
          </w:p>
        </w:tc>
        <w:tc>
          <w:tcPr>
            <w:tcW w:w="852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THE COMMITMENT PARTIES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5.1</w:t>
            </w:r>
          </w:p>
        </w:tc>
        <w:tc>
          <w:tcPr>
            <w:tcW w:w="8520" w:type="dxa"/>
            <w:vAlign w:val="bottom"/>
          </w:tcPr>
          <w:p>
            <w:pPr>
              <w:ind w:left="320"/>
              <w:spacing w:after="0"/>
              <w:rPr>
                <w:sz w:val="20"/>
                <w:szCs w:val="20"/>
                <w:color w:val="auto"/>
              </w:rPr>
            </w:pPr>
            <w:r>
              <w:rPr>
                <w:rFonts w:ascii="Arial" w:cs="Arial" w:eastAsia="Arial" w:hAnsi="Arial"/>
                <w:sz w:val="18"/>
                <w:szCs w:val="18"/>
                <w:color w:val="auto"/>
              </w:rPr>
              <w:t>Organization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5.2</w:t>
            </w:r>
          </w:p>
        </w:tc>
        <w:tc>
          <w:tcPr>
            <w:tcW w:w="8520" w:type="dxa"/>
            <w:vAlign w:val="bottom"/>
          </w:tcPr>
          <w:p>
            <w:pPr>
              <w:ind w:left="320"/>
              <w:spacing w:after="0"/>
              <w:rPr>
                <w:sz w:val="20"/>
                <w:szCs w:val="20"/>
                <w:color w:val="auto"/>
              </w:rPr>
            </w:pPr>
            <w:r>
              <w:rPr>
                <w:rFonts w:ascii="Arial" w:cs="Arial" w:eastAsia="Arial" w:hAnsi="Arial"/>
                <w:sz w:val="18"/>
                <w:szCs w:val="18"/>
                <w:color w:val="auto"/>
              </w:rPr>
              <w:t>Organizational Power and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5.3</w:t>
            </w:r>
          </w:p>
        </w:tc>
        <w:tc>
          <w:tcPr>
            <w:tcW w:w="8520" w:type="dxa"/>
            <w:vAlign w:val="bottom"/>
          </w:tcPr>
          <w:p>
            <w:pPr>
              <w:ind w:left="320"/>
              <w:spacing w:after="0"/>
              <w:rPr>
                <w:sz w:val="20"/>
                <w:szCs w:val="20"/>
                <w:color w:val="auto"/>
              </w:rPr>
            </w:pPr>
            <w:r>
              <w:rPr>
                <w:rFonts w:ascii="Arial" w:cs="Arial" w:eastAsia="Arial" w:hAnsi="Arial"/>
                <w:sz w:val="18"/>
                <w:szCs w:val="18"/>
                <w:color w:val="auto"/>
              </w:rPr>
              <w:t>Execution and Delivery</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5.4</w:t>
            </w:r>
          </w:p>
        </w:tc>
        <w:tc>
          <w:tcPr>
            <w:tcW w:w="8520" w:type="dxa"/>
            <w:vAlign w:val="bottom"/>
          </w:tcPr>
          <w:p>
            <w:pPr>
              <w:ind w:left="320"/>
              <w:spacing w:after="0"/>
              <w:rPr>
                <w:sz w:val="20"/>
                <w:szCs w:val="20"/>
                <w:color w:val="auto"/>
              </w:rPr>
            </w:pPr>
            <w:r>
              <w:rPr>
                <w:rFonts w:ascii="Arial" w:cs="Arial" w:eastAsia="Arial" w:hAnsi="Arial"/>
                <w:sz w:val="18"/>
                <w:szCs w:val="18"/>
                <w:color w:val="auto"/>
              </w:rPr>
              <w:t>No Conflict</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5.5</w:t>
            </w:r>
          </w:p>
        </w:tc>
        <w:tc>
          <w:tcPr>
            <w:tcW w:w="8520" w:type="dxa"/>
            <w:vAlign w:val="bottom"/>
          </w:tcPr>
          <w:p>
            <w:pPr>
              <w:ind w:left="320"/>
              <w:spacing w:after="0"/>
              <w:rPr>
                <w:sz w:val="20"/>
                <w:szCs w:val="20"/>
                <w:color w:val="auto"/>
              </w:rPr>
            </w:pPr>
            <w:r>
              <w:rPr>
                <w:rFonts w:ascii="Arial" w:cs="Arial" w:eastAsia="Arial" w:hAnsi="Arial"/>
                <w:sz w:val="18"/>
                <w:szCs w:val="18"/>
                <w:color w:val="auto"/>
              </w:rPr>
              <w:t>Consents and Approvals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5.6</w:t>
            </w:r>
          </w:p>
        </w:tc>
        <w:tc>
          <w:tcPr>
            <w:tcW w:w="8520" w:type="dxa"/>
            <w:vAlign w:val="bottom"/>
          </w:tcPr>
          <w:p>
            <w:pPr>
              <w:ind w:left="320"/>
              <w:spacing w:after="0"/>
              <w:rPr>
                <w:sz w:val="20"/>
                <w:szCs w:val="20"/>
                <w:color w:val="auto"/>
              </w:rPr>
            </w:pPr>
            <w:r>
              <w:rPr>
                <w:rFonts w:ascii="Arial" w:cs="Arial" w:eastAsia="Arial" w:hAnsi="Arial"/>
                <w:sz w:val="18"/>
                <w:szCs w:val="18"/>
                <w:color w:val="auto"/>
              </w:rPr>
              <w:t>No Registration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5.7</w:t>
            </w:r>
          </w:p>
        </w:tc>
        <w:tc>
          <w:tcPr>
            <w:tcW w:w="8520" w:type="dxa"/>
            <w:vAlign w:val="bottom"/>
          </w:tcPr>
          <w:p>
            <w:pPr>
              <w:ind w:left="320"/>
              <w:spacing w:after="0"/>
              <w:rPr>
                <w:sz w:val="20"/>
                <w:szCs w:val="20"/>
                <w:color w:val="auto"/>
              </w:rPr>
            </w:pPr>
            <w:r>
              <w:rPr>
                <w:rFonts w:ascii="Arial" w:cs="Arial" w:eastAsia="Arial" w:hAnsi="Arial"/>
                <w:sz w:val="18"/>
                <w:szCs w:val="18"/>
                <w:color w:val="auto"/>
              </w:rPr>
              <w:t>Purchasing Intent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5.8</w:t>
            </w:r>
          </w:p>
        </w:tc>
        <w:tc>
          <w:tcPr>
            <w:tcW w:w="8520" w:type="dxa"/>
            <w:vAlign w:val="bottom"/>
          </w:tcPr>
          <w:p>
            <w:pPr>
              <w:ind w:left="320"/>
              <w:spacing w:after="0"/>
              <w:rPr>
                <w:sz w:val="20"/>
                <w:szCs w:val="20"/>
                <w:color w:val="auto"/>
              </w:rPr>
            </w:pPr>
            <w:r>
              <w:rPr>
                <w:rFonts w:ascii="Arial" w:cs="Arial" w:eastAsia="Arial" w:hAnsi="Arial"/>
                <w:sz w:val="18"/>
                <w:szCs w:val="18"/>
                <w:color w:val="auto"/>
              </w:rPr>
              <w:t>Sophistication; Investigation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5.9</w:t>
            </w:r>
          </w:p>
        </w:tc>
        <w:tc>
          <w:tcPr>
            <w:tcW w:w="8520" w:type="dxa"/>
            <w:vAlign w:val="bottom"/>
          </w:tcPr>
          <w:p>
            <w:pPr>
              <w:ind w:left="320"/>
              <w:spacing w:after="0"/>
              <w:rPr>
                <w:sz w:val="20"/>
                <w:szCs w:val="20"/>
                <w:color w:val="auto"/>
              </w:rPr>
            </w:pPr>
            <w:r>
              <w:rPr>
                <w:rFonts w:ascii="Arial" w:cs="Arial" w:eastAsia="Arial" w:hAnsi="Arial"/>
                <w:sz w:val="18"/>
                <w:szCs w:val="18"/>
                <w:color w:val="auto"/>
              </w:rPr>
              <w:t>No Broker’s Fees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5.10</w:t>
            </w:r>
          </w:p>
        </w:tc>
        <w:tc>
          <w:tcPr>
            <w:tcW w:w="8520" w:type="dxa"/>
            <w:vAlign w:val="bottom"/>
          </w:tcPr>
          <w:p>
            <w:pPr>
              <w:ind w:left="320"/>
              <w:spacing w:after="0"/>
              <w:rPr>
                <w:sz w:val="20"/>
                <w:szCs w:val="20"/>
                <w:color w:val="auto"/>
              </w:rPr>
            </w:pPr>
            <w:r>
              <w:rPr>
                <w:rFonts w:ascii="Arial" w:cs="Arial" w:eastAsia="Arial" w:hAnsi="Arial"/>
                <w:sz w:val="18"/>
                <w:szCs w:val="18"/>
                <w:color w:val="auto"/>
              </w:rPr>
              <w:t>Sufficient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5.11</w:t>
            </w:r>
          </w:p>
        </w:tc>
        <w:tc>
          <w:tcPr>
            <w:tcW w:w="8520" w:type="dxa"/>
            <w:vAlign w:val="bottom"/>
          </w:tcPr>
          <w:p>
            <w:pPr>
              <w:ind w:left="320"/>
              <w:spacing w:after="0"/>
              <w:rPr>
                <w:sz w:val="20"/>
                <w:szCs w:val="20"/>
                <w:color w:val="auto"/>
              </w:rPr>
            </w:pPr>
            <w:r>
              <w:rPr>
                <w:rFonts w:ascii="Arial" w:cs="Arial" w:eastAsia="Arial" w:hAnsi="Arial"/>
                <w:sz w:val="18"/>
                <w:szCs w:val="18"/>
                <w:color w:val="auto"/>
              </w:rPr>
              <w:t>Additional Securities Law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 ADDITIONAL COVENANTS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6.1</w:t>
            </w:r>
          </w:p>
        </w:tc>
        <w:tc>
          <w:tcPr>
            <w:tcW w:w="8520" w:type="dxa"/>
            <w:vAlign w:val="bottom"/>
          </w:tcPr>
          <w:p>
            <w:pPr>
              <w:ind w:left="320"/>
              <w:spacing w:after="0"/>
              <w:rPr>
                <w:sz w:val="20"/>
                <w:szCs w:val="20"/>
                <w:color w:val="auto"/>
              </w:rPr>
            </w:pPr>
            <w:r>
              <w:rPr>
                <w:rFonts w:ascii="Arial" w:cs="Arial" w:eastAsia="Arial" w:hAnsi="Arial"/>
                <w:sz w:val="18"/>
                <w:szCs w:val="18"/>
                <w:color w:val="auto"/>
              </w:rPr>
              <w:t>Confirmation Order; Plan and Disclosure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6.2</w:t>
            </w:r>
          </w:p>
        </w:tc>
        <w:tc>
          <w:tcPr>
            <w:tcW w:w="8520" w:type="dxa"/>
            <w:vAlign w:val="bottom"/>
          </w:tcPr>
          <w:p>
            <w:pPr>
              <w:ind w:left="320"/>
              <w:spacing w:after="0"/>
              <w:rPr>
                <w:sz w:val="20"/>
                <w:szCs w:val="20"/>
                <w:color w:val="auto"/>
              </w:rPr>
            </w:pPr>
            <w:r>
              <w:rPr>
                <w:rFonts w:ascii="Arial" w:cs="Arial" w:eastAsia="Arial" w:hAnsi="Arial"/>
                <w:sz w:val="18"/>
                <w:szCs w:val="18"/>
                <w:color w:val="auto"/>
              </w:rPr>
              <w:t>Reasonable Best Efforts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6.3</w:t>
            </w:r>
          </w:p>
        </w:tc>
        <w:tc>
          <w:tcPr>
            <w:tcW w:w="8520" w:type="dxa"/>
            <w:vAlign w:val="bottom"/>
          </w:tcPr>
          <w:p>
            <w:pPr>
              <w:ind w:left="320"/>
              <w:spacing w:after="0"/>
              <w:rPr>
                <w:sz w:val="20"/>
                <w:szCs w:val="20"/>
                <w:color w:val="auto"/>
              </w:rPr>
            </w:pPr>
            <w:r>
              <w:rPr>
                <w:rFonts w:ascii="Arial" w:cs="Arial" w:eastAsia="Arial" w:hAnsi="Arial"/>
                <w:sz w:val="18"/>
                <w:szCs w:val="18"/>
                <w:color w:val="auto"/>
              </w:rPr>
              <w:t>Blue Sky</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6.4</w:t>
            </w:r>
          </w:p>
        </w:tc>
        <w:tc>
          <w:tcPr>
            <w:tcW w:w="852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6.5</w:t>
            </w:r>
          </w:p>
        </w:tc>
        <w:tc>
          <w:tcPr>
            <w:tcW w:w="8520" w:type="dxa"/>
            <w:vAlign w:val="bottom"/>
          </w:tcPr>
          <w:p>
            <w:pPr>
              <w:ind w:left="320"/>
              <w:spacing w:after="0"/>
              <w:rPr>
                <w:sz w:val="20"/>
                <w:szCs w:val="20"/>
                <w:color w:val="auto"/>
              </w:rPr>
            </w:pPr>
            <w:r>
              <w:rPr>
                <w:rFonts w:ascii="Arial" w:cs="Arial" w:eastAsia="Arial" w:hAnsi="Arial"/>
                <w:sz w:val="18"/>
                <w:szCs w:val="18"/>
                <w:color w:val="auto"/>
              </w:rPr>
              <w:t>Unsubscribed Notes Legend</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6.6</w:t>
            </w:r>
          </w:p>
        </w:tc>
        <w:tc>
          <w:tcPr>
            <w:tcW w:w="8520" w:type="dxa"/>
            <w:vAlign w:val="bottom"/>
          </w:tcPr>
          <w:p>
            <w:pPr>
              <w:ind w:left="320"/>
              <w:spacing w:after="0"/>
              <w:rPr>
                <w:sz w:val="20"/>
                <w:szCs w:val="20"/>
                <w:color w:val="auto"/>
              </w:rPr>
            </w:pPr>
            <w:r>
              <w:rPr>
                <w:rFonts w:ascii="Arial" w:cs="Arial" w:eastAsia="Arial" w:hAnsi="Arial"/>
                <w:sz w:val="18"/>
                <w:szCs w:val="18"/>
                <w:color w:val="auto"/>
              </w:rPr>
              <w:t>Commitment Party Termination; Replacement of Terminating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VII CONDITIONS TO THE OBLIGATIONS OF THE PARTIES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7.1</w:t>
            </w:r>
          </w:p>
        </w:tc>
        <w:tc>
          <w:tcPr>
            <w:tcW w:w="8520" w:type="dxa"/>
            <w:vAlign w:val="bottom"/>
          </w:tcPr>
          <w:p>
            <w:pPr>
              <w:ind w:left="320"/>
              <w:spacing w:after="0"/>
              <w:rPr>
                <w:sz w:val="20"/>
                <w:szCs w:val="20"/>
                <w:color w:val="auto"/>
              </w:rPr>
            </w:pPr>
            <w:r>
              <w:rPr>
                <w:rFonts w:ascii="Arial" w:cs="Arial" w:eastAsia="Arial" w:hAnsi="Arial"/>
                <w:sz w:val="18"/>
                <w:szCs w:val="18"/>
                <w:color w:val="auto"/>
              </w:rPr>
              <w:t>Conditions to the Obligations of the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7.2</w:t>
            </w:r>
          </w:p>
        </w:tc>
        <w:tc>
          <w:tcPr>
            <w:tcW w:w="8520" w:type="dxa"/>
            <w:vAlign w:val="bottom"/>
          </w:tcPr>
          <w:p>
            <w:pPr>
              <w:ind w:left="320"/>
              <w:spacing w:after="0"/>
              <w:rPr>
                <w:sz w:val="20"/>
                <w:szCs w:val="20"/>
                <w:color w:val="auto"/>
              </w:rPr>
            </w:pPr>
            <w:r>
              <w:rPr>
                <w:rFonts w:ascii="Arial" w:cs="Arial" w:eastAsia="Arial" w:hAnsi="Arial"/>
                <w:sz w:val="18"/>
                <w:szCs w:val="18"/>
                <w:color w:val="auto"/>
              </w:rPr>
              <w:t>Waiver of Conditions to Obligations of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7.3</w:t>
            </w:r>
          </w:p>
        </w:tc>
        <w:tc>
          <w:tcPr>
            <w:tcW w:w="8520" w:type="dxa"/>
            <w:vAlign w:val="bottom"/>
          </w:tcPr>
          <w:p>
            <w:pPr>
              <w:ind w:left="320"/>
              <w:spacing w:after="0"/>
              <w:rPr>
                <w:sz w:val="20"/>
                <w:szCs w:val="20"/>
                <w:color w:val="auto"/>
              </w:rPr>
            </w:pPr>
            <w:r>
              <w:rPr>
                <w:rFonts w:ascii="Arial" w:cs="Arial" w:eastAsia="Arial" w:hAnsi="Arial"/>
                <w:sz w:val="18"/>
                <w:szCs w:val="18"/>
                <w:color w:val="auto"/>
              </w:rPr>
              <w:t>Conditions to the Obligations of the Debtors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VIII INDEMNIFICATION AND CONTRIBUTION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8.1</w:t>
            </w:r>
          </w:p>
        </w:tc>
        <w:tc>
          <w:tcPr>
            <w:tcW w:w="8520" w:type="dxa"/>
            <w:vAlign w:val="bottom"/>
          </w:tcPr>
          <w:p>
            <w:pPr>
              <w:ind w:left="320"/>
              <w:spacing w:after="0"/>
              <w:rPr>
                <w:sz w:val="20"/>
                <w:szCs w:val="20"/>
                <w:color w:val="auto"/>
              </w:rPr>
            </w:pPr>
            <w:r>
              <w:rPr>
                <w:rFonts w:ascii="Arial" w:cs="Arial" w:eastAsia="Arial" w:hAnsi="Arial"/>
                <w:sz w:val="18"/>
                <w:szCs w:val="18"/>
                <w:color w:val="auto"/>
              </w:rPr>
              <w:t>Indemnification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8.2</w:t>
            </w:r>
          </w:p>
        </w:tc>
        <w:tc>
          <w:tcPr>
            <w:tcW w:w="8520" w:type="dxa"/>
            <w:vAlign w:val="bottom"/>
          </w:tcPr>
          <w:p>
            <w:pPr>
              <w:ind w:left="320"/>
              <w:spacing w:after="0"/>
              <w:rPr>
                <w:sz w:val="20"/>
                <w:szCs w:val="20"/>
                <w:color w:val="auto"/>
              </w:rPr>
            </w:pPr>
            <w:r>
              <w:rPr>
                <w:rFonts w:ascii="Arial" w:cs="Arial" w:eastAsia="Arial" w:hAnsi="Arial"/>
                <w:sz w:val="18"/>
                <w:szCs w:val="18"/>
                <w:color w:val="auto"/>
              </w:rPr>
              <w:t>Indemnification Procedure</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8.3</w:t>
            </w:r>
          </w:p>
        </w:tc>
        <w:tc>
          <w:tcPr>
            <w:tcW w:w="8520" w:type="dxa"/>
            <w:vAlign w:val="bottom"/>
          </w:tcPr>
          <w:p>
            <w:pPr>
              <w:ind w:left="320"/>
              <w:spacing w:after="0"/>
              <w:rPr>
                <w:sz w:val="20"/>
                <w:szCs w:val="20"/>
                <w:color w:val="auto"/>
              </w:rPr>
            </w:pPr>
            <w:r>
              <w:rPr>
                <w:rFonts w:ascii="Arial" w:cs="Arial" w:eastAsia="Arial" w:hAnsi="Arial"/>
                <w:sz w:val="18"/>
                <w:szCs w:val="18"/>
                <w:color w:val="auto"/>
              </w:rPr>
              <w:t>Settlement of Indemnified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8.4</w:t>
            </w:r>
          </w:p>
        </w:tc>
        <w:tc>
          <w:tcPr>
            <w:tcW w:w="8520" w:type="dxa"/>
            <w:vAlign w:val="bottom"/>
          </w:tcPr>
          <w:p>
            <w:pPr>
              <w:ind w:left="320"/>
              <w:spacing w:after="0"/>
              <w:rPr>
                <w:sz w:val="20"/>
                <w:szCs w:val="20"/>
                <w:color w:val="auto"/>
              </w:rPr>
            </w:pPr>
            <w:r>
              <w:rPr>
                <w:rFonts w:ascii="Arial" w:cs="Arial" w:eastAsia="Arial" w:hAnsi="Arial"/>
                <w:sz w:val="18"/>
                <w:szCs w:val="18"/>
                <w:color w:val="auto"/>
              </w:rPr>
              <w:t>Contribution</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8.5</w:t>
            </w:r>
          </w:p>
        </w:tc>
        <w:tc>
          <w:tcPr>
            <w:tcW w:w="8520" w:type="dxa"/>
            <w:vAlign w:val="bottom"/>
          </w:tcPr>
          <w:p>
            <w:pPr>
              <w:ind w:left="320"/>
              <w:spacing w:after="0"/>
              <w:rPr>
                <w:sz w:val="20"/>
                <w:szCs w:val="20"/>
                <w:color w:val="auto"/>
              </w:rPr>
            </w:pPr>
            <w:r>
              <w:rPr>
                <w:rFonts w:ascii="Arial" w:cs="Arial" w:eastAsia="Arial" w:hAnsi="Arial"/>
                <w:sz w:val="18"/>
                <w:szCs w:val="18"/>
                <w:color w:val="auto"/>
              </w:rPr>
              <w:t>Treatment of Indemnification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8.6</w:t>
            </w:r>
          </w:p>
        </w:tc>
        <w:tc>
          <w:tcPr>
            <w:tcW w:w="8520" w:type="dxa"/>
            <w:vAlign w:val="bottom"/>
          </w:tcPr>
          <w:p>
            <w:pPr>
              <w:ind w:left="320"/>
              <w:spacing w:after="0"/>
              <w:rPr>
                <w:sz w:val="20"/>
                <w:szCs w:val="20"/>
                <w:color w:val="auto"/>
              </w:rPr>
            </w:pPr>
            <w:r>
              <w:rPr>
                <w:rFonts w:ascii="Arial" w:cs="Arial" w:eastAsia="Arial" w:hAnsi="Arial"/>
                <w:sz w:val="18"/>
                <w:szCs w:val="18"/>
                <w:color w:val="auto"/>
              </w:rPr>
              <w:t>No Survival</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IX TERMINATION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8"/>
        </w:trPr>
        <w:tc>
          <w:tcPr>
            <w:tcW w:w="1760" w:type="dxa"/>
            <w:vAlign w:val="bottom"/>
          </w:tcPr>
          <w:p>
            <w:pPr>
              <w:ind w:left="520"/>
              <w:spacing w:after="0"/>
              <w:rPr>
                <w:sz w:val="20"/>
                <w:szCs w:val="20"/>
                <w:color w:val="auto"/>
              </w:rPr>
            </w:pPr>
            <w:r>
              <w:rPr>
                <w:rFonts w:ascii="Arial" w:cs="Arial" w:eastAsia="Arial" w:hAnsi="Arial"/>
                <w:sz w:val="18"/>
                <w:szCs w:val="18"/>
                <w:color w:val="auto"/>
              </w:rPr>
              <w:t>Section 9.1</w:t>
            </w:r>
          </w:p>
        </w:tc>
        <w:tc>
          <w:tcPr>
            <w:tcW w:w="8520" w:type="dxa"/>
            <w:vAlign w:val="bottom"/>
          </w:tcPr>
          <w:p>
            <w:pPr>
              <w:ind w:left="320"/>
              <w:spacing w:after="0"/>
              <w:rPr>
                <w:sz w:val="20"/>
                <w:szCs w:val="20"/>
                <w:color w:val="auto"/>
              </w:rPr>
            </w:pPr>
            <w:r>
              <w:rPr>
                <w:rFonts w:ascii="Arial" w:cs="Arial" w:eastAsia="Arial" w:hAnsi="Arial"/>
                <w:sz w:val="18"/>
                <w:szCs w:val="18"/>
                <w:color w:val="auto"/>
              </w:rPr>
              <w:t>Consensual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9.2</w:t>
            </w:r>
          </w:p>
        </w:tc>
        <w:tc>
          <w:tcPr>
            <w:tcW w:w="8520" w:type="dxa"/>
            <w:vAlign w:val="bottom"/>
          </w:tcPr>
          <w:p>
            <w:pPr>
              <w:ind w:left="320"/>
              <w:spacing w:after="0"/>
              <w:rPr>
                <w:sz w:val="20"/>
                <w:szCs w:val="20"/>
                <w:color w:val="auto"/>
              </w:rPr>
            </w:pPr>
            <w:r>
              <w:rPr>
                <w:rFonts w:ascii="Arial" w:cs="Arial" w:eastAsia="Arial" w:hAnsi="Arial"/>
                <w:sz w:val="18"/>
                <w:szCs w:val="18"/>
                <w:color w:val="auto"/>
              </w:rPr>
              <w:t>Automatic Termination; Termination by the Commitment Parties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520"/>
              <w:spacing w:after="0"/>
              <w:rPr>
                <w:sz w:val="20"/>
                <w:szCs w:val="20"/>
                <w:color w:val="auto"/>
              </w:rPr>
            </w:pPr>
            <w:r>
              <w:rPr>
                <w:rFonts w:ascii="Arial" w:cs="Arial" w:eastAsia="Arial" w:hAnsi="Arial"/>
                <w:sz w:val="18"/>
                <w:szCs w:val="18"/>
                <w:color w:val="auto"/>
              </w:rPr>
              <w:t>Section 9.3</w:t>
            </w:r>
          </w:p>
        </w:tc>
        <w:tc>
          <w:tcPr>
            <w:tcW w:w="8520" w:type="dxa"/>
            <w:vAlign w:val="bottom"/>
          </w:tcPr>
          <w:p>
            <w:pPr>
              <w:ind w:left="320"/>
              <w:spacing w:after="0"/>
              <w:rPr>
                <w:sz w:val="20"/>
                <w:szCs w:val="20"/>
                <w:color w:val="auto"/>
              </w:rPr>
            </w:pPr>
            <w:r>
              <w:rPr>
                <w:rFonts w:ascii="Arial" w:cs="Arial" w:eastAsia="Arial" w:hAnsi="Arial"/>
                <w:sz w:val="18"/>
                <w:szCs w:val="18"/>
                <w:color w:val="auto"/>
              </w:rPr>
              <w:t>Termination by the Debtors</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60" w:type="dxa"/>
            <w:vAlign w:val="bottom"/>
          </w:tcPr>
          <w:p>
            <w:pPr>
              <w:ind w:left="520"/>
              <w:spacing w:after="0"/>
              <w:rPr>
                <w:sz w:val="20"/>
                <w:szCs w:val="20"/>
                <w:color w:val="auto"/>
              </w:rPr>
            </w:pPr>
            <w:r>
              <w:rPr>
                <w:rFonts w:ascii="Arial" w:cs="Arial" w:eastAsia="Arial" w:hAnsi="Arial"/>
                <w:sz w:val="18"/>
                <w:szCs w:val="18"/>
                <w:color w:val="auto"/>
              </w:rPr>
              <w:t>Section 9.4</w:t>
            </w:r>
          </w:p>
        </w:tc>
        <w:tc>
          <w:tcPr>
            <w:tcW w:w="8520" w:type="dxa"/>
            <w:vAlign w:val="bottom"/>
          </w:tcPr>
          <w:p>
            <w:pPr>
              <w:ind w:left="320"/>
              <w:spacing w:after="0"/>
              <w:rPr>
                <w:sz w:val="20"/>
                <w:szCs w:val="20"/>
                <w:color w:val="auto"/>
              </w:rPr>
            </w:pPr>
            <w:r>
              <w:rPr>
                <w:rFonts w:ascii="Arial" w:cs="Arial" w:eastAsia="Arial" w:hAnsi="Arial"/>
                <w:sz w:val="18"/>
                <w:szCs w:val="18"/>
                <w:color w:val="auto"/>
              </w:rPr>
              <w:t>Effect of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color w:val="auto"/>
        </w:rPr>
        <w:t>TABLE OF CONTENTS (cont’d)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X GENERAL PROVISIONS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8"/>
        </w:trPr>
        <w:tc>
          <w:tcPr>
            <w:tcW w:w="1800" w:type="dxa"/>
            <w:vAlign w:val="bottom"/>
          </w:tcPr>
          <w:p>
            <w:pPr>
              <w:ind w:left="520"/>
              <w:spacing w:after="0"/>
              <w:rPr>
                <w:sz w:val="20"/>
                <w:szCs w:val="20"/>
                <w:color w:val="auto"/>
              </w:rPr>
            </w:pPr>
            <w:r>
              <w:rPr>
                <w:rFonts w:ascii="Arial" w:cs="Arial" w:eastAsia="Arial" w:hAnsi="Arial"/>
                <w:sz w:val="18"/>
                <w:szCs w:val="18"/>
                <w:color w:val="auto"/>
              </w:rPr>
              <w:t>Section 10.1</w:t>
            </w:r>
          </w:p>
        </w:tc>
        <w:tc>
          <w:tcPr>
            <w:tcW w:w="8480" w:type="dxa"/>
            <w:vAlign w:val="bottom"/>
          </w:tcPr>
          <w:p>
            <w:pPr>
              <w:ind w:left="280"/>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10.2</w:t>
            </w:r>
          </w:p>
        </w:tc>
        <w:tc>
          <w:tcPr>
            <w:tcW w:w="8480" w:type="dxa"/>
            <w:vAlign w:val="bottom"/>
          </w:tcPr>
          <w:p>
            <w:pPr>
              <w:ind w:left="280"/>
              <w:spacing w:after="0"/>
              <w:rPr>
                <w:sz w:val="20"/>
                <w:szCs w:val="20"/>
                <w:color w:val="auto"/>
              </w:rPr>
            </w:pPr>
            <w:r>
              <w:rPr>
                <w:rFonts w:ascii="Arial" w:cs="Arial" w:eastAsia="Arial" w:hAnsi="Arial"/>
                <w:sz w:val="18"/>
                <w:szCs w:val="18"/>
                <w:color w:val="auto"/>
              </w:rPr>
              <w:t>Assignment; Third Party Beneficiaries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10.3</w:t>
            </w:r>
          </w:p>
        </w:tc>
        <w:tc>
          <w:tcPr>
            <w:tcW w:w="8480" w:type="dxa"/>
            <w:vAlign w:val="bottom"/>
          </w:tcPr>
          <w:p>
            <w:pPr>
              <w:ind w:left="280"/>
              <w:spacing w:after="0"/>
              <w:rPr>
                <w:sz w:val="20"/>
                <w:szCs w:val="20"/>
                <w:color w:val="auto"/>
              </w:rPr>
            </w:pPr>
            <w:r>
              <w:rPr>
                <w:rFonts w:ascii="Arial" w:cs="Arial" w:eastAsia="Arial" w:hAnsi="Arial"/>
                <w:sz w:val="18"/>
                <w:szCs w:val="18"/>
                <w:color w:val="auto"/>
              </w:rPr>
              <w:t>Prior Negotiations; 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10.4</w:t>
            </w:r>
          </w:p>
        </w:tc>
        <w:tc>
          <w:tcPr>
            <w:tcW w:w="8480" w:type="dxa"/>
            <w:vAlign w:val="bottom"/>
          </w:tcPr>
          <w:p>
            <w:pPr>
              <w:ind w:left="280"/>
              <w:spacing w:after="0"/>
              <w:rPr>
                <w:sz w:val="20"/>
                <w:szCs w:val="20"/>
                <w:color w:val="auto"/>
              </w:rPr>
            </w:pPr>
            <w:r>
              <w:rPr>
                <w:rFonts w:ascii="Arial" w:cs="Arial" w:eastAsia="Arial" w:hAnsi="Arial"/>
                <w:sz w:val="18"/>
                <w:szCs w:val="18"/>
                <w:color w:val="auto"/>
              </w:rPr>
              <w:t>Governing Law; Venue</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10.5</w:t>
            </w:r>
          </w:p>
        </w:tc>
        <w:tc>
          <w:tcPr>
            <w:tcW w:w="8480" w:type="dxa"/>
            <w:vAlign w:val="bottom"/>
          </w:tcPr>
          <w:p>
            <w:pPr>
              <w:ind w:left="280"/>
              <w:spacing w:after="0"/>
              <w:rPr>
                <w:sz w:val="20"/>
                <w:szCs w:val="20"/>
                <w:color w:val="auto"/>
              </w:rPr>
            </w:pPr>
            <w:r>
              <w:rPr>
                <w:rFonts w:ascii="Arial" w:cs="Arial" w:eastAsia="Arial" w:hAnsi="Arial"/>
                <w:sz w:val="18"/>
                <w:szCs w:val="18"/>
                <w:color w:val="auto"/>
              </w:rPr>
              <w:t>Binding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10.6</w:t>
            </w:r>
          </w:p>
        </w:tc>
        <w:tc>
          <w:tcPr>
            <w:tcW w:w="848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10.7</w:t>
            </w:r>
          </w:p>
        </w:tc>
        <w:tc>
          <w:tcPr>
            <w:tcW w:w="848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10.8</w:t>
            </w:r>
          </w:p>
        </w:tc>
        <w:tc>
          <w:tcPr>
            <w:tcW w:w="8480" w:type="dxa"/>
            <w:vAlign w:val="bottom"/>
          </w:tcPr>
          <w:p>
            <w:pPr>
              <w:ind w:left="280"/>
              <w:spacing w:after="0"/>
              <w:rPr>
                <w:sz w:val="20"/>
                <w:szCs w:val="20"/>
                <w:color w:val="auto"/>
              </w:rPr>
            </w:pPr>
            <w:r>
              <w:rPr>
                <w:rFonts w:ascii="Arial" w:cs="Arial" w:eastAsia="Arial" w:hAnsi="Arial"/>
                <w:sz w:val="18"/>
                <w:szCs w:val="18"/>
                <w:color w:val="auto"/>
              </w:rPr>
              <w:t>Waivers and Amendments; Rights Cumulative; Consent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10.9</w:t>
            </w:r>
          </w:p>
        </w:tc>
        <w:tc>
          <w:tcPr>
            <w:tcW w:w="8480" w:type="dxa"/>
            <w:vAlign w:val="bottom"/>
          </w:tcPr>
          <w:p>
            <w:pPr>
              <w:ind w:left="280"/>
              <w:spacing w:after="0"/>
              <w:rPr>
                <w:sz w:val="20"/>
                <w:szCs w:val="20"/>
                <w:color w:val="auto"/>
              </w:rPr>
            </w:pPr>
            <w:r>
              <w:rPr>
                <w:rFonts w:ascii="Arial" w:cs="Arial" w:eastAsia="Arial" w:hAnsi="Arial"/>
                <w:sz w:val="18"/>
                <w:szCs w:val="18"/>
                <w:color w:val="auto"/>
              </w:rPr>
              <w:t>Headings</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10.10</w:t>
            </w:r>
          </w:p>
        </w:tc>
        <w:tc>
          <w:tcPr>
            <w:tcW w:w="8480" w:type="dxa"/>
            <w:vAlign w:val="bottom"/>
          </w:tcPr>
          <w:p>
            <w:pPr>
              <w:ind w:left="280"/>
              <w:spacing w:after="0"/>
              <w:rPr>
                <w:sz w:val="20"/>
                <w:szCs w:val="20"/>
                <w:color w:val="auto"/>
              </w:rPr>
            </w:pPr>
            <w:r>
              <w:rPr>
                <w:rFonts w:ascii="Arial" w:cs="Arial" w:eastAsia="Arial" w:hAnsi="Arial"/>
                <w:sz w:val="18"/>
                <w:szCs w:val="18"/>
                <w:color w:val="auto"/>
              </w:rPr>
              <w:t>Specific Performance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10.11</w:t>
            </w:r>
          </w:p>
        </w:tc>
        <w:tc>
          <w:tcPr>
            <w:tcW w:w="8480" w:type="dxa"/>
            <w:vAlign w:val="bottom"/>
          </w:tcPr>
          <w:p>
            <w:pPr>
              <w:ind w:left="280"/>
              <w:spacing w:after="0"/>
              <w:rPr>
                <w:sz w:val="20"/>
                <w:szCs w:val="20"/>
                <w:color w:val="auto"/>
              </w:rPr>
            </w:pPr>
            <w:r>
              <w:rPr>
                <w:rFonts w:ascii="Arial" w:cs="Arial" w:eastAsia="Arial" w:hAnsi="Arial"/>
                <w:sz w:val="18"/>
                <w:szCs w:val="18"/>
                <w:color w:val="auto"/>
              </w:rPr>
              <w:t>Damages</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10.12</w:t>
            </w:r>
          </w:p>
        </w:tc>
        <w:tc>
          <w:tcPr>
            <w:tcW w:w="8480" w:type="dxa"/>
            <w:vAlign w:val="bottom"/>
          </w:tcPr>
          <w:p>
            <w:pPr>
              <w:ind w:left="280"/>
              <w:spacing w:after="0"/>
              <w:rPr>
                <w:sz w:val="20"/>
                <w:szCs w:val="20"/>
                <w:color w:val="auto"/>
              </w:rPr>
            </w:pPr>
            <w:r>
              <w:rPr>
                <w:rFonts w:ascii="Arial" w:cs="Arial" w:eastAsia="Arial" w:hAnsi="Arial"/>
                <w:sz w:val="18"/>
                <w:szCs w:val="18"/>
                <w:color w:val="auto"/>
              </w:rPr>
              <w:t>No Reliance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10.13</w:t>
            </w:r>
          </w:p>
        </w:tc>
        <w:tc>
          <w:tcPr>
            <w:tcW w:w="8480" w:type="dxa"/>
            <w:vAlign w:val="bottom"/>
          </w:tcPr>
          <w:p>
            <w:pPr>
              <w:ind w:left="280"/>
              <w:spacing w:after="0"/>
              <w:rPr>
                <w:sz w:val="20"/>
                <w:szCs w:val="20"/>
                <w:color w:val="auto"/>
              </w:rPr>
            </w:pPr>
            <w:r>
              <w:rPr>
                <w:rFonts w:ascii="Arial" w:cs="Arial" w:eastAsia="Arial" w:hAnsi="Arial"/>
                <w:sz w:val="18"/>
                <w:szCs w:val="18"/>
                <w:color w:val="auto"/>
              </w:rPr>
              <w:t>Publicity</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520"/>
              <w:spacing w:after="0"/>
              <w:rPr>
                <w:sz w:val="20"/>
                <w:szCs w:val="20"/>
                <w:color w:val="auto"/>
              </w:rPr>
            </w:pPr>
            <w:r>
              <w:rPr>
                <w:rFonts w:ascii="Arial" w:cs="Arial" w:eastAsia="Arial" w:hAnsi="Arial"/>
                <w:sz w:val="18"/>
                <w:szCs w:val="18"/>
                <w:color w:val="auto"/>
              </w:rPr>
              <w:t>Section 10.14</w:t>
            </w:r>
          </w:p>
        </w:tc>
        <w:tc>
          <w:tcPr>
            <w:tcW w:w="8480" w:type="dxa"/>
            <w:vAlign w:val="bottom"/>
          </w:tcPr>
          <w:p>
            <w:pPr>
              <w:ind w:left="280"/>
              <w:spacing w:after="0"/>
              <w:rPr>
                <w:sz w:val="20"/>
                <w:szCs w:val="20"/>
                <w:color w:val="auto"/>
              </w:rPr>
            </w:pPr>
            <w:r>
              <w:rPr>
                <w:rFonts w:ascii="Arial" w:cs="Arial" w:eastAsia="Arial" w:hAnsi="Arial"/>
                <w:sz w:val="18"/>
                <w:szCs w:val="18"/>
                <w:color w:val="auto"/>
              </w:rPr>
              <w:t>Settlement Discussions</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800" w:type="dxa"/>
            <w:vAlign w:val="bottom"/>
          </w:tcPr>
          <w:p>
            <w:pPr>
              <w:ind w:left="520"/>
              <w:spacing w:after="0"/>
              <w:rPr>
                <w:sz w:val="20"/>
                <w:szCs w:val="20"/>
                <w:color w:val="auto"/>
              </w:rPr>
            </w:pPr>
            <w:r>
              <w:rPr>
                <w:rFonts w:ascii="Arial" w:cs="Arial" w:eastAsia="Arial" w:hAnsi="Arial"/>
                <w:sz w:val="18"/>
                <w:szCs w:val="18"/>
                <w:color w:val="auto"/>
              </w:rPr>
              <w:t>Section 10.15</w:t>
            </w:r>
          </w:p>
        </w:tc>
        <w:tc>
          <w:tcPr>
            <w:tcW w:w="8480" w:type="dxa"/>
            <w:vAlign w:val="bottom"/>
          </w:tcPr>
          <w:p>
            <w:pPr>
              <w:ind w:left="280"/>
              <w:spacing w:after="0"/>
              <w:rPr>
                <w:sz w:val="20"/>
                <w:szCs w:val="20"/>
                <w:color w:val="auto"/>
              </w:rPr>
            </w:pPr>
            <w:r>
              <w:rPr>
                <w:rFonts w:ascii="Arial" w:cs="Arial" w:eastAsia="Arial" w:hAnsi="Arial"/>
                <w:sz w:val="18"/>
                <w:szCs w:val="18"/>
                <w:color w:val="auto"/>
              </w:rPr>
              <w:t>No Recourse</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0400" w:type="dxa"/>
            <w:vAlign w:val="bottom"/>
          </w:tcPr>
          <w:p>
            <w:pPr>
              <w:jc w:val="center"/>
              <w:ind w:right="990"/>
              <w:spacing w:after="0"/>
              <w:rPr>
                <w:sz w:val="20"/>
                <w:szCs w:val="20"/>
                <w:color w:val="auto"/>
              </w:rPr>
            </w:pPr>
            <w:r>
              <w:rPr>
                <w:rFonts w:ascii="Arial" w:cs="Arial" w:eastAsia="Arial" w:hAnsi="Arial"/>
                <w:sz w:val="18"/>
                <w:szCs w:val="18"/>
                <w:color w:val="auto"/>
                <w:w w:val="94"/>
              </w:rPr>
              <w:t>SCHEDULES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10400" w:type="dxa"/>
            <w:vAlign w:val="bottom"/>
          </w:tcPr>
          <w:p>
            <w:pPr>
              <w:ind w:left="260"/>
              <w:spacing w:after="0"/>
              <w:rPr>
                <w:sz w:val="20"/>
                <w:szCs w:val="20"/>
                <w:color w:val="auto"/>
              </w:rPr>
            </w:pPr>
            <w:r>
              <w:rPr>
                <w:rFonts w:ascii="Arial" w:cs="Arial" w:eastAsia="Arial" w:hAnsi="Arial"/>
                <w:sz w:val="18"/>
                <w:szCs w:val="18"/>
                <w:color w:val="auto"/>
              </w:rPr>
              <w:t>Rights Offering Procedures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B</w:t>
            </w:r>
          </w:p>
        </w:tc>
        <w:tc>
          <w:tcPr>
            <w:tcW w:w="10400" w:type="dxa"/>
            <w:vAlign w:val="bottom"/>
          </w:tcPr>
          <w:p>
            <w:pPr>
              <w:ind w:left="260"/>
              <w:spacing w:after="0"/>
              <w:rPr>
                <w:sz w:val="20"/>
                <w:szCs w:val="20"/>
                <w:color w:val="auto"/>
              </w:rPr>
            </w:pPr>
            <w:r>
              <w:rPr>
                <w:rFonts w:ascii="Arial" w:cs="Arial" w:eastAsia="Arial" w:hAnsi="Arial"/>
                <w:sz w:val="18"/>
                <w:szCs w:val="18"/>
                <w:color w:val="auto"/>
              </w:rPr>
              <w:t>New Tranche A Senior Unsecured Notes Term Sheet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Schedule 1</w:t>
            </w:r>
          </w:p>
        </w:tc>
        <w:tc>
          <w:tcPr>
            <w:tcW w:w="10400" w:type="dxa"/>
            <w:vAlign w:val="bottom"/>
          </w:tcPr>
          <w:p>
            <w:pPr>
              <w:ind w:left="240"/>
              <w:spacing w:after="0"/>
              <w:rPr>
                <w:sz w:val="20"/>
                <w:szCs w:val="20"/>
                <w:color w:val="auto"/>
              </w:rPr>
            </w:pPr>
            <w:r>
              <w:rPr>
                <w:rFonts w:ascii="Arial" w:cs="Arial" w:eastAsia="Arial" w:hAnsi="Arial"/>
                <w:sz w:val="18"/>
                <w:szCs w:val="18"/>
                <w:color w:val="auto"/>
              </w:rPr>
              <w:t>Commitment Schedule</w:t>
            </w:r>
          </w:p>
        </w:tc>
      </w:tr>
      <w:tr>
        <w:trPr>
          <w:trHeight w:val="432"/>
        </w:trPr>
        <w:tc>
          <w:tcPr>
            <w:tcW w:w="1060" w:type="dxa"/>
            <w:vAlign w:val="bottom"/>
          </w:tcPr>
          <w:p>
            <w:pPr>
              <w:spacing w:after="0"/>
              <w:rPr>
                <w:sz w:val="24"/>
                <w:szCs w:val="24"/>
                <w:color w:val="auto"/>
              </w:rPr>
            </w:pPr>
          </w:p>
        </w:tc>
        <w:tc>
          <w:tcPr>
            <w:tcW w:w="10400" w:type="dxa"/>
            <w:vAlign w:val="bottom"/>
          </w:tcPr>
          <w:p>
            <w:pPr>
              <w:jc w:val="center"/>
              <w:ind w:right="1010"/>
              <w:spacing w:after="0"/>
              <w:rPr>
                <w:sz w:val="20"/>
                <w:szCs w:val="20"/>
                <w:color w:val="auto"/>
              </w:rPr>
            </w:pPr>
            <w:r>
              <w:rPr>
                <w:rFonts w:ascii="Arial" w:cs="Arial" w:eastAsia="Arial" w:hAnsi="Arial"/>
                <w:sz w:val="18"/>
                <w:szCs w:val="18"/>
                <w:color w:val="auto"/>
              </w:rPr>
              <w:t>iii</w:t>
            </w:r>
          </w:p>
        </w:tc>
      </w:tr>
      <w:tr>
        <w:trPr>
          <w:trHeight w:val="132"/>
        </w:trPr>
        <w:tc>
          <w:tcPr>
            <w:tcW w:w="1060" w:type="dxa"/>
            <w:vAlign w:val="bottom"/>
            <w:tcBorders>
              <w:bottom w:val="single" w:sz="8" w:color="808080"/>
            </w:tcBorders>
          </w:tcPr>
          <w:p>
            <w:pPr>
              <w:spacing w:after="0"/>
              <w:rPr>
                <w:sz w:val="11"/>
                <w:szCs w:val="11"/>
                <w:color w:val="auto"/>
              </w:rPr>
            </w:pPr>
          </w:p>
        </w:tc>
        <w:tc>
          <w:tcPr>
            <w:tcW w:w="10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BACKSTOP COMMITMENT AGREEMENT</w:t>
      </w:r>
    </w:p>
    <w:p>
      <w:pPr>
        <w:spacing w:after="0" w:line="225" w:lineRule="exact"/>
        <w:rPr>
          <w:sz w:val="20"/>
          <w:szCs w:val="20"/>
          <w:color w:val="auto"/>
        </w:rPr>
      </w:pPr>
    </w:p>
    <w:p>
      <w:pPr>
        <w:ind w:right="180" w:firstLine="1297"/>
        <w:spacing w:after="0" w:line="256" w:lineRule="auto"/>
        <w:rPr>
          <w:sz w:val="20"/>
          <w:szCs w:val="20"/>
          <w:color w:val="auto"/>
        </w:rPr>
      </w:pPr>
      <w:r>
        <w:rPr>
          <w:rFonts w:ascii="Arial" w:cs="Arial" w:eastAsia="Arial" w:hAnsi="Arial"/>
          <w:sz w:val="18"/>
          <w:szCs w:val="18"/>
          <w:color w:val="auto"/>
        </w:rPr>
        <w:t>THIS BACKSTOP COMMITMENT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July 1, 2019, is made by and among Weatherford International Plc, an Irish public limited company (including as debtor in possession and a reorganized debtor, as applicable,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each of the other Debtors (as defined below), on the one hand, and each Commitment Party (as defined below), on the other hand. The Company, the other Debtors and each Commitment Party is referred to herein, individually, as a “</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xml:space="preserve">”. Capitalized terms that are used but not otherwise defined in this Agreement shall have the meanings given to them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or, if not defined therein, shall have the meanings given to them in the Plan (as defined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WHEREAS, the Debtors and the Commitment Parties are party to a Restructuring Support Agreement (including the terms and conditions set forth in the Restructuring Term Sheet (the “</w:t>
      </w:r>
      <w:r>
        <w:rPr>
          <w:rFonts w:ascii="Arial" w:cs="Arial" w:eastAsia="Arial" w:hAnsi="Arial"/>
          <w:sz w:val="17"/>
          <w:szCs w:val="17"/>
          <w:b w:val="1"/>
          <w:bCs w:val="1"/>
          <w:u w:val="single" w:color="auto"/>
          <w:color w:val="auto"/>
        </w:rPr>
        <w:t>Restructuring Term Sheet</w:t>
      </w:r>
      <w:r>
        <w:rPr>
          <w:rFonts w:ascii="Arial" w:cs="Arial" w:eastAsia="Arial" w:hAnsi="Arial"/>
          <w:sz w:val="17"/>
          <w:szCs w:val="17"/>
          <w:color w:val="auto"/>
        </w:rPr>
        <w:t>”) attached as Exhibit A to the Restructuring Support Agreement), dated May 10, 2019 (the Restructuring Term Sheet, the Restructuring Support Agreement and all other exhibits thereto, as may be amended, supplemented or otherwise modified from time to time, the “</w:t>
      </w:r>
      <w:r>
        <w:rPr>
          <w:rFonts w:ascii="Arial" w:cs="Arial" w:eastAsia="Arial" w:hAnsi="Arial"/>
          <w:sz w:val="17"/>
          <w:szCs w:val="17"/>
          <w:b w:val="1"/>
          <w:bCs w:val="1"/>
          <w:u w:val="single" w:color="auto"/>
          <w:color w:val="auto"/>
        </w:rPr>
        <w:t>Restructuring Support Agreement</w:t>
      </w:r>
      <w:r>
        <w:rPr>
          <w:rFonts w:ascii="Arial" w:cs="Arial" w:eastAsia="Arial" w:hAnsi="Arial"/>
          <w:sz w:val="17"/>
          <w:szCs w:val="17"/>
          <w:color w:val="auto"/>
        </w:rPr>
        <w:t>”), which (a) provides for the restructuring of the Prepetition Notes Claims and certain of the Debtors’ other obligations, the cancellation of the existing equity interests of the Company and the recapitalization of the Debtors in accordance with the terms provided in the Restructuring Term Sheet through (x) jointly-administered voluntary cases to be commenced by the Debtors (the “</w:t>
      </w:r>
      <w:r>
        <w:rPr>
          <w:rFonts w:ascii="Arial" w:cs="Arial" w:eastAsia="Arial" w:hAnsi="Arial"/>
          <w:sz w:val="17"/>
          <w:szCs w:val="17"/>
          <w:b w:val="1"/>
          <w:bCs w:val="1"/>
          <w:u w:val="single" w:color="auto"/>
          <w:color w:val="auto"/>
        </w:rPr>
        <w:t>Chapter 11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Cases</w:t>
      </w:r>
      <w:r>
        <w:rPr>
          <w:rFonts w:ascii="Arial" w:cs="Arial" w:eastAsia="Arial" w:hAnsi="Arial"/>
          <w:sz w:val="17"/>
          <w:szCs w:val="17"/>
          <w:color w:val="auto"/>
        </w:rPr>
        <w:t>”) under chapter 11 of title 11 of the United States Code, 11 U.S.C. §§ 101—1532 (as amended, the “</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Court for the Southern District of Texas (the “</w:t>
      </w:r>
      <w:r>
        <w:rPr>
          <w:rFonts w:ascii="Arial" w:cs="Arial" w:eastAsia="Arial" w:hAnsi="Arial"/>
          <w:sz w:val="17"/>
          <w:szCs w:val="17"/>
          <w:b w:val="1"/>
          <w:bCs w:val="1"/>
          <w:u w:val="single" w:color="auto"/>
          <w:color w:val="auto"/>
        </w:rPr>
        <w:t>Bankruptcy Court</w:t>
      </w:r>
      <w:r>
        <w:rPr>
          <w:rFonts w:ascii="Arial" w:cs="Arial" w:eastAsia="Arial" w:hAnsi="Arial"/>
          <w:sz w:val="17"/>
          <w:szCs w:val="17"/>
          <w:color w:val="auto"/>
        </w:rPr>
        <w:t>”), (y) an examinership proceeding to be commenced by the Company under the laws of Ireland (the “</w:t>
      </w:r>
      <w:r>
        <w:rPr>
          <w:rFonts w:ascii="Arial" w:cs="Arial" w:eastAsia="Arial" w:hAnsi="Arial"/>
          <w:sz w:val="17"/>
          <w:szCs w:val="17"/>
          <w:b w:val="1"/>
          <w:bCs w:val="1"/>
          <w:u w:val="single" w:color="auto"/>
          <w:color w:val="auto"/>
        </w:rPr>
        <w:t>Examinership Proceeding</w:t>
      </w:r>
      <w:r>
        <w:rPr>
          <w:rFonts w:ascii="Arial" w:cs="Arial" w:eastAsia="Arial" w:hAnsi="Arial"/>
          <w:sz w:val="17"/>
          <w:szCs w:val="17"/>
          <w:color w:val="auto"/>
        </w:rPr>
        <w:t>”) and (z) a provisional liquidation proceeding under the laws of Bermuda (the “</w:t>
      </w:r>
      <w:r>
        <w:rPr>
          <w:rFonts w:ascii="Arial" w:cs="Arial" w:eastAsia="Arial" w:hAnsi="Arial"/>
          <w:sz w:val="17"/>
          <w:szCs w:val="17"/>
          <w:b w:val="1"/>
          <w:bCs w:val="1"/>
          <w:u w:val="single" w:color="auto"/>
          <w:color w:val="auto"/>
        </w:rPr>
        <w:t>Bermudian Proceeding</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together with the Chapter 11 Cases and Examinership Proceeding, the “</w:t>
      </w:r>
      <w:r>
        <w:rPr>
          <w:rFonts w:ascii="Arial" w:cs="Arial" w:eastAsia="Arial" w:hAnsi="Arial"/>
          <w:sz w:val="17"/>
          <w:szCs w:val="17"/>
          <w:b w:val="1"/>
          <w:bCs w:val="1"/>
          <w:u w:val="single" w:color="auto"/>
          <w:color w:val="auto"/>
        </w:rPr>
        <w:t>Cases</w:t>
      </w:r>
      <w:r>
        <w:rPr>
          <w:rFonts w:ascii="Arial" w:cs="Arial" w:eastAsia="Arial" w:hAnsi="Arial"/>
          <w:sz w:val="17"/>
          <w:szCs w:val="17"/>
          <w:color w:val="auto"/>
        </w:rPr>
        <w:t>”) and (b) requires that the Plan be consistent with the Restructuring Support Agreement;</w:t>
      </w:r>
    </w:p>
    <w:p>
      <w:pPr>
        <w:spacing w:after="0" w:line="183"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WHEREAS, pursuant to the Plan and this Agreement, the Company will conduct a rights offering for an aggregate principal amount of $1,250,000,000 of Rights Offering Notes (as defined below); and</w:t>
      </w:r>
    </w:p>
    <w:p>
      <w:pPr>
        <w:spacing w:after="0" w:line="170"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WHEREAS, subject to the terms and conditions contained in this Agreement, each Commitment Party has agreed to purchase (on a several and not a joint basis) its Commitment Percentage (as defined below) of the Unsubscribed Notes (as defined below), if any.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mutual promises, agreements, representations, warranties and covenants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Debtors and each of the Commitment Parties hereby agrees as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in this Agreement, whenever used in this Agreement (including any Exhibits and Schedules hereto), the following terms shall have the respective meanings specified therefor below or in the Plan, as applicable:</w:t>
      </w:r>
    </w:p>
    <w:p>
      <w:pPr>
        <w:spacing w:after="0" w:line="166"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Advisors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Akin Gump Strauss Hauer &amp; Feld LLP (“</w:t>
      </w:r>
      <w:r>
        <w:rPr>
          <w:rFonts w:ascii="Arial" w:cs="Arial" w:eastAsia="Arial" w:hAnsi="Arial"/>
          <w:sz w:val="18"/>
          <w:szCs w:val="18"/>
          <w:b w:val="1"/>
          <w:bCs w:val="1"/>
          <w:u w:val="single" w:color="auto"/>
          <w:color w:val="auto"/>
        </w:rPr>
        <w:t>Akin Gump</w:t>
      </w:r>
      <w:r>
        <w:rPr>
          <w:rFonts w:ascii="Arial" w:cs="Arial" w:eastAsia="Arial" w:hAnsi="Arial"/>
          <w:sz w:val="18"/>
          <w:szCs w:val="18"/>
          <w:color w:val="auto"/>
        </w:rPr>
        <w:t>”), Evercore (“</w:t>
      </w:r>
      <w:r>
        <w:rPr>
          <w:rFonts w:ascii="Arial" w:cs="Arial" w:eastAsia="Arial" w:hAnsi="Arial"/>
          <w:sz w:val="18"/>
          <w:szCs w:val="18"/>
          <w:b w:val="1"/>
          <w:bCs w:val="1"/>
          <w:u w:val="single" w:color="auto"/>
          <w:color w:val="auto"/>
        </w:rPr>
        <w:t>Evercore</w:t>
      </w:r>
      <w:r>
        <w:rPr>
          <w:rFonts w:ascii="Arial" w:cs="Arial" w:eastAsia="Arial" w:hAnsi="Arial"/>
          <w:sz w:val="18"/>
          <w:szCs w:val="18"/>
          <w:color w:val="auto"/>
        </w:rPr>
        <w:t>”), and one local law firm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jurisdiction outside of the United States and England &amp; Wales.</w:t>
      </w:r>
    </w:p>
    <w:p>
      <w:pPr>
        <w:spacing w:after="0" w:line="162"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any Person, any other Person that, directly or indirectly, Controls or is Controlled by or is under common Control with such Person, and shall include the meaning of “affiliate” set forth in section 101(2) of the Bankruptcy Code as if such person were a debtor. “</w:t>
      </w:r>
      <w:r>
        <w:rPr>
          <w:rFonts w:ascii="Arial" w:cs="Arial" w:eastAsia="Arial" w:hAnsi="Arial"/>
          <w:sz w:val="18"/>
          <w:szCs w:val="18"/>
          <w:b w:val="1"/>
          <w:bCs w:val="1"/>
          <w:u w:val="single" w:color="auto"/>
          <w:color w:val="auto"/>
        </w:rPr>
        <w:t>Affiliated</w:t>
      </w:r>
      <w:r>
        <w:rPr>
          <w:rFonts w:ascii="Arial" w:cs="Arial" w:eastAsia="Arial" w:hAnsi="Arial"/>
          <w:sz w:val="18"/>
          <w:szCs w:val="18"/>
          <w:color w:val="auto"/>
        </w:rPr>
        <w:t>” has a correlative meaning.</w:t>
      </w:r>
    </w:p>
    <w:p>
      <w:pPr>
        <w:spacing w:after="0" w:line="176"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Affiliated Fund</w:t>
      </w:r>
      <w:r>
        <w:rPr>
          <w:rFonts w:ascii="Arial" w:cs="Arial" w:eastAsia="Arial" w:hAnsi="Arial"/>
          <w:sz w:val="18"/>
          <w:szCs w:val="18"/>
          <w:color w:val="auto"/>
        </w:rPr>
        <w:t>” means (a) any investment fund or separately managed account the primary investment advisor or sub-advisor to which is a Commitment Party or an Affiliate thereof or (b) one or more special purpose vehicles that are wholly owned by one or more Commitment Party and its Affiliated Funds, created for the purpose of holding the Rights Offering Backstop Commitment, and in each case with respect to which such Commitment Party remains obligated to fund the Rights Offering Backstop Commitment.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Antitrust Authorities</w:t>
      </w:r>
      <w:r>
        <w:rPr>
          <w:rFonts w:ascii="Arial" w:cs="Arial" w:eastAsia="Arial" w:hAnsi="Arial"/>
          <w:sz w:val="18"/>
          <w:szCs w:val="18"/>
          <w:color w:val="auto"/>
        </w:rPr>
        <w:t>” means the United States Federal Trade Commission, the Antitrust Division of the United States Department of Justice, the attorneys general of the several states of the United States and any other Governmental Entity, whether domestic or foreign, having jurisdiction pursuant to, or enforcing, the Antitrust Laws, and “</w:t>
      </w:r>
      <w:r>
        <w:rPr>
          <w:rFonts w:ascii="Arial" w:cs="Arial" w:eastAsia="Arial" w:hAnsi="Arial"/>
          <w:sz w:val="18"/>
          <w:szCs w:val="18"/>
          <w:b w:val="1"/>
          <w:bCs w:val="1"/>
          <w:u w:val="single" w:color="auto"/>
          <w:color w:val="auto"/>
        </w:rPr>
        <w:t>Antitrust Authority</w:t>
      </w:r>
      <w:r>
        <w:rPr>
          <w:rFonts w:ascii="Arial" w:cs="Arial" w:eastAsia="Arial" w:hAnsi="Arial"/>
          <w:sz w:val="18"/>
          <w:szCs w:val="18"/>
          <w:color w:val="auto"/>
        </w:rPr>
        <w:t>” means any of them.</w:t>
      </w:r>
    </w:p>
    <w:p>
      <w:pPr>
        <w:spacing w:after="0" w:line="176"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Antitrust Laws</w:t>
      </w:r>
      <w:r>
        <w:rPr>
          <w:rFonts w:ascii="Arial" w:cs="Arial" w:eastAsia="Arial" w:hAnsi="Arial"/>
          <w:sz w:val="18"/>
          <w:szCs w:val="18"/>
          <w:color w:val="auto"/>
        </w:rPr>
        <w:t>” means the Sherman Act, the Clayton Act, the HSR Act, the Federal Trade Commission Act, and any other Law, whether domestic or foreign, governing agreements in restraint of trade, monopolization, pre-merger notification, the lessening of competition through merger or acquisition or anti-competitive conduct, and any foreign investment Laws.</w:t>
      </w:r>
    </w:p>
    <w:p>
      <w:pPr>
        <w:spacing w:after="0" w:line="176" w:lineRule="exact"/>
        <w:rPr>
          <w:sz w:val="20"/>
          <w:szCs w:val="20"/>
          <w:color w:val="auto"/>
        </w:rPr>
      </w:pPr>
    </w:p>
    <w:p>
      <w:pPr>
        <w:ind w:right="7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Available Notes</w:t>
      </w:r>
      <w:r>
        <w:rPr>
          <w:rFonts w:ascii="Arial" w:cs="Arial" w:eastAsia="Arial" w:hAnsi="Arial"/>
          <w:sz w:val="16"/>
          <w:szCs w:val="16"/>
          <w:color w:val="auto"/>
        </w:rPr>
        <w:t xml:space="preserve">” means, with respect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amount of a Defaulting Commitment Party’s Rights Offering Backstop Commitment, and with respect to </w:t>
      </w:r>
      <w:r>
        <w:rPr>
          <w:rFonts w:ascii="Arial" w:cs="Arial" w:eastAsia="Arial" w:hAnsi="Arial"/>
          <w:sz w:val="16"/>
          <w:szCs w:val="16"/>
          <w:u w:val="single" w:color="auto"/>
          <w:color w:val="auto"/>
        </w:rPr>
        <w:t>Section 6.6</w:t>
      </w:r>
      <w:r>
        <w:rPr>
          <w:rFonts w:ascii="Arial" w:cs="Arial" w:eastAsia="Arial" w:hAnsi="Arial"/>
          <w:sz w:val="16"/>
          <w:szCs w:val="16"/>
          <w:color w:val="auto"/>
        </w:rPr>
        <w:t>, the amount of a Terminating Commitment Party’s Rights Offering Backstop Commitment.</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Court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Rules</w:t>
      </w:r>
      <w:r>
        <w:rPr>
          <w:rFonts w:ascii="Arial" w:cs="Arial" w:eastAsia="Arial" w:hAnsi="Arial"/>
          <w:sz w:val="18"/>
          <w:szCs w:val="18"/>
          <w:color w:val="auto"/>
        </w:rPr>
        <w:t>” means the Federal Rules of Bankruptcy Procedure as promulgated by the United States Supreme Court under section 2075 of title 28 of the United States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Code, 28 U.S.C. § 2075, as applicable to the Chapter 11 Cases and the general, local, and chambers rules of the Bankruptcy Court.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Chapter 11 Cases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4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Commitment Party</w:t>
      </w:r>
      <w:r>
        <w:rPr>
          <w:rFonts w:ascii="Arial" w:cs="Arial" w:eastAsia="Arial" w:hAnsi="Arial"/>
          <w:sz w:val="17"/>
          <w:szCs w:val="17"/>
          <w:color w:val="auto"/>
        </w:rPr>
        <w:t>” means each Party listed as such on the Commitment Schedule. Unless the context otherwise requires, each reference herein to a Commitment Party shall be deemed also to include a reference to such Commitment Party’s Related Purchaser, if applicable.</w:t>
      </w:r>
    </w:p>
    <w:p>
      <w:pPr>
        <w:spacing w:after="0" w:line="13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Party Default</w:t>
      </w:r>
      <w:r>
        <w:rPr>
          <w:rFonts w:ascii="Arial" w:cs="Arial" w:eastAsia="Arial" w:hAnsi="Arial"/>
          <w:sz w:val="18"/>
          <w:szCs w:val="18"/>
          <w:color w:val="auto"/>
        </w:rPr>
        <w:t xml:space="preserve">” means the failure by any Commitment Party to deliver and pay an amount equal to the product of (a) the Per Note Purchase Price and (b) such Commitment Party’s Commitment Percentage multiplied by the amount of any Unsubscribed Notes, by the Escrow Account Funding Date in accordance with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Party Replacement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Party Replacement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4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Percentage</w:t>
      </w:r>
      <w:r>
        <w:rPr>
          <w:rFonts w:ascii="Arial" w:cs="Arial" w:eastAsia="Arial" w:hAnsi="Arial"/>
          <w:sz w:val="18"/>
          <w:szCs w:val="18"/>
          <w:color w:val="auto"/>
        </w:rPr>
        <w:t>” means, with respect to any Commitment Party, such Commitment Party’s pro rata portion of the Rights Offering that such Commitment Party is willing to backstop as set forth opposite such Commitment Party’s name under the column titled “Commitment Percentage” on the Commitment Schedule.</w:t>
      </w:r>
    </w:p>
    <w:p>
      <w:pPr>
        <w:spacing w:after="0" w:line="176"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 Schedule</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 as amended, supplemented or otherwise modified from time to time in accordance with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Benefit Plan</w:t>
      </w:r>
      <w:r>
        <w:rPr>
          <w:rFonts w:ascii="Arial" w:cs="Arial" w:eastAsia="Arial" w:hAnsi="Arial"/>
          <w:sz w:val="18"/>
          <w:szCs w:val="18"/>
          <w:color w:val="auto"/>
        </w:rPr>
        <w:t>” means any “employee benefit plan” (as such term is defined in Section 3(3) of ERISA), other than a Foreign Plan or a Multiemployer Plan, established, sponsored, maintained or contributed to or required to be contributed to by any Debtor.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280" w:firstLine="13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Organizational Documents</w:t>
      </w:r>
      <w:r>
        <w:rPr>
          <w:rFonts w:ascii="Arial" w:cs="Arial" w:eastAsia="Arial" w:hAnsi="Arial"/>
          <w:sz w:val="18"/>
          <w:szCs w:val="18"/>
          <w:color w:val="auto"/>
        </w:rPr>
        <w:t>” means collectively, the organizational documents of the Company including any certificate of formation or applicable articles of incorporation, limited liability company agreement, bylaws, or any similar documents.</w:t>
      </w:r>
    </w:p>
    <w:p>
      <w:pPr>
        <w:spacing w:after="0" w:line="162"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SEC Documents</w:t>
      </w:r>
      <w:r>
        <w:rPr>
          <w:rFonts w:ascii="Arial" w:cs="Arial" w:eastAsia="Arial" w:hAnsi="Arial"/>
          <w:sz w:val="18"/>
          <w:szCs w:val="18"/>
          <w:color w:val="auto"/>
        </w:rPr>
        <w:t>” means all of the reports, schedules, forms, statements and other documents (including exhibits and other information incorporated therein) filed with the SEC by the Debtors.</w:t>
      </w:r>
    </w:p>
    <w:p>
      <w:pPr>
        <w:spacing w:after="0" w:line="16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Confirmation Order</w:t>
      </w:r>
      <w:r>
        <w:rPr>
          <w:rFonts w:ascii="Arial" w:cs="Arial" w:eastAsia="Arial" w:hAnsi="Arial"/>
          <w:sz w:val="17"/>
          <w:szCs w:val="17"/>
          <w:color w:val="auto"/>
        </w:rPr>
        <w:t>” means an order of the Bankruptcy Court that is not stayed confirming the Plan pursuant to section 1129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Bankruptcy Code.</w:t>
      </w:r>
    </w:p>
    <w:p>
      <w:pPr>
        <w:spacing w:after="0" w:line="207" w:lineRule="exact"/>
        <w:rPr>
          <w:sz w:val="20"/>
          <w:szCs w:val="20"/>
          <w:color w:val="auto"/>
        </w:rPr>
      </w:pPr>
    </w:p>
    <w:p>
      <w:pPr>
        <w:ind w:right="1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agreement, contract or instrument, including any loan, note, bond, mortgage, indenture, guarantee, deed of trust, license, franchise, commitment, lease, franchise agreement, letter of intent, memorandum of understanding or other obligation, and any amendments thereto, whether written or oral, but excluding the Plan.</w:t>
      </w:r>
    </w:p>
    <w:p>
      <w:pPr>
        <w:spacing w:after="0" w:line="176" w:lineRule="exact"/>
        <w:rPr>
          <w:sz w:val="20"/>
          <w:szCs w:val="20"/>
          <w:color w:val="auto"/>
        </w:rPr>
      </w:pPr>
    </w:p>
    <w:p>
      <w:pPr>
        <w:ind w:right="50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w:t>
      </w:r>
      <w:r>
        <w:rPr>
          <w:rFonts w:ascii="Arial" w:cs="Arial" w:eastAsia="Arial" w:hAnsi="Arial"/>
          <w:sz w:val="17"/>
          <w:szCs w:val="17"/>
          <w:color w:val="auto"/>
        </w:rPr>
        <w:t>” means, with respect to any Person, the possession, directly or indirectly, of the power to direct or cause the direction of the management and policies of such Person, whether through the ownership of voting securities or by contract or agency or otherwise.</w:t>
      </w:r>
    </w:p>
    <w:p>
      <w:pPr>
        <w:spacing w:after="0" w:line="138"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Debtors</w:t>
      </w:r>
      <w:r>
        <w:rPr>
          <w:rFonts w:ascii="Arial" w:cs="Arial" w:eastAsia="Arial" w:hAnsi="Arial"/>
          <w:sz w:val="18"/>
          <w:szCs w:val="18"/>
          <w:color w:val="auto"/>
        </w:rPr>
        <w:t>” means, collectively: the Company, Weatherford International Ltd, a Bermuda exempted company, and Weatherford International, LLC, a Delaware limited liability company.</w:t>
      </w:r>
    </w:p>
    <w:p>
      <w:pPr>
        <w:spacing w:after="0" w:line="162" w:lineRule="exact"/>
        <w:rPr>
          <w:sz w:val="20"/>
          <w:szCs w:val="20"/>
          <w:color w:val="auto"/>
        </w:rPr>
      </w:pPr>
    </w:p>
    <w:p>
      <w:pPr>
        <w:ind w:right="8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Defaulting Commitment Party</w:t>
      </w:r>
      <w:r>
        <w:rPr>
          <w:rFonts w:ascii="Arial" w:cs="Arial" w:eastAsia="Arial" w:hAnsi="Arial"/>
          <w:sz w:val="18"/>
          <w:szCs w:val="18"/>
          <w:color w:val="auto"/>
        </w:rPr>
        <w:t>” means, in respect of a Commitment Party Default that is continuing, the applicable defaulting Commitment Party.</w:t>
      </w:r>
    </w:p>
    <w:p>
      <w:pPr>
        <w:spacing w:after="0" w:line="162"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Deferred Compensation Liability</w:t>
      </w:r>
      <w:r>
        <w:rPr>
          <w:rFonts w:ascii="Arial" w:cs="Arial" w:eastAsia="Arial" w:hAnsi="Arial"/>
          <w:sz w:val="16"/>
          <w:szCs w:val="16"/>
          <w:color w:val="auto"/>
        </w:rPr>
        <w:t>” means the amount, as of immediately prior to the date hereof and on and as of the Closing Date, of all distributions that may become payable in respect of any non-qualified deferred compensation plan established, maintained, sponsored, or contributed, or required to be contributed, by a Debtor or any of its Subsidiaries, including any supplemental retirement plan, and account balances thereunder.</w:t>
      </w:r>
    </w:p>
    <w:p>
      <w:pPr>
        <w:spacing w:after="0" w:line="142"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Definitive Documentation</w:t>
      </w:r>
      <w:r>
        <w:rPr>
          <w:rFonts w:ascii="Arial" w:cs="Arial" w:eastAsia="Arial" w:hAnsi="Arial"/>
          <w:sz w:val="18"/>
          <w:szCs w:val="18"/>
          <w:color w:val="auto"/>
        </w:rPr>
        <w:t>” means the definitive documents and agreements governing the Restructuring Transactions as set forth in the Restructuring Support Agreement. “</w:t>
      </w:r>
      <w:r>
        <w:rPr>
          <w:rFonts w:ascii="Arial" w:cs="Arial" w:eastAsia="Arial" w:hAnsi="Arial"/>
          <w:sz w:val="18"/>
          <w:szCs w:val="18"/>
          <w:b w:val="1"/>
          <w:bCs w:val="1"/>
          <w:u w:val="single" w:color="auto"/>
          <w:color w:val="auto"/>
        </w:rPr>
        <w:t>Definitive Documents</w:t>
      </w:r>
      <w:r>
        <w:rPr>
          <w:rFonts w:ascii="Arial" w:cs="Arial" w:eastAsia="Arial" w:hAnsi="Arial"/>
          <w:sz w:val="18"/>
          <w:szCs w:val="18"/>
          <w:color w:val="auto"/>
        </w:rPr>
        <w:t>” has a correlative meaning.</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DIP Facility</w:t>
      </w:r>
      <w:r>
        <w:rPr>
          <w:rFonts w:ascii="Arial" w:cs="Arial" w:eastAsia="Arial" w:hAnsi="Arial"/>
          <w:sz w:val="18"/>
          <w:szCs w:val="18"/>
          <w:color w:val="auto"/>
        </w:rPr>
        <w:t>” means any credit agreement for debtor-in-possession financing.</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DIP Orders</w:t>
      </w:r>
      <w:r>
        <w:rPr>
          <w:rFonts w:ascii="Arial" w:cs="Arial" w:eastAsia="Arial" w:hAnsi="Arial"/>
          <w:sz w:val="18"/>
          <w:szCs w:val="18"/>
          <w:color w:val="auto"/>
        </w:rPr>
        <w:t>” means, collectively, any Interim DIP Order, Final DIP Order, and any other interim or Final Order authorizing the Debtors to obtain postpetition financing or use cash collateral.</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Disclosure Statement</w:t>
      </w:r>
      <w:r>
        <w:rPr>
          <w:rFonts w:ascii="Arial" w:cs="Arial" w:eastAsia="Arial" w:hAnsi="Arial"/>
          <w:sz w:val="18"/>
          <w:szCs w:val="18"/>
          <w:color w:val="auto"/>
        </w:rPr>
        <w:t>” means the disclosure statement with respect to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Depositary Trust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has the meaning set forth in the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means all applicable laws (including common law), rules, regulations, codes, ordinances, orders in council, Orders, decrees, treaties, directives, judgments or legally binding agreements promulgated or entered into by or with any Governmental Entity, relating in any way to the environment, preservation or reclamation of natural resources, the generation, management, Release or threatened Release of, or exposure to, any Hazardous Material or to health and safety matters (to the extent relating to the environment or Hazardous Materials).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 Affiliate</w:t>
      </w:r>
      <w:r>
        <w:rPr>
          <w:rFonts w:ascii="Arial" w:cs="Arial" w:eastAsia="Arial" w:hAnsi="Arial"/>
          <w:sz w:val="18"/>
          <w:szCs w:val="18"/>
          <w:color w:val="auto"/>
        </w:rPr>
        <w:t>” means any trade or business (whether or not incorporated) that, together with any of the Debtors, is, or at any relevant time during the past six years was, treated as a single employer or under common control under or within the meaning of Section 414 of the Code or Section 4001 of ERISA.</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Account Funding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Commitment Party Purchaser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Exit Facilities</w:t>
      </w:r>
      <w:r>
        <w:rPr>
          <w:rFonts w:ascii="Arial" w:cs="Arial" w:eastAsia="Arial" w:hAnsi="Arial"/>
          <w:sz w:val="18"/>
          <w:szCs w:val="18"/>
          <w:color w:val="auto"/>
        </w:rPr>
        <w:t>” means, collectively (a) a secured revolving credit facility in the principal amount of up to $1,000,000,000, including a letter of credit sublimit of $500,000,000, the terms of which shall be in form and substance reasonably acceptable to the Company and the Requisite Commitment Parties, (b) the Rights Offering Notes and (c) the new senior unsecured notes in an aggregate principal amount of $1,250,000,000 (subject to the Tranche B Equity Conversion) with a 7-year maturity, on terms and conditions set forth in the Restructuring Term Sheet, and reasonably acceptable to the Company and the Requisite Commitment Parties.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Expense Reimbursement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Final DIP Order</w:t>
      </w:r>
      <w:r>
        <w:rPr>
          <w:rFonts w:ascii="Arial" w:cs="Arial" w:eastAsia="Arial" w:hAnsi="Arial"/>
          <w:sz w:val="17"/>
          <w:szCs w:val="17"/>
          <w:color w:val="auto"/>
        </w:rPr>
        <w:t>” means an Order authorizing use of cash collateral and/or debtor-in-possession financing, which is a Final Order.</w:t>
      </w:r>
    </w:p>
    <w:p>
      <w:pPr>
        <w:spacing w:after="0" w:line="237" w:lineRule="exact"/>
        <w:rPr>
          <w:sz w:val="20"/>
          <w:szCs w:val="20"/>
          <w:color w:val="auto"/>
        </w:rPr>
      </w:pPr>
    </w:p>
    <w:p>
      <w:pPr>
        <w:ind w:right="80"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Final Order</w:t>
      </w:r>
      <w:r>
        <w:rPr>
          <w:rFonts w:ascii="Arial" w:cs="Arial" w:eastAsia="Arial" w:hAnsi="Arial"/>
          <w:sz w:val="16"/>
          <w:szCs w:val="16"/>
          <w:color w:val="auto"/>
        </w:rPr>
        <w:t>” means, as applicable, an Order of the Bankruptcy Court or other court of competent jurisdiction with respect to the relevant subject matter that has not been reversed, stayed, reconsidered, readjudicated, modified, or amended, and as to which the time to appeal or seek certiorari has expired and no appeal or petition for certiorari has been timely taken, or as to which any appeal that has been taken or any petition for certiorari that has been or may be filed has been resolved by the highest court to which the Order could be appealed or from which certiorari could be sought or the new trial, reargument, or rehearing shall have been denied, resulted in no modification of such Order, or has otherwise been dismissed with prejudice.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620" w:firstLine="1297"/>
        <w:spacing w:after="0" w:line="313"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Foreign Plan”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employee pension benefit plan or any other material employee benefit, plan, program, practice,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arrangement governed by or subject to the Laws of a jurisdiction other than the United States of America.</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Funding Amount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Funding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Funding Notice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has the meaning of “governmental unit” set forth in section 101(27) of the Bankruptcy Code.</w:t>
      </w:r>
    </w:p>
    <w:p>
      <w:pPr>
        <w:spacing w:after="0" w:line="225"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means all pollutants, contaminants, wastes, chemicals, materials, substances and constituents, including explosive or radioactive substances or petroleum or any fraction thereof, petroleum distillates, petroleum products, natural gas, asbestos or asbestos containing materials, polychlorinated biphenyls or radon gas, of any nature subject to regulation or which can give rise to liability under any Environmental Law or any third party claim.</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means the Hart-Scott-Rodino Antitrust Improvements Act of 1976,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Interim DIP Order</w:t>
      </w:r>
      <w:r>
        <w:rPr>
          <w:rFonts w:ascii="Arial" w:cs="Arial" w:eastAsia="Arial" w:hAnsi="Arial"/>
          <w:sz w:val="17"/>
          <w:szCs w:val="17"/>
          <w:color w:val="auto"/>
        </w:rPr>
        <w:t>” means an Order authorizing use of cash collateral and/or debtor-in-possession financing on an interim basis.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4.28</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Joint Ventures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225" w:lineRule="exact"/>
        <w:rPr>
          <w:sz w:val="20"/>
          <w:szCs w:val="20"/>
          <w:color w:val="auto"/>
        </w:rPr>
      </w:pPr>
    </w:p>
    <w:p>
      <w:pPr>
        <w:ind w:right="5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 of the Company</w:t>
      </w:r>
      <w:r>
        <w:rPr>
          <w:rFonts w:ascii="Arial" w:cs="Arial" w:eastAsia="Arial" w:hAnsi="Arial"/>
          <w:sz w:val="18"/>
          <w:szCs w:val="18"/>
          <w:color w:val="auto"/>
        </w:rPr>
        <w:t>” means the actual knowledge, after reasonable inquiry of their direct reports, of Mark A. McCollum, Christoph Bausch, Karl Blanchard and Stuart Fraser.</w:t>
      </w:r>
    </w:p>
    <w:p>
      <w:pPr>
        <w:spacing w:after="0" w:line="162"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law (statutory or common), statute, regulation, rule, code or ordinance enacted, adopted, issued or promulgated by any Governmental Entity.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6" w:name="page17"/>
    <w:bookmarkEnd w:id="16"/>
    <w:p>
      <w:pPr>
        <w:jc w:val="both"/>
        <w:ind w:right="3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Lien</w:t>
      </w:r>
      <w:r>
        <w:rPr>
          <w:rFonts w:ascii="Arial" w:cs="Arial" w:eastAsia="Arial" w:hAnsi="Arial"/>
          <w:sz w:val="18"/>
          <w:szCs w:val="18"/>
          <w:color w:val="auto"/>
        </w:rPr>
        <w:t>” means any lien, adverse claim, charge, option, right of first refusal, servitude, security interest, mortgage, pledge, deed of trust, easement, encumbrance, restriction on transfer, conditional sale or other title retention agreement, defect in title, lien or judicial lien as defined in sections 101(36) and (37) of the Bankruptcy Code or other restrictions of a similar kind.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means any effect, change, condition, circumstance, development or event that, individually in the aggregate, has had, or would reasonably be expected to have, a material adverse effect on the business, assets, liabilities, properties or condition (financial or otherwise) of the Debtors and their Subsidiaries taken as a whole, other than any effect, change, condition, circumstance or event: (i) that has occurred prior to the date of this Agreement or that contributed to or gave rise to the filing of the Chapter 11 Cases, (ii) arising from the filing or existence of any of the Cases, or</w:t>
      </w:r>
    </w:p>
    <w:p>
      <w:pPr>
        <w:spacing w:after="0" w:line="3" w:lineRule="exact"/>
        <w:rPr>
          <w:sz w:val="20"/>
          <w:szCs w:val="20"/>
          <w:color w:val="auto"/>
        </w:rPr>
      </w:pPr>
    </w:p>
    <w:p>
      <w:pPr>
        <w:ind w:right="80" w:firstLine="8"/>
        <w:spacing w:after="0" w:line="261"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arising from compliance with the terms of this Agreement or the Restructuring Support Agreement, including without limitation, seeking approval of the Disclosure Statement, and seeking to confirm or consummate the Plan or Scheme of Arrangement.</w:t>
      </w:r>
    </w:p>
    <w:p>
      <w:pPr>
        <w:spacing w:after="0" w:line="180" w:lineRule="exact"/>
        <w:rPr>
          <w:sz w:val="20"/>
          <w:szCs w:val="20"/>
          <w:color w:val="auto"/>
        </w:rPr>
      </w:pPr>
    </w:p>
    <w:p>
      <w:pPr>
        <w:ind w:right="10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Contracts</w:t>
      </w:r>
      <w:r>
        <w:rPr>
          <w:rFonts w:ascii="Arial" w:cs="Arial" w:eastAsia="Arial" w:hAnsi="Arial"/>
          <w:sz w:val="17"/>
          <w:szCs w:val="17"/>
          <w:color w:val="auto"/>
        </w:rPr>
        <w:t>” means all “plans of acquisition, reorganization, arrangement, liquidation or succession” and “material contracts” (as such terms are defined in Items 601(b)(2) and 601(b)(10) of Regulation S-K under the Exchange Act) to which any of the Debtors is a party.</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Milestone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the Restructuring Support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4.26(a)</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Multiemployer Plan</w:t>
      </w:r>
      <w:r>
        <w:rPr>
          <w:rFonts w:ascii="Arial" w:cs="Arial" w:eastAsia="Arial" w:hAnsi="Arial"/>
          <w:sz w:val="18"/>
          <w:szCs w:val="18"/>
          <w:color w:val="auto"/>
        </w:rPr>
        <w:t>” means a multiemployer plan as defined in Section 4001(a)(3) of ERISA to which any of the Debtors or any ERISA Affiliate is making or accruing an obligation to make contributions, has within any of the preceding six plan years made or accrued an obligation to make contributions, or each such plan with respect to which any such entity has any actual or contingent liability or obligation.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Noteholders</w:t>
      </w:r>
      <w:r>
        <w:rPr>
          <w:rFonts w:ascii="Arial" w:cs="Arial" w:eastAsia="Arial" w:hAnsi="Arial"/>
          <w:sz w:val="18"/>
          <w:szCs w:val="18"/>
          <w:color w:val="auto"/>
        </w:rPr>
        <w:t>” means all holders of the Prepetition Notes Claims.</w:t>
      </w:r>
    </w:p>
    <w:p>
      <w:pPr>
        <w:spacing w:after="0" w:line="225"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 Purchase Price</w:t>
      </w:r>
      <w:r>
        <w:rPr>
          <w:rFonts w:ascii="Arial" w:cs="Arial" w:eastAsia="Arial" w:hAnsi="Arial"/>
          <w:sz w:val="18"/>
          <w:szCs w:val="18"/>
          <w:color w:val="auto"/>
        </w:rPr>
        <w:t>” means an amount equal to the product of the (a) Per Note Purchase Price and (b) the principal amount of Rights Offering Notes to be purchased.</w:t>
      </w:r>
    </w:p>
    <w:p>
      <w:pPr>
        <w:spacing w:after="0" w:line="162" w:lineRule="exact"/>
        <w:rPr>
          <w:sz w:val="20"/>
          <w:szCs w:val="20"/>
          <w:color w:val="auto"/>
        </w:rPr>
      </w:pPr>
    </w:p>
    <w:p>
      <w:pPr>
        <w:ind w:right="7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Order</w:t>
      </w:r>
      <w:r>
        <w:rPr>
          <w:rFonts w:ascii="Arial" w:cs="Arial" w:eastAsia="Arial" w:hAnsi="Arial"/>
          <w:sz w:val="18"/>
          <w:szCs w:val="18"/>
          <w:color w:val="auto"/>
        </w:rPr>
        <w:t>” means any judgment, order, award, injunction, writ, permit, license or decree of any Governmental Entity or arbitrator of applicable jurisdiction.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9.2(a)(i)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Partial Noteholder Termination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has the meaning set forth in the Preamble.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 Note Purchase Price</w:t>
      </w:r>
      <w:r>
        <w:rPr>
          <w:rFonts w:ascii="Arial" w:cs="Arial" w:eastAsia="Arial" w:hAnsi="Arial"/>
          <w:sz w:val="18"/>
          <w:szCs w:val="18"/>
          <w:color w:val="auto"/>
        </w:rPr>
        <w:t>” means $1.00 per $1.00 principal amount of Rights Offering Notes.</w:t>
      </w:r>
    </w:p>
    <w:p>
      <w:pPr>
        <w:spacing w:after="0" w:line="22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Liens</w:t>
      </w:r>
      <w:r>
        <w:rPr>
          <w:rFonts w:ascii="Arial" w:cs="Arial" w:eastAsia="Arial" w:hAnsi="Arial"/>
          <w:sz w:val="16"/>
          <w:szCs w:val="16"/>
          <w:color w:val="auto"/>
        </w:rPr>
        <w:t xml:space="preserve">” means (a) Liens for Taxes that (i) are not yet delinquent or (ii) are being contested in good faith by appropriate proceedings and for which adequate reserves have been made with respect thereto; (b) landlord’s, operator’s, vendors’, carriers’, warehousemen’s, mechanics’, materialmen’s, repairmen’s and other similar Liens for labor, materials or supplies provided with respect to any Real Property or personal property any such lien is incurred in the ordinary course of business consistent with past practice and as otherwise not prohibited under this Agreement, for amounts that are not more than sixty (60) days delinquent and that do not materially detract from the value of, or materially impair the use of, any of the Real Property or personal property of any of the Debtors; (c) zoning, building codes and other land use Laws regulating the use or occupancy of any Real Property or the activities conducted thereon that are imposed by any Governmental Entity having jurisdiction over such Real Property (but excluding any violation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zoning, building codes and other land use Laws prohibit the use or occupancy of such Real Property; (d) easements, covenants, conditions, minor encroachments, restrictions and other similar matters adversely affecting title to any Real Property and other title defects and encumbrances that do not or would not materially impair the use or occupancy of such Real Property or the operation of the Debtors’ business; (e) Liens permitted under the DIP Facility as of the date hereof; and (f) Liens that, pursuant to the Confirmation Order, will not survive beyond the Effective Date.</w:t>
      </w:r>
    </w:p>
    <w:p>
      <w:pPr>
        <w:spacing w:after="0" w:line="164"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firm, corporation (including any non-profit corporation), partnership, limited liability company, joint venture, association, trust, Governmental Entity or other entity or organization.</w:t>
      </w:r>
    </w:p>
    <w:p>
      <w:pPr>
        <w:spacing w:after="0" w:line="162" w:lineRule="exact"/>
        <w:rPr>
          <w:sz w:val="20"/>
          <w:szCs w:val="20"/>
          <w:color w:val="auto"/>
        </w:rPr>
      </w:pPr>
    </w:p>
    <w:p>
      <w:pPr>
        <w:ind w:right="18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means the Debtors’ joint plan of reorganization dated June , 2019, to be approved by the Confirmation Order, including the Plan Supplement and all exhibits, supplements, appendices and schedules thereto, which shall be in form and substance reasonably satisfactory to the Requisite Commitment Parties, as may be amended, supplemented, or modified from time to time in accordance with its terms and with the Restructuring Support Agreement and in a manner that is reasonably satisfactory to the Requisite Commitment Parties.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Supplement</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Prepetition Notes Claims</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Real Property</w:t>
      </w:r>
      <w:r>
        <w:rPr>
          <w:rFonts w:ascii="Arial" w:cs="Arial" w:eastAsia="Arial" w:hAnsi="Arial"/>
          <w:sz w:val="17"/>
          <w:szCs w:val="17"/>
          <w:color w:val="auto"/>
        </w:rPr>
        <w:t>” means, collectively, all right, title and interest (including any leasehold estate) in and to any and all parcels of or interests in real property owned in fee or leased by any of the Debtors or any of their Subsidiaries, together with, in each case, all easements, hereditaments and appurtenances relating thereto, all improvements and appurtenant fixtures incidental to the ownership or lease thereof.</w:t>
      </w:r>
    </w:p>
    <w:p>
      <w:pPr>
        <w:spacing w:after="0" w:line="158"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Related Party</w:t>
      </w:r>
      <w:r>
        <w:rPr>
          <w:rFonts w:ascii="Arial" w:cs="Arial" w:eastAsia="Arial" w:hAnsi="Arial"/>
          <w:sz w:val="18"/>
          <w:szCs w:val="18"/>
          <w:color w:val="auto"/>
        </w:rPr>
        <w:t>” means, with respect to any Person, (a) any former, current or future director, officer, agent, Affiliate, employee, general or limited partner, member, manager or stockholder of such Person and (b) any former, current or future director, officer, agent, Affiliate, employee, general or limited partner, member, manager or stockholder of any of the foregoing.</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8" w:name="page19"/>
    <w:bookmarkEnd w:id="18"/>
    <w:p>
      <w:pPr>
        <w:ind w:right="4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Related Purchaser</w:t>
      </w:r>
      <w:r>
        <w:rPr>
          <w:rFonts w:ascii="Arial" w:cs="Arial" w:eastAsia="Arial" w:hAnsi="Arial"/>
          <w:sz w:val="18"/>
          <w:szCs w:val="18"/>
          <w:color w:val="auto"/>
        </w:rPr>
        <w:t>” means, with respect to any Commitment Party, any reasonably creditworthy Affiliate or Affiliated Fund of such Commitment Party (other than any portfolio company of such Commitment Party or its Affiliates).</w:t>
      </w:r>
    </w:p>
    <w:p>
      <w:pPr>
        <w:spacing w:after="0" w:line="162"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emanating or migrating in, into, onto or through the environment. “</w:t>
      </w:r>
      <w:r>
        <w:rPr>
          <w:rFonts w:ascii="Arial" w:cs="Arial" w:eastAsia="Arial" w:hAnsi="Arial"/>
          <w:sz w:val="17"/>
          <w:szCs w:val="17"/>
          <w:b w:val="1"/>
          <w:bCs w:val="1"/>
          <w:u w:val="single" w:color="auto"/>
          <w:color w:val="auto"/>
        </w:rPr>
        <w:t>Released</w:t>
      </w:r>
      <w:r>
        <w:rPr>
          <w:rFonts w:ascii="Arial" w:cs="Arial" w:eastAsia="Arial" w:hAnsi="Arial"/>
          <w:sz w:val="17"/>
          <w:szCs w:val="17"/>
          <w:color w:val="auto"/>
        </w:rPr>
        <w:t>” has a correlative meaning.</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Replacing Commitment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Replacing Terminating Commitment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p>
    <w:p>
      <w:pPr>
        <w:spacing w:after="0" w:line="225" w:lineRule="exact"/>
        <w:rPr>
          <w:sz w:val="20"/>
          <w:szCs w:val="20"/>
          <w:color w:val="auto"/>
        </w:rPr>
      </w:pPr>
    </w:p>
    <w:p>
      <w:pPr>
        <w:jc w:val="both"/>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Representatives</w:t>
      </w:r>
      <w:r>
        <w:rPr>
          <w:rFonts w:ascii="Arial" w:cs="Arial" w:eastAsia="Arial" w:hAnsi="Arial"/>
          <w:sz w:val="18"/>
          <w:szCs w:val="18"/>
          <w:color w:val="auto"/>
        </w:rPr>
        <w:t>” means, with respect to any Person, such Person’s directors, officers, members, partners, managers, employees, agents, investment bankers, attorneys, accountants, advisors and other representatives.</w:t>
      </w:r>
    </w:p>
    <w:p>
      <w:pPr>
        <w:spacing w:after="0" w:line="162" w:lineRule="exact"/>
        <w:rPr>
          <w:sz w:val="20"/>
          <w:szCs w:val="20"/>
          <w:color w:val="auto"/>
        </w:rPr>
      </w:pPr>
    </w:p>
    <w:p>
      <w:pPr>
        <w:ind w:right="5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Requisite Commitment Parties</w:t>
      </w:r>
      <w:r>
        <w:rPr>
          <w:rFonts w:ascii="Arial" w:cs="Arial" w:eastAsia="Arial" w:hAnsi="Arial"/>
          <w:sz w:val="16"/>
          <w:szCs w:val="16"/>
          <w:color w:val="auto"/>
        </w:rPr>
        <w:t>” means the Commitment Parties holding at least sixty-six and two-thirds percent (66 2/3%) of the aggregate Rights Offering Backstop Commitments as of the date on which the consent or approval of the Requisite Commitment Parties is solicited.</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w:t>
      </w:r>
      <w:r>
        <w:rPr>
          <w:rFonts w:ascii="Arial" w:cs="Arial" w:eastAsia="Arial" w:hAnsi="Arial"/>
          <w:sz w:val="18"/>
          <w:szCs w:val="18"/>
          <w:color w:val="auto"/>
        </w:rPr>
        <w:t>” has the meaning set forth in the Restructuring Support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 Support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 Term Sheet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Restructuring Transactions</w:t>
      </w:r>
      <w:r>
        <w:rPr>
          <w:rFonts w:ascii="Arial" w:cs="Arial" w:eastAsia="Arial" w:hAnsi="Arial"/>
          <w:sz w:val="18"/>
          <w:szCs w:val="18"/>
          <w:color w:val="auto"/>
        </w:rPr>
        <w:t>” means, collectively, the transactions contemplated by the Restructuring Support Agreement.</w:t>
      </w:r>
    </w:p>
    <w:p>
      <w:pPr>
        <w:spacing w:after="0" w:line="225" w:lineRule="exact"/>
        <w:rPr>
          <w:sz w:val="20"/>
          <w:szCs w:val="20"/>
          <w:color w:val="auto"/>
        </w:rPr>
      </w:pPr>
    </w:p>
    <w:p>
      <w:pPr>
        <w:jc w:val="both"/>
        <w:ind w:right="1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w:t>
      </w:r>
      <w:r>
        <w:rPr>
          <w:rFonts w:ascii="Arial" w:cs="Arial" w:eastAsia="Arial" w:hAnsi="Arial"/>
          <w:sz w:val="18"/>
          <w:szCs w:val="18"/>
          <w:color w:val="auto"/>
        </w:rPr>
        <w:t>” means the rights offering to the Noteholders to purchase Rights Offering Notes for the Rights Offering Amount that is backstopped by the Commitment Parties in connection with the Restructuring Transactions substantially on the terms reflected in the Restructuring Support Agreement and this Agreement, and in accordance with the Rights Offering Procedures and the Plan.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Amount</w:t>
      </w:r>
      <w:r>
        <w:rPr>
          <w:rFonts w:ascii="Arial" w:cs="Arial" w:eastAsia="Arial" w:hAnsi="Arial"/>
          <w:sz w:val="18"/>
          <w:szCs w:val="18"/>
          <w:color w:val="auto"/>
        </w:rPr>
        <w:t>” means an aggregate principal amount equal to $1,250,000,000.</w:t>
      </w:r>
    </w:p>
    <w:p>
      <w:pPr>
        <w:spacing w:after="0" w:line="225"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Approval Obligations</w:t>
      </w:r>
      <w:r>
        <w:rPr>
          <w:rFonts w:ascii="Arial" w:cs="Arial" w:eastAsia="Arial" w:hAnsi="Arial"/>
          <w:sz w:val="18"/>
          <w:szCs w:val="18"/>
          <w:color w:val="auto"/>
        </w:rPr>
        <w:t>” means the obligations of the Company and the other Debtors under this Agreement and the Rights Offering Approval Order.</w:t>
      </w:r>
    </w:p>
    <w:p>
      <w:pPr>
        <w:spacing w:after="0" w:line="162" w:lineRule="exact"/>
        <w:rPr>
          <w:sz w:val="20"/>
          <w:szCs w:val="20"/>
          <w:color w:val="auto"/>
        </w:rPr>
      </w:pPr>
    </w:p>
    <w:p>
      <w:pPr>
        <w:ind w:right="6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Approval Order</w:t>
      </w:r>
      <w:r>
        <w:rPr>
          <w:rFonts w:ascii="Arial" w:cs="Arial" w:eastAsia="Arial" w:hAnsi="Arial"/>
          <w:sz w:val="18"/>
          <w:szCs w:val="18"/>
          <w:color w:val="auto"/>
        </w:rPr>
        <w:t>” means an Order of the Bankruptcy Court that is not stayed (under Bankruptcy Rule 6004(h) or otherwise) that (a) approves the Rights Offering Procedures, and (b) authorizes the Debtors to assume this Agreement pursuant to section 365 of the Bankruptcy Code, which Order may be the Confirmation Order.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Backstop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Expiration Time</w:t>
      </w:r>
      <w:r>
        <w:rPr>
          <w:rFonts w:ascii="Arial" w:cs="Arial" w:eastAsia="Arial" w:hAnsi="Arial"/>
          <w:sz w:val="18"/>
          <w:szCs w:val="18"/>
          <w:color w:val="auto"/>
        </w:rPr>
        <w:t>” means the time and the date on which the rights offering subscription forms must be duly delivered to the Rights Offering Subscription Agent in accordance with the Rights Offering Procedures and the Plan, together with the applicable aggregate Note Purchase Price, if applicable.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Rights Offering Notes</w:t>
      </w:r>
      <w:r>
        <w:rPr>
          <w:rFonts w:ascii="Arial" w:cs="Arial" w:eastAsia="Arial" w:hAnsi="Arial"/>
          <w:sz w:val="16"/>
          <w:szCs w:val="16"/>
          <w:color w:val="auto"/>
        </w:rPr>
        <w:t xml:space="preserve">” means the New Tranche A Senior Unsecured Notes as defined in the Plan and as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248"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Participants</w:t>
      </w:r>
      <w:r>
        <w:rPr>
          <w:rFonts w:ascii="Arial" w:cs="Arial" w:eastAsia="Arial" w:hAnsi="Arial"/>
          <w:sz w:val="18"/>
          <w:szCs w:val="18"/>
          <w:color w:val="auto"/>
        </w:rPr>
        <w:t>” means those Noteholders who duly subscribe for Rights Offering Notes in accordance with the Rights Offering Procedures and the Plan.</w:t>
      </w:r>
    </w:p>
    <w:p>
      <w:pPr>
        <w:spacing w:after="0" w:line="162" w:lineRule="exact"/>
        <w:rPr>
          <w:sz w:val="20"/>
          <w:szCs w:val="20"/>
          <w:color w:val="auto"/>
        </w:rPr>
      </w:pPr>
    </w:p>
    <w:p>
      <w:pPr>
        <w:ind w:right="2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Procedures</w:t>
      </w:r>
      <w:r>
        <w:rPr>
          <w:rFonts w:ascii="Arial" w:cs="Arial" w:eastAsia="Arial" w:hAnsi="Arial"/>
          <w:sz w:val="18"/>
          <w:szCs w:val="18"/>
          <w:color w:val="auto"/>
        </w:rPr>
        <w:t xml:space="preserve">” means the procedures with respect to the Rights Offering that are approved by the Bankruptcy Court pursuant to the Rights Offering Approval Order and are as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which procedures shall be reasonably satisfactory to the Requisite Commitment Parties and the Company.</w:t>
      </w:r>
    </w:p>
    <w:p>
      <w:pPr>
        <w:spacing w:after="0" w:line="176"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Subscription Agent</w:t>
      </w:r>
      <w:r>
        <w:rPr>
          <w:rFonts w:ascii="Arial" w:cs="Arial" w:eastAsia="Arial" w:hAnsi="Arial"/>
          <w:sz w:val="18"/>
          <w:szCs w:val="18"/>
          <w:color w:val="auto"/>
        </w:rPr>
        <w:t>” means Prime Clerk or another subscription agent appointed by the Company and reasonably satisfactory to the Requisite Commitment Parties.</w:t>
      </w:r>
    </w:p>
    <w:p>
      <w:pPr>
        <w:spacing w:after="0" w:line="162"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sanctions administered or enforced by the U.S. government (including without limitation, the U.S. Department of the Treasury’s Office of Foreign Assets Control or the U.S. Department of State), the United Nations Security Council, the European Union, Her Majesty’s Treasury or other applicable jurisdictions.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SOX</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Subscription Rights</w:t>
      </w:r>
      <w:r>
        <w:rPr>
          <w:rFonts w:ascii="Arial" w:cs="Arial" w:eastAsia="Arial" w:hAnsi="Arial"/>
          <w:sz w:val="18"/>
          <w:szCs w:val="18"/>
          <w:color w:val="auto"/>
        </w:rPr>
        <w:t>” means the subscription rights to purchase Rights Offering Notes.</w:t>
      </w:r>
    </w:p>
    <w:p>
      <w:pPr>
        <w:spacing w:after="0" w:line="225" w:lineRule="exact"/>
        <w:rPr>
          <w:sz w:val="20"/>
          <w:szCs w:val="20"/>
          <w:color w:val="auto"/>
        </w:rPr>
      </w:pPr>
    </w:p>
    <w:p>
      <w:pPr>
        <w:ind w:right="24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with respect to any Person, any corporation, partnership, joint venture or other legal entity as to which such Person (either alone or through or together with any other subsidiary), (a) owns, directly or indirectly, more than fifty percent (50%) of the stock or other equity interests, (b) has the power to elect a majority of the board of directors or similar governing body, or (c) has the power to direct the business and policies.</w:t>
      </w:r>
    </w:p>
    <w:p>
      <w:pPr>
        <w:spacing w:after="0" w:line="142"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all taxes, assessments, duties, levies or other mandatory governmental charges paid to a Governmental Entity, including all federal, state, local, foreign and other income, franchise, profits, gross receipts, capital gains, capital stock, transfer, property, sales, use, value-added, occupation, excise, severance, windfall profits, stamp, payroll, social security,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t>withholding and other taxes, assessments, duties, levies or other mandatory governmental charges of any kind whatsoever paid to a Governmental Entity (whether payable directly or by withholding and whether or not requiring the filing of a return), all estimated taxes, deficiency assessments, additions to tax, penalties and interest thereon and shall include any liability for such amounts as a result of being a member of a combined, consolidated, unitary or affiliated group, as successor, by contract, as withholding agent, or otherwise.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Terminating Commitment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9.2(a)(iii).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Terminating Commitment Party Replacement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Terminating Commitment Party Replacement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means to sell, transfer, assign, pledge, hypothecate, participate, donate or otherwise encumber or dispose of, directly or indirectly (including through derivatives, options, swaps, pledges, forward sales, participations or other transactions in which any Person receives the right to own or acquire) any current or future interest in a Subscription Right, a Note Claim, a Rights Offering Note, a Note or any other economic interest or right arising therefrom. “</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used as a noun has a correlative meaning.</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Unfunded Pension Liability</w:t>
      </w:r>
      <w:r>
        <w:rPr>
          <w:rFonts w:ascii="Arial" w:cs="Arial" w:eastAsia="Arial" w:hAnsi="Arial"/>
          <w:sz w:val="18"/>
          <w:szCs w:val="18"/>
          <w:color w:val="auto"/>
        </w:rPr>
        <w:t>” means the excess of a Company Benefit Plan’s amount of unfunded benefit liabilities under Section 4001(a)</w:t>
      </w:r>
    </w:p>
    <w:p>
      <w:pPr>
        <w:spacing w:after="0" w:line="27" w:lineRule="exact"/>
        <w:rPr>
          <w:sz w:val="20"/>
          <w:szCs w:val="20"/>
          <w:color w:val="auto"/>
        </w:rPr>
      </w:pPr>
    </w:p>
    <w:p>
      <w:pPr>
        <w:ind w:right="140" w:firstLine="8"/>
        <w:spacing w:after="0" w:line="26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ERISA, over the current value of that Company Benefit Plan’s assets, determined in accordance with the assumptions used for funding the Company Benefit Plan pursuant to Section 412 of the Code for the applicable plan year.</w:t>
      </w:r>
    </w:p>
    <w:p>
      <w:pPr>
        <w:spacing w:after="0" w:line="180"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Unsubscribed Notes</w:t>
      </w:r>
      <w:r>
        <w:rPr>
          <w:rFonts w:ascii="Arial" w:cs="Arial" w:eastAsia="Arial" w:hAnsi="Arial"/>
          <w:sz w:val="18"/>
          <w:szCs w:val="18"/>
          <w:color w:val="auto"/>
        </w:rPr>
        <w:t>” means the Rights Offering Notes that have not been subscribed for in the Rights Offering by Noteholders in accordance with the Rights Offering Procedures and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willful or intentional breach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In this Agreement, unless the context otherwise requires:</w:t>
      </w:r>
    </w:p>
    <w:p>
      <w:pPr>
        <w:spacing w:after="0" w:line="225" w:lineRule="exact"/>
        <w:rPr>
          <w:sz w:val="20"/>
          <w:szCs w:val="20"/>
          <w:color w:val="auto"/>
        </w:rPr>
      </w:pPr>
    </w:p>
    <w:p>
      <w:pPr>
        <w:ind w:left="80" w:right="560" w:firstLine="1306"/>
        <w:spacing w:after="0" w:line="277" w:lineRule="auto"/>
        <w:tabs>
          <w:tab w:leader="none" w:pos="194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Articles, Sections, Exhibits and Schedules are references to the articles and sections or subsections of, and the exhibits and schedules attached to, this Agreement;</w:t>
      </w:r>
    </w:p>
    <w:p>
      <w:pPr>
        <w:spacing w:after="0" w:line="170" w:lineRule="exact"/>
        <w:rPr>
          <w:rFonts w:ascii="Arial" w:cs="Arial" w:eastAsia="Arial" w:hAnsi="Arial"/>
          <w:sz w:val="18"/>
          <w:szCs w:val="18"/>
          <w:color w:val="auto"/>
        </w:rPr>
      </w:pPr>
    </w:p>
    <w:p>
      <w:pPr>
        <w:ind w:left="80" w:right="380" w:firstLine="1306"/>
        <w:spacing w:after="0" w:line="308" w:lineRule="auto"/>
        <w:tabs>
          <w:tab w:leader="none" w:pos="1951"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references in this Agreement to “writing” or comparable expressions include a reference to a written document transmitted by means of electronic mail in portable document format (pdf), facsimile transmission or comparable means of communication;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left="60" w:right="80" w:firstLine="1306"/>
        <w:spacing w:after="0" w:line="277" w:lineRule="auto"/>
        <w:tabs>
          <w:tab w:leader="none" w:pos="1934"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words expressed in the singular number shall include the plural and vice versa; words expressed in the masculine shall include the feminine and neuter gender and vice versa;</w:t>
      </w:r>
    </w:p>
    <w:p>
      <w:pPr>
        <w:spacing w:after="0" w:line="170" w:lineRule="exact"/>
        <w:rPr>
          <w:rFonts w:ascii="Arial" w:cs="Arial" w:eastAsia="Arial" w:hAnsi="Arial"/>
          <w:sz w:val="18"/>
          <w:szCs w:val="18"/>
          <w:color w:val="auto"/>
        </w:rPr>
      </w:pPr>
    </w:p>
    <w:p>
      <w:pPr>
        <w:ind w:left="60" w:right="180" w:firstLine="1306"/>
        <w:spacing w:after="0" w:line="308" w:lineRule="auto"/>
        <w:tabs>
          <w:tab w:leader="none" w:pos="193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words “hereof”, “herein”, “hereto” and “hereunder”, and words of similar import, when used in this Agreement, shall refer to this Agreement as a whole, including all Exhibits and Schedules attached to this Agreement, and not to any provision of this Agreement;</w:t>
      </w:r>
    </w:p>
    <w:p>
      <w:pPr>
        <w:spacing w:after="0" w:line="146" w:lineRule="exact"/>
        <w:rPr>
          <w:rFonts w:ascii="Arial" w:cs="Arial" w:eastAsia="Arial" w:hAnsi="Arial"/>
          <w:sz w:val="17"/>
          <w:szCs w:val="17"/>
          <w:color w:val="auto"/>
        </w:rPr>
      </w:pPr>
    </w:p>
    <w:p>
      <w:pPr>
        <w:ind w:left="60" w:right="300" w:firstLine="1306"/>
        <w:spacing w:after="0" w:line="277" w:lineRule="auto"/>
        <w:tabs>
          <w:tab w:leader="none" w:pos="19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“this Agreement” shall be construed as a reference to this Agreement as the same may have been, or may from time to time be, amended, modified, varied, novated or supplemented;</w:t>
      </w:r>
    </w:p>
    <w:p>
      <w:pPr>
        <w:spacing w:after="0" w:line="170" w:lineRule="exact"/>
        <w:rPr>
          <w:rFonts w:ascii="Arial" w:cs="Arial" w:eastAsia="Arial" w:hAnsi="Arial"/>
          <w:sz w:val="18"/>
          <w:szCs w:val="18"/>
          <w:color w:val="auto"/>
        </w:rPr>
      </w:pPr>
    </w:p>
    <w:p>
      <w:pPr>
        <w:ind w:left="1940" w:hanging="574"/>
        <w:spacing w:after="0"/>
        <w:tabs>
          <w:tab w:leader="none" w:pos="1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 “includes” and “including” are deemed to be followed by “without limitation” whether or not they are in fact followed</w:t>
      </w:r>
    </w:p>
    <w:p>
      <w:pPr>
        <w:spacing w:after="0" w:line="3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by such words;</w:t>
      </w:r>
    </w:p>
    <w:p>
      <w:pPr>
        <w:spacing w:after="0" w:line="210" w:lineRule="exact"/>
        <w:rPr>
          <w:rFonts w:ascii="Arial" w:cs="Arial" w:eastAsia="Arial" w:hAnsi="Arial"/>
          <w:sz w:val="17"/>
          <w:szCs w:val="17"/>
          <w:color w:val="auto"/>
        </w:rPr>
      </w:pPr>
    </w:p>
    <w:p>
      <w:pPr>
        <w:ind w:left="1960" w:hanging="594"/>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“day” or “days” are to calendar days;</w:t>
      </w:r>
    </w:p>
    <w:p>
      <w:pPr>
        <w:spacing w:after="0" w:line="225" w:lineRule="exact"/>
        <w:rPr>
          <w:rFonts w:ascii="Arial" w:cs="Arial" w:eastAsia="Arial" w:hAnsi="Arial"/>
          <w:sz w:val="18"/>
          <w:szCs w:val="18"/>
          <w:color w:val="auto"/>
        </w:rPr>
      </w:pPr>
    </w:p>
    <w:p>
      <w:pPr>
        <w:ind w:left="1940" w:hanging="574"/>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“the date hereof” means the date of this Agreement;</w:t>
      </w:r>
    </w:p>
    <w:p>
      <w:pPr>
        <w:spacing w:after="0" w:line="225" w:lineRule="exact"/>
        <w:rPr>
          <w:rFonts w:ascii="Arial" w:cs="Arial" w:eastAsia="Arial" w:hAnsi="Arial"/>
          <w:sz w:val="18"/>
          <w:szCs w:val="18"/>
          <w:color w:val="auto"/>
        </w:rPr>
      </w:pPr>
    </w:p>
    <w:p>
      <w:pPr>
        <w:ind w:left="60" w:right="320" w:firstLine="1306"/>
        <w:spacing w:after="0" w:line="277" w:lineRule="auto"/>
        <w:tabs>
          <w:tab w:leader="none" w:pos="194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otherwise specified, references to a statute means such statute as amended from time to time and includes any successor legislation thereto and any rules or regulations promulgated thereunder in effect from time to time; and</w:t>
      </w:r>
    </w:p>
    <w:p>
      <w:pPr>
        <w:spacing w:after="0" w:line="170" w:lineRule="exact"/>
        <w:rPr>
          <w:rFonts w:ascii="Arial" w:cs="Arial" w:eastAsia="Arial" w:hAnsi="Arial"/>
          <w:sz w:val="18"/>
          <w:szCs w:val="18"/>
          <w:color w:val="auto"/>
        </w:rPr>
      </w:pPr>
    </w:p>
    <w:p>
      <w:pPr>
        <w:ind w:left="1940" w:hanging="574"/>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“dollars” or “$” refer to currency of the United States of America, unless otherwise expressly provided.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BACKSTOP COMMITMENT</w:t>
      </w:r>
    </w:p>
    <w:p>
      <w:pPr>
        <w:spacing w:after="0" w:line="22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The Rights Offering; Subscription Rights</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308" w:lineRule="auto"/>
        <w:tabs>
          <w:tab w:leader="none" w:pos="1922"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and subject to the terms and conditions hereof, including entry of the Rights Offering Approval Order by the Bankruptcy Court, the Company shall conduct the Rights Offering pursuant to and in accordance with the Rights Offering Procedures, the Plan and this Agreement.</w:t>
      </w:r>
    </w:p>
    <w:p>
      <w:pPr>
        <w:spacing w:after="0" w:line="146" w:lineRule="exact"/>
        <w:rPr>
          <w:rFonts w:ascii="Arial" w:cs="Arial" w:eastAsia="Arial" w:hAnsi="Arial"/>
          <w:sz w:val="17"/>
          <w:szCs w:val="17"/>
          <w:color w:val="auto"/>
        </w:rPr>
      </w:pPr>
    </w:p>
    <w:p>
      <w:pPr>
        <w:ind w:left="-20" w:right="40" w:firstLine="1305"/>
        <w:spacing w:after="0" w:line="255" w:lineRule="auto"/>
        <w:tabs>
          <w:tab w:leader="none" w:pos="1932"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time to time following the commencement of the Rights Offering and prior to the Rights Offering Expiration Time (and any permitted extensions thereof), the Company shall notify, or use its commercially reasonable efforts to cause the Rights Offering Subscription Agent to notify, the Commitment Parties (within 48 hours of receipt of such request by the Company) of the aggregate number of Subscription Rights known by the Company or the Rights Offering Subscription Agent to have been exercised pursuant to the Rights Offering as of the most recent practicable time before such notification. The Rights Offering will be conducted and the offer and sale of the Unsubscribed Notes purchased by the Commitment Parties pursuant to this Agreement will be conducted, in reliance upon the exemption from registration under the Securities Act provided in Section 1145 of the Bankruptcy Code to the maximum extent permitted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by Law or otherwise in reliance upon such other exemption from the registration requirements of the Securities Act as may be applicable.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The Commitment</w:t>
      </w:r>
      <w:r>
        <w:rPr>
          <w:rFonts w:ascii="Arial" w:cs="Arial" w:eastAsia="Arial" w:hAnsi="Arial"/>
          <w:sz w:val="16"/>
          <w:szCs w:val="16"/>
          <w:color w:val="auto"/>
        </w:rPr>
        <w:t>. On and subject to the terms and conditions hereof, including entry of the Confirmation Order, each</w:t>
      </w:r>
    </w:p>
    <w:p>
      <w:pPr>
        <w:spacing w:after="0" w:line="2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Commitment Party agrees, severally and not jointly (in accordance with its Commitment Percentage), to purchase, and the Company agrees to sell to such Commitment Party (or Related Purchaser), on the Closing Date, for an amount equal to the product of (a) the Per Note Purchase Price and (b) the principal amount of Unsubscribed Notes in an amount equal to the product of (x) such Commitment Party’s Commitment Percentage and (y) the aggregate principal amount of Unsubscribed Notes, rounded among the Commitment Parties solely to avoid fractional Rights Offering Notes as the Requisite Commitment Parties may determine in their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rounding reduce the aggregate commitment of the Commitment Parties). The obligations of the Commitment Parties to purchase such Unsubscribed Notes as described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referred to as the “</w:t>
      </w:r>
      <w:r>
        <w:rPr>
          <w:rFonts w:ascii="Arial" w:cs="Arial" w:eastAsia="Arial" w:hAnsi="Arial"/>
          <w:sz w:val="16"/>
          <w:szCs w:val="16"/>
          <w:b w:val="1"/>
          <w:bCs w:val="1"/>
          <w:u w:val="single" w:color="auto"/>
          <w:color w:val="auto"/>
        </w:rPr>
        <w:t>Rights Offering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Backstop Commitment</w:t>
      </w:r>
      <w:r>
        <w:rPr>
          <w:rFonts w:ascii="Arial" w:cs="Arial" w:eastAsia="Arial" w:hAnsi="Arial"/>
          <w:sz w:val="16"/>
          <w:szCs w:val="16"/>
          <w:color w:val="auto"/>
        </w:rPr>
        <w:t>.” To the extent that the Commitment Parties are required to purchase Unsubscribed Notes in accordance with the Rights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Backstop Commitment, the Company shall provide notice of such requirement to each Commitment Party.</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Commitment Party Default; Replacement of Defaulting Commitment Parties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2"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the occurrence of a Commitment Party Default, the Commitment Parties and their respective Related Purchasers (other than any Defaulting Commitment Party) shall have the right and opportunity (but not the obligation), within five (5) Business Days (or such shorter period as may be necessary to consummate the Rights Offering in compliance with applicable securities laws and regulations) after receipt of written notice from the Company to all Commitment Parties of such Commitment Party Default, which notice shall be given promptly following the occurrence of such Commitment Party Default and to all Commitment Parties substantially concurrently (such period, the “</w:t>
      </w:r>
      <w:r>
        <w:rPr>
          <w:rFonts w:ascii="Arial" w:cs="Arial" w:eastAsia="Arial" w:hAnsi="Arial"/>
          <w:sz w:val="17"/>
          <w:szCs w:val="17"/>
          <w:b w:val="1"/>
          <w:bCs w:val="1"/>
          <w:u w:val="single" w:color="auto"/>
          <w:color w:val="auto"/>
        </w:rPr>
        <w:t>Commitment Party Replacement Period</w:t>
      </w:r>
      <w:r>
        <w:rPr>
          <w:rFonts w:ascii="Arial" w:cs="Arial" w:eastAsia="Arial" w:hAnsi="Arial"/>
          <w:sz w:val="17"/>
          <w:szCs w:val="17"/>
          <w:color w:val="auto"/>
        </w:rPr>
        <w:t>”), to make arrangements for one or more of the Commitment Parties and their respective Related Purchasers (other than the Defaulting Commitment Party) to purchase all or any portion of the Available Notes (such purchase, a “</w:t>
      </w:r>
      <w:r>
        <w:rPr>
          <w:rFonts w:ascii="Arial" w:cs="Arial" w:eastAsia="Arial" w:hAnsi="Arial"/>
          <w:sz w:val="17"/>
          <w:szCs w:val="17"/>
          <w:b w:val="1"/>
          <w:bCs w:val="1"/>
          <w:u w:val="single" w:color="auto"/>
          <w:color w:val="auto"/>
        </w:rPr>
        <w:t>Commitment Party Replacement</w:t>
      </w:r>
      <w:r>
        <w:rPr>
          <w:rFonts w:ascii="Arial" w:cs="Arial" w:eastAsia="Arial" w:hAnsi="Arial"/>
          <w:sz w:val="17"/>
          <w:szCs w:val="17"/>
          <w:color w:val="auto"/>
        </w:rPr>
        <w:t>”) on the terms and subject to the conditions set forth in this Agreement and in such amounts as may be agreed upon by all of the Commitment Parties electing to purchase all or any portion of the Available Notes, or, if no such arrangements are made, based upon the relative applicable Commitment Percentages of any such Commitment Parties and their respective Related Purchasers (other than any Defaulting Commitment Party) (such Commitment Parties the “</w:t>
      </w:r>
      <w:r>
        <w:rPr>
          <w:rFonts w:ascii="Arial" w:cs="Arial" w:eastAsia="Arial" w:hAnsi="Arial"/>
          <w:sz w:val="17"/>
          <w:szCs w:val="17"/>
          <w:b w:val="1"/>
          <w:bCs w:val="1"/>
          <w:u w:val="single" w:color="auto"/>
          <w:color w:val="auto"/>
        </w:rPr>
        <w:t>Replacing Commitment Parties</w:t>
      </w:r>
      <w:r>
        <w:rPr>
          <w:rFonts w:ascii="Arial" w:cs="Arial" w:eastAsia="Arial" w:hAnsi="Arial"/>
          <w:sz w:val="17"/>
          <w:szCs w:val="17"/>
          <w:color w:val="auto"/>
        </w:rPr>
        <w:t xml:space="preserve">”). Any Available Notes purchased by a Replacing Commitment Party (and any commitment and applicable aggregate Note Purchase Price associated therewith) shall be included, among other things, in the determination of (x) the Unsubscribed Notes of such Replacing Commitment Party for all purposes hereunder, (y) the Commitment Percentage of such Replacing Commitment Party for purposes of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(z) the Rights Offering Backstop Commitment of such Replacing Commitment Party for purposes of the definition of “Requisite Commitment Parties.” If a Commitment Party Default occurs, the Outside Date shall be delayed only to the extent necessary to allow for the Commitment Party Replacement to be completed within the Commitment Party Replacement Period and prior to the Outside Date (as so delayed).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left="100" w:right="180" w:firstLine="1287"/>
        <w:spacing w:after="0" w:line="273" w:lineRule="auto"/>
        <w:tabs>
          <w:tab w:leader="none" w:pos="18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if a Commitment Party is a Defaulting Commitment Party, or if this Agreement is terminated with respect to such Commitment Party as a result of its default hereunder, it shall be obligated to repay its ratable portion of the Commitment Payment to the Replacing Commitment Parties ratably in proportion to their respective Commitment Party Replacement (or, if there are no such Replacing Commitment Parties and this Agreement is not terminated by the Debtors as to all Commitment Parties under Section 9.3(b) hereof,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such reduction shall not reduce the amount of the Commitment Payment payable to each Commitment Party that is not a Defaulting Commitment Party.</w:t>
      </w:r>
    </w:p>
    <w:p>
      <w:pPr>
        <w:spacing w:after="0" w:line="178" w:lineRule="exact"/>
        <w:rPr>
          <w:rFonts w:ascii="Arial" w:cs="Arial" w:eastAsia="Arial" w:hAnsi="Arial"/>
          <w:sz w:val="17"/>
          <w:szCs w:val="17"/>
          <w:color w:val="auto"/>
        </w:rPr>
      </w:pPr>
    </w:p>
    <w:p>
      <w:pPr>
        <w:ind w:left="100" w:firstLine="1287"/>
        <w:spacing w:after="0" w:line="277" w:lineRule="auto"/>
        <w:tabs>
          <w:tab w:leader="none" w:pos="18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above, nothing in this Agreement shall be deemed to require a Commitment Party to pay more than its Commitment Percentage in its purchase of the Unsubscribed Notes.</w:t>
      </w:r>
    </w:p>
    <w:p>
      <w:pPr>
        <w:spacing w:after="0" w:line="170" w:lineRule="exact"/>
        <w:rPr>
          <w:rFonts w:ascii="Arial" w:cs="Arial" w:eastAsia="Arial" w:hAnsi="Arial"/>
          <w:sz w:val="18"/>
          <w:szCs w:val="18"/>
          <w:color w:val="auto"/>
        </w:rPr>
      </w:pPr>
    </w:p>
    <w:p>
      <w:pPr>
        <w:ind w:right="140" w:firstLine="1306"/>
        <w:spacing w:after="0" w:line="255" w:lineRule="auto"/>
        <w:tabs>
          <w:tab w:leader="none" w:pos="18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the avoidance of doubt, notwithstanding anything to the contrary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no provision of this Agreement shall relieve any Defaulting Commitment Party from liability hereunder, or limit the availability of the remedies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 in connection with any such Defaulting Commitment Party’s Commitment Party Default. Any Defaulting Commitment Party shall be liable to each Commitment Party that is not a Defaulting Commitment Party, and to the Company, as a result of any breach of its obligations hereunder. For the avoidance doubt, nothing in this provision shall require the Company to issue any Rights Offering Notes pursuant to this Agreement to any Defaulting Commitment Party.</w:t>
      </w:r>
    </w:p>
    <w:p>
      <w:pPr>
        <w:spacing w:after="0" w:line="193"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Assignment of Commitment Rights.</w:t>
      </w:r>
    </w:p>
    <w:p>
      <w:pPr>
        <w:spacing w:after="0" w:line="225" w:lineRule="exact"/>
        <w:rPr>
          <w:sz w:val="20"/>
          <w:szCs w:val="20"/>
          <w:color w:val="auto"/>
        </w:rPr>
      </w:pPr>
    </w:p>
    <w:p>
      <w:pPr>
        <w:ind w:left="100" w:right="80" w:firstLine="1287"/>
        <w:spacing w:after="0" w:line="273" w:lineRule="auto"/>
        <w:tabs>
          <w:tab w:leader="none" w:pos="18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Each Commitment Party shall have the right to assign, by written notice to the Company no later than two (2) Business Days prior to the Closing Date, all or any portion of its Rights Offering Backstop Commitment to one or more of its Related Purchasers, which notice of assignment shall (i) be addressed to the Company and signed by such Commitment Party and each Related Purchaser, (ii) specify the principal amount of Rights Offering Notes to be delivered to or issued in the name of each such Related Purchaser, and (iii) contain a confirmation by each such Related Purchaser of the accuracy of the representations made by each Commitment Party under this Agreement as applied to such Related Purchaser; provided that no such assignment shall relieve such Commitment Party from any of its obligations under this Agreement.</w:t>
      </w:r>
    </w:p>
    <w:p>
      <w:pPr>
        <w:spacing w:after="0" w:line="178" w:lineRule="exact"/>
        <w:rPr>
          <w:rFonts w:ascii="Arial" w:cs="Arial" w:eastAsia="Arial" w:hAnsi="Arial"/>
          <w:sz w:val="17"/>
          <w:szCs w:val="17"/>
          <w:color w:val="auto"/>
        </w:rPr>
      </w:pPr>
    </w:p>
    <w:p>
      <w:pPr>
        <w:ind w:left="100" w:right="300" w:firstLine="1287"/>
        <w:spacing w:after="0" w:line="291" w:lineRule="auto"/>
        <w:tabs>
          <w:tab w:leader="none" w:pos="18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Each Commitment Party shall have the right to Transfer all or any portion of its Rights Offering Backstop Commitment, to any other Commitment Party or such other Commitment Party’s Related Purchaser (each, an “</w:t>
      </w:r>
      <w:r>
        <w:rPr>
          <w:rFonts w:ascii="Arial" w:cs="Arial" w:eastAsia="Arial" w:hAnsi="Arial"/>
          <w:sz w:val="16"/>
          <w:szCs w:val="16"/>
          <w:b w:val="1"/>
          <w:bCs w:val="1"/>
          <w:u w:val="single" w:color="auto"/>
          <w:color w:val="auto"/>
        </w:rPr>
        <w:t>Existing Commitment Party Purchaser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ind w:left="340" w:hanging="250"/>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Existing Commitment Party Purchaser shall have been a Commitment Party or its Related Purchaser as of immediately prior to such Transfer and</w:t>
      </w:r>
    </w:p>
    <w:p>
      <w:pPr>
        <w:spacing w:after="0" w:line="32" w:lineRule="exact"/>
        <w:rPr>
          <w:rFonts w:ascii="Arial" w:cs="Arial" w:eastAsia="Arial" w:hAnsi="Arial"/>
          <w:sz w:val="16"/>
          <w:szCs w:val="16"/>
          <w:color w:val="auto"/>
        </w:rPr>
      </w:pPr>
    </w:p>
    <w:p>
      <w:pPr>
        <w:jc w:val="both"/>
        <w:ind w:left="100" w:right="160" w:hanging="10"/>
        <w:spacing w:after="0" w:line="254" w:lineRule="auto"/>
        <w:tabs>
          <w:tab w:leader="none" w:pos="3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such Existing Commitment Party Purchaser shall deliver to the Company a joinder to this Agreement, in a form reasonably acceptable to the Company and the Requisite Commitment Parties, that contains a confirmation of the accuracy of the representations made by each Commitment Party under this Agreement as applied to such Person; provided further that such assignment shall relieve such Commitment Party from all of its obligations under this Agreement.</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24" w:name="page25"/>
    <w:bookmarkEnd w:id="24"/>
    <w:p>
      <w:pPr>
        <w:ind w:left="100" w:right="160" w:firstLine="1287"/>
        <w:spacing w:after="0" w:line="277" w:lineRule="auto"/>
        <w:tabs>
          <w:tab w:leader="none" w:pos="1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no Commitment Party shall have the right to Transfer all or any portion of its Rights Offering Backstop Commitment to any Person, including the Company or any of its Affiliates.</w:t>
      </w:r>
    </w:p>
    <w:p>
      <w:pPr>
        <w:spacing w:after="0" w:line="170" w:lineRule="exact"/>
        <w:rPr>
          <w:rFonts w:ascii="Arial" w:cs="Arial" w:eastAsia="Arial" w:hAnsi="Arial"/>
          <w:sz w:val="18"/>
          <w:szCs w:val="18"/>
          <w:color w:val="auto"/>
        </w:rPr>
      </w:pPr>
    </w:p>
    <w:p>
      <w:pPr>
        <w:ind w:left="100" w:right="80" w:firstLine="1287"/>
        <w:spacing w:after="0" w:line="257" w:lineRule="auto"/>
        <w:tabs>
          <w:tab w:leader="none" w:pos="18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Parties hereby agree that, notwithstanding anything to the contrary set forth in Section 14 of the Restructuring Support Agreement, if any Commitment Party acquires additional Claims against or Interests in any Debtor from any Person that is not a Commitment Party during the period that the Restructuring Support Agreement is effective, such Commitment Party shall report its updated holdings to the legal advisors to the Company within five (5) Business Days of such acquisition. No report shall be required for any acquisition of additional Claims against or Interests in any Debtor from any Person that is a Commitment Party.</w:t>
      </w:r>
    </w:p>
    <w:p>
      <w:pPr>
        <w:spacing w:after="0" w:line="188" w:lineRule="exact"/>
        <w:rPr>
          <w:rFonts w:ascii="Arial" w:cs="Arial" w:eastAsia="Arial" w:hAnsi="Arial"/>
          <w:sz w:val="18"/>
          <w:szCs w:val="18"/>
          <w:color w:val="auto"/>
        </w:rPr>
      </w:pPr>
    </w:p>
    <w:p>
      <w:pPr>
        <w:ind w:left="100" w:firstLine="1287"/>
        <w:spacing w:after="0" w:line="259" w:lineRule="auto"/>
        <w:tabs>
          <w:tab w:leader="none" w:pos="1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avoidance of doubt, nothing in this Agreement shall restrict the ability of a Commitment Party to transfer any Rights Offering Notes (including the associated Subscription Rights) in compliance with Section 13 of the Restructuring Support Agreement, and any such transfer shall not impair or otherwise affect the rights and obligations of such Commitment Party under this Agreement, including, for the avoidance of doubt, result in any change to such Commitment Party’s Commitment Percentage.</w:t>
      </w:r>
    </w:p>
    <w:p>
      <w:pPr>
        <w:spacing w:after="0" w:line="18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Escrow Account Funding</w:t>
      </w:r>
      <w:r>
        <w:rPr>
          <w:rFonts w:ascii="Arial" w:cs="Arial" w:eastAsia="Arial" w:hAnsi="Arial"/>
          <w:sz w:val="16"/>
          <w:szCs w:val="16"/>
          <w:color w:val="auto"/>
        </w:rPr>
        <w:t>.</w:t>
      </w:r>
    </w:p>
    <w:p>
      <w:pPr>
        <w:spacing w:after="0" w:line="225" w:lineRule="exact"/>
        <w:rPr>
          <w:sz w:val="20"/>
          <w:szCs w:val="20"/>
          <w:color w:val="auto"/>
        </w:rPr>
      </w:pPr>
    </w:p>
    <w:p>
      <w:pPr>
        <w:ind w:right="120" w:firstLine="1306"/>
        <w:spacing w:after="0" w:line="281" w:lineRule="auto"/>
        <w:tabs>
          <w:tab w:leader="none" w:pos="186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Funding Notice</w:t>
      </w:r>
      <w:r>
        <w:rPr>
          <w:rFonts w:ascii="Arial" w:cs="Arial" w:eastAsia="Arial" w:hAnsi="Arial"/>
          <w:sz w:val="16"/>
          <w:szCs w:val="16"/>
          <w:color w:val="auto"/>
        </w:rPr>
        <w:t>. No later than the seventh (7</w:t>
      </w:r>
      <w:r>
        <w:rPr>
          <w:rFonts w:ascii="Arial" w:cs="Arial" w:eastAsia="Arial" w:hAnsi="Arial"/>
          <w:sz w:val="20"/>
          <w:szCs w:val="20"/>
          <w:color w:val="auto"/>
          <w:vertAlign w:val="superscript"/>
        </w:rPr>
        <w:t>th</w:t>
      </w:r>
      <w:r>
        <w:rPr>
          <w:rFonts w:ascii="Arial" w:cs="Arial" w:eastAsia="Arial" w:hAnsi="Arial"/>
          <w:sz w:val="16"/>
          <w:szCs w:val="16"/>
          <w:color w:val="auto"/>
        </w:rPr>
        <w:t>) Business Day following the Rights Offering Expiration Time, the Rights Offering Subscription Agent shall, on behalf of the Company, deliver to each Commitment Party a written notice (the “</w:t>
      </w:r>
      <w:r>
        <w:rPr>
          <w:rFonts w:ascii="Arial" w:cs="Arial" w:eastAsia="Arial" w:hAnsi="Arial"/>
          <w:sz w:val="16"/>
          <w:szCs w:val="16"/>
          <w:b w:val="1"/>
          <w:bCs w:val="1"/>
          <w:u w:val="single" w:color="auto"/>
          <w:color w:val="auto"/>
        </w:rPr>
        <w:t>Funding Notice</w:t>
      </w:r>
      <w:r>
        <w:rPr>
          <w:rFonts w:ascii="Arial" w:cs="Arial" w:eastAsia="Arial" w:hAnsi="Arial"/>
          <w:sz w:val="16"/>
          <w:szCs w:val="16"/>
          <w:color w:val="auto"/>
        </w:rPr>
        <w:t>,” and the date of such delivery, the “</w:t>
      </w:r>
      <w:r>
        <w:rPr>
          <w:rFonts w:ascii="Arial" w:cs="Arial" w:eastAsia="Arial" w:hAnsi="Arial"/>
          <w:sz w:val="16"/>
          <w:szCs w:val="16"/>
          <w:b w:val="1"/>
          <w:bCs w:val="1"/>
          <w:u w:val="single" w:color="auto"/>
          <w:color w:val="auto"/>
        </w:rPr>
        <w:t>Funding Notice Date</w:t>
      </w:r>
      <w:r>
        <w:rPr>
          <w:rFonts w:ascii="Arial" w:cs="Arial" w:eastAsia="Arial" w:hAnsi="Arial"/>
          <w:sz w:val="16"/>
          <w:szCs w:val="16"/>
          <w:color w:val="auto"/>
        </w:rPr>
        <w:t xml:space="preserve">”) (which may be delivered by email to any Commitment Party at the email address provided by such Commitment Party) setting forth (i) the principal amount of Rights Offering Notes elected to be purchased by the Rights Offering Participants, and the aggregate Note Purchase Price therefor; (ii) the aggregate principal amount of Unsubscribed Notes, if any, and the aggregate Note Purchase Price therefor; (iii) the Commitment Party’s Commitment Percentage and the aggregate principal amount of Rights Offering Notes (based upon such Commitment Party’s Commitment Percentage) to be issued and sold by the Company to such Commitment Party on account of any Unsubscribed Notes, and the aggregate Note Purchase Price therefor; (iv) if applicable, the principal amount of Rights Offering Notes such Commitment Party is subscribed for in the Rights Offering and for which such Commitment Party had not yet paid to the Rights Offering Subscription Agent the aggregate Note Purchase Price therefor, (v) the aggregate Note Purchase Price in respect of (iii) and (iv); and (vi) subject to the last sentence of </w:t>
      </w:r>
      <w:r>
        <w:rPr>
          <w:rFonts w:ascii="Arial" w:cs="Arial" w:eastAsia="Arial" w:hAnsi="Arial"/>
          <w:sz w:val="16"/>
          <w:szCs w:val="16"/>
          <w:u w:val="single" w:color="auto"/>
          <w:color w:val="auto"/>
        </w:rPr>
        <w:t>Section 2.5(b)</w:t>
      </w:r>
      <w:r>
        <w:rPr>
          <w:rFonts w:ascii="Arial" w:cs="Arial" w:eastAsia="Arial" w:hAnsi="Arial"/>
          <w:sz w:val="16"/>
          <w:szCs w:val="16"/>
          <w:color w:val="auto"/>
        </w:rPr>
        <w:t>, the escrow account designated in escrow agreements reasonably acceptable to the Company and the Requisite Commitment Parties (the “</w:t>
      </w:r>
      <w:r>
        <w:rPr>
          <w:rFonts w:ascii="Arial" w:cs="Arial" w:eastAsia="Arial" w:hAnsi="Arial"/>
          <w:sz w:val="16"/>
          <w:szCs w:val="16"/>
          <w:b w:val="1"/>
          <w:bCs w:val="1"/>
          <w:u w:val="single" w:color="auto"/>
          <w:color w:val="auto"/>
        </w:rPr>
        <w:t>Escrow Account</w:t>
      </w:r>
      <w:r>
        <w:rPr>
          <w:rFonts w:ascii="Arial" w:cs="Arial" w:eastAsia="Arial" w:hAnsi="Arial"/>
          <w:sz w:val="16"/>
          <w:szCs w:val="16"/>
          <w:color w:val="auto"/>
        </w:rPr>
        <w:t>”), to which such Commitment Party shall deliver and pay the aggregate Note Purchase Price for such Commitment Party’s Commitment Percentage of the Unsubscribed Notes and, if not previously paid, the aggregate Note Purchase Price for the Rights Offering Notes such Commitment Party has subscribed for in the Rights Offering. The Company shall promptly direct the Rights Offering Subscription Agent to provide any written backup, information and documentation relating to the information contained in the applicable Funding Notice as any Commitment Party may reasonably request.</w:t>
      </w:r>
    </w:p>
    <w:p>
      <w:pPr>
        <w:spacing w:after="0" w:line="1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25" w:name="page26"/>
    <w:bookmarkEnd w:id="25"/>
    <w:p>
      <w:pPr>
        <w:ind w:left="180" w:firstLine="1287"/>
        <w:spacing w:after="0" w:line="255" w:lineRule="auto"/>
        <w:tabs>
          <w:tab w:leader="none" w:pos="197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Escrow Account Funding</w:t>
      </w:r>
      <w:r>
        <w:rPr>
          <w:rFonts w:ascii="Arial" w:cs="Arial" w:eastAsia="Arial" w:hAnsi="Arial"/>
          <w:sz w:val="18"/>
          <w:szCs w:val="18"/>
          <w:color w:val="auto"/>
        </w:rPr>
        <w:t>. No later than the second (2nd) Business Day following receipt of the Funding Notice (the “</w:t>
      </w:r>
      <w:r>
        <w:rPr>
          <w:rFonts w:ascii="Arial" w:cs="Arial" w:eastAsia="Arial" w:hAnsi="Arial"/>
          <w:sz w:val="18"/>
          <w:szCs w:val="18"/>
          <w:b w:val="1"/>
          <w:bCs w:val="1"/>
          <w:u w:val="single" w:color="auto"/>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Account Funding Date</w:t>
      </w:r>
      <w:r>
        <w:rPr>
          <w:rFonts w:ascii="Arial" w:cs="Arial" w:eastAsia="Arial" w:hAnsi="Arial"/>
          <w:sz w:val="18"/>
          <w:szCs w:val="18"/>
          <w:color w:val="auto"/>
        </w:rPr>
        <w:t>”), each Commitment Party shall deliver and pay an amount equal to the sum of (i) the aggregate Note Purchase Price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 Party’s Commitment Percentage of the Unsubscribed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Note Purchase Price for the Rights Offering Notes issuable pursuant to such Commitment Party’s exercise of the Subscription Rights that such Commitment Party exercised in the Rights Offering (the “</w:t>
      </w:r>
      <w:r>
        <w:rPr>
          <w:rFonts w:ascii="Arial" w:cs="Arial" w:eastAsia="Arial" w:hAnsi="Arial"/>
          <w:sz w:val="18"/>
          <w:szCs w:val="18"/>
          <w:b w:val="1"/>
          <w:bCs w:val="1"/>
          <w:u w:val="single" w:color="auto"/>
          <w:color w:val="auto"/>
        </w:rPr>
        <w:t>Funding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Amount</w:t>
      </w:r>
      <w:r>
        <w:rPr>
          <w:rFonts w:ascii="Arial" w:cs="Arial" w:eastAsia="Arial" w:hAnsi="Arial"/>
          <w:sz w:val="18"/>
          <w:szCs w:val="18"/>
          <w:color w:val="auto"/>
        </w:rPr>
        <w:t>”), by wire transfer of immediately available funds in U.S. dollars into the Escrow Account in satisfaction of such Commitment Party’s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Backstop Commitment and the Subscription Rights that such Commitment Party exercised. If the Closing does not occur, all amounts deposited by the Commitment Parties in the Escrow Account shall be returned promptly to the Commitment Parties in accordance with the terms of the escrow agreement.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ind w:left="80" w:right="80" w:firstLine="1306"/>
        <w:spacing w:after="0" w:line="257" w:lineRule="auto"/>
        <w:tabs>
          <w:tab w:leader="none" w:pos="19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unless otherwise mutually agreed in writing between the Debtors and the Requisite Commitment Parties, the closing of the Rights Offering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shall take place electronically at 10:00 a.m., New York City time, on the date on which all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or waived in accordance with this Agreement (other than conditions that by their terms are to be satisfied at the Closing, but subject to the satisfaction or waiver of such conditions). The date on which the Closing actually occurs shall be referred to herein as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960" w:hanging="574"/>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Closing, the funds held in the Escrow Account shall be released and utilized in accordance with the Plan.</w:t>
      </w:r>
    </w:p>
    <w:p>
      <w:pPr>
        <w:spacing w:after="0" w:line="225" w:lineRule="exact"/>
        <w:rPr>
          <w:rFonts w:ascii="Arial" w:cs="Arial" w:eastAsia="Arial" w:hAnsi="Arial"/>
          <w:sz w:val="18"/>
          <w:szCs w:val="18"/>
          <w:color w:val="auto"/>
        </w:rPr>
      </w:pPr>
    </w:p>
    <w:p>
      <w:pPr>
        <w:jc w:val="both"/>
        <w:ind w:left="180" w:right="60" w:firstLine="1287"/>
        <w:spacing w:after="0" w:line="279" w:lineRule="auto"/>
        <w:tabs>
          <w:tab w:leader="none" w:pos="1973" w:val="left"/>
        </w:tabs>
        <w:numPr>
          <w:ilvl w:val="1"/>
          <w:numId w:val="17"/>
        </w:numPr>
        <w:rPr>
          <w:rFonts w:ascii="Arial" w:cs="Arial" w:eastAsia="Arial" w:hAnsi="Arial"/>
          <w:sz w:val="17"/>
          <w:szCs w:val="17"/>
          <w:color w:val="auto"/>
        </w:rPr>
      </w:pPr>
      <w:r>
        <w:rPr>
          <w:rFonts w:ascii="Arial" w:cs="Arial" w:eastAsia="Arial" w:hAnsi="Arial"/>
          <w:sz w:val="17"/>
          <w:szCs w:val="17"/>
          <w:color w:val="auto"/>
        </w:rPr>
        <w:t>At the Closing, the Debtors shall take all necessary actions with the New Senior Unsecured Notes Indenture Trustee and DTC to have the Rights Offering Notes be issued in book-entry form, and shall notify the Commitment Parties of any actions required to be taken by, or on behalf of the Commitment Parties through their respective brokers, for the Rights Offering Notes purchased by the Commitment Parties on the Closing Date to be credited to the respective accounts of the Commitment Parties in accordance with applicable procedures of DTC.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BACKSTOP COMMITMENT PAYMENT AND EXPENSE REIMBURSEMENT</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Amount Payable by the Debtors</w:t>
      </w:r>
      <w:r>
        <w:rPr>
          <w:rFonts w:ascii="Arial" w:cs="Arial" w:eastAsia="Arial" w:hAnsi="Arial"/>
          <w:sz w:val="17"/>
          <w:szCs w:val="17"/>
          <w:color w:val="auto"/>
        </w:rPr>
        <w:t>. In consideration for the Rights Offering Backstop Commitments and the other agreements of the Commitment Parties in this Agreement, the Debtors have paid or caused to be paid on or prior to the execution of this Agreement, an aggregate payment in an amount equal to $62,500,000.00, which payment has been paid in cash to the Commitment Parties or their designees based upon their respective Commitment Percentages (the “</w:t>
      </w:r>
      <w:r>
        <w:rPr>
          <w:rFonts w:ascii="Arial" w:cs="Arial" w:eastAsia="Arial" w:hAnsi="Arial"/>
          <w:sz w:val="17"/>
          <w:szCs w:val="17"/>
          <w:b w:val="1"/>
          <w:bCs w:val="1"/>
          <w:u w:val="single" w:color="auto"/>
          <w:color w:val="auto"/>
        </w:rPr>
        <w:t>Commitment Payment</w:t>
      </w:r>
      <w:r>
        <w:rPr>
          <w:rFonts w:ascii="Arial" w:cs="Arial" w:eastAsia="Arial" w:hAnsi="Arial"/>
          <w:sz w:val="17"/>
          <w:szCs w:val="17"/>
          <w:color w:val="auto"/>
        </w:rPr>
        <w:t xml:space="preserve">”). The Commitment Payment is and has been fully earned, nonrefundable (except as otherwise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9.4(b)</w:t>
      </w:r>
      <w:r>
        <w:rPr>
          <w:rFonts w:ascii="Arial" w:cs="Arial" w:eastAsia="Arial" w:hAnsi="Arial"/>
          <w:sz w:val="17"/>
          <w:szCs w:val="17"/>
          <w:color w:val="auto"/>
        </w:rPr>
        <w:t xml:space="preserve"> of this Agreement) and non-avoidable and has been paid by the Debtors, free and clear of any withholding or deduction for any applicable Taxes or any other claim, setoff, or reserve. The Commitment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ind w:right="120"/>
        <w:spacing w:after="0" w:line="286" w:lineRule="auto"/>
        <w:rPr>
          <w:sz w:val="20"/>
          <w:szCs w:val="20"/>
          <w:color w:val="auto"/>
        </w:rPr>
      </w:pPr>
      <w:r>
        <w:rPr>
          <w:rFonts w:ascii="Arial" w:cs="Arial" w:eastAsia="Arial" w:hAnsi="Arial"/>
          <w:sz w:val="17"/>
          <w:szCs w:val="17"/>
          <w:color w:val="auto"/>
        </w:rPr>
        <w:t>Payment has been paid regardless of the principal amount of Unsubscribed Notes (if any) actually existing or purchased. The provisions for the payment of the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Expense Reimbursement</w:t>
      </w:r>
      <w:r>
        <w:rPr>
          <w:rFonts w:ascii="Arial" w:cs="Arial" w:eastAsia="Arial" w:hAnsi="Arial"/>
          <w:sz w:val="16"/>
          <w:szCs w:val="16"/>
          <w:color w:val="auto"/>
        </w:rPr>
        <w:t>. Until the earlier to occur of (i) the Closing and (ii) the termination of this Agreement in accordance with its terms, regardless of whether the Restructuring Transactions are consummated, the Debtors agree to pay in cash (i) all reasonable and documented out-of-pocket fees and expenses (including travel costs and expenses) of all of the Advisors incurred on behalf of the Commitment Parties in connection with the Cases and/or the Restructuring (whether incurred before or after the Petition Date), including the negotiation, preparation and implementation of the Transaction Agreements and the other agreements and transactions contemplated hereby and thereby, in each case, in accordance with the engagement letters of such Advisor signed by the Debtors, including, without limitation, any success fees earned and payable under such engagement letters, and in each case, without further order of, or application to, the Bankruptcy Court by such Advisors, as applicable and (ii) any applicable filing or other similar fees required to be paid in all applicable jurisdictions (such payment obligations, the “</w:t>
      </w: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w:t>
      </w:r>
    </w:p>
    <w:p>
      <w:pPr>
        <w:spacing w:after="0" w:line="166" w:lineRule="exact"/>
        <w:rPr>
          <w:sz w:val="20"/>
          <w:szCs w:val="20"/>
          <w:color w:val="auto"/>
        </w:rPr>
      </w:pPr>
    </w:p>
    <w:p>
      <w:pPr>
        <w:ind w:firstLine="1306"/>
        <w:spacing w:after="0" w:line="259" w:lineRule="auto"/>
        <w:tabs>
          <w:tab w:leader="none" w:pos="18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Simultaneously with the execution of this Agreement, the Debtors shall pay (i) all reasonable and documented fees and expenses of Akin Gump incurred or estimated to be incurred prior to and including the date hereof and (ii) an amount equal to $1,000,000 to Akin Gump (the “</w:t>
      </w:r>
      <w:r>
        <w:rPr>
          <w:rFonts w:ascii="Arial" w:cs="Arial" w:eastAsia="Arial" w:hAnsi="Arial"/>
          <w:sz w:val="18"/>
          <w:szCs w:val="18"/>
          <w:b w:val="1"/>
          <w:bCs w:val="1"/>
          <w:u w:val="single" w:color="auto"/>
          <w:color w:val="auto"/>
        </w:rPr>
        <w:t>Akin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Advance Payment</w:t>
      </w:r>
      <w:r>
        <w:rPr>
          <w:rFonts w:ascii="Arial" w:cs="Arial" w:eastAsia="Arial" w:hAnsi="Arial"/>
          <w:sz w:val="18"/>
          <w:szCs w:val="18"/>
          <w:color w:val="auto"/>
        </w:rPr>
        <w:t>”) and an amount equal to $1,000,000 to Evercore (the “</w:t>
      </w:r>
      <w:r>
        <w:rPr>
          <w:rFonts w:ascii="Arial" w:cs="Arial" w:eastAsia="Arial" w:hAnsi="Arial"/>
          <w:sz w:val="18"/>
          <w:szCs w:val="18"/>
          <w:b w:val="1"/>
          <w:bCs w:val="1"/>
          <w:u w:val="single" w:color="auto"/>
          <w:color w:val="auto"/>
        </w:rPr>
        <w:t>Evercore Advance Payment</w:t>
      </w:r>
      <w:r>
        <w:rPr>
          <w:rFonts w:ascii="Arial" w:cs="Arial" w:eastAsia="Arial" w:hAnsi="Arial"/>
          <w:sz w:val="18"/>
          <w:szCs w:val="18"/>
          <w:color w:val="auto"/>
        </w:rPr>
        <w:t>”) and such amounts shall be considered as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w:t>
      </w:r>
    </w:p>
    <w:p>
      <w:pPr>
        <w:spacing w:after="0" w:line="186" w:lineRule="exact"/>
        <w:rPr>
          <w:rFonts w:ascii="Arial" w:cs="Arial" w:eastAsia="Arial" w:hAnsi="Arial"/>
          <w:sz w:val="18"/>
          <w:szCs w:val="18"/>
          <w:color w:val="auto"/>
        </w:rPr>
      </w:pPr>
    </w:p>
    <w:p>
      <w:pPr>
        <w:ind w:right="60" w:firstLine="1306"/>
        <w:spacing w:after="0" w:line="270" w:lineRule="auto"/>
        <w:tabs>
          <w:tab w:leader="none" w:pos="18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as of the earlier of the Closing or the termination of this Agreement in accordance with Article IX, as applicable, and after the application of the Akin Advance Payment or the Evercore Advance Payment, as applicable, to fees and expenses of Akin Gump and/or Evercore included in the Expense Reimbursement, there remain outstanding amounts in the Akin Advance Payment or the Evercore Advance Payment, as applicable (any such amount the “</w:t>
      </w:r>
      <w:r>
        <w:rPr>
          <w:rFonts w:ascii="Arial" w:cs="Arial" w:eastAsia="Arial" w:hAnsi="Arial"/>
          <w:sz w:val="17"/>
          <w:szCs w:val="17"/>
          <w:b w:val="1"/>
          <w:bCs w:val="1"/>
          <w:u w:val="single" w:color="auto"/>
          <w:color w:val="auto"/>
        </w:rPr>
        <w:t>Advance Payment Surplus</w:t>
      </w:r>
      <w:r>
        <w:rPr>
          <w:rFonts w:ascii="Arial" w:cs="Arial" w:eastAsia="Arial" w:hAnsi="Arial"/>
          <w:sz w:val="17"/>
          <w:szCs w:val="17"/>
          <w:color w:val="auto"/>
        </w:rPr>
        <w:t>”), then Akin Gump and/or Evercore, as applicable, shall repay their portion (if any) of the Advance Payment Surplus to the Company either within ten (10) days of Closing or within ten (10) days following the termination of this Agreement in accordance with Article IX, as applicable; provided, that, in the event Closing occurs, the “</w:t>
      </w:r>
      <w:r>
        <w:rPr>
          <w:rFonts w:ascii="Arial" w:cs="Arial" w:eastAsia="Arial" w:hAnsi="Arial"/>
          <w:sz w:val="17"/>
          <w:szCs w:val="17"/>
          <w:b w:val="1"/>
          <w:bCs w:val="1"/>
          <w:u w:val="single" w:color="auto"/>
          <w:color w:val="auto"/>
        </w:rPr>
        <w:t>Expense Reimbursement</w:t>
      </w:r>
      <w:r>
        <w:rPr>
          <w:rFonts w:ascii="Arial" w:cs="Arial" w:eastAsia="Arial" w:hAnsi="Arial"/>
          <w:sz w:val="17"/>
          <w:szCs w:val="17"/>
          <w:color w:val="auto"/>
        </w:rPr>
        <w:t>” shall also include (for all purposes including determination of the existence of an Advance Payment Surplus) all fees and expenses reasonably expected to be incurred by Akin Gump and/or Evercore, as applicable, related to the Restructuring Transactions following Closing (such portion of the Expense Reimbursement in such scenario, the “</w:t>
      </w:r>
      <w:r>
        <w:rPr>
          <w:rFonts w:ascii="Arial" w:cs="Arial" w:eastAsia="Arial" w:hAnsi="Arial"/>
          <w:sz w:val="17"/>
          <w:szCs w:val="17"/>
          <w:b w:val="1"/>
          <w:bCs w:val="1"/>
          <w:u w:val="single" w:color="auto"/>
          <w:color w:val="auto"/>
        </w:rPr>
        <w:t>Post-Closing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which shall be paid in connection with Closing as an advance payment.</w:t>
      </w:r>
    </w:p>
    <w:p>
      <w:pPr>
        <w:spacing w:after="0" w:line="181" w:lineRule="exact"/>
        <w:rPr>
          <w:rFonts w:ascii="Arial" w:cs="Arial" w:eastAsia="Arial" w:hAnsi="Arial"/>
          <w:sz w:val="17"/>
          <w:szCs w:val="17"/>
          <w:color w:val="auto"/>
        </w:rPr>
      </w:pPr>
    </w:p>
    <w:p>
      <w:pPr>
        <w:jc w:val="both"/>
        <w:ind w:right="140" w:firstLine="1306"/>
        <w:spacing w:after="0" w:line="264" w:lineRule="auto"/>
        <w:tabs>
          <w:tab w:leader="none" w:pos="18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Expense Reimbursement incurred by Akin Gump or Evercore in excess of the Akin Advance Payment or Evercore Advance Payment (including for Post-Closing Expenses), as applicable, and any other Expense Reimbursement due to any other person, shall be due and payable by the Company contemporaneously with Closing and shall not be due and payable prior thereto.</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DEBTORS</w:t>
      </w:r>
    </w:p>
    <w:p>
      <w:pPr>
        <w:spacing w:after="0" w:line="22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Except as disclosed in the Company SEC Documents filed with the SEC on or after December 31, 2017 and publicly available on the SEC’s Electronic Data-Gathering, Analysis and Retrieval system prior to the date hereof (excluding any disclosures contained in the “Forward-Looking Statements” or “Risk Factors” sections thereof, or any other statements that are similarly predictive, cautionary or forward looking in nature), the Company, on behalf of itself and each of the other Debtors, jointly and severally, hereby represents and warrants to the Commitment Parties (unless otherwise set forth herein, as of the date of this Agreement and as of the Closing Date) as set forth below.</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of the Debtors and each of their Subsidiaries (a) is a duly organized and validly existing public limited corporation, limited liability company, exempted company, corporation, limited partnership or other such form of entity, as the case may be, and, if applicable, in good standing (or the equivalent thereof) under the Laws of the jurisdiction of its incorporation or organization (except where the failure to have such authority or qualification would not reasonably be expected to have, individually or in the aggregate, a Material Adverse Effect), (b) has the public limited corporate, limited liability company, exempted company, corporate, limited partnership or other applicable power and authority to own its property and assets and to transact the business in which it is currently engaged and presently proposes to engage and (c) except where the failure to have such authority or qualification would not reasonably be expected to have, individually or in the aggregate, a Material Adverse Effect, is duly qualified and is authorized to do business and is in good standing in each jurisdiction where the conduct of its business as currently conducted requires such qualifications.</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Corporate Power and Authority</w:t>
      </w:r>
      <w:r>
        <w:rPr>
          <w:rFonts w:ascii="Arial" w:cs="Arial" w:eastAsia="Arial" w:hAnsi="Arial"/>
          <w:sz w:val="16"/>
          <w:szCs w:val="16"/>
          <w:color w:val="auto"/>
        </w:rPr>
        <w:t>. Each of the Debtors has the requisite power and authority (corporate or otherwise) (i) (A) subject to entry of the Rights Offering Approval Order, the Confirmation Order, and any other applicable orders of the Bankruptcy Court, to enter into, execute and deliver this Agreement and to perform the Rights Offering Approval Obligations and (B) subject to entry of the Rights Offering Approval Order, the Confirmation Order, and any other applicable orders of the Bankruptcy Court, to perform each of its other obligations hereunder and (ii) subject to entry of the Rights Offering Approval Order, the Confirmation Order, and any other applicable orders of the Bankruptcy Court, to consummate the transactions contemplated herein and in the Plan, to enter into, execute and deliver all agreements to which it will be a party as contemplated by this Agreement and the Plan (this Agreement, the Plan, the Disclosure Statement, the debtor-in-possession credit agreement for the DIP Facility to be entered into in accordance with the DIP Orders, the Exit Facilities, and such other agreements and any Plan supplements or documents referred to herein or therein or hereunder or thereunder, collectively with the Restructuring Support Agreement, the “</w:t>
      </w:r>
      <w:r>
        <w:rPr>
          <w:rFonts w:ascii="Arial" w:cs="Arial" w:eastAsia="Arial" w:hAnsi="Arial"/>
          <w:sz w:val="16"/>
          <w:szCs w:val="16"/>
          <w:b w:val="1"/>
          <w:bCs w:val="1"/>
          <w:u w:val="single" w:color="auto"/>
          <w:color w:val="auto"/>
        </w:rPr>
        <w:t>Transaction Agreements</w:t>
      </w:r>
      <w:r>
        <w:rPr>
          <w:rFonts w:ascii="Arial" w:cs="Arial" w:eastAsia="Arial" w:hAnsi="Arial"/>
          <w:sz w:val="16"/>
          <w:szCs w:val="16"/>
          <w:color w:val="auto"/>
        </w:rPr>
        <w:t>”) and to perform its obligations under each of the Transaction Agreements (other than this Agreement). Subject to the receipt of the foregoing Orders, as applicable, the execution and delivery of this Agreement and each of the other Transaction Agreements and the consummation of the transactions contemplated hereby and thereby have been or will be duly authorized by all requisite corporate action on behalf of the Debtors and no other corporate proceedings on the part of the Debtors are or will be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left="80"/>
        <w:spacing w:after="0"/>
        <w:rPr>
          <w:sz w:val="20"/>
          <w:szCs w:val="20"/>
          <w:color w:val="auto"/>
        </w:rPr>
      </w:pPr>
      <w:r>
        <w:rPr>
          <w:rFonts w:ascii="Arial" w:cs="Arial" w:eastAsia="Arial" w:hAnsi="Arial"/>
          <w:sz w:val="16"/>
          <w:szCs w:val="16"/>
          <w:color w:val="auto"/>
        </w:rPr>
        <w:t>necessary to authorize this Agreement or any of the other Transaction Agreements or to consummate the transactions contemplated hereby or thereby.</w:t>
      </w:r>
    </w:p>
    <w:p>
      <w:pPr>
        <w:spacing w:after="0" w:line="24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Execution and Delivery; Enforceability</w:t>
      </w:r>
      <w:r>
        <w:rPr>
          <w:rFonts w:ascii="Arial" w:cs="Arial" w:eastAsia="Arial" w:hAnsi="Arial"/>
          <w:sz w:val="17"/>
          <w:szCs w:val="17"/>
          <w:color w:val="auto"/>
        </w:rPr>
        <w:t>. Each of the Debtors that has entered into this Agreement or any other Transaction Agreement, as applicable, has the requisite power and authority (corporate or otherwise) to enter into, execute and deliver this Agreement and, subject to entry of the Confirmation Order, each other Transaction Agreement to which it is a party. This Agreement will constitute, and each other Transaction Agreement upon execution will constitute, valid and legally binding obligations of the Debtors, as applicable, that are parties hereto or thereto, enforceable against the Debtors, as applicable, in accordance with their respective terms, except as enforceability may be limited by bankruptcy, insolvency, reorganization or other similar laws limiting creditors’ rights generally or by equitable principles relating to enforceability.</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Authorized and Issued Equity Interests</w:t>
      </w:r>
      <w:r>
        <w:rPr>
          <w:rFonts w:ascii="Arial" w:cs="Arial" w:eastAsia="Arial" w:hAnsi="Arial"/>
          <w:sz w:val="16"/>
          <w:szCs w:val="16"/>
          <w:color w:val="auto"/>
        </w:rPr>
        <w:t>.</w:t>
      </w:r>
    </w:p>
    <w:p>
      <w:pPr>
        <w:spacing w:after="0" w:line="225" w:lineRule="exact"/>
        <w:rPr>
          <w:sz w:val="20"/>
          <w:szCs w:val="20"/>
          <w:color w:val="auto"/>
        </w:rPr>
      </w:pPr>
    </w:p>
    <w:p>
      <w:pPr>
        <w:ind w:left="80" w:right="40" w:firstLine="1306"/>
        <w:spacing w:after="0" w:line="257" w:lineRule="auto"/>
        <w:tabs>
          <w:tab w:leader="none" w:pos="19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the outstanding shares of capital stock of each of the Debtors are duly authorized, validly issued, fully paid, and nonassessable, and all such shares (other than those of the Company) are owned by the Company or another wholly owned subsidiary of the Company free and clear of all liens, preemptive rights, rights of first refusal, subscription, and similar rights that would not be cancelled and extinguished on or prior to the Effective Date except as shall be permitted under the Plan or as shall be described in the Disclosure Statement (including liens granted under the exit financing obtained by the Debtors).</w:t>
      </w:r>
    </w:p>
    <w:p>
      <w:pPr>
        <w:spacing w:after="0" w:line="188" w:lineRule="exact"/>
        <w:rPr>
          <w:rFonts w:ascii="Arial" w:cs="Arial" w:eastAsia="Arial" w:hAnsi="Arial"/>
          <w:sz w:val="18"/>
          <w:szCs w:val="18"/>
          <w:color w:val="auto"/>
        </w:rPr>
      </w:pPr>
    </w:p>
    <w:p>
      <w:pPr>
        <w:ind w:right="20" w:firstLine="1386"/>
        <w:spacing w:after="0" w:line="287"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set forth in the Company SEC Documents, the Company Organizational Documents and this Agreement, as of the Closing Date, none of the Debtors or any of their respective Subsidiaries will be party to or otherwise bound by or subject to any outstanding option, warrant, call, right, security, commitment, Contract, arrangement or undertaking (including any preemptive right) that (i) obligates the Debtors or their respective Subsidiaries to issue, deliver, sell or transfer, or repurchase, redeem or otherwise acquire, or cause to be issued, delivered, sold or transferred, or repurchased, redeemed or otherwise acquired, any units or shares of the capital stock of, or other equity or voting interests in, any of the Debtors or their respective Subsidiaries or any security convertible or exercisable for or exchangeable into any units or capital stock of, or other equity or voting interest in, any of the Debtors or their respective Subsidiaries, (ii) obligates any of the Debtors or their respective Subsidiaries to issue, grant, extend or enter into any such option, warrant, call, right, security, commitment, Contract, arrangement or undertaking, (iii) restricts the Transfer of any units or shares of capital stock of any of the Debtors or their respective Subsidiaries (other than any restrictions included in the Exit Facilities or any corresponding pledge agreement or in the organizational documents of any joint venture of the Debtors or their subsidiaries) or (iv) relates to the voting of any equity interests in any of the Debtors or their respective Subsidiaries, except as to voting rights attendant to any such equity interests or as set forth in the organizational documents thereof.</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The Rights Offering Notes</w:t>
      </w:r>
      <w:r>
        <w:rPr>
          <w:rFonts w:ascii="Arial" w:cs="Arial" w:eastAsia="Arial" w:hAnsi="Arial"/>
          <w:sz w:val="18"/>
          <w:szCs w:val="18"/>
          <w:color w:val="auto"/>
        </w:rPr>
        <w:t>. The Rights Offering Notes to be purchased by the Commitment Parties from the Debtors will (A) on the Closing Date, be in the form contemplated by the indenture governing such Rights Offering Notes, have been duly authorized for issuance and sale pursuant to this Agreement and the Indenture governing such Rights Offering Notes and (B) at the Closing Date, will have been duly executed by the Debtors and, when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ind w:right="60"/>
        <w:spacing w:after="0" w:line="270" w:lineRule="auto"/>
        <w:rPr>
          <w:sz w:val="20"/>
          <w:szCs w:val="20"/>
          <w:color w:val="auto"/>
        </w:rPr>
      </w:pPr>
      <w:r>
        <w:rPr>
          <w:rFonts w:ascii="Arial" w:cs="Arial" w:eastAsia="Arial" w:hAnsi="Arial"/>
          <w:sz w:val="17"/>
          <w:szCs w:val="17"/>
          <w:color w:val="auto"/>
        </w:rPr>
        <w:t>authenticated in the manner provided for in the Indenture governing such Rights Offering Notes and delivered against payment of the purchase price therefor, will constitute valid and binding obligations of the Company, except as enforceability may be limited by bankruptcy, insolvency, reorganization or other similar laws limiting creditors’ rights generally or by equitable principles relating to enforceability. The guarantees by the guarantors (the “</w:t>
      </w:r>
      <w:r>
        <w:rPr>
          <w:rFonts w:ascii="Arial" w:cs="Arial" w:eastAsia="Arial" w:hAnsi="Arial"/>
          <w:sz w:val="17"/>
          <w:szCs w:val="17"/>
          <w:b w:val="1"/>
          <w:bCs w:val="1"/>
          <w:u w:val="single" w:color="auto"/>
          <w:color w:val="auto"/>
        </w:rPr>
        <w:t>Guarantees</w:t>
      </w:r>
      <w:r>
        <w:rPr>
          <w:rFonts w:ascii="Arial" w:cs="Arial" w:eastAsia="Arial" w:hAnsi="Arial"/>
          <w:sz w:val="17"/>
          <w:szCs w:val="17"/>
          <w:color w:val="auto"/>
        </w:rPr>
        <w:t>”) on the Closing Date when issued will be in the respective forms contemplated by the Indenture governing such Guarantee and have been duly authorized for issuance pursuant to the Indenture governing such Guarantee; the Guarantees, at the Closing Date, have been duly executed by each of the guarantors and, when the applicable Rights Offering Notes have been authenticated in the manner provided for in the Indenture governing such Guarantee and issued and delivered against payment of the purchase price therefor, such Guarantee will constitute a valid and binding agreement of the applicable guarantor, enforceable against such guarantor in accordance with its terms, except as enforceability may be limited by bankruptcy, insolvency, reorganization or other similar laws limiting creditors’ rights generally or by equitable principles relating to enforceability.</w:t>
      </w:r>
    </w:p>
    <w:p>
      <w:pPr>
        <w:spacing w:after="0" w:line="182"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Assuming the consents described in clauses (a) through (e) of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are obtained, the execution and delivery by the Company and, if applicable, any other Debtor, of this Agreement, the Plan and the other Transaction Agreements, the compliance by the Company and, if applicable, any other Debtor, with the provisions hereof and thereof and the consummation of the transactions contemplated herein and therein will not</w:t>
      </w:r>
    </w:p>
    <w:p>
      <w:pPr>
        <w:ind w:right="80" w:firstLine="8"/>
        <w:spacing w:after="0" w:line="268"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conflict with, or result in a breach, modification or violation of, any of the terms or provisions of, or constitute a default under (with or without notice or lapse of time, or both), or result, except to the extent specified in the Plan, in the acceleration of, or the creation of any Lien under, or cause any payment or consent to be required under any Contract to which any Debtor will be bound as of the Closing Date after giving effect to the Plan or to which any of the property or assets of any Debtor will be subject as of the Closing Date after giving effect to the Plan, (b) result in any violation of the provisions of any of the Debtors’ organizational documents (in the case of each of (a) and (b), other than, for the avoidance of doubt, a breach or default that would be triggered as a result of the Cases or the Company’s or any Debtor’s undertaking to implement the Restructuring Transactions through the Cases), or (c) result in any violation of any Law or Order applicable to any Debtor or any of their properties, except in each of the cases described in clause (a) or (c) for any conflict, breach, modification, violation, default, acceleration or Lien which would not reasonably be expected to have, individually or in the aggregate, a Material Adverse Effect and would not materially and adversely affect the ability of the Debtors to perform their obligations under, or to consummate the transactions contemplated by, the Transaction Agreements, including the Rights Offering.</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consent, approval, authorization, Order, registration or qualification of or with any Governmental Entity having jurisdiction over any of the Debtors or any of their properties is required for the execution and delivery by the Company and, to the extent relevant, the other Debtors, of this Agreement, the Plan and the other Transaction Agreements, the compliance by the Company and, to the extent relevant, the other Debtors, with the provisions hereof and thereof and the consummation of the transactions contemplated herein and therein, except for (a) the entry of the Rights Offering Approval Order authorizing the Debtors to assume this Agreement and perform the Rights Offering Approval Obligations, (b) entry by the Bankruptcy Court, or any other court of competent jurisdiction, of Orders as may be necessary in the Cases from time-to-time; (c) the entry of the Confirmation Order, (d) filings, notifications,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20"/>
        <w:spacing w:after="0" w:line="255" w:lineRule="auto"/>
        <w:rPr>
          <w:sz w:val="20"/>
          <w:szCs w:val="20"/>
          <w:color w:val="auto"/>
        </w:rPr>
      </w:pPr>
      <w:r>
        <w:rPr>
          <w:rFonts w:ascii="Arial" w:cs="Arial" w:eastAsia="Arial" w:hAnsi="Arial"/>
          <w:sz w:val="18"/>
          <w:szCs w:val="18"/>
          <w:color w:val="auto"/>
        </w:rPr>
        <w:t>authorizations, approvals, consents, clearances or termination or expiration of all applicable waiting periods under any Antitrust Laws in connection with the transactions contemplated by this Agreement, (e) such consents, approvals, authorizations, registrations or qualifications as may be required under state securities or “Blue Sky” Laws in connection with the purchase of the Unsubscribed Notes by the Commitment Parties, the issuance of the Subscription Rights, the issuance of the Rights Offering Notes pursuant to the exercise of the Subscription Rights or the issuance of Rights Offering Notes as payment of the Commitment Payment and (f) any consents, that if not made or obtained, would not reasonably be expected to have, individually or in the aggregate, a Material Adverse Effect.</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Arm’s-Length</w:t>
      </w:r>
      <w:r>
        <w:rPr>
          <w:rFonts w:ascii="Arial" w:cs="Arial" w:eastAsia="Arial" w:hAnsi="Arial"/>
          <w:sz w:val="16"/>
          <w:szCs w:val="16"/>
          <w:color w:val="auto"/>
        </w:rPr>
        <w:t>. The Debtors acknowledge and agree that (a) each of the Commitment Parties is acting solely in the capacity of an arm’s-length contractual counterparty to the Debtors with respect to the transactions contemplated hereby (including in connection with determining the terms of the Rights Offering) and not as a financial advisor or a fiduciary to, or an agent of, the Company or any of its Subsidiaries and (b) no Commitment Party is advising the Company or any of its Subsidiaries as to any legal, tax, investment, accounting or regulatory matters in any jurisdiction.</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audited consolidated balance sheets of the Company as at December 31, 2018 and the related consolidated statements of operations and of cash flows for the fiscal year then ended, as filed with the SEC (the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 in each case, present fairly in all material respects the consolidated financial condition of the Company as at such date, and the consolidated results of its operations and its consolidated cash flows for the fiscal year then ended. All such Financial Statements, including the related schedules and notes thereto, have been prepared in accordance with GAAP applied consistently throughout the periods involved (except as disclosed therein).</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The Debtors and each of their Subsidiaries, if applicable, have filed with or furnished to the SEC all reports, schedules, forms, statements and other documents (including exhibits and other information incorporated therein) required to be filed or furnished by them since December 31, 2017 under the Exchange Act or the Securities Act. As of their respective dates, and, if amended, as of the date of the last such amendment, each of the Company SEC Documents, including any financial statements or schedules included therein, (a) did not contain any untrue statement of a material fact or omit to state a material fact required to be stated in such Company SEC Document or necessary in order to make the statements in such Company SEC Document, in light of the circumstances under which they were made, not misleading and (b) complied in all material respects with the applicable requirements of the Exchange Act, the Securities Act and the Sarbanes-Oxley Act of 2002 (“</w:t>
      </w:r>
      <w:r>
        <w:rPr>
          <w:rFonts w:ascii="Arial" w:cs="Arial" w:eastAsia="Arial" w:hAnsi="Arial"/>
          <w:sz w:val="17"/>
          <w:szCs w:val="17"/>
          <w:b w:val="1"/>
          <w:bCs w:val="1"/>
          <w:u w:val="single" w:color="auto"/>
          <w:color w:val="auto"/>
        </w:rPr>
        <w:t>SOX</w:t>
      </w:r>
      <w:r>
        <w:rPr>
          <w:rFonts w:ascii="Arial" w:cs="Arial" w:eastAsia="Arial" w:hAnsi="Arial"/>
          <w:sz w:val="17"/>
          <w:szCs w:val="17"/>
          <w:color w:val="auto"/>
        </w:rPr>
        <w:t>”), as the case may be, and the applicable rules and regulations of the SEC under the Exchange Act, the Securities Act and SOX, as the case may be.</w:t>
      </w:r>
    </w:p>
    <w:p>
      <w:pPr>
        <w:spacing w:after="0" w:line="17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December 31, 2018, no event, development, occurrence, circumstance, effect, condition, result, state of facts or change has occurred or exists that has had or would be reasonably expected to have, individually or in the aggregate,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firstLine="648"/>
        <w:spacing w:after="0" w:line="25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No Violation; Compliance with Laws</w:t>
      </w:r>
      <w:r>
        <w:rPr>
          <w:rFonts w:ascii="Arial" w:cs="Arial" w:eastAsia="Arial" w:hAnsi="Arial"/>
          <w:sz w:val="18"/>
          <w:szCs w:val="18"/>
          <w:color w:val="auto"/>
        </w:rPr>
        <w:t>. (a) The Company is not in violation of its charter or bylaws, and (b) no other Debtor or any of its Subsidiaries is in violation of its respective charter or bylaws, certificate of formation or limited liability company operating agreement or similar organizational document in any material respect. None of the Debtors or their Subsidiaries is or has been at any time since December 31, 2017 in violation of any Law or Order, except for any such violations that have not had and would not reasonably be expected to have, individually or in the aggregate, a Material Adverse Effect.</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Legal Proceedings</w:t>
      </w:r>
      <w:r>
        <w:rPr>
          <w:rFonts w:ascii="Arial" w:cs="Arial" w:eastAsia="Arial" w:hAnsi="Arial"/>
          <w:sz w:val="17"/>
          <w:szCs w:val="17"/>
          <w:color w:val="auto"/>
        </w:rPr>
        <w:t>. Other than the Cases and any adversary proceedings or contested motions commenced in connection therewith, (a) there are no material legal, governmental, administrative, judicial or regulatory investigations, audits, actions, suits, claims, arbitrations, demands, demand letters, claims, notices of noncompliance or violations, or proceedings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 pending or, to the Knowledge of the Company, threatened to which any of the Debtors or their Subsidiaries is a party or to which any property of any of the Debtors or their Subsidiaries is the subject which, if adversely determined, could reasonably be expected to have, individually or in the aggregate, a Material Adverse Effect and would not materially and adversely affect the ability of the Debtors to perform their obligations under, or to consummate the transactions contemplated by, the Transaction Agreements, including the Rights Offering, and (b) no event, development, occurrence, circumstance, effect, condition, result, state of facts or change has occurred or circumstances exist that may give rise to, or serve as a basis for, any such Legal Proceeding, in each case that in any manner draws into question the validity or enforceability of this Agreement, the Plan or the other Transaction Agreements or that would reasonably be expected to have, in the aggregate, a Material Adverse Effect.</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Labor Relations</w:t>
      </w:r>
      <w:r>
        <w:rPr>
          <w:rFonts w:ascii="Arial" w:cs="Arial" w:eastAsia="Arial" w:hAnsi="Arial"/>
          <w:sz w:val="16"/>
          <w:szCs w:val="16"/>
          <w:color w:val="auto"/>
        </w:rPr>
        <w:t>. Except as would not reasonably be expected to have, individually or in the aggregate, a Material Adverse Effect:</w:t>
      </w:r>
    </w:p>
    <w:p>
      <w:pPr>
        <w:spacing w:after="0" w:line="23" w:lineRule="exact"/>
        <w:rPr>
          <w:sz w:val="20"/>
          <w:szCs w:val="20"/>
          <w:color w:val="auto"/>
        </w:rPr>
      </w:pPr>
    </w:p>
    <w:p>
      <w:pPr>
        <w:ind w:firstLine="8"/>
        <w:spacing w:after="0" w:line="267" w:lineRule="auto"/>
        <w:tabs>
          <w:tab w:leader="none" w:pos="2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are no strikes or other labor disputes pending or, to the Knowledge of the Company, threatened against any of the Debtors or their respective Subsidiaries; (b) to the Knowledge of the Company, the hours worked and payments made to employees of any of the Debtors or any of their respective Subsidiaries have not been in violation of the Fair Labor Standards Act of 1938 or any other applicable Law dealing with such matters; (c) all payments due from any of the Debtors or their Subsidiaries or for which any claim may be made against any of the Debtors or their Subsidiaries, on account of wages and employee health and welfare insurance and other benefits have been paid or accrued as a liability on the books of any of the Debtors or their respective Subsidiaries, as applicable, to the extent required by GAAP; (d) each of the Debtors and their Subsidiaries has complied and is currently in compliance with all Laws and legal requirements in respect of personnel, employment and employment practices (including for purposes of classification); and (e) the Debtors and their respective Subsidiaries have not and are not engaged in any unfair labor practice. Except as would not reasonably be expected to have, individually or in the aggregate, a Material Adverse Effect, the consummation of the transactions contemplated by the Transaction Agreements will not give rise to a right of termination or right of renegotiation on the part of any union under any material collective bargaining agreement to which any of the Debtors (or any predecessor) or any of their respective Subsidiaries is a party or by which any of the Debtors (or any predecessor) or any of their respective Subsidiaries is bound.</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would not reasonably be expected to have, individually or in the aggregate, a Material Adverse Effect, (a) each of the Debtors and each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2" w:name="page33"/>
    <w:bookmarkEnd w:id="32"/>
    <w:p>
      <w:pPr>
        <w:spacing w:after="0" w:line="284" w:lineRule="auto"/>
        <w:rPr>
          <w:sz w:val="20"/>
          <w:szCs w:val="20"/>
          <w:color w:val="auto"/>
        </w:rPr>
      </w:pPr>
      <w:r>
        <w:rPr>
          <w:rFonts w:ascii="Arial" w:cs="Arial" w:eastAsia="Arial" w:hAnsi="Arial"/>
          <w:sz w:val="16"/>
          <w:szCs w:val="16"/>
          <w:color w:val="auto"/>
        </w:rPr>
        <w:t>their Subsidiaries owns, or possesses the right to use, all of the patents, patent rights, trademarks, service marks, trade names, copyrights, mask works, domain names, and any and all applications or registrations for any of the foregoing (collectively, “</w:t>
      </w:r>
      <w:r>
        <w:rPr>
          <w:rFonts w:ascii="Arial" w:cs="Arial" w:eastAsia="Arial" w:hAnsi="Arial"/>
          <w:sz w:val="16"/>
          <w:szCs w:val="16"/>
          <w:b w:val="1"/>
          <w:bCs w:val="1"/>
          <w:u w:val="single" w:color="auto"/>
          <w:color w:val="auto"/>
        </w:rPr>
        <w:t>Intellectual Property Rights</w:t>
      </w:r>
      <w:r>
        <w:rPr>
          <w:rFonts w:ascii="Arial" w:cs="Arial" w:eastAsia="Arial" w:hAnsi="Arial"/>
          <w:sz w:val="16"/>
          <w:szCs w:val="16"/>
          <w:color w:val="auto"/>
        </w:rPr>
        <w:t>”) that are reasonably necessary for the operation of their respective businesses, without infringement upon the rights of any other Person (of which any of the Debtors and their Subsidiaries has been notified in writing), (b) to the Knowledge of the Company, none of the Debtors nor their respective Subsidiaries nor any Intellectual Property Right, proprietary right, product, process, method, substance, part, or other material now employed, sold or offered by or contemplated to be employed, sold or offered by such Person, is interfering with, infringing upon, misappropriating or otherwise violating any valid Intellectual Property Rights of any Person, and</w:t>
      </w:r>
    </w:p>
    <w:p>
      <w:pPr>
        <w:spacing w:after="0" w:line="5"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claim or litigation regarding any of the foregoing is pending or, to the Knowledge of the Company, threatened.</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4.16</w:t>
      </w:r>
      <w:r>
        <w:rPr>
          <w:rFonts w:ascii="Arial" w:cs="Arial" w:eastAsia="Arial" w:hAnsi="Arial"/>
          <w:sz w:val="16"/>
          <w:szCs w:val="16"/>
          <w:u w:val="single" w:color="auto"/>
          <w:color w:val="auto"/>
        </w:rPr>
        <w:t>Title to Real and Personal Property</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right="100" w:firstLine="1305"/>
        <w:spacing w:after="0" w:line="254" w:lineRule="auto"/>
        <w:tabs>
          <w:tab w:leader="none" w:pos="194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Each of the Debtors and each of their respective Subsidiaries has valid fee simple title to, or a valid leasehold interest in, or valid easements or other limited property interests in, all of its Real Properties and has valid title to its personal properties and assets, in each case, except for Permitted Liens and except for defects in title that do not materially interfere with its ability to conduct its business as currently conducted or to utilize such properties and assets for their intended purposes, and except where the failure (or failures) to have such title would not reasonably be expected to have, individually or in the aggregate, a Material Adverse Effect; provided, however, the enforceability of the Debtors’ leasehold title in any leased Real Properties may be limited by applicable bankruptcy, insolvency, fraudulent transfer, reorganization, moratorium and other laws affecting creditor’s rights generally or general principles of equity, including the Cases. To the Knowledge of the Company, all such properties and assets are free and clear of Liens, other than Permitted Liens.</w:t>
      </w:r>
    </w:p>
    <w:p>
      <w:pPr>
        <w:spacing w:after="0" w:line="192" w:lineRule="exact"/>
        <w:rPr>
          <w:rFonts w:ascii="Arial" w:cs="Arial" w:eastAsia="Arial" w:hAnsi="Arial"/>
          <w:sz w:val="18"/>
          <w:szCs w:val="18"/>
          <w:color w:val="auto"/>
        </w:rPr>
      </w:pPr>
    </w:p>
    <w:p>
      <w:pPr>
        <w:ind w:right="60" w:firstLine="1305"/>
        <w:spacing w:after="0" w:line="291" w:lineRule="auto"/>
        <w:tabs>
          <w:tab w:leader="none" w:pos="195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Other than as a consequence of the Cases, each of the Debtors and each of their respective Subsidiaries is in compliance with all obligations under all leases to which it is a party that have not been rejected in the Cases, except where the failure to comply would not reasonably be expected to have, individually or in the aggregate, a Material Adverse Effect, and none of the Debtors or their Subsidiaries has received written notice of any good faith claim asserting that such leases are not in full force and effect, except leases in respect of which the failure to be in full force and effect would not reasonably be expected to have, individually or in the aggregate, a Material Adverse Effect. Each of the Debtors and each of their Subsidiaries enjoys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167" w:lineRule="exact"/>
        <w:rPr>
          <w:rFonts w:ascii="Arial" w:cs="Arial" w:eastAsia="Arial" w:hAnsi="Arial"/>
          <w:sz w:val="16"/>
          <w:szCs w:val="16"/>
          <w:color w:val="auto"/>
        </w:rPr>
      </w:pPr>
    </w:p>
    <w:p>
      <w:pPr>
        <w:jc w:val="both"/>
        <w:ind w:firstLine="1305"/>
        <w:spacing w:after="0" w:line="279" w:lineRule="auto"/>
        <w:tabs>
          <w:tab w:leader="none" w:pos="1955"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Other than as a consequence of the Cases, each of the Debtors and each of their Subsidiaries owns or possesses the right to use all of its personal property, including all Intellectual Property Rights and all licenses and rights with respect to any of the foregoing used in the conduct of their businesses, without any conflict (of which any of the Debtors and their Subsidiaries has been notified in writing) with the rights of others, and free from any burdensome restrictions on the present conduct of the Debtors or their respective Subsidiaries, 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the case may be, except where such conflicts and restrictions would not reasonably be expected to have, individually or in the aggregate, a Material Adverse Effect.</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No Undisclosed Relationships</w:t>
      </w:r>
      <w:r>
        <w:rPr>
          <w:rFonts w:ascii="Arial" w:cs="Arial" w:eastAsia="Arial" w:hAnsi="Arial"/>
          <w:sz w:val="17"/>
          <w:szCs w:val="17"/>
          <w:color w:val="auto"/>
        </w:rPr>
        <w:t>. There are no Contracts or other direct or indirect relationships existing as of the date hereof between or among any of the Debtors or their Subsidiaries, on the one hand, and any director, officer or greater than five percent (5%) stockholder of any of the Debtors, or Affiliate thereof, on the other hand that is required by the Exchange Act to be described in the Company’s filings with the SEC and that is not so described. A correct and complete copy of any Contract existing as of the date hereof between or among any of the Debtors or their Subsidiaries, on the one hand, and any director, officer or greater than five percent (5%) stockholder of any of the Debtors or their Subsidiaries, or Affiliate thereof, on the other hand, that is required by the Exchange Act to be described in the Company’s filings with the SEC is filed as an exhibit to, or incorporated by reference as indicated in, the Annual Report on Form 10-K for the fiscal year ended December 31, 2018 or such subsequently filed Quarterly Report on Form 10-Q or Current Report on Form 8-K.</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The Debtors and their Subsidiaries possess all licenses, certificates, permits and other authorizations issued by, have made all declarations and filings with and have maintained all financial assurances required by, the appropriate Governmental Entities that are necessary for the ownership or lease of their respective properties and the conduct of the business, except where the failure to possess, make or give the same would not reasonably be expected to have, individually or in the aggregate, a Material Adverse Effect. None of the Debtors or their Subsidiaries (a) has received notice of any revocation or modification of any such license, certificate, permit or authorization or (b) has any reason to believe that any such license, certificate, permit or authorization will not be renewed in the ordinary course except to the extent that any of the foregoing would not reasonably be expected to have, individually or in the aggregate, a Material Adverse Effect.</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6"/>
          <w:szCs w:val="16"/>
          <w:u w:val="single" w:color="auto"/>
          <w:color w:val="auto"/>
        </w:rPr>
        <w:t>Environmental</w:t>
      </w:r>
      <w:r>
        <w:rPr>
          <w:rFonts w:ascii="Arial" w:cs="Arial" w:eastAsia="Arial" w:hAnsi="Arial"/>
          <w:sz w:val="16"/>
          <w:szCs w:val="16"/>
          <w:color w:val="auto"/>
        </w:rPr>
        <w:t>. Except as would not reasonably be expected to have, individually or in the aggregate, a Material Adverse Effect:</w:t>
      </w:r>
    </w:p>
    <w:p>
      <w:pPr>
        <w:spacing w:after="0" w:line="23" w:lineRule="exact"/>
        <w:rPr>
          <w:sz w:val="20"/>
          <w:szCs w:val="20"/>
          <w:color w:val="auto"/>
        </w:rPr>
      </w:pPr>
    </w:p>
    <w:p>
      <w:pPr>
        <w:ind w:firstLine="8"/>
        <w:spacing w:after="0" w:line="286"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written notice, claim, demand, request for information, Order, complaint or penalty has been received by any of the Debtors or their Subsidiaries, and there are no Legal Proceedings pending or, to the Knowledge of the Company, threatened which allege a violation of or liability under any Environmental Laws (including with respect to exposure to Hazardous Materials), in each case relating to any of the Debtors or their Subsidiaries, (b) each Debtor and each of their respective Subsidiaries has received (including timely application for renewal of the same), and maintained in full force and effect, all environmental permits, licenses and other approvals, and has maintained all financial assurances, in each case to the extent necessary for its operations to comply with all applicable Environmental Laws and is, and since January 1, 2017, has been, in compliance with the terms of such permits, licenses and other approvals and with all applicable Environmental Laws, (c) to the Knowledge of the Company, no Hazardous Material is located at, on or under any property currently or formerly owned, operated or leased by any of the Debtors or their Subsidiaries that has given rise or would reasonably be expected to give rise to any cost, liability or obligation of any of the Debtors under any Environmental Laws, (d) to the Knowledge of the Company, no Hazardous Material has been Released, generated, owned, treated, stored, transported or handled by any of the Debtors or their Subsidiaries, and none of the Debtors or their Subsidiaries has arranged for or permitted the disposal of Hazardous Material at any location in a manner that has given rise or would reasonably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ind w:right="20"/>
        <w:spacing w:after="0" w:line="276" w:lineRule="auto"/>
        <w:rPr>
          <w:sz w:val="20"/>
          <w:szCs w:val="20"/>
          <w:color w:val="auto"/>
        </w:rPr>
      </w:pPr>
      <w:r>
        <w:rPr>
          <w:rFonts w:ascii="Arial" w:cs="Arial" w:eastAsia="Arial" w:hAnsi="Arial"/>
          <w:sz w:val="17"/>
          <w:szCs w:val="17"/>
          <w:color w:val="auto"/>
        </w:rPr>
        <w:t xml:space="preserve">be expected to give rise to any cost, liability or obligation of any of the Debtors or their Subsidiaries under any Environmental Laws, and (e) no agreements in which any of the Debtors or their Subsidiaries has expressly assumed responsibility for any known obligation of any other Person arising under or relating to Environmental Laws that remains unresolved. Notwithstanding the generality of any other representations and warranties in this Agreement, the representations and warranties in this </w:t>
      </w:r>
      <w:r>
        <w:rPr>
          <w:rFonts w:ascii="Arial" w:cs="Arial" w:eastAsia="Arial" w:hAnsi="Arial"/>
          <w:sz w:val="17"/>
          <w:szCs w:val="17"/>
          <w:u w:val="single" w:color="auto"/>
          <w:color w:val="auto"/>
        </w:rPr>
        <w:t>Section 4.19</w:t>
      </w:r>
      <w:r>
        <w:rPr>
          <w:rFonts w:ascii="Arial" w:cs="Arial" w:eastAsia="Arial" w:hAnsi="Arial"/>
          <w:sz w:val="17"/>
          <w:szCs w:val="17"/>
          <w:color w:val="auto"/>
        </w:rPr>
        <w:t xml:space="preserve"> constitute the sole and exclusive representations and warranties in this Agreement with respect to any environmental, health or safety matters, including any arising under or relating to Environmental Laws.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right="100" w:firstLine="1305"/>
        <w:spacing w:after="0" w:line="264" w:lineRule="auto"/>
        <w:tabs>
          <w:tab w:leader="none" w:pos="20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Except as would not reasonably be expected to be material to the Debtors and their Subsidiaries taken as a whole, (i) each of the Debtors and their Subsidiaries have filed or caused to be filed all U.S. federal, state, provincial, local and non-U.S. Tax returns required to have been filed by it and (ii) taken as a whole, each such Tax return is true and correct.</w:t>
      </w:r>
    </w:p>
    <w:p>
      <w:pPr>
        <w:spacing w:after="0" w:line="181" w:lineRule="exact"/>
        <w:rPr>
          <w:rFonts w:ascii="Arial" w:cs="Arial" w:eastAsia="Arial" w:hAnsi="Arial"/>
          <w:sz w:val="18"/>
          <w:szCs w:val="18"/>
          <w:color w:val="auto"/>
        </w:rPr>
      </w:pPr>
    </w:p>
    <w:p>
      <w:pPr>
        <w:ind w:right="20" w:firstLine="1305"/>
        <w:spacing w:after="0" w:line="276" w:lineRule="auto"/>
        <w:tabs>
          <w:tab w:leader="none" w:pos="20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of the Debtors and their Subsidiaries has timely paid or caused to be timely paid all Taxes shown to be due and payable by it on the returns referred to in clause (a) and all other Taxes or assessments (or made adequate provision (in accordance with GAAP) for the payment of all Taxes due) with respect to all periods or portions thereof ending on or before the date hereof, which Taxes, if not paid or adequately provided for, would reasonably be expected to be material to the Debtors taken as a whole, excluding Taxes being contested in good faith by appropriate proceedings and for which the Debtors or their Subsidiaries have set aside on their books adequate reserves in accordance with GAAP.</w:t>
      </w:r>
    </w:p>
    <w:p>
      <w:pPr>
        <w:spacing w:after="0" w:line="172" w:lineRule="exact"/>
        <w:rPr>
          <w:rFonts w:ascii="Arial" w:cs="Arial" w:eastAsia="Arial" w:hAnsi="Arial"/>
          <w:sz w:val="17"/>
          <w:szCs w:val="17"/>
          <w:color w:val="auto"/>
        </w:rPr>
      </w:pPr>
    </w:p>
    <w:p>
      <w:pPr>
        <w:ind w:right="20" w:firstLine="1305"/>
        <w:spacing w:after="0" w:line="291" w:lineRule="auto"/>
        <w:tabs>
          <w:tab w:leader="none" w:pos="20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As of the date hereof, with respect to the Debtors, other than in connection with the Cases and other than Taxes or assessments that are being contested in good faith and are not expected to result in significant negative adjustments that would be material to the Debtors taken as a whole,</w:t>
      </w:r>
    </w:p>
    <w:p>
      <w:pPr>
        <w:ind w:right="260" w:firstLine="8"/>
        <w:spacing w:after="0" w:line="255"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claims have been asserted in writing with respect to any material Taxes, (ii) no presently effective waivers or extensions of statutes of limitation with respect to Taxes have been given or requested and (iii) no Tax returns are being examined by, and no written notification of intention to examine has been received from, the IRS or any other Governmental Entity.</w:t>
      </w:r>
    </w:p>
    <w:p>
      <w:pPr>
        <w:spacing w:after="0" w:line="190" w:lineRule="exact"/>
        <w:rPr>
          <w:rFonts w:ascii="Arial" w:cs="Arial" w:eastAsia="Arial" w:hAnsi="Arial"/>
          <w:sz w:val="18"/>
          <w:szCs w:val="18"/>
          <w:color w:val="auto"/>
        </w:rPr>
      </w:pPr>
    </w:p>
    <w:p>
      <w:pPr>
        <w:ind w:firstLine="1305"/>
        <w:spacing w:after="0" w:line="293" w:lineRule="auto"/>
        <w:tabs>
          <w:tab w:leader="none" w:pos="2033"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None of the Debtors nor any of their Subsidiaries will be required to include any material item of income in, or exclude any material item of deduction from, taxable income for a taxable period (or portion thereof) ending after the Closing Date as a result of any (1) installment sale or open transaction disposition made or entered into prior to the Closing, (2) prepaid amount received prior to the Closing, (3) election under Section 108(i) of the Code (or any similar provision of state, local or non-U.S. Law), or (4) any adjustment pursuant to Section 481(a) of the Code (or any similar provision of state, local or non-U.S. Law) made or requested prior to the Closing or, to the Knowledge of the Company, proposed by any Governmental Entity prior to the Closing. None of the Debtors and their Subsidiaries has any material liability pursuant to or attributable to Section 965 of the Code.</w:t>
      </w:r>
    </w:p>
    <w:p>
      <w:pPr>
        <w:spacing w:after="0" w:line="164" w:lineRule="exact"/>
        <w:rPr>
          <w:rFonts w:ascii="Arial" w:cs="Arial" w:eastAsia="Arial" w:hAnsi="Arial"/>
          <w:sz w:val="16"/>
          <w:szCs w:val="16"/>
          <w:color w:val="auto"/>
        </w:rPr>
      </w:pPr>
    </w:p>
    <w:p>
      <w:pPr>
        <w:ind w:right="60" w:firstLine="1305"/>
        <w:spacing w:after="0" w:line="277" w:lineRule="auto"/>
        <w:tabs>
          <w:tab w:leader="none" w:pos="203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Debtors and each Subsidiary have complied in all material respects with all applicable laws, rules, and regulations relating to the payment and withholding of Taxes,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160"/>
        <w:spacing w:after="0" w:line="277" w:lineRule="auto"/>
        <w:rPr>
          <w:sz w:val="20"/>
          <w:szCs w:val="20"/>
          <w:color w:val="auto"/>
        </w:rPr>
      </w:pPr>
      <w:r>
        <w:rPr>
          <w:rFonts w:ascii="Arial" w:cs="Arial" w:eastAsia="Arial" w:hAnsi="Arial"/>
          <w:sz w:val="18"/>
          <w:szCs w:val="18"/>
          <w:color w:val="auto"/>
        </w:rPr>
        <w:t>and have, within the time and in the manner prescribed by law, withheld from employee wages and paid over to the proper Governmental Entity all material required amounts.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ind w:left="80" w:right="100" w:firstLine="1306"/>
        <w:spacing w:after="0" w:line="272" w:lineRule="auto"/>
        <w:tabs>
          <w:tab w:leader="none" w:pos="2022" w:val="left"/>
        </w:tabs>
        <w:numPr>
          <w:ilvl w:val="2"/>
          <w:numId w:val="26"/>
        </w:numPr>
        <w:rPr>
          <w:rFonts w:ascii="Arial" w:cs="Arial" w:eastAsia="Arial" w:hAnsi="Arial"/>
          <w:sz w:val="17"/>
          <w:szCs w:val="17"/>
          <w:color w:val="auto"/>
        </w:rPr>
      </w:pPr>
      <w:r>
        <w:rPr>
          <w:rFonts w:ascii="Arial" w:cs="Arial" w:eastAsia="Arial" w:hAnsi="Arial"/>
          <w:sz w:val="17"/>
          <w:szCs w:val="17"/>
          <w:color w:val="auto"/>
        </w:rPr>
        <w:t>None of the Debtors nor any of their ERISA Affiliates sponsor, maintain, contribute to, or has an obligation to contribute to, or has any outstanding liability (contingent or otherwise) to any Multiemployer Plan or any plan that is subject to Section 412 of the Code, Section 302 of ERISA or Title IV of ERISA, other than the Trico Industries Inc. Retirement Plan. No condition exists that could reasonably be expected to result in any material liability or obligation (contingent or otherwise) to the Debtors under Title IV of ERISA (other than required premium payments or contributions in the normal course). No Company Benefit Plan has any Unfunded Pension Liability in excess of $7.0 million with respect to any single Company Benefit Plan and in excess of $10.0 million with respect to all Company Benefit Plans. The Deferred Compensation Liabilities are unfunded and would not reasonably be expected to result, individually or in the aggregate, in a Material Adverse Effect to the Debtors.</w:t>
      </w:r>
    </w:p>
    <w:p>
      <w:pPr>
        <w:spacing w:after="0" w:line="177" w:lineRule="exact"/>
        <w:rPr>
          <w:rFonts w:ascii="Arial" w:cs="Arial" w:eastAsia="Arial" w:hAnsi="Arial"/>
          <w:sz w:val="17"/>
          <w:szCs w:val="17"/>
          <w:color w:val="auto"/>
        </w:rPr>
      </w:pPr>
    </w:p>
    <w:p>
      <w:pPr>
        <w:ind w:right="80" w:firstLine="1305"/>
        <w:spacing w:after="0" w:line="264" w:lineRule="auto"/>
        <w:tabs>
          <w:tab w:leader="none" w:pos="19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of December 31, 2018, no single Foreign Plan that is a defined benefit employee pension plan (within the meaning of U.S. Accounting Standards Codification Topic 715-30) has unfunded liabilities in excess of $30.0 million, and the aggregate of unfunded liabilities for all Foreign Plans that are defined benefit employee pension plans are not in excess of $50.0 million.</w:t>
      </w:r>
    </w:p>
    <w:p>
      <w:pPr>
        <w:spacing w:after="0" w:line="181" w:lineRule="exact"/>
        <w:rPr>
          <w:rFonts w:ascii="Arial" w:cs="Arial" w:eastAsia="Arial" w:hAnsi="Arial"/>
          <w:sz w:val="18"/>
          <w:szCs w:val="18"/>
          <w:color w:val="auto"/>
        </w:rPr>
      </w:pPr>
    </w:p>
    <w:p>
      <w:pPr>
        <w:ind w:right="20" w:firstLine="1305"/>
        <w:spacing w:after="0" w:line="259" w:lineRule="auto"/>
        <w:tabs>
          <w:tab w:leader="none" w:pos="19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individually or in the aggregate, in a Material Adverse Effect to the Debtors, there are no pending, or to the Knowledge of the Company, threatened claims, sanctions, actions or lawsuits, asserted or instituted against any Company Benefit Plan or Foreign Plan or any Person as fiduciary or sponsor of any Company Benefit Plan, or Foreign Plan in each case other than claims for benefits in the normal course.</w:t>
      </w:r>
    </w:p>
    <w:p>
      <w:pPr>
        <w:spacing w:after="0" w:line="186" w:lineRule="exact"/>
        <w:rPr>
          <w:rFonts w:ascii="Arial" w:cs="Arial" w:eastAsia="Arial" w:hAnsi="Arial"/>
          <w:sz w:val="18"/>
          <w:szCs w:val="18"/>
          <w:color w:val="auto"/>
        </w:rPr>
      </w:pPr>
    </w:p>
    <w:p>
      <w:pPr>
        <w:ind w:right="20" w:firstLine="1305"/>
        <w:spacing w:after="0" w:line="257" w:lineRule="auto"/>
        <w:tabs>
          <w:tab w:leader="none" w:pos="19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individually or in the aggregate, in a Material Adverse Effect to the Debtors, none of the Company Benefit Plans or Foreign Plans obligates any Debtor or any Debtor Subsidiary to provide, nor has any Debtor or any of their respective Subsidiaries promised or agreed to provide or otherwise has any liability (contingent or otherwise) with respect to, retiree or post-employment health, welfare or life insurance or benefits, other than as required under Part 6 of Subtitle B of Title I of ERISA, Section 4980B of the Code or any similar Law for which the covered Person pays the full cost of coverage.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individually or in the aggregate, in a Material Adverse Effect to the Debtors,</w:t>
      </w:r>
    </w:p>
    <w:p>
      <w:pPr>
        <w:spacing w:after="0" w:line="46" w:lineRule="exact"/>
        <w:rPr>
          <w:rFonts w:ascii="Arial" w:cs="Arial" w:eastAsia="Arial" w:hAnsi="Arial"/>
          <w:sz w:val="16"/>
          <w:szCs w:val="16"/>
          <w:color w:val="auto"/>
        </w:rPr>
      </w:pPr>
    </w:p>
    <w:p>
      <w:pPr>
        <w:ind w:firstLine="8"/>
        <w:spacing w:after="0" w:line="292" w:lineRule="auto"/>
        <w:tabs>
          <w:tab w:leader="none" w:pos="2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compensation and benefit arrangements of the Debtors and their respective Subsidiaries and all Company Benefits Plans and Foreign Plans comply and have complied in both form and operation with their terms and all applicable Laws and legal requirements and (ii) none of the Debtors has any obligation to provide any individual with a “gross up” or similar payment in respect of any Taxes that may become payable under Section 409A or 4999 of the Code. Other than the Change in Control Agreements covering certain executives of the Company that have been previously disclosed to the Commitment Parties, no compensation or benefit plan, practice, program, policy, agreement, or arrangement exists that as a result of the Cases or any transactions related thereto,</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right="20"/>
        <w:spacing w:after="0" w:line="342" w:lineRule="auto"/>
        <w:rPr>
          <w:sz w:val="20"/>
          <w:szCs w:val="20"/>
          <w:color w:val="auto"/>
        </w:rPr>
      </w:pPr>
      <w:r>
        <w:rPr>
          <w:rFonts w:ascii="Arial" w:cs="Arial" w:eastAsia="Arial" w:hAnsi="Arial"/>
          <w:sz w:val="16"/>
          <w:szCs w:val="16"/>
          <w:color w:val="auto"/>
        </w:rPr>
        <w:t>including the transactions contemplated by this Agreement, could reasonably be expected to result in the acceleration of the time of payment or vesting, or an increase in the amount of compensation or benefit due to any employee, director, or other service provider of any of the Debtors or any of their Subsidiaries.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The Company has established and maintains a system of internal control over financial reporting (as defined in Rules 13a-15(f) and 15d-15(f) promulgated under the Exchange Act) that complies with the requirements of the Exchange Act and has been designed to provide reasonable assurances regarding the reliability of financial reporting and the preparation of financial statements for external purposes in accordance with GAAP and to the Knowledge of the Company, there are no material weaknesses in the Company’s internal control over financial reporting as of the date hereof.</w:t>
      </w:r>
    </w:p>
    <w:p>
      <w:pPr>
        <w:spacing w:after="0" w:line="188"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 maintains disclosure controls and procedures (within the meaning of Rules 13a-15(e) and 15d-15(e) promulgated under the Exchange Act) designed to ensure that information required to be disclosed by the Company in the reports that it files and submits under the Exchange Act is recorded, processed, summarized and reported within the time periods specified in the SEC’s rules and forms, including that information required to be disclosed by the Company in the reports that it files and submits under the Exchange Act is accumulated and communicated to management of the Company as appropriate to allow timely decisions regarding required disclosure.</w:t>
      </w:r>
    </w:p>
    <w:p>
      <w:pPr>
        <w:spacing w:after="0" w:line="15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4.24 </w:t>
      </w:r>
      <w:r>
        <w:rPr>
          <w:rFonts w:ascii="Arial" w:cs="Arial" w:eastAsia="Arial" w:hAnsi="Arial"/>
          <w:sz w:val="17"/>
          <w:szCs w:val="17"/>
          <w:u w:val="single" w:color="auto"/>
          <w:color w:val="auto"/>
        </w:rPr>
        <w:t>Material Contracts</w:t>
      </w:r>
      <w:r>
        <w:rPr>
          <w:rFonts w:ascii="Arial" w:cs="Arial" w:eastAsia="Arial" w:hAnsi="Arial"/>
          <w:sz w:val="17"/>
          <w:szCs w:val="17"/>
          <w:color w:val="auto"/>
        </w:rPr>
        <w:t>. Other than as a result of a rejection motion filed by any of the Debtors in the Cases, all Material Contracts are valid, binding and enforceable by and against the Debtor party thereto and, to the Knowledge of the Company, each other party thereto, and no written notice to terminate, in whole or part, any Material Contract has been delivered to any of the Debtors. Other than as a result of the filing of the Cases or any rejection motion filed by any of the Debtors in the Cases, none of the Debtors nor, to the Knowledge of the Company, any other party to any Material Contract, is in material default or breach under the terms thereof. Each Material Contract has been publicly filed with the SEC.</w:t>
      </w:r>
    </w:p>
    <w:p>
      <w:pPr>
        <w:spacing w:after="0" w:line="1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No Unlawful Payments</w:t>
      </w:r>
      <w:r>
        <w:rPr>
          <w:rFonts w:ascii="Arial" w:cs="Arial" w:eastAsia="Arial" w:hAnsi="Arial"/>
          <w:sz w:val="16"/>
          <w:szCs w:val="16"/>
          <w:color w:val="auto"/>
        </w:rPr>
        <w:t>. Since January 1, 2014, none of the Debtors, their respective Subsidiaries or, to the Knowledge of the Company, any joint ventures of which the Debtors or their respective subsidiaries own at least forty-nine percent (49%) interest (such joint ventures, together with the Subsidiaries of such joint ventures, the “</w:t>
      </w:r>
      <w:r>
        <w:rPr>
          <w:rFonts w:ascii="Arial" w:cs="Arial" w:eastAsia="Arial" w:hAnsi="Arial"/>
          <w:sz w:val="16"/>
          <w:szCs w:val="16"/>
          <w:b w:val="1"/>
          <w:bCs w:val="1"/>
          <w:u w:val="single" w:color="auto"/>
          <w:color w:val="auto"/>
        </w:rPr>
        <w:t>Joint Ventures</w:t>
      </w:r>
      <w:r>
        <w:rPr>
          <w:rFonts w:ascii="Arial" w:cs="Arial" w:eastAsia="Arial" w:hAnsi="Arial"/>
          <w:sz w:val="16"/>
          <w:szCs w:val="16"/>
          <w:color w:val="auto"/>
        </w:rPr>
        <w:t>”) nor, to the Knowledge of the Company, any of their respective directors, officers, employees or agents has in any material respect: (a) used any funds of any of the Debtors or their respective Subsidiaries or, to the Knowledge of the Company, the Joint Ventures for any unlawful contribution, gift, entertainment or other unlawful expense, in each case relating to political activity; (b) made any direct or indirect unlawful payment to any foreign or domestic government official or employee; (c) otherwise violated or is in violation of any provision of the U.S. Foreign Corrupt Practices Act of 1977, as amended, and the rules and regulations thereunder (“</w:t>
      </w:r>
      <w:r>
        <w:rPr>
          <w:rFonts w:ascii="Arial" w:cs="Arial" w:eastAsia="Arial" w:hAnsi="Arial"/>
          <w:sz w:val="16"/>
          <w:szCs w:val="16"/>
          <w:b w:val="1"/>
          <w:bCs w:val="1"/>
          <w:u w:val="single" w:color="auto"/>
          <w:color w:val="auto"/>
        </w:rPr>
        <w:t>FCPA</w:t>
      </w:r>
      <w:r>
        <w:rPr>
          <w:rFonts w:ascii="Arial" w:cs="Arial" w:eastAsia="Arial" w:hAnsi="Arial"/>
          <w:sz w:val="16"/>
          <w:szCs w:val="16"/>
          <w:color w:val="auto"/>
        </w:rPr>
        <w:t>”), or the UK Bribery Act 2010; or (d) made any bribe, rebate, payoff, influence payment, kickback or other similar unlawful payment. No material Legal Proceeding by or before any Governmental Entity or any arbitrator involving any of the Debtors, their respective Subsidiaries and the Joint Ventures with respect to the FCPA, UK Bribery Act 2010 or similar applicable anti-corruption laws is pending or, to the Knowledge of the Company, threatened. The Debtors, their respective Subsidiaries and to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ind w:right="240"/>
        <w:spacing w:after="0" w:line="264" w:lineRule="auto"/>
        <w:rPr>
          <w:sz w:val="20"/>
          <w:szCs w:val="20"/>
          <w:color w:val="auto"/>
        </w:rPr>
      </w:pPr>
      <w:r>
        <w:rPr>
          <w:rFonts w:ascii="Arial" w:cs="Arial" w:eastAsia="Arial" w:hAnsi="Arial"/>
          <w:sz w:val="18"/>
          <w:szCs w:val="18"/>
          <w:color w:val="auto"/>
        </w:rPr>
        <w:t>Knowledge of the Company, the Joint Ventures have implemented and maintain in effect policies and procedures designed to ensure compliance by the Debtors, their respective Subsidiaries and the Joint Ventures and their respective directors, officers, employees and agents with the FCPA, UK Bribery Act 2010 and any other applicable anti-corruption laws.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4.26</w:t>
      </w:r>
      <w:r>
        <w:rPr>
          <w:sz w:val="20"/>
          <w:szCs w:val="20"/>
          <w:color w:val="auto"/>
        </w:rPr>
        <w:tab/>
      </w:r>
      <w:r>
        <w:rPr>
          <w:rFonts w:ascii="Arial" w:cs="Arial" w:eastAsia="Arial" w:hAnsi="Arial"/>
          <w:sz w:val="16"/>
          <w:szCs w:val="16"/>
          <w:u w:val="single" w:color="auto"/>
          <w:color w:val="auto"/>
        </w:rPr>
        <w:t>Compliance with Money Laundering and Sanctions Laws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0" w:lineRule="auto"/>
        <w:tabs>
          <w:tab w:leader="none" w:pos="194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operations of the Debtors and their respective Subsidiaries and, to the Knowledge of the Company, the Joint Ventures are and, since January 1, 2014 have been at all times, conducted in compliance in all material respects with applicable financial recordkeeping and reporting requirements of the U.S. Currency and Foreign Transactions Reporting Act of 1970, the USA Patriot Act (Title III of Pub. L. 107-56 (signed into law October 26, 2001)), the money laundering statutes of all jurisdictions in which the Debtors, their respective Subsidiaries and the Joint Ventures operate (and the rules and regulations promulgated thereunder) and any related or similar Laws (collectively, the “</w:t>
      </w:r>
      <w:r>
        <w:rPr>
          <w:rFonts w:ascii="Arial" w:cs="Arial" w:eastAsia="Arial" w:hAnsi="Arial"/>
          <w:sz w:val="17"/>
          <w:szCs w:val="17"/>
          <w:b w:val="1"/>
          <w:bCs w:val="1"/>
          <w:u w:val="single" w:color="auto"/>
          <w:color w:val="auto"/>
        </w:rPr>
        <w:t>Money Laundering Laws</w:t>
      </w:r>
      <w:r>
        <w:rPr>
          <w:rFonts w:ascii="Arial" w:cs="Arial" w:eastAsia="Arial" w:hAnsi="Arial"/>
          <w:sz w:val="17"/>
          <w:szCs w:val="17"/>
          <w:color w:val="auto"/>
        </w:rPr>
        <w:t>”) and no material Legal Proceeding by or before any Governmental Entity or any arbitrator involving any of the Debtors or their respective Subsidiaries, or, to the Knowledge of the Company, the Joint Ventures with respect to Money Laundering Laws is pending or, to the Knowledge of the Company, threatened. The Debtors, their respective Subsidiaries and, to the Knowledge of the Company, the Joint Ventures, have implemented and maintain in effect policies and procedures designed to ensure compliance by the Debtors, their respective Subsidiaries, and the Joint Ventures, and their respective directors, officers, employees and agents with applicable Money Laundering Laws.</w:t>
      </w:r>
    </w:p>
    <w:p>
      <w:pPr>
        <w:spacing w:after="0" w:line="177" w:lineRule="exact"/>
        <w:rPr>
          <w:rFonts w:ascii="Arial" w:cs="Arial" w:eastAsia="Arial" w:hAnsi="Arial"/>
          <w:sz w:val="17"/>
          <w:szCs w:val="17"/>
          <w:color w:val="auto"/>
        </w:rPr>
      </w:pPr>
    </w:p>
    <w:p>
      <w:pPr>
        <w:ind w:firstLine="1305"/>
        <w:spacing w:after="0" w:line="268" w:lineRule="auto"/>
        <w:tabs>
          <w:tab w:leader="none" w:pos="19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None of the Debtors, their Subsidiaries or to the Knowledge of the Company, the Joint Ventures nor, to the Knowledge of the Company, any of their respective directors, officers, employees or other Persons acting on their behalf with express authority to so act is currently subject to any U.S. sanctions administered by the Office of Foreign Assets Control of the U.S. Treasury Department. None of the Debtors, their respective Subsidiaries, nor, to the Knowledge of the Company, the Joint Ventures, nor to the Knowledge of the Company, any of their respective current or former directors, officers, employees, agents, Controlled Affiliates or other Persons acting on their behalf with express authority to so act, has engaged since January 1, 2014, or is engaged, in any transaction(s) or activities which would result in a violation of Sanctions in any material respect. The Company will not directly or indirectly use the proceeds of the Rights Offering, or lend, contribute or otherwise make available such proceeds to any other Debtor, its Subsidiaries, joint venture partner (including the Joint Ventures) or other Person, for the purpose of financing the activities of any Person that, to the Knowledge of the Company, is currently subject to any Sanctions. No material Legal Proceeding by or before any Governmental Entity or any arbitrator involving any of the Debtors, their respective Subsidiaries and the Joint Ventures with respect to Sanctions is pending or, to the Knowledge of the Company, threatened. The Debtors, their respective Subsidiaries and, to the Knowledge of the Company, the Joint Ventures, have implemented and maintain in effect policies and procedures designed to ensure compliance by the Debtors, their respective Subsidiaries and the Joint Ventures, and their respective directors, officers, employees and agents with applicable Sanctions.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No Broker’s Fees</w:t>
      </w:r>
      <w:r>
        <w:rPr>
          <w:rFonts w:ascii="Arial" w:cs="Arial" w:eastAsia="Arial" w:hAnsi="Arial"/>
          <w:sz w:val="18"/>
          <w:szCs w:val="18"/>
          <w:color w:val="auto"/>
        </w:rPr>
        <w:t>. None of the Debtors or any of their respective Subsidiaries is a party to any Contract with any Person (other than this Agreement) that would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color w:val="auto"/>
        </w:rPr>
        <w:t>give rise to a valid claim against the Commitment Parties for a brokerage commission, finder’s fee or like payment in connection with the Rights Offering or the sale of the Unsubscribed Notes.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Debtors or any of their respective Subsidiaries is, or immediately after giving effect to the consummation of the Restructuring will be, an “investment company” as defined in, or subject to regulation under,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and this conclusion is based on one or more bases or exclusions other than Sections 3(c)(1) and 3(c)(7) of the Investment Company Act, including that none of the Debtors or their Subsidiaries comes within the basic definition of ‘investment company’ under section 3(a)(1) of the Investment Company Act.</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4.29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would not reasonably be expected to have, individually or in the aggregate, a Material Adverse Effect: (a) the Debtors and their respective Subsidiaries have insured their properties and assets against such risks and in such amounts as are customary for companies engaged in similar businesses in similar geographies; (b) all premiums due and payable in respect of material insurance policies maintained by the Debtors and their respective Subsidiaries have been paid; (c) the Company reasonably believes that the insurance maintained by or on behalf of the Debtors and their respective Subsidiaries is adequate in all material respects; and (d) as of the date hereof, to the Knowledge of the Company, none of the Debtors or their respective Subsidiaries has received notice from any insurer or agent of such insurer with respect to any material insurance policies of the Debtors or their respective Subsidiaries of any cancellation or termination of such policies, other than such notices which are received in the ordinary course of business or for policies that have expired in accordance with their terms.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COMMITMENT PARTIES</w:t>
      </w:r>
    </w:p>
    <w:p>
      <w:pPr>
        <w:spacing w:after="0" w:line="229"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Each Commitment Party, severally (in accordance with its Commitment Percentage) and not jointly, represents and warrants as to itself only (unless otherwise set forth herein, as of the date of this Agreement and as of the Closing Date) as set forth below.</w:t>
      </w:r>
    </w:p>
    <w:p>
      <w:pPr>
        <w:spacing w:after="0" w:line="170" w:lineRule="exact"/>
        <w:rPr>
          <w:sz w:val="20"/>
          <w:szCs w:val="20"/>
          <w:color w:val="auto"/>
        </w:rPr>
      </w:pPr>
    </w:p>
    <w:p>
      <w:pPr>
        <w:ind w:right="40" w:firstLine="729"/>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w:t>
      </w:r>
      <w:r>
        <w:rPr>
          <w:rFonts w:ascii="Arial" w:cs="Arial" w:eastAsia="Arial" w:hAnsi="Arial"/>
          <w:sz w:val="18"/>
          <w:szCs w:val="18"/>
          <w:color w:val="auto"/>
        </w:rPr>
        <w:t>. Such Commitment Party is a legal entity duly organized, validly existing and, if applicable, in good standing (or the equivalent thereof) under the Laws of its jurisdiction of incorporation or organization.</w:t>
      </w:r>
    </w:p>
    <w:p>
      <w:pPr>
        <w:spacing w:after="0" w:line="170" w:lineRule="exact"/>
        <w:rPr>
          <w:sz w:val="20"/>
          <w:szCs w:val="20"/>
          <w:color w:val="auto"/>
        </w:rPr>
      </w:pPr>
    </w:p>
    <w:p>
      <w:pPr>
        <w:ind w:right="200" w:firstLine="729"/>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Organizational Power and Authority</w:t>
      </w:r>
      <w:r>
        <w:rPr>
          <w:rFonts w:ascii="Arial" w:cs="Arial" w:eastAsia="Arial" w:hAnsi="Arial"/>
          <w:sz w:val="18"/>
          <w:szCs w:val="18"/>
          <w:color w:val="auto"/>
        </w:rPr>
        <w:t>. Such Commitment Party has the requisite power and authority (corporate or otherwise) to enter into, execute and deliver this Agreement and each other Transaction Agreement to which such Commitment Party is a party and to perform its obligations hereunder and thereunder and has taken all necessary action (corporate or otherwise) required for the due authorization, execution, delivery and performance by it of this Agreement and the other Transaction Agreements.</w:t>
      </w:r>
    </w:p>
    <w:p>
      <w:pPr>
        <w:spacing w:after="0" w:line="187" w:lineRule="exact"/>
        <w:rPr>
          <w:sz w:val="20"/>
          <w:szCs w:val="20"/>
          <w:color w:val="auto"/>
        </w:rPr>
      </w:pPr>
    </w:p>
    <w:p>
      <w:pPr>
        <w:ind w:right="20" w:firstLine="729"/>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Execution and Delivery; Enforceability</w:t>
      </w:r>
      <w:r>
        <w:rPr>
          <w:rFonts w:ascii="Arial" w:cs="Arial" w:eastAsia="Arial" w:hAnsi="Arial"/>
          <w:sz w:val="17"/>
          <w:szCs w:val="17"/>
          <w:color w:val="auto"/>
        </w:rPr>
        <w:t>. This Agreement and each other Transaction Agreement to which such Commitment Party is a party (a) has been, or prior to its execution and delivery will be, duly and validly executed and delivered by such Commitment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220"/>
        <w:spacing w:after="0" w:line="259" w:lineRule="auto"/>
        <w:rPr>
          <w:sz w:val="20"/>
          <w:szCs w:val="20"/>
          <w:color w:val="auto"/>
        </w:rPr>
      </w:pPr>
      <w:r>
        <w:rPr>
          <w:rFonts w:ascii="Arial" w:cs="Arial" w:eastAsia="Arial" w:hAnsi="Arial"/>
          <w:sz w:val="18"/>
          <w:szCs w:val="18"/>
          <w:color w:val="auto"/>
        </w:rPr>
        <w:t>and (b) assuming due and valid execution and delivery hereof and thereof by the Company and the other Debtors (as applicable) will constitute valid and legally binding obligations of such Commitment Party, enforceable against such Commitment Party in accordance with their respective terms, except as enforceability may be limited by bankruptcy, insolvency, reorganization or other similar Laws limiting creditors’ rights generally or by equitable principles relating to enforceability.</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No Conflict</w:t>
      </w:r>
      <w:r>
        <w:rPr>
          <w:rFonts w:ascii="Arial" w:cs="Arial" w:eastAsia="Arial" w:hAnsi="Arial"/>
          <w:sz w:val="16"/>
          <w:szCs w:val="16"/>
          <w:color w:val="auto"/>
        </w:rPr>
        <w:t xml:space="preserve">. Assuming that the consents referred to in clauses (a) and (b) of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obtained, the execution and delivery by such Commitment Party of this Agreement and each other Transaction Agreement to which such Commitment Party is a party, the compliance by such Commitment Party with all of the provisions hereof and thereof and the consummation of the transactions contemplated herein and therein (a) will not conflict with, or result in breach, modification, termination or violation of, any of the terms or provisions of, or constitute a default under (with or without notice or lapse of time or both), or result in the acceleration of, or the creation of any Lien under, any Contract to which such Commitment Party is party or is bound or to which any of the property or assets or such Commitment Party are subject, (b) will not result in any violation of the provisions of the certificate of incorporation or bylaws (or comparable constituent documents) of such Commitment Party and (c) will not result in any material violation of any Law or Order applicable to such Commitment Party or any of its properties, except in each of the cases described in clauses (a) or (c), for any conflict, breach, modification, termination, violation, default, acceleration or Lien which would not reasonably be expected, individually or in the aggregate, to prohibit, materially delay, or materially and adversely impact such Commitment Party’s performance of its obligations under this Agreement.</w:t>
      </w:r>
    </w:p>
    <w:p>
      <w:pPr>
        <w:spacing w:after="0" w:line="16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approval, authorization, Order, registration or qualification of or with any Governmental Entity having jurisdiction over such Commitment Party or any of its properties is required for the execution and delivery by such Commitment Party of this Agreement and each other Transaction Agreement to which such Commitment Party is a party, the compliance by such Commitment Party with the provisions hereof and thereof and the consummation of the transactions (including the purchase by such Commitment Party of its Commitment Percentage of the Unsubscribed Notes or its portion of the Rights Offering Notes) contemplated herein and therein, except (a) any consent, approval, authorization, Order, registration or qualification which, if not made or obtained, would not reasonably be expected, individually or in the aggregate, to prohibit, materially delay, or materially and adversely impact such Commitment Party’s performance of its obligations under this Agreement and each other Transaction Agreement to which such Commitment Party is a party and (b) filings, notifications, authorizations, approvals, consents, clearances or termination or expiration of all applicable waiting periods under any Antitrust Laws in connection with the transactions contemplated by this Agreement.</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 Registration</w:t>
      </w:r>
      <w:r>
        <w:rPr>
          <w:rFonts w:ascii="Arial" w:cs="Arial" w:eastAsia="Arial" w:hAnsi="Arial"/>
          <w:sz w:val="18"/>
          <w:szCs w:val="18"/>
          <w:color w:val="auto"/>
        </w:rPr>
        <w:t>. Such Commitment Party understands that (a) any Unsubscribed Notes issued to such Commitment Party, have not been registered under the Securities Act or any state or foreign securities or “blue sky” laws by reason of a specific exemption from the registration provisions of the Securities Act, the availability of which depends on, among other things, the bona fide nature of the investment intent and the accuracy of such Commitment Party’s representations as expressed herein or otherwise made pursuant hereto, and (b) such Unsubscribed Notes cannot be sold unless subsequently registered under the Securities Act or an exemption from registration is available.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firstLine="648"/>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Purchasing Intent</w:t>
      </w:r>
      <w:r>
        <w:rPr>
          <w:rFonts w:ascii="Arial" w:cs="Arial" w:eastAsia="Arial" w:hAnsi="Arial"/>
          <w:sz w:val="18"/>
          <w:szCs w:val="18"/>
          <w:color w:val="auto"/>
        </w:rPr>
        <w:t>. Such Commitment Party is acquiring the Unsubscribed Notes for its own account or accounts or funds over which it holds voting discretion or exercises discretionary investment management, not otherwise as a nominee or agent, and not otherwise with the view to, or for resale in connection with, any distribution thereof not in compliance with the Securities Act, any applicable securities or “blue sky” laws of any state of the United States or other applicable securities Laws, and such Commitment Party has no present intention of selling, granting any other participation in, or otherwise distributing the same, except in compliance with the Securities Act, any applicable securities or “blue sky” laws of any state of the United States and any applicable securities Laws.</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Sophistication; Investigation</w:t>
      </w:r>
      <w:r>
        <w:rPr>
          <w:rFonts w:ascii="Arial" w:cs="Arial" w:eastAsia="Arial" w:hAnsi="Arial"/>
          <w:sz w:val="16"/>
          <w:szCs w:val="16"/>
          <w:color w:val="auto"/>
        </w:rPr>
        <w:t>. Such Commitment Party has such knowledge and experience in financial and business matters such that it is capable of evaluating the merits and risks of its investment in the Unsubscribed Notes. Such Commitment Party understands and accepts that its investment in the Unsubscribed Notes involve risks. Such Commitment Party has received such documentation as it has deemed necessary to make an informed investment decision in connection with its investment in the Unsubscribed Notes, has had adequate time to review such documents prior to making its decision to invest, has had a full opportunity to ask questions of and receive answers from the Company or any person or persons acting on behalf of the Company concerning the terms and conditions of an investment in the Company and has made an independent decision to invest in any Unsubscribed Notes based upon the foregoing and other information available to it, which it has deemed adequate for this purpose. With the assistance of each Commitment Party’s own professional advisors, to the extent that such Commitment Party has deemed appropriate, such Commitment Party has made its own legal, tax, accounting and financial evaluation of the merits and risks of an investment in any Unsubscribed Notes. Such Commitment Party understands and is able to bear any economic risks associated with such investment. Except for the representations and warranties expressly set forth in this Agreement or any other Transaction Agreement, such Commitment Party has independently evaluated the merits and risks of its decision to enter into this Agreement and disclaims reliance on any representations or warranties, either express or implied, by or on behalf of any Debtors.</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No Broker’s Fees</w:t>
      </w:r>
      <w:r>
        <w:rPr>
          <w:rFonts w:ascii="Arial" w:cs="Arial" w:eastAsia="Arial" w:hAnsi="Arial"/>
          <w:sz w:val="18"/>
          <w:szCs w:val="18"/>
          <w:color w:val="auto"/>
        </w:rPr>
        <w:t>. Such Commitment Party is not a party to any Contract with any Person (other than the Transaction Agreements and any Contract giving rise to the Expense Reimbursement hereunder) that would give rise to a valid claim against any of the Debtors for a brokerage commission, finder’s fee or like payment in connection with the Rights Offering or the sale of the Unsubscribed Notes.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Sufficient Funds</w:t>
      </w:r>
      <w:r>
        <w:rPr>
          <w:rFonts w:ascii="Arial" w:cs="Arial" w:eastAsia="Arial" w:hAnsi="Arial"/>
          <w:sz w:val="18"/>
          <w:szCs w:val="18"/>
          <w:color w:val="auto"/>
        </w:rPr>
        <w:t>. Such Commitment Party has sufficient assets and the financial capacity to perform all of its obligations under this Agreement, including the ability to fully exercise all Subscription Rights that are issued to it pursuant to the Rights Offering and fund such Commitment Party’s Rights Offering Backstop Commitment.</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Additional Securities Law Matters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64" w:lineRule="auto"/>
        <w:tabs>
          <w:tab w:leader="none" w:pos="20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Commitment Party has been advised by the Company that the Unsubscribed Notes are characterized as “restricted securities” under the Securities Act inasmuch as they are being acquired from the Company in a transaction not involving a public offering and that such Commitment Party must continue to bear the economic risk of the investment in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right="220"/>
        <w:spacing w:after="0" w:line="277" w:lineRule="auto"/>
        <w:rPr>
          <w:sz w:val="20"/>
          <w:szCs w:val="20"/>
          <w:color w:val="auto"/>
        </w:rPr>
      </w:pPr>
      <w:r>
        <w:rPr>
          <w:rFonts w:ascii="Arial" w:cs="Arial" w:eastAsia="Arial" w:hAnsi="Arial"/>
          <w:sz w:val="18"/>
          <w:szCs w:val="18"/>
          <w:color w:val="auto"/>
        </w:rPr>
        <w:t>Unsubscribed Notes, if applicable, unless the offer and sale of its Unsubscribed Notes is subsequently registered under the Securities Act and all applicable state or foreign securities or “blue sky” laws or an exemption from such registration is available.</w:t>
      </w:r>
    </w:p>
    <w:p>
      <w:pPr>
        <w:spacing w:after="0" w:line="170" w:lineRule="exact"/>
        <w:rPr>
          <w:sz w:val="20"/>
          <w:szCs w:val="20"/>
          <w:color w:val="auto"/>
        </w:rPr>
      </w:pPr>
    </w:p>
    <w:p>
      <w:pPr>
        <w:ind w:right="20" w:firstLine="1305"/>
        <w:spacing w:after="0" w:line="264" w:lineRule="auto"/>
        <w:tabs>
          <w:tab w:leader="none" w:pos="20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Commitment Party is either (i) a “qualified institutional buyer” within the meaning of Rule 144A of the Securities Act or an “accredited investor” within the meaning of Rule 501(a) of the Securities Act or (ii) not a “U.S. Person” as such term is defined in Regulation S under the Securities Act.</w:t>
      </w:r>
    </w:p>
    <w:p>
      <w:pPr>
        <w:spacing w:after="0" w:line="181" w:lineRule="exact"/>
        <w:rPr>
          <w:rFonts w:ascii="Arial" w:cs="Arial" w:eastAsia="Arial" w:hAnsi="Arial"/>
          <w:sz w:val="18"/>
          <w:szCs w:val="18"/>
          <w:color w:val="auto"/>
        </w:rPr>
      </w:pPr>
    </w:p>
    <w:p>
      <w:pPr>
        <w:ind w:right="100" w:firstLine="1305"/>
        <w:spacing w:after="0" w:line="264" w:lineRule="auto"/>
        <w:tabs>
          <w:tab w:leader="none" w:pos="20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such Commitment Party, its Affiliates or any person acting on its or any of their behalf has engaged, or will engage, in any form of general solicitation or general advertising (within the meaning of Rule 502(c) of the Securities Act) or directed selling efforts (within the meaning of Regulations S) in connection with the offering of any Unsubscribed Notes.</w:t>
      </w:r>
    </w:p>
    <w:p>
      <w:pPr>
        <w:spacing w:after="0" w:line="181" w:lineRule="exact"/>
        <w:rPr>
          <w:rFonts w:ascii="Arial" w:cs="Arial" w:eastAsia="Arial" w:hAnsi="Arial"/>
          <w:sz w:val="18"/>
          <w:szCs w:val="18"/>
          <w:color w:val="auto"/>
        </w:rPr>
      </w:pPr>
    </w:p>
    <w:p>
      <w:pPr>
        <w:ind w:right="140" w:firstLine="1305"/>
        <w:spacing w:after="0" w:line="259" w:lineRule="auto"/>
        <w:tabs>
          <w:tab w:leader="none" w:pos="20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Commitment Party is not purchasing any Unsubscribed Notes as a result of any advertisement, article, notice or other communication regarding the Unsubscribed Notes published in any newspaper, magazine or similar media or broadcast over television or radio or presented at any seminar or, to such Commitment Party’s knowledge, any other general solicitation or general advertising (within the meaning of Rule 502(c) of the Securities Act) or directed selling efforts (within the meaning of Regulations 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COVENANTS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Confirmation Order; Plan and Disclosure Statement</w:t>
      </w:r>
      <w:r>
        <w:rPr>
          <w:rFonts w:ascii="Arial" w:cs="Arial" w:eastAsia="Arial" w:hAnsi="Arial"/>
          <w:sz w:val="16"/>
          <w:szCs w:val="16"/>
          <w:color w:val="auto"/>
        </w:rPr>
        <w:t>. The Debtors shall support and make commercially reasonable efforts, consistent with the Restructuring Support Agreement and the Plan, to (a) obtain the entry of the Rights Offering Approval Order and, to the extent it is a separate order therefrom, the Confirmation Order, and (b) cause the Rights Offering Approval Order and, to the extent it is a separate order therefrom, the Confirmation Order, to become a Final Order (and request that such Order become effective immediately upon entry by the Bankruptcy Court pursuant to a waiver of Rules 3020 and 6004(h) of the Bankruptcy Rules, as applicable), consistent with the Bankruptcy Code, the Bankruptcy Rules, and the Restructuring Support Agreement. The Debtors shall provide counsel to the Commitment Parties copies of any proposed pleadings seeking entry of the Rights Offering Approval Order and, to the extent it is a separate order therefrom, the Confirmation Order, the proposed Plan and the Disclosure Statement and any proposed amendment, modification, supplement or change to the Plan or the Disclosure Statement and a reasonable opportunity to review and comment on such pleadings prior to such pleadings being filed with the Bankruptcy Court and documents, and each such pleading, amendment, modification, supplement or change to the Plan or the Disclosure Statement must be in form and substance reasonably acceptable to the Requisite Commitment Parties and the Debtors. The Debtors shall provide to counsel to each of the Commitment Parties a copy of the proposed Confirmation Order (together with copies of any briefs, pleadings and motions related thereto) and a reasonable opportunity to review and comment on such Order, briefs, pleadings and motions prior to such Order, briefs, pleadings and motions being filed with the Bankruptcy Court, and such proposed Order, briefs, pleadings and motions must be in form and substance reasonably acceptable to the Requisite Commitment Parties and the Debtors. The Confirmation Order entered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420"/>
        <w:spacing w:after="0" w:line="264" w:lineRule="auto"/>
        <w:rPr>
          <w:sz w:val="20"/>
          <w:szCs w:val="20"/>
          <w:color w:val="auto"/>
        </w:rPr>
      </w:pPr>
      <w:r>
        <w:rPr>
          <w:rFonts w:ascii="Arial" w:cs="Arial" w:eastAsia="Arial" w:hAnsi="Arial"/>
          <w:sz w:val="18"/>
          <w:szCs w:val="18"/>
          <w:color w:val="auto"/>
        </w:rPr>
        <w:t>by the Bankruptcy Court shall be in form and substance reasonably acceptable to the Requisite Commitment Parties and the Debtors. Any amendments, modifications, changes or supplements to the Confirmation Order, and any of the pleadings seeking entry of such Order, shall be in form and substance reasonably acceptable to the Requisite Commitment Parties and the Debtors.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ind w:left="80" w:right="20" w:firstLine="1306"/>
        <w:spacing w:after="0" w:line="312" w:lineRule="auto"/>
        <w:tabs>
          <w:tab w:leader="none" w:pos="20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Without in any way limiting any other respective obligation of the Debtors or any Commitment Party in this Agreement, each Party shall use reasonable best efforts to take or cause to be taken all actions, and do or cause to be done all things, reasonably necessary, proper or advisable in order to consummate and make effective the transactions contemplated by this Agreement and the Plan, including using reasonable best efforts in:</w:t>
      </w:r>
    </w:p>
    <w:p>
      <w:pPr>
        <w:spacing w:after="0" w:line="146" w:lineRule="exact"/>
        <w:rPr>
          <w:rFonts w:ascii="Arial" w:cs="Arial" w:eastAsia="Arial" w:hAnsi="Arial"/>
          <w:sz w:val="16"/>
          <w:szCs w:val="16"/>
          <w:color w:val="auto"/>
        </w:rPr>
      </w:pPr>
    </w:p>
    <w:p>
      <w:pPr>
        <w:ind w:left="1300" w:right="20" w:firstLine="653"/>
        <w:spacing w:after="0" w:line="264" w:lineRule="auto"/>
        <w:tabs>
          <w:tab w:leader="none" w:pos="26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timely preparing and filing all documentation reasonably necessary to effect all necessary notices, reports and other filings of such Person and to obtain as promptly as practicable all consents, registrations, approvals, permits and authorizations necessary or advisable to be obtained from any third party or Governmental Entity; and</w:t>
      </w:r>
    </w:p>
    <w:p>
      <w:pPr>
        <w:spacing w:after="0" w:line="181" w:lineRule="exact"/>
        <w:rPr>
          <w:rFonts w:ascii="Arial" w:cs="Arial" w:eastAsia="Arial" w:hAnsi="Arial"/>
          <w:sz w:val="18"/>
          <w:szCs w:val="18"/>
          <w:color w:val="auto"/>
        </w:rPr>
      </w:pPr>
    </w:p>
    <w:p>
      <w:pPr>
        <w:jc w:val="both"/>
        <w:ind w:left="1300" w:right="580" w:firstLine="653"/>
        <w:spacing w:after="0" w:line="259" w:lineRule="auto"/>
        <w:tabs>
          <w:tab w:leader="none" w:pos="2627"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cooperating with the defense of any Legal Proceedings in any way challenging (A) this Agreement (B) the Rights Offering Approval Order and, to the extent it is a separate order therefrom, the Confirmation Order, or (C) the consummation of the transactions contemplated hereby and thereby, including seeking to have any stay or temporary restraining Order entered by any Governmental Entity vacated or reversed; and</w:t>
      </w:r>
    </w:p>
    <w:p>
      <w:pPr>
        <w:spacing w:after="0" w:line="186" w:lineRule="exact"/>
        <w:rPr>
          <w:rFonts w:ascii="Arial" w:cs="Arial" w:eastAsia="Arial" w:hAnsi="Arial"/>
          <w:sz w:val="18"/>
          <w:szCs w:val="18"/>
          <w:color w:val="auto"/>
        </w:rPr>
      </w:pPr>
    </w:p>
    <w:p>
      <w:pPr>
        <w:ind w:left="80" w:firstLine="1306"/>
        <w:spacing w:after="0" w:line="269" w:lineRule="auto"/>
        <w:tabs>
          <w:tab w:leader="none" w:pos="20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Subject to applicable Laws or applicable rules relating to the exchange of information, and in accordance with the Restructuring Support Agreement, the Commitment Parties and the Debtors shall have the right to review in advance, and to the extent practicable each will consult with the other on all of the information relating to Commitment Parties or the Debtors, as the case may be, and any of their respective Subsidiaries, that appears in any filing made with, or written materials submitted to, any third party and/or Governmental Entity in connection with the transactions contemplated by this Agreement or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Commitment Parties are not required to provide for review in advance declarations or other evidence submitted in connection with any filing with the Bankruptcy Court. Notwithstanding the foregoing, under no circumstances may any Party make any public disclosure of any kind that would disclose either: (i) the holdings of any Commitment Party (including Schedule I, which shall not be publicly disclosed or filed) or (ii) the identity of any Commitment Party without the prior written consent of such Commitment Party or the order of a Bankruptcy Court or other court with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Debtors may disclose such identities of the Commitment Parties, upon prior consultation with the Commitment Parties, to the extent that, upon the advice of counsel, they are required to do so by any governmental or regulatory authority (including as it may be directed by the SEC) or court of competent jurisdiction. In exercising the foregoing rights, the Parties shall act as reasonably and as promptly as practicable.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left="80" w:right="160" w:firstLine="1306"/>
        <w:spacing w:after="0" w:line="308" w:lineRule="auto"/>
        <w:tabs>
          <w:tab w:leader="none" w:pos="20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limit the ability of any Commitment Party to consult with the Debtors, to appear and be heard, or to file objections, concerning any matter arising in the Cases to the extent not inconsistent with the Transaction Agreements.</w:t>
      </w:r>
    </w:p>
    <w:p>
      <w:pPr>
        <w:spacing w:after="0" w:line="146" w:lineRule="exact"/>
        <w:rPr>
          <w:rFonts w:ascii="Arial" w:cs="Arial" w:eastAsia="Arial" w:hAnsi="Arial"/>
          <w:sz w:val="17"/>
          <w:szCs w:val="17"/>
          <w:color w:val="auto"/>
        </w:rPr>
      </w:pPr>
    </w:p>
    <w:p>
      <w:pPr>
        <w:ind w:left="80" w:right="40" w:firstLine="1306"/>
        <w:spacing w:after="0" w:line="259" w:lineRule="auto"/>
        <w:tabs>
          <w:tab w:leader="none" w:pos="20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6.2</w:t>
      </w:r>
      <w:r>
        <w:rPr>
          <w:rFonts w:ascii="Arial" w:cs="Arial" w:eastAsia="Arial" w:hAnsi="Arial"/>
          <w:sz w:val="18"/>
          <w:szCs w:val="18"/>
          <w:color w:val="auto"/>
        </w:rPr>
        <w:t>, nothing in this Agreement will require Fidelity to make, seek or receive any filings, notifications, consents, determinations, authorizations, permits, approvals, licenses or the like, or provide any documentation or information to any regulatory or self-regulatory body having jurisdiction over the Company or Fidelity other than information that is already included in this Agreement or is otherwise in the public domain.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Blue Sky</w:t>
      </w:r>
      <w:r>
        <w:rPr>
          <w:rFonts w:ascii="Arial" w:cs="Arial" w:eastAsia="Arial" w:hAnsi="Arial"/>
          <w:sz w:val="17"/>
          <w:szCs w:val="17"/>
          <w:color w:val="auto"/>
        </w:rPr>
        <w:t xml:space="preserve">. The Company shall, on or before the Closing Date, use reasonable best efforts to obtain an exemption for, or to qualify the offer and sale of the Unsubscribed Notes to the Commitment Parties pursuant to this Agreement under applicable securities and “Blue Sky” Laws of the states of the United States (or to obtain an exemption from such qualification) and any applicable foreign jurisdictions, and shall provide evidence of any such action so taken to the Commitment Parties on or prior to the Closing Date. The Company shall use reasonable best efforts to timely make all filings and reports relating to the offer and sale of the Unsubscribed Notes issued hereunder required under applicable securities and “Blue Sky” Laws of the states of the United States. The Company shall pay all fees and expenses in connection with satisfying its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78"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Debtors will apply the proceeds from the exercise of the Subscription Rights and the sale of the Unsubscribed Notes for the purposes identified in the Plan.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Unsubscribed Notes Legend</w:t>
      </w:r>
      <w:r>
        <w:rPr>
          <w:rFonts w:ascii="Arial" w:cs="Arial" w:eastAsia="Arial" w:hAnsi="Arial"/>
          <w:sz w:val="18"/>
          <w:szCs w:val="18"/>
          <w:color w:val="auto"/>
        </w:rPr>
        <w:t>. Each certificate evidencing any Unsubscribed Notes shall be stamped or otherwise imprinted with a legend (the “</w:t>
      </w:r>
      <w:r>
        <w:rPr>
          <w:rFonts w:ascii="Arial" w:cs="Arial" w:eastAsia="Arial" w:hAnsi="Arial"/>
          <w:sz w:val="18"/>
          <w:szCs w:val="18"/>
          <w:u w:val="single" w:color="auto"/>
          <w:color w:val="auto"/>
        </w:rPr>
        <w:t>Legend</w:t>
      </w:r>
      <w:r>
        <w:rPr>
          <w:rFonts w:ascii="Arial" w:cs="Arial" w:eastAsia="Arial" w:hAnsi="Arial"/>
          <w:sz w:val="18"/>
          <w:szCs w:val="18"/>
          <w:color w:val="auto"/>
        </w:rPr>
        <w:t>”) in substantially the following form:</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SECURITIES REPRESENTED BY THIS CERTIFICATE WERE ORIGINALLY ISSUED ON [DATE OF ISSUANCE], HAVE NOT BEEN REGISTERED UNDER THE UNITED STATES SECURITIES ACT OF 1933, AS AMENDED (THE “ACT”), OR ANY OTHER APPLICABLE STATE SECURITIES LAWS, AND MAY NOT BE SOLD OR TRANSFERRED IN THE ABSENCE OF AN EFFECTIVE REGISTRATION STATEMENT UNDER THE ACT OR AN AVAILABLE EXEMPTION FROM REGISTRATION THEREUNDER.”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Commitment Party Termination; Replacement of Terminating Commitment Parties</w:t>
      </w:r>
      <w:r>
        <w:rPr>
          <w:rFonts w:ascii="Arial" w:cs="Arial" w:eastAsia="Arial" w:hAnsi="Arial"/>
          <w:sz w:val="16"/>
          <w:szCs w:val="16"/>
          <w:color w:val="auto"/>
        </w:rPr>
        <w:t>.</w:t>
      </w:r>
    </w:p>
    <w:p>
      <w:pPr>
        <w:spacing w:after="0" w:line="225" w:lineRule="exact"/>
        <w:rPr>
          <w:sz w:val="20"/>
          <w:szCs w:val="20"/>
          <w:color w:val="auto"/>
        </w:rPr>
      </w:pPr>
    </w:p>
    <w:p>
      <w:pPr>
        <w:ind w:firstLine="1386"/>
        <w:spacing w:after="0" w:line="264" w:lineRule="auto"/>
        <w:tabs>
          <w:tab w:leader="none" w:pos="19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exercise of a Partial Noteholder Termination, the Commitment Parties and their respective Related Purchasers (other than any Terminating Commitment Parties) shall have the right and opportunity (but not the obligation), within ten (10) days (or such shorter period as may be necessary to consummate the Rights Offering in compliance with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securities laws and regulations) after receipt of written notice from the Company to all Commitment Parties of such Partial Noteholder Termination,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notice shall be given promptly following the occurrence of such Partial Noteholder Termination and to all Commitment Parties substantially concurrently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period, the “</w:t>
      </w:r>
      <w:r>
        <w:rPr>
          <w:rFonts w:ascii="Arial" w:cs="Arial" w:eastAsia="Arial" w:hAnsi="Arial"/>
          <w:sz w:val="16"/>
          <w:szCs w:val="16"/>
          <w:b w:val="1"/>
          <w:bCs w:val="1"/>
          <w:u w:val="single" w:color="auto"/>
          <w:color w:val="auto"/>
        </w:rPr>
        <w:t>Terminating Commitment Party Replacement Period</w:t>
      </w:r>
      <w:r>
        <w:rPr>
          <w:rFonts w:ascii="Arial" w:cs="Arial" w:eastAsia="Arial" w:hAnsi="Arial"/>
          <w:sz w:val="16"/>
          <w:szCs w:val="16"/>
          <w:color w:val="auto"/>
        </w:rPr>
        <w:t>”), to make arrangements for one or more of the remaining Commitment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and/or their respective Related Purchasers (other than the Terminating Commitment Parties) to purchase all or any portion of the Available Notes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 “</w:t>
      </w:r>
      <w:r>
        <w:rPr>
          <w:rFonts w:ascii="Arial" w:cs="Arial" w:eastAsia="Arial" w:hAnsi="Arial"/>
          <w:sz w:val="16"/>
          <w:szCs w:val="16"/>
          <w:b w:val="1"/>
          <w:bCs w:val="1"/>
          <w:u w:val="single" w:color="auto"/>
          <w:color w:val="auto"/>
        </w:rPr>
        <w:t>Terminating Commitment Party Replacement</w:t>
      </w:r>
      <w:r>
        <w:rPr>
          <w:rFonts w:ascii="Arial" w:cs="Arial" w:eastAsia="Arial" w:hAnsi="Arial"/>
          <w:sz w:val="16"/>
          <w:szCs w:val="16"/>
          <w:color w:val="auto"/>
        </w:rPr>
        <w:t>”) on the terms and subject to the conditions set forth in this Agreement and in such amounts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agreed upon by all of the Commitment Parties electing to purchase all or any portion of the Available Notes (such Commitment Parties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Replacing Terminating Commitment Parties</w:t>
      </w:r>
      <w:r>
        <w:rPr>
          <w:rFonts w:ascii="Arial" w:cs="Arial" w:eastAsia="Arial" w:hAnsi="Arial"/>
          <w:sz w:val="16"/>
          <w:szCs w:val="16"/>
          <w:color w:val="auto"/>
        </w:rPr>
        <w:t>”). Any Available Notes purchased by a Replacing Terminating Commitment Party (and any commitment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applicable aggregate Note Purchase Price associated therewith) shall be included, among other things, in the determination of (x) the Unsubscribed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Replacing Terminating Commitment Party for all purposes hereunder, (y) the Commitment Percentage of such Replacing Terminating Commitment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for purposes of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(z) the Rights Offering Backstop Commitment of such Replacing Terminating Commitment Party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of the definition of “Requisite Commitment Parties.” In the event the Commitment Parties and their respective Related Purchasers (other than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Terminating Commitment Parties), fail to make arrangements for one or more of the Commitment Parties and/or their respective Related Purchasers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than the Terminating Commitment Parties) to purchase all of the Available Notes as described in this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within the Terminating Commitment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Party Replacement Period, then each of the Company and the Requisite Commitment Parties Shall have the right to terminate this Agreement.</w:t>
      </w:r>
    </w:p>
    <w:p>
      <w:pPr>
        <w:spacing w:after="0" w:line="211" w:lineRule="exact"/>
        <w:rPr>
          <w:sz w:val="20"/>
          <w:szCs w:val="20"/>
          <w:color w:val="auto"/>
        </w:rPr>
      </w:pPr>
    </w:p>
    <w:p>
      <w:pPr>
        <w:ind w:left="180" w:firstLine="1287"/>
        <w:spacing w:after="0" w:line="272" w:lineRule="auto"/>
        <w:tabs>
          <w:tab w:leader="none" w:pos="213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if this Agreement is terminated with respect to a Commitment Party that is a Terminating Commitment Party hereunder, it shall not be entitled to any of the Commitment Payment applicable to such Terminating Commitment Party and it shall be obligated to repay its ratable portion of the Commitment Payment to any Replacing Terminating Commitment Parties ratably in proportion to their respective Commitment Party Replacements (or, if there are no such Replacing Commitment Parties and this Agreement is not terminated by the Debtors as to all Commitment Parties under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hereof, whether or not the Commitment Parties terminate the Agreement under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above,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for the avoidance of doubt, such reduction shall not reduce the amount of the Commitment Payment payable to each Commitment Party that is not a Terminating Commitment Party.</w:t>
      </w:r>
    </w:p>
    <w:p>
      <w:pPr>
        <w:spacing w:after="0" w:line="177" w:lineRule="exact"/>
        <w:rPr>
          <w:rFonts w:ascii="Arial" w:cs="Arial" w:eastAsia="Arial" w:hAnsi="Arial"/>
          <w:sz w:val="17"/>
          <w:szCs w:val="17"/>
          <w:color w:val="auto"/>
        </w:rPr>
      </w:pPr>
    </w:p>
    <w:p>
      <w:pPr>
        <w:ind w:left="180" w:right="140" w:firstLine="1287"/>
        <w:spacing w:after="0" w:line="277" w:lineRule="auto"/>
        <w:tabs>
          <w:tab w:leader="none" w:pos="2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deemed to require a Commitment Party to pay more than its Commitment Percentage in its purchase of the Unsubscribed Notes.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THE OBLIGATIONS OF THE PARTIES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the Obligations of the Commitment Parties</w:t>
      </w:r>
      <w:r>
        <w:rPr>
          <w:rFonts w:ascii="Arial" w:cs="Arial" w:eastAsia="Arial" w:hAnsi="Arial"/>
          <w:sz w:val="18"/>
          <w:szCs w:val="18"/>
          <w:color w:val="auto"/>
        </w:rPr>
        <w:t xml:space="preserve">. The obligations of each Commitment Party to consummate the transactions contemplated hereby shall be subject to (unless waived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the satisfaction of the following conditions prior to or at the Closing: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firstLine="1306"/>
        <w:spacing w:after="0" w:line="277" w:lineRule="auto"/>
        <w:tabs>
          <w:tab w:leader="none" w:pos="1942"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Rights Offering Approval Order</w:t>
      </w:r>
      <w:r>
        <w:rPr>
          <w:rFonts w:ascii="Arial" w:cs="Arial" w:eastAsia="Arial" w:hAnsi="Arial"/>
          <w:sz w:val="18"/>
          <w:szCs w:val="18"/>
          <w:color w:val="auto"/>
        </w:rPr>
        <w:t>. The Bankruptcy Court shall have entered the Rights Offering Approval Order, which shall be in form and substance satisfactory to the Requisite Commitment Parties, and such Order shall be a Final Order.</w:t>
      </w:r>
    </w:p>
    <w:p>
      <w:pPr>
        <w:spacing w:after="0" w:line="170" w:lineRule="exact"/>
        <w:rPr>
          <w:rFonts w:ascii="Arial" w:cs="Arial" w:eastAsia="Arial" w:hAnsi="Arial"/>
          <w:sz w:val="18"/>
          <w:szCs w:val="18"/>
          <w:color w:val="auto"/>
        </w:rPr>
      </w:pPr>
    </w:p>
    <w:p>
      <w:pPr>
        <w:ind w:right="300" w:firstLine="1306"/>
        <w:spacing w:after="0" w:line="277" w:lineRule="auto"/>
        <w:tabs>
          <w:tab w:leader="none" w:pos="1952"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Confirmation Order</w:t>
      </w:r>
      <w:r>
        <w:rPr>
          <w:rFonts w:ascii="Arial" w:cs="Arial" w:eastAsia="Arial" w:hAnsi="Arial"/>
          <w:sz w:val="18"/>
          <w:szCs w:val="18"/>
          <w:color w:val="auto"/>
        </w:rPr>
        <w:t>. The Bankruptcy Court shall have entered the Confirmation Order, which shall be in form and substance reasonably satisfactory to the Requisite Commitment Parties, and such Order shall be a Final Order.</w:t>
      </w:r>
    </w:p>
    <w:p>
      <w:pPr>
        <w:spacing w:after="0" w:line="170" w:lineRule="exact"/>
        <w:rPr>
          <w:rFonts w:ascii="Arial" w:cs="Arial" w:eastAsia="Arial" w:hAnsi="Arial"/>
          <w:sz w:val="18"/>
          <w:szCs w:val="18"/>
          <w:color w:val="auto"/>
        </w:rPr>
      </w:pPr>
    </w:p>
    <w:p>
      <w:pPr>
        <w:ind w:right="60" w:firstLine="1306"/>
        <w:spacing w:after="0" w:line="277" w:lineRule="auto"/>
        <w:tabs>
          <w:tab w:leader="none" w:pos="1955"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Rights Offering</w:t>
      </w:r>
      <w:r>
        <w:rPr>
          <w:rFonts w:ascii="Arial" w:cs="Arial" w:eastAsia="Arial" w:hAnsi="Arial"/>
          <w:sz w:val="18"/>
          <w:szCs w:val="18"/>
          <w:color w:val="auto"/>
        </w:rPr>
        <w:t>. The Rights Offering shall have been conducted, in all material respects, in accordance with the Rights Offering Approval Order, the Rights Offering Procedures, the Plan and this Agreement, as applicable.</w:t>
      </w:r>
    </w:p>
    <w:p>
      <w:pPr>
        <w:spacing w:after="0" w:line="170" w:lineRule="exact"/>
        <w:rPr>
          <w:rFonts w:ascii="Arial" w:cs="Arial" w:eastAsia="Arial" w:hAnsi="Arial"/>
          <w:sz w:val="18"/>
          <w:szCs w:val="18"/>
          <w:color w:val="auto"/>
        </w:rPr>
      </w:pPr>
    </w:p>
    <w:p>
      <w:pPr>
        <w:ind w:right="240" w:firstLine="1306"/>
        <w:spacing w:after="0" w:line="277" w:lineRule="auto"/>
        <w:tabs>
          <w:tab w:leader="none" w:pos="1952"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shall have occurred, or shall be deemed to have occurred concurrently with the Closing, as applicable, in accordance with the terms and conditions in the Plan and in the Confirmation Order.</w:t>
      </w:r>
    </w:p>
    <w:p>
      <w:pPr>
        <w:spacing w:after="0" w:line="170" w:lineRule="exact"/>
        <w:rPr>
          <w:rFonts w:ascii="Arial" w:cs="Arial" w:eastAsia="Arial" w:hAnsi="Arial"/>
          <w:sz w:val="18"/>
          <w:szCs w:val="18"/>
          <w:color w:val="auto"/>
        </w:rPr>
      </w:pPr>
    </w:p>
    <w:p>
      <w:pPr>
        <w:ind w:right="40" w:firstLine="1306"/>
        <w:spacing w:after="0" w:line="291" w:lineRule="auto"/>
        <w:tabs>
          <w:tab w:leader="none" w:pos="1955"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xml:space="preserve">. The Debtors shall have paid all Expense Reimbursements accrued or anticipated to accrue through the Closing Date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provided, that invoices for such Expense Reimbursement must have been received by the Debtors at least three</w:t>
      </w:r>
    </w:p>
    <w:p>
      <w:pPr>
        <w:ind w:left="260" w:hanging="251"/>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Days prior to the Closing Date in order to be required to be paid as a condition to Closing.</w:t>
      </w:r>
    </w:p>
    <w:p>
      <w:pPr>
        <w:spacing w:after="0" w:line="210" w:lineRule="exact"/>
        <w:rPr>
          <w:rFonts w:ascii="Arial" w:cs="Arial" w:eastAsia="Arial" w:hAnsi="Arial"/>
          <w:sz w:val="18"/>
          <w:szCs w:val="18"/>
          <w:color w:val="auto"/>
        </w:rPr>
      </w:pPr>
    </w:p>
    <w:p>
      <w:pPr>
        <w:ind w:right="260" w:firstLine="1306"/>
        <w:spacing w:after="0" w:line="259" w:lineRule="auto"/>
        <w:tabs>
          <w:tab w:leader="none" w:pos="1949"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Antitrust Approvals</w:t>
      </w:r>
      <w:r>
        <w:rPr>
          <w:rFonts w:ascii="Arial" w:cs="Arial" w:eastAsia="Arial" w:hAnsi="Arial"/>
          <w:sz w:val="18"/>
          <w:szCs w:val="18"/>
          <w:color w:val="auto"/>
        </w:rPr>
        <w:t>. All applicable waiting periods under any Antitrust Laws, or imposed by any Antitrust Authority, in connection with the transactions contemplated by this Agreement shall have been terminated or expired and all authorizations, approvals, consents or clearances under the Antitrust Laws or otherwise required by a Governmental Entity in connection with the transactions contemplated by this Agreement shall have been obtained.</w:t>
      </w:r>
    </w:p>
    <w:p>
      <w:pPr>
        <w:spacing w:after="0" w:line="186" w:lineRule="exact"/>
        <w:rPr>
          <w:rFonts w:ascii="Arial" w:cs="Arial" w:eastAsia="Arial" w:hAnsi="Arial"/>
          <w:sz w:val="18"/>
          <w:szCs w:val="18"/>
          <w:color w:val="auto"/>
        </w:rPr>
      </w:pPr>
    </w:p>
    <w:p>
      <w:pPr>
        <w:ind w:right="400" w:firstLine="1306"/>
        <w:spacing w:after="0" w:line="277" w:lineRule="auto"/>
        <w:tabs>
          <w:tab w:leader="none" w:pos="1966"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Law or Order shall have become effective or been enacted, adopted or issued by any Governmental Entity that prohibits the implementation of the Plan or the transactions contemplated by this Agreement;</w:t>
      </w:r>
    </w:p>
    <w:p>
      <w:pPr>
        <w:spacing w:after="0" w:line="170" w:lineRule="exact"/>
        <w:rPr>
          <w:rFonts w:ascii="Arial" w:cs="Arial" w:eastAsia="Arial" w:hAnsi="Arial"/>
          <w:sz w:val="18"/>
          <w:szCs w:val="18"/>
          <w:color w:val="auto"/>
        </w:rPr>
      </w:pPr>
    </w:p>
    <w:p>
      <w:pPr>
        <w:ind w:left="1960" w:hanging="654"/>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right="20" w:firstLine="653"/>
        <w:spacing w:after="0" w:line="297" w:lineRule="auto"/>
        <w:tabs>
          <w:tab w:leader="none" w:pos="2538" w:val="left"/>
        </w:tabs>
        <w:numPr>
          <w:ilvl w:val="3"/>
          <w:numId w:val="37"/>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Debtors contained in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(Organization and Qualification),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(Corporate Power and Authority),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(Execution and Delivery; Enforceability),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(Authorized and Issued Equity Interests),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(Issuance), </w:t>
      </w:r>
      <w:r>
        <w:rPr>
          <w:rFonts w:ascii="Arial" w:cs="Arial" w:eastAsia="Arial" w:hAnsi="Arial"/>
          <w:sz w:val="16"/>
          <w:szCs w:val="16"/>
          <w:u w:val="single" w:color="auto"/>
          <w:color w:val="auto"/>
        </w:rPr>
        <w:t>4.6(b)</w:t>
      </w:r>
      <w:r>
        <w:rPr>
          <w:rFonts w:ascii="Arial" w:cs="Arial" w:eastAsia="Arial" w:hAnsi="Arial"/>
          <w:sz w:val="16"/>
          <w:szCs w:val="16"/>
          <w:color w:val="auto"/>
        </w:rPr>
        <w:t xml:space="preserve"> (No Conflict), </w:t>
      </w:r>
      <w:r>
        <w:rPr>
          <w:rFonts w:ascii="Arial" w:cs="Arial" w:eastAsia="Arial" w:hAnsi="Arial"/>
          <w:sz w:val="16"/>
          <w:szCs w:val="16"/>
          <w:u w:val="single" w:color="auto"/>
          <w:color w:val="auto"/>
        </w:rPr>
        <w:t>4.14</w:t>
      </w:r>
      <w:r>
        <w:rPr>
          <w:rFonts w:ascii="Arial" w:cs="Arial" w:eastAsia="Arial" w:hAnsi="Arial"/>
          <w:sz w:val="16"/>
          <w:szCs w:val="16"/>
          <w:color w:val="auto"/>
        </w:rPr>
        <w:t xml:space="preserve"> (Labor Relations), </w:t>
      </w:r>
      <w:r>
        <w:rPr>
          <w:rFonts w:ascii="Arial" w:cs="Arial" w:eastAsia="Arial" w:hAnsi="Arial"/>
          <w:sz w:val="16"/>
          <w:szCs w:val="16"/>
          <w:u w:val="single" w:color="auto"/>
          <w:color w:val="auto"/>
        </w:rPr>
        <w:t>4.19</w:t>
      </w:r>
      <w:r>
        <w:rPr>
          <w:rFonts w:ascii="Arial" w:cs="Arial" w:eastAsia="Arial" w:hAnsi="Arial"/>
          <w:sz w:val="16"/>
          <w:szCs w:val="16"/>
          <w:color w:val="auto"/>
        </w:rPr>
        <w:t xml:space="preserve"> (Environmental), </w:t>
      </w:r>
      <w:r>
        <w:rPr>
          <w:rFonts w:ascii="Arial" w:cs="Arial" w:eastAsia="Arial" w:hAnsi="Arial"/>
          <w:sz w:val="16"/>
          <w:szCs w:val="16"/>
          <w:u w:val="single" w:color="auto"/>
          <w:color w:val="auto"/>
        </w:rPr>
        <w:t>4.21</w:t>
      </w:r>
      <w:r>
        <w:rPr>
          <w:rFonts w:ascii="Arial" w:cs="Arial" w:eastAsia="Arial" w:hAnsi="Arial"/>
          <w:sz w:val="16"/>
          <w:szCs w:val="16"/>
          <w:color w:val="auto"/>
        </w:rPr>
        <w:t xml:space="preserve"> (Employee Benefit Plans) and </w:t>
      </w:r>
      <w:r>
        <w:rPr>
          <w:rFonts w:ascii="Arial" w:cs="Arial" w:eastAsia="Arial" w:hAnsi="Arial"/>
          <w:sz w:val="16"/>
          <w:szCs w:val="16"/>
          <w:u w:val="single" w:color="auto"/>
          <w:color w:val="auto"/>
        </w:rPr>
        <w:t>4.27</w:t>
      </w:r>
      <w:r>
        <w:rPr>
          <w:rFonts w:ascii="Arial" w:cs="Arial" w:eastAsia="Arial" w:hAnsi="Arial"/>
          <w:sz w:val="16"/>
          <w:szCs w:val="16"/>
          <w:color w:val="auto"/>
        </w:rPr>
        <w:t xml:space="preserve"> (No Broker’s Fees) shall be true and correct in all material respects on and as of the Closing Date after giving effect to the Plan (except for such representations and warranties made as of a specified date, which shall be true and correct in all material respects only as of the specified date).</w:t>
      </w:r>
    </w:p>
    <w:p>
      <w:pPr>
        <w:spacing w:after="0" w:line="158" w:lineRule="exact"/>
        <w:rPr>
          <w:rFonts w:ascii="Arial" w:cs="Arial" w:eastAsia="Arial" w:hAnsi="Arial"/>
          <w:sz w:val="16"/>
          <w:szCs w:val="16"/>
          <w:color w:val="auto"/>
        </w:rPr>
      </w:pPr>
    </w:p>
    <w:p>
      <w:pPr>
        <w:ind w:left="2560" w:hanging="687"/>
        <w:spacing w:after="0"/>
        <w:tabs>
          <w:tab w:leader="none" w:pos="2560" w:val="left"/>
        </w:tabs>
        <w:numPr>
          <w:ilvl w:val="3"/>
          <w:numId w:val="37"/>
        </w:numPr>
        <w:rPr>
          <w:rFonts w:ascii="Arial" w:cs="Arial" w:eastAsia="Arial" w:hAnsi="Arial"/>
          <w:sz w:val="16"/>
          <w:szCs w:val="16"/>
          <w:color w:val="auto"/>
        </w:rPr>
      </w:pPr>
      <w:r>
        <w:rPr>
          <w:rFonts w:ascii="Arial" w:cs="Arial" w:eastAsia="Arial" w:hAnsi="Arial"/>
          <w:sz w:val="16"/>
          <w:szCs w:val="16"/>
          <w:color w:val="auto"/>
        </w:rPr>
        <w:t>The representations and warranties of the Debtors contained in this Agreement other than those referred to in clauses</w:t>
      </w:r>
    </w:p>
    <w:p>
      <w:pPr>
        <w:spacing w:after="0" w:line="46" w:lineRule="exact"/>
        <w:rPr>
          <w:rFonts w:ascii="Arial" w:cs="Arial" w:eastAsia="Arial" w:hAnsi="Arial"/>
          <w:sz w:val="16"/>
          <w:szCs w:val="16"/>
          <w:color w:val="auto"/>
        </w:rPr>
      </w:pPr>
    </w:p>
    <w:p>
      <w:pPr>
        <w:ind w:left="1220" w:right="100" w:firstLine="5"/>
        <w:spacing w:after="0" w:line="261" w:lineRule="auto"/>
        <w:tabs>
          <w:tab w:leader="none" w:pos="143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and (ii) above shall be true and correct (disregarding all materiality or Material Adverse Effect qualifiers) on and as of the Closing Date after giving effect to the Plan with the same effect as if made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46" w:name="page47"/>
    <w:bookmarkEnd w:id="46"/>
    <w:p>
      <w:pPr>
        <w:ind w:left="1300" w:right="280"/>
        <w:spacing w:after="0" w:line="264" w:lineRule="auto"/>
        <w:rPr>
          <w:sz w:val="20"/>
          <w:szCs w:val="20"/>
          <w:color w:val="auto"/>
        </w:rPr>
      </w:pPr>
      <w:r>
        <w:rPr>
          <w:rFonts w:ascii="Arial" w:cs="Arial" w:eastAsia="Arial" w:hAnsi="Arial"/>
          <w:sz w:val="18"/>
          <w:szCs w:val="18"/>
          <w:color w:val="auto"/>
        </w:rPr>
        <w:t>on and as of the Closing Date after giving effect to the Plan (except for such representations and warranties made as of a specified date, which shall be true and correct only as of the specified date), except where the failure to be so true and correct does not constitute, individually or in the aggregate, a Material Adverse Effect.</w:t>
      </w:r>
    </w:p>
    <w:p>
      <w:pPr>
        <w:spacing w:after="0" w:line="181" w:lineRule="exact"/>
        <w:rPr>
          <w:sz w:val="20"/>
          <w:szCs w:val="20"/>
          <w:color w:val="auto"/>
        </w:rPr>
      </w:pPr>
    </w:p>
    <w:p>
      <w:pPr>
        <w:ind w:left="80" w:right="140" w:firstLine="1306"/>
        <w:spacing w:after="0" w:line="308" w:lineRule="auto"/>
        <w:tabs>
          <w:tab w:leader="none" w:pos="204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 The Debtors shall have performed and complied, in all material respects, with all of their respective covenants and agreements contained in this Agreement that contemplate, by their terms, performance or compliance prior to the Closing Date.</w:t>
      </w:r>
    </w:p>
    <w:p>
      <w:pPr>
        <w:spacing w:after="0" w:line="146" w:lineRule="exact"/>
        <w:rPr>
          <w:rFonts w:ascii="Arial" w:cs="Arial" w:eastAsia="Arial" w:hAnsi="Arial"/>
          <w:sz w:val="17"/>
          <w:szCs w:val="17"/>
          <w:color w:val="auto"/>
        </w:rPr>
      </w:pPr>
    </w:p>
    <w:p>
      <w:pPr>
        <w:ind w:left="80" w:right="40" w:firstLine="1306"/>
        <w:spacing w:after="0" w:line="264" w:lineRule="auto"/>
        <w:tabs>
          <w:tab w:leader="none" w:pos="203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the date of this Agreement, there shall not have occurred, and there shall not exist, any event, development, occurrence, circumstance, effect, condition, result, state of facts or change that has had or would be reasonably expected to have, individually or in the aggregate, a Material Adverse Effect.</w:t>
      </w:r>
    </w:p>
    <w:p>
      <w:pPr>
        <w:spacing w:after="0" w:line="181" w:lineRule="exact"/>
        <w:rPr>
          <w:rFonts w:ascii="Arial" w:cs="Arial" w:eastAsia="Arial" w:hAnsi="Arial"/>
          <w:sz w:val="18"/>
          <w:szCs w:val="18"/>
          <w:color w:val="auto"/>
        </w:rPr>
      </w:pPr>
    </w:p>
    <w:p>
      <w:pPr>
        <w:ind w:left="80" w:right="380" w:firstLine="1306"/>
        <w:spacing w:after="0" w:line="291" w:lineRule="auto"/>
        <w:tabs>
          <w:tab w:leader="none" w:pos="203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The Commitment Parties shall have received on and as of the Closing Date a certificate of the chief executive officer or chief financial officer of the Company confirming that the conditions set forth in </w:t>
      </w:r>
      <w:r>
        <w:rPr>
          <w:rFonts w:ascii="Arial" w:cs="Arial" w:eastAsia="Arial" w:hAnsi="Arial"/>
          <w:sz w:val="16"/>
          <w:szCs w:val="16"/>
          <w:u w:val="single" w:color="auto"/>
          <w:color w:val="auto"/>
        </w:rPr>
        <w:t>Sections 7.1(h)</w:t>
      </w:r>
      <w:r>
        <w:rPr>
          <w:rFonts w:ascii="Arial" w:cs="Arial" w:eastAsia="Arial" w:hAnsi="Arial"/>
          <w:sz w:val="16"/>
          <w:szCs w:val="16"/>
          <w:color w:val="auto"/>
        </w:rPr>
        <w:t xml:space="preserve"> (Representations and Warranties),</w:t>
      </w:r>
    </w:p>
    <w:p>
      <w:pPr>
        <w:ind w:left="300" w:hanging="211"/>
        <w:spacing w:after="0"/>
        <w:tabs>
          <w:tab w:leader="none" w:pos="300" w:val="left"/>
        </w:tabs>
        <w:numPr>
          <w:ilvl w:val="0"/>
          <w:numId w:val="39"/>
        </w:numPr>
        <w:rPr>
          <w:rFonts w:ascii="Arial" w:cs="Arial" w:eastAsia="Arial" w:hAnsi="Arial"/>
          <w:sz w:val="18"/>
          <w:szCs w:val="18"/>
          <w:u w:val="single" w:color="auto"/>
          <w:color w:val="auto"/>
        </w:rPr>
      </w:pPr>
      <w:r>
        <w:rPr>
          <w:rFonts w:ascii="Arial" w:cs="Arial" w:eastAsia="Arial" w:hAnsi="Arial"/>
          <w:sz w:val="18"/>
          <w:szCs w:val="18"/>
          <w:color w:val="auto"/>
        </w:rPr>
        <w:t xml:space="preserve">(Covenants)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(Material Adverse Effect) have been satisfied.</w:t>
      </w:r>
    </w:p>
    <w:p>
      <w:pPr>
        <w:spacing w:after="0" w:line="210" w:lineRule="exact"/>
        <w:rPr>
          <w:rFonts w:ascii="Arial" w:cs="Arial" w:eastAsia="Arial" w:hAnsi="Arial"/>
          <w:sz w:val="18"/>
          <w:szCs w:val="18"/>
          <w:u w:val="single" w:color="auto"/>
          <w:color w:val="auto"/>
        </w:rPr>
      </w:pPr>
    </w:p>
    <w:p>
      <w:pPr>
        <w:ind w:left="2060" w:hanging="674"/>
        <w:spacing w:after="0"/>
        <w:tabs>
          <w:tab w:leader="none" w:pos="206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Funding Notice</w:t>
      </w:r>
      <w:r>
        <w:rPr>
          <w:rFonts w:ascii="Arial" w:cs="Arial" w:eastAsia="Arial" w:hAnsi="Arial"/>
          <w:sz w:val="16"/>
          <w:szCs w:val="16"/>
          <w:color w:val="auto"/>
        </w:rPr>
        <w:t xml:space="preserve">. The Commitment Parties shall have received the Funding Notice in accordance with the terms of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80" w:right="240" w:firstLine="1306"/>
        <w:spacing w:after="0" w:line="286" w:lineRule="auto"/>
        <w:tabs>
          <w:tab w:leader="none" w:pos="2028"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Exit Facilities</w:t>
      </w:r>
      <w:r>
        <w:rPr>
          <w:rFonts w:ascii="Arial" w:cs="Arial" w:eastAsia="Arial" w:hAnsi="Arial"/>
          <w:sz w:val="17"/>
          <w:szCs w:val="17"/>
          <w:color w:val="auto"/>
        </w:rPr>
        <w:t>. Each Exit Facility shall have become effective, shall be for the amount set forth for such Exit Facility in the Restructuring Support Agreement, if applicable, and shall otherwise be in form and substance substantially in accordance with the Restructuring Support Agreement, or as otherwise set forth in the Plan and reasonably acceptable to the Requisite Commitment Parties.</w:t>
      </w:r>
    </w:p>
    <w:p>
      <w:pPr>
        <w:spacing w:after="0" w:line="165" w:lineRule="exact"/>
        <w:rPr>
          <w:rFonts w:ascii="Arial" w:cs="Arial" w:eastAsia="Arial" w:hAnsi="Arial"/>
          <w:sz w:val="17"/>
          <w:szCs w:val="17"/>
          <w:color w:val="auto"/>
        </w:rPr>
      </w:pPr>
    </w:p>
    <w:p>
      <w:pPr>
        <w:ind w:left="80" w:right="80" w:firstLine="1306"/>
        <w:spacing w:after="0" w:line="277" w:lineRule="auto"/>
        <w:tabs>
          <w:tab w:leader="none" w:pos="203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The Restructuring Support Agreement remains in full force and effect in accordance with its terms and shall not have been terminated in accordance with its terms.</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Waiver of Conditions to Obligations of Commitment Parties</w:t>
      </w:r>
      <w:r>
        <w:rPr>
          <w:rFonts w:ascii="Arial" w:cs="Arial" w:eastAsia="Arial" w:hAnsi="Arial"/>
          <w:sz w:val="18"/>
          <w:szCs w:val="18"/>
          <w:color w:val="auto"/>
        </w:rPr>
        <w:t xml:space="preserve">. All or any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may only be waived in whole or in part with respect to all Commitment Parties by a written instrument executed by the Requisite Commitment Parties in their sole discretion and if so waived, all Commitment Parties shall be bound by such waiver,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that would have the effect of amending, restating, modifying, or changing this Agreement or any of such Commitment Party’s rights hereunder in a manner that would otherwise require any Commitment Party’s consent pursuant to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(other than any such consent predicated on </w:t>
      </w:r>
      <w:r>
        <w:rPr>
          <w:rFonts w:ascii="Arial" w:cs="Arial" w:eastAsia="Arial" w:hAnsi="Arial"/>
          <w:sz w:val="18"/>
          <w:szCs w:val="18"/>
          <w:u w:val="single" w:color="auto"/>
          <w:color w:val="auto"/>
        </w:rPr>
        <w:t>Section 10.8(d)(ii)</w:t>
      </w:r>
      <w:r>
        <w:rPr>
          <w:rFonts w:ascii="Arial" w:cs="Arial" w:eastAsia="Arial" w:hAnsi="Arial"/>
          <w:sz w:val="18"/>
          <w:szCs w:val="18"/>
          <w:color w:val="auto"/>
        </w:rPr>
        <w:t>) shall also require the consent of such Commitment Party.</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the Obligations of the Debtors</w:t>
      </w:r>
      <w:r>
        <w:rPr>
          <w:rFonts w:ascii="Arial" w:cs="Arial" w:eastAsia="Arial" w:hAnsi="Arial"/>
          <w:sz w:val="18"/>
          <w:szCs w:val="18"/>
          <w:color w:val="auto"/>
        </w:rPr>
        <w:t>. The obligations of the Debtors to consummate the transactions contemplated hereby with the Commitment Parties is subject to (unless waived by the Debtors) the satisfaction of each of the following conditions: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7" w:name="page48"/>
    <w:bookmarkEnd w:id="47"/>
    <w:p>
      <w:pPr>
        <w:ind w:right="460" w:firstLine="1305"/>
        <w:spacing w:after="0" w:line="277" w:lineRule="auto"/>
        <w:tabs>
          <w:tab w:leader="none" w:pos="202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Offering Approval Order</w:t>
      </w:r>
      <w:r>
        <w:rPr>
          <w:rFonts w:ascii="Arial" w:cs="Arial" w:eastAsia="Arial" w:hAnsi="Arial"/>
          <w:sz w:val="18"/>
          <w:szCs w:val="18"/>
          <w:color w:val="auto"/>
        </w:rPr>
        <w:t>. The Bankruptcy Court shall have entered the Rights Offering Approval Order in form and substance satisfactory to the Debtors.</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Confirmation Order</w:t>
      </w:r>
      <w:r>
        <w:rPr>
          <w:rFonts w:ascii="Arial" w:cs="Arial" w:eastAsia="Arial" w:hAnsi="Arial"/>
          <w:sz w:val="16"/>
          <w:szCs w:val="16"/>
          <w:color w:val="auto"/>
        </w:rPr>
        <w:t>. The Bankruptcy Court shall have entered the Confirmation Order in form and substance satisfactory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Debtors.</w:t>
      </w:r>
    </w:p>
    <w:p>
      <w:pPr>
        <w:spacing w:after="0" w:line="210" w:lineRule="exact"/>
        <w:rPr>
          <w:rFonts w:ascii="Arial" w:cs="Arial" w:eastAsia="Arial" w:hAnsi="Arial"/>
          <w:sz w:val="16"/>
          <w:szCs w:val="16"/>
          <w:color w:val="auto"/>
        </w:rPr>
      </w:pPr>
    </w:p>
    <w:p>
      <w:pPr>
        <w:ind w:right="280" w:firstLine="1305"/>
        <w:spacing w:after="0" w:line="277" w:lineRule="auto"/>
        <w:tabs>
          <w:tab w:leader="none" w:pos="20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shall have occurred, or shall be deemed to have occurred concurrently with the Closing, as applicable, in accordance with the terms and conditions in the Plan and in the Confirmation Order.</w:t>
      </w:r>
    </w:p>
    <w:p>
      <w:pPr>
        <w:spacing w:after="0" w:line="170" w:lineRule="exact"/>
        <w:rPr>
          <w:rFonts w:ascii="Arial" w:cs="Arial" w:eastAsia="Arial" w:hAnsi="Arial"/>
          <w:sz w:val="18"/>
          <w:szCs w:val="18"/>
          <w:color w:val="auto"/>
        </w:rPr>
      </w:pPr>
    </w:p>
    <w:p>
      <w:pPr>
        <w:jc w:val="both"/>
        <w:ind w:right="200" w:firstLine="1305"/>
        <w:spacing w:after="0" w:line="259" w:lineRule="auto"/>
        <w:tabs>
          <w:tab w:leader="none" w:pos="203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Antitrust Approvals</w:t>
      </w:r>
      <w:r>
        <w:rPr>
          <w:rFonts w:ascii="Arial" w:cs="Arial" w:eastAsia="Arial" w:hAnsi="Arial"/>
          <w:sz w:val="18"/>
          <w:szCs w:val="18"/>
          <w:color w:val="auto"/>
        </w:rPr>
        <w:t>. All applicable waiting periods under any Antitrust Laws, or imposed by any Antitrust Authority in connection with the transactions contemplated by this Agreement shall have been terminated or expired and all authorizations, approvals, consents or clearances under the Antitrust Laws or otherwise required by any Governmental Entity in connection with the transactions contemplated by this Agreement shall have been obtained.</w:t>
      </w:r>
    </w:p>
    <w:p>
      <w:pPr>
        <w:spacing w:after="0" w:line="186" w:lineRule="exact"/>
        <w:rPr>
          <w:rFonts w:ascii="Arial" w:cs="Arial" w:eastAsia="Arial" w:hAnsi="Arial"/>
          <w:sz w:val="18"/>
          <w:szCs w:val="18"/>
          <w:color w:val="auto"/>
        </w:rPr>
      </w:pPr>
    </w:p>
    <w:p>
      <w:pPr>
        <w:ind w:right="460" w:firstLine="1305"/>
        <w:spacing w:after="0" w:line="277" w:lineRule="auto"/>
        <w:tabs>
          <w:tab w:leader="none" w:pos="20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Legal Impediment to Issuance</w:t>
      </w:r>
      <w:r>
        <w:rPr>
          <w:rFonts w:ascii="Arial" w:cs="Arial" w:eastAsia="Arial" w:hAnsi="Arial"/>
          <w:sz w:val="18"/>
          <w:szCs w:val="18"/>
          <w:color w:val="auto"/>
        </w:rPr>
        <w:t>. No Law or Order shall have become effective or been enacted, adopted or issued by any Governmental Entity that prohibits the implementation of the Plan or the transactions contemplated by this Agreement.</w:t>
      </w:r>
    </w:p>
    <w:p>
      <w:pPr>
        <w:spacing w:after="0" w:line="170" w:lineRule="exact"/>
        <w:rPr>
          <w:rFonts w:ascii="Arial" w:cs="Arial" w:eastAsia="Arial" w:hAnsi="Arial"/>
          <w:sz w:val="18"/>
          <w:szCs w:val="18"/>
          <w:color w:val="auto"/>
        </w:rPr>
      </w:pPr>
    </w:p>
    <w:p>
      <w:pPr>
        <w:ind w:firstLine="1305"/>
        <w:spacing w:after="0" w:line="257" w:lineRule="auto"/>
        <w:tabs>
          <w:tab w:leader="none" w:pos="203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Commitment Parties contained in this Agreement shall be true and correct in all material respects on and as of the Closing Date with the same effect as if made on and as of the Closing Date (except for such representations and warranties made as of a specified date, which shall be true and correct in all material respects only as of the specified date), except where the failure to be so true and correct would not, individually or in the aggregate, prevent or materially impede the Commitment Parties from consummating the transactions contemplated by this Agreement.</w:t>
      </w:r>
    </w:p>
    <w:p>
      <w:pPr>
        <w:spacing w:after="0" w:line="188" w:lineRule="exact"/>
        <w:rPr>
          <w:rFonts w:ascii="Arial" w:cs="Arial" w:eastAsia="Arial" w:hAnsi="Arial"/>
          <w:sz w:val="18"/>
          <w:szCs w:val="18"/>
          <w:color w:val="auto"/>
        </w:rPr>
      </w:pPr>
    </w:p>
    <w:p>
      <w:pPr>
        <w:ind w:right="80" w:firstLine="1305"/>
        <w:spacing w:after="0" w:line="259" w:lineRule="auto"/>
        <w:tabs>
          <w:tab w:leader="none" w:pos="204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Commitment Parties shall have performed and complied, in all material respects, with all of their covenants and agreements contained in this Agreement and in any other document delivered pursuant to this Agreement, except where the failure to perform or comply would not, individually or in the aggregate, prevent or materially impede the Commitment Parties from consummating the transactions contemplated by this Agreement.</w:t>
      </w:r>
    </w:p>
    <w:p>
      <w:pPr>
        <w:spacing w:after="0" w:line="186" w:lineRule="exact"/>
        <w:rPr>
          <w:rFonts w:ascii="Arial" w:cs="Arial" w:eastAsia="Arial" w:hAnsi="Arial"/>
          <w:sz w:val="18"/>
          <w:szCs w:val="18"/>
          <w:color w:val="auto"/>
        </w:rPr>
      </w:pPr>
    </w:p>
    <w:p>
      <w:pPr>
        <w:ind w:right="380" w:firstLine="1305"/>
        <w:spacing w:after="0" w:line="302" w:lineRule="auto"/>
        <w:tabs>
          <w:tab w:leader="none" w:pos="203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Exit Facilities</w:t>
      </w:r>
      <w:r>
        <w:rPr>
          <w:rFonts w:ascii="Arial" w:cs="Arial" w:eastAsia="Arial" w:hAnsi="Arial"/>
          <w:sz w:val="16"/>
          <w:szCs w:val="16"/>
          <w:color w:val="auto"/>
        </w:rPr>
        <w:t>. Each Exit Facility shall have become effective, shall be for the amount set forth for such Exit Facility in the Restructuring Support Agreement, if applicable, and shall otherwise be in form and substance substantially in accordance with the Restructuring Support Agreement, or as otherwise set forth in the Plan and reasonably acceptable to the Debtors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inconsistent with the Restructuring Support Agreement or this Agreement, any economic treatment provided thereunder shall be acceptable to the Company in its sole discretion).</w:t>
      </w:r>
    </w:p>
    <w:p>
      <w:pPr>
        <w:spacing w:after="0" w:line="154" w:lineRule="exact"/>
        <w:rPr>
          <w:rFonts w:ascii="Arial" w:cs="Arial" w:eastAsia="Arial" w:hAnsi="Arial"/>
          <w:sz w:val="16"/>
          <w:szCs w:val="16"/>
          <w:color w:val="auto"/>
        </w:rPr>
      </w:pPr>
    </w:p>
    <w:p>
      <w:pPr>
        <w:ind w:right="140" w:firstLine="1305"/>
        <w:spacing w:after="0" w:line="277" w:lineRule="auto"/>
        <w:tabs>
          <w:tab w:leader="none" w:pos="204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Restructuring Support Agreement</w:t>
      </w:r>
      <w:r>
        <w:rPr>
          <w:rFonts w:ascii="Arial" w:cs="Arial" w:eastAsia="Arial" w:hAnsi="Arial"/>
          <w:sz w:val="18"/>
          <w:szCs w:val="18"/>
          <w:color w:val="auto"/>
        </w:rPr>
        <w:t>. The Restructuring Support Agreement remains in full force and effect in accordance with its terms and shall not have been terminated in accordance with its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Indemnification Obligations</w:t>
      </w:r>
      <w:r>
        <w:rPr>
          <w:rFonts w:ascii="Arial" w:cs="Arial" w:eastAsia="Arial" w:hAnsi="Arial"/>
          <w:sz w:val="17"/>
          <w:szCs w:val="17"/>
          <w:color w:val="auto"/>
        </w:rPr>
        <w:t>. The Company and the other Debtors (the “</w:t>
      </w:r>
      <w:r>
        <w:rPr>
          <w:rFonts w:ascii="Arial" w:cs="Arial" w:eastAsia="Arial" w:hAnsi="Arial"/>
          <w:sz w:val="17"/>
          <w:szCs w:val="17"/>
          <w:b w:val="1"/>
          <w:bCs w:val="1"/>
          <w:u w:val="single" w:color="auto"/>
          <w:color w:val="auto"/>
        </w:rPr>
        <w:t>Indemnifying Parties</w:t>
      </w:r>
      <w:r>
        <w:rPr>
          <w:rFonts w:ascii="Arial" w:cs="Arial" w:eastAsia="Arial" w:hAnsi="Arial"/>
          <w:sz w:val="17"/>
          <w:szCs w:val="17"/>
          <w:color w:val="auto"/>
        </w:rPr>
        <w:t>” and each, an “</w:t>
      </w:r>
      <w:r>
        <w:rPr>
          <w:rFonts w:ascii="Arial" w:cs="Arial" w:eastAsia="Arial" w:hAnsi="Arial"/>
          <w:sz w:val="17"/>
          <w:szCs w:val="17"/>
          <w:b w:val="1"/>
          <w:bCs w:val="1"/>
          <w:u w:val="single" w:color="auto"/>
          <w:color w:val="auto"/>
        </w:rPr>
        <w:t>Indemnifying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Party</w:t>
      </w:r>
      <w:r>
        <w:rPr>
          <w:rFonts w:ascii="Arial" w:cs="Arial" w:eastAsia="Arial" w:hAnsi="Arial"/>
          <w:sz w:val="17"/>
          <w:szCs w:val="17"/>
          <w:color w:val="auto"/>
        </w:rPr>
        <w:t>”) shall, jointly and severally, indemnify and hold harmless each Commitment Party and its Affiliates, equity holders, members, partners,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managers and its and their respective Representatives and controlling persons (each, an “</w:t>
      </w:r>
      <w:r>
        <w:rPr>
          <w:rFonts w:ascii="Arial" w:cs="Arial" w:eastAsia="Arial" w:hAnsi="Arial"/>
          <w:sz w:val="17"/>
          <w:szCs w:val="17"/>
          <w:b w:val="1"/>
          <w:bCs w:val="1"/>
          <w:u w:val="single" w:color="auto"/>
          <w:color w:val="auto"/>
        </w:rPr>
        <w:t>Indemnified Person</w:t>
      </w:r>
      <w:r>
        <w:rPr>
          <w:rFonts w:ascii="Arial" w:cs="Arial" w:eastAsia="Arial" w:hAnsi="Arial"/>
          <w:sz w:val="17"/>
          <w:szCs w:val="17"/>
          <w:color w:val="auto"/>
        </w:rPr>
        <w:t>”) from and against any and all losses, claims, damages, liabilities and costs and expenses (other than Taxes of the Commitment Parties except to the extent otherwise provided for in this Agreement) arising out of a claim asserted by a third-party (collectively, “</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xml:space="preserve">”) that any such Indemnified Person may incur or to which any such Indemnified Person may become subject arising out of or in connection with this Agreement, including the Rights Offering Backstop Commitment, the Rights Offering, the payment of the Commitment Payment or the use of the proceeds of the Rights Offering, or any claim, challenge, litigation, investigation or proceeding relating to any of the foregoing, regardless of whether any Indemnified Person is a party thereto, whether or not such proceedings are brought by the Company, the other Debtors, their respective equity holders, Affiliates, creditors or any other Person, and reimburse each Indemnified Person upon demand for reasonable documented (with such documentation subject to redaction to preserve attorney client and work product privileges) legal or other third-party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or the Plan are consummated or whether or not this Agreement is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indemnity will not, as to any Indemnified Person, apply to Losses (a) as to a Defaulting Commitment Party, its Related Parties or any Indemnified Person related thereto, caused by a Commitment Party Default by such Commitment Party, or (b) to the extent they are found by a final, non-appealable judgment of a court of competent jurisdiction to arise from the fraud, bad faith, willful misconduct or gross negligence of such Indemnified Person.</w:t>
      </w:r>
    </w:p>
    <w:p>
      <w:pPr>
        <w:spacing w:after="0" w:line="18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Promptly after receipt by an Indemnified Person of notice of the commencement of any claim, challenge, litigation, investigation or proceeding (an “</w:t>
      </w:r>
      <w:r>
        <w:rPr>
          <w:rFonts w:ascii="Arial" w:cs="Arial" w:eastAsia="Arial" w:hAnsi="Arial"/>
          <w:sz w:val="18"/>
          <w:szCs w:val="18"/>
          <w:b w:val="1"/>
          <w:bCs w:val="1"/>
          <w:u w:val="single" w:color="auto"/>
          <w:color w:val="auto"/>
        </w:rPr>
        <w:t>Indemnified Claim</w:t>
      </w:r>
      <w:r>
        <w:rPr>
          <w:rFonts w:ascii="Arial" w:cs="Arial" w:eastAsia="Arial" w:hAnsi="Arial"/>
          <w:sz w:val="18"/>
          <w:szCs w:val="18"/>
          <w:color w:val="auto"/>
        </w:rPr>
        <w:t xml:space="preserve">”), such Indemnified Person will, if a claim is to be made hereunder against the Indemnifying Party in respect thereof, notify the Indemnifying Party in writing of the commencement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 case any such Indemnified Claims are brought against any Indemnified Person and it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parties (including any impleaded parties) to any such Indemnified Claims include both such Indemnified Person and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ind w:right="20"/>
        <w:spacing w:after="0" w:line="268" w:lineRule="auto"/>
        <w:rPr>
          <w:sz w:val="20"/>
          <w:szCs w:val="20"/>
          <w:color w:val="auto"/>
        </w:rPr>
      </w:pPr>
      <w:r>
        <w:rPr>
          <w:rFonts w:ascii="Arial" w:cs="Arial" w:eastAsia="Arial" w:hAnsi="Arial"/>
          <w:sz w:val="17"/>
          <w:szCs w:val="17"/>
          <w:color w:val="auto"/>
        </w:rPr>
        <w:t>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Persons who are parties to such Indemnified Claims (in addition to one local counsel in each jurisdiction in which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ten (10) Business Days of receipt of such notice, or (iv) the Indemnifying Party shall have authorized in writing the employment of counsel for such Indemnified Person.</w:t>
      </w:r>
    </w:p>
    <w:p>
      <w:pPr>
        <w:spacing w:after="0" w:line="1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Settlement of Indemnified Claims</w:t>
      </w:r>
      <w:r>
        <w:rPr>
          <w:rFonts w:ascii="Arial" w:cs="Arial" w:eastAsia="Arial" w:hAnsi="Arial"/>
          <w:sz w:val="17"/>
          <w:szCs w:val="17"/>
          <w:color w:val="auto"/>
        </w:rPr>
        <w:t xml:space="preserve">. In connection with any Indemnified Claim for which an Indemnified Person is assuming the defense in accordance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Indemnifying Party shall not be liable for any settlement of any Indemnified Claims 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(a) such settlement includes an unconditional release of such Indemnified Person in form and substance satisfactory to such Indemnified Person from all liability on the claims that are the subject matter of such Indemnified Claims and (b) such settlement does not include any statement as to or any admission of fault, culpability or a failure to act by or on behalf of any Indemnified Person.</w:t>
      </w:r>
    </w:p>
    <w:p>
      <w:pPr>
        <w:spacing w:after="0" w:line="18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foregoing indemnification is unavailable to any Indemnified Person or insufficient to hold it harmless from Losses that are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7"/>
          <w:szCs w:val="17"/>
          <w:color w:val="auto"/>
        </w:rPr>
        <w:t xml:space="preserve">indemnification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then the Indemnifying Party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It is hereby agreed that the relative benefits to the Indemnifying Party, on the one hand, and all Indemnified Persons, on the other hand, shall be deemed to be in the same proportion as (a) the total value received or proposed to be received by the Company pursuant to the issuance and sale of the Unsubscribed Notes in the Rights Offering contemplated by this Agreement and the Plan bears to (b) the Commitment Payment paid to the Commitment Parties. The Indemnifying Parties also agree that no Indemnified Person shall have any liability based on their comparative or contributory negligence or otherwise to the Indemnifying Parties, any Person asserting claims on behalf of or in right of any of the Indemnifying Parties, or any other Person in connection with an Indemnified Claim.</w:t>
      </w:r>
    </w:p>
    <w:p>
      <w:pPr>
        <w:spacing w:after="0" w:line="1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Treatment of Indemnification Payments</w:t>
      </w:r>
      <w:r>
        <w:rPr>
          <w:rFonts w:ascii="Arial" w:cs="Arial" w:eastAsia="Arial" w:hAnsi="Arial"/>
          <w:sz w:val="16"/>
          <w:szCs w:val="16"/>
          <w:color w:val="auto"/>
        </w:rPr>
        <w:t>. All amounts paid by an Indemnifying Party to an Indemnified Person under this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to the extent permitted by applicable Law, be treated as adjustments to the Per Note Purchase Price for all Tax purposes.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an integral part of the transactions contemplated by this Agreement and without these provisions the Commitment Parties would not have entered into this Agreement.</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No Survival</w:t>
      </w:r>
      <w:r>
        <w:rPr>
          <w:rFonts w:ascii="Arial" w:cs="Arial" w:eastAsia="Arial" w:hAnsi="Arial"/>
          <w:sz w:val="18"/>
          <w:szCs w:val="18"/>
          <w:color w:val="auto"/>
        </w:rPr>
        <w:t>. All representations, warranties, covenants and agreements made in this Agreement shall not survive the Closing Date except for covenants and agreements that by their terms are to be satisfied after the Closing Date, which covenants and agreements shall survive until satisfied in accordance with their terms.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Consensual Termination</w:t>
      </w:r>
      <w:r>
        <w:rPr>
          <w:rFonts w:ascii="Arial" w:cs="Arial" w:eastAsia="Arial" w:hAnsi="Arial"/>
          <w:sz w:val="18"/>
          <w:szCs w:val="18"/>
          <w:color w:val="auto"/>
        </w:rPr>
        <w:t>. This Agreement may be terminated and the transactions contemplated hereby may be abandoned at any time prior to the Closing Date by mutual written consent of the Debtors and the Requisite Commitment Parties.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Automatic Termination; Termination by the Commitment Parties</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82" w:lineRule="auto"/>
        <w:tabs>
          <w:tab w:leader="none" w:pos="19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this Agreement shall terminate automatically without any further action or notice by any Party at 5:00 p.m., New York City time on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occurrence of any of the following events; provided that, the Requisite Commitment Parties may waive such termination or extend any applicable dates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5620" w:right="400" w:hanging="3667"/>
        <w:spacing w:after="0" w:line="532" w:lineRule="auto"/>
        <w:tabs>
          <w:tab w:leader="none" w:pos="261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Closing Date has not occurred by 11:59 p.m., New York City time on November 30, 2019 (the “</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left="600" w:right="140" w:firstLine="1293"/>
        <w:spacing w:after="0" w:line="277" w:lineRule="auto"/>
        <w:tabs>
          <w:tab w:leader="none" w:pos="25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Restructuring Support Agreement is terminated in accordance with its terms (other than any termination pursuant to Section 10(b) or Section 10(c) of the Restructuring Support Agreement);</w:t>
      </w:r>
    </w:p>
    <w:p>
      <w:pPr>
        <w:spacing w:after="0" w:line="170" w:lineRule="exact"/>
        <w:rPr>
          <w:rFonts w:ascii="Arial" w:cs="Arial" w:eastAsia="Arial" w:hAnsi="Arial"/>
          <w:sz w:val="18"/>
          <w:szCs w:val="18"/>
          <w:color w:val="auto"/>
        </w:rPr>
      </w:pPr>
    </w:p>
    <w:p>
      <w:pPr>
        <w:ind w:left="600" w:firstLine="1293"/>
        <w:spacing w:after="0" w:line="259" w:lineRule="auto"/>
        <w:tabs>
          <w:tab w:leader="none" w:pos="25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Commitment Party exercises its termination rights pursuant to Section 10(b) or Section 10(c) of the Restructuring Support Agreement (a “</w:t>
      </w:r>
      <w:r>
        <w:rPr>
          <w:rFonts w:ascii="Arial" w:cs="Arial" w:eastAsia="Arial" w:hAnsi="Arial"/>
          <w:sz w:val="18"/>
          <w:szCs w:val="18"/>
          <w:b w:val="1"/>
          <w:bCs w:val="1"/>
          <w:u w:val="single" w:color="auto"/>
          <w:color w:val="auto"/>
        </w:rPr>
        <w:t>Partial Noteholder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termination of this Agreement on account thereof shall only be effective with respect to such Commitment Party that exercised its termination rights under the Restructuring Support Agreement (the “</w:t>
      </w:r>
      <w:r>
        <w:rPr>
          <w:rFonts w:ascii="Arial" w:cs="Arial" w:eastAsia="Arial" w:hAnsi="Arial"/>
          <w:sz w:val="18"/>
          <w:szCs w:val="18"/>
          <w:b w:val="1"/>
          <w:bCs w:val="1"/>
          <w:u w:val="single" w:color="auto"/>
          <w:color w:val="auto"/>
        </w:rPr>
        <w:t>Terminating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Commitment Parties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00" w:right="140" w:firstLine="1293"/>
        <w:spacing w:after="0" w:line="264" w:lineRule="auto"/>
        <w:tabs>
          <w:tab w:leader="none" w:pos="25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or any of the other Debtors files any motion, application or adversary proceeding (or any of the Company or any of the other Debtors supports any such motion, application, or adversary proceeding filed or commenced by any third party) challenging the validity or enforceability, or seeking avoidance or subordination, of the Prepetition Notes Claims; or</w:t>
      </w:r>
    </w:p>
    <w:p>
      <w:pPr>
        <w:spacing w:after="0" w:line="181" w:lineRule="exact"/>
        <w:rPr>
          <w:rFonts w:ascii="Arial" w:cs="Arial" w:eastAsia="Arial" w:hAnsi="Arial"/>
          <w:sz w:val="18"/>
          <w:szCs w:val="18"/>
          <w:color w:val="auto"/>
        </w:rPr>
      </w:pPr>
    </w:p>
    <w:p>
      <w:pPr>
        <w:ind w:left="2540" w:hanging="647"/>
        <w:spacing w:after="0"/>
        <w:tabs>
          <w:tab w:leader="none" w:pos="2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acceleration of the obligations or termination of commitments under the DIP Facility.</w:t>
      </w:r>
    </w:p>
    <w:p>
      <w:pPr>
        <w:spacing w:after="0" w:line="225" w:lineRule="exact"/>
        <w:rPr>
          <w:rFonts w:ascii="Arial" w:cs="Arial" w:eastAsia="Arial" w:hAnsi="Arial"/>
          <w:sz w:val="18"/>
          <w:szCs w:val="18"/>
          <w:color w:val="auto"/>
        </w:rPr>
      </w:pPr>
    </w:p>
    <w:p>
      <w:pPr>
        <w:ind w:left="-60" w:right="780" w:firstLine="1305"/>
        <w:spacing w:after="0" w:line="277" w:lineRule="auto"/>
        <w:tabs>
          <w:tab w:leader="none" w:pos="18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may be terminated by the Requisite Commitment Parties, upon written notice to the Company upon the occurrence of any of the following events:</w:t>
      </w:r>
    </w:p>
    <w:p>
      <w:pPr>
        <w:spacing w:after="0" w:line="170" w:lineRule="exact"/>
        <w:rPr>
          <w:rFonts w:ascii="Arial" w:cs="Arial" w:eastAsia="Arial" w:hAnsi="Arial"/>
          <w:sz w:val="18"/>
          <w:szCs w:val="18"/>
          <w:color w:val="auto"/>
        </w:rPr>
      </w:pPr>
    </w:p>
    <w:p>
      <w:pPr>
        <w:ind w:left="600" w:right="100" w:firstLine="1293"/>
        <w:spacing w:after="0" w:line="288" w:lineRule="auto"/>
        <w:tabs>
          <w:tab w:leader="none" w:pos="2566"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(A) the Company or the other Debtors shall have breached any representation, warranty, covenant or other agreement made by the Company or the other Debtors in this Agreement or any such representation or warranty shall have become inaccurate and such breach or inaccuracy would, individually or in the aggregate, cause a condition set forth in </w:t>
      </w:r>
      <w:r>
        <w:rPr>
          <w:rFonts w:ascii="Arial" w:cs="Arial" w:eastAsia="Arial" w:hAnsi="Arial"/>
          <w:sz w:val="16"/>
          <w:szCs w:val="16"/>
          <w:u w:val="single" w:color="auto"/>
          <w:color w:val="auto"/>
        </w:rPr>
        <w:t>Section 7.1(i)</w:t>
      </w:r>
      <w:r>
        <w:rPr>
          <w:rFonts w:ascii="Arial" w:cs="Arial" w:eastAsia="Arial" w:hAnsi="Arial"/>
          <w:sz w:val="16"/>
          <w:szCs w:val="16"/>
          <w:color w:val="auto"/>
        </w:rPr>
        <w:t xml:space="preserve"> (Representations and Warranties),</w:t>
      </w:r>
    </w:p>
    <w:p>
      <w:pPr>
        <w:ind w:left="600" w:right="80"/>
        <w:spacing w:after="0" w:line="255" w:lineRule="auto"/>
        <w:rPr>
          <w:rFonts w:ascii="Arial" w:cs="Arial" w:eastAsia="Arial" w:hAnsi="Arial"/>
          <w:sz w:val="16"/>
          <w:szCs w:val="16"/>
          <w:color w:val="auto"/>
        </w:rPr>
      </w:pPr>
      <w:r>
        <w:rPr>
          <w:rFonts w:ascii="Arial" w:cs="Arial" w:eastAsia="Arial" w:hAnsi="Arial"/>
          <w:sz w:val="17"/>
          <w:szCs w:val="17"/>
          <w:u w:val="single" w:color="auto"/>
          <w:color w:val="auto"/>
        </w:rPr>
        <w:t>Section 7.1(j)</w:t>
      </w:r>
      <w:r>
        <w:rPr>
          <w:rFonts w:ascii="Arial" w:cs="Arial" w:eastAsia="Arial" w:hAnsi="Arial"/>
          <w:sz w:val="17"/>
          <w:szCs w:val="17"/>
          <w:color w:val="auto"/>
        </w:rPr>
        <w:t xml:space="preserve"> (Covenants) or </w:t>
      </w:r>
      <w:r>
        <w:rPr>
          <w:rFonts w:ascii="Arial" w:cs="Arial" w:eastAsia="Arial" w:hAnsi="Arial"/>
          <w:sz w:val="17"/>
          <w:szCs w:val="17"/>
          <w:u w:val="single" w:color="auto"/>
          <w:color w:val="auto"/>
        </w:rPr>
        <w:t>Section 7.1(k)</w:t>
      </w:r>
      <w:r>
        <w:rPr>
          <w:rFonts w:ascii="Arial" w:cs="Arial" w:eastAsia="Arial" w:hAnsi="Arial"/>
          <w:sz w:val="17"/>
          <w:szCs w:val="17"/>
          <w:color w:val="auto"/>
        </w:rPr>
        <w:t xml:space="preserve"> (Material Adverse Effect) not to be satisfied, (B) the Commitment Parties shall have delivered written notice of such breach or inaccuracy to the Debtors, (C) notwithstanding anything to the contrary in Section 9.2(b), such breach or inaccuracy is not cured by the Company or the other Debtors by the tenth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after receipt of such notice and (D) as a result of such failure to cure, any condition set forth in Section 7.1(j) (Representations and Warranties), Section 7.1(k) (Covenants), or Section 7.1(l) (Material Adverse Effect) is not capable of being satisfied; provided, that, this Agreement shall not terminate automatically pursuant to this </w:t>
      </w:r>
      <w:r>
        <w:rPr>
          <w:rFonts w:ascii="Arial" w:cs="Arial" w:eastAsia="Arial" w:hAnsi="Arial"/>
          <w:sz w:val="17"/>
          <w:szCs w:val="17"/>
          <w:u w:val="single" w:color="auto"/>
          <w:color w:val="auto"/>
        </w:rPr>
        <w:t>Section 9.2(b)(i)</w:t>
      </w:r>
      <w:r>
        <w:rPr>
          <w:rFonts w:ascii="Arial" w:cs="Arial" w:eastAsia="Arial" w:hAnsi="Arial"/>
          <w:sz w:val="17"/>
          <w:szCs w:val="17"/>
          <w:color w:val="auto"/>
        </w:rPr>
        <w:t xml:space="preserve"> if the Commitment Parties are then in willful or intentional breach of this Agreement;</w:t>
      </w:r>
    </w:p>
    <w:p>
      <w:pPr>
        <w:spacing w:after="0" w:line="191" w:lineRule="exact"/>
        <w:rPr>
          <w:rFonts w:ascii="Arial" w:cs="Arial" w:eastAsia="Arial" w:hAnsi="Arial"/>
          <w:sz w:val="16"/>
          <w:szCs w:val="16"/>
          <w:color w:val="auto"/>
        </w:rPr>
      </w:pPr>
    </w:p>
    <w:p>
      <w:pPr>
        <w:ind w:left="600" w:right="40" w:firstLine="1293"/>
        <w:spacing w:after="0" w:line="259" w:lineRule="auto"/>
        <w:tabs>
          <w:tab w:leader="none" w:pos="25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Law or final and non-appealable Order shall have been enacted, adopted or issued by any Governmental Entity that prohibits the implementation of the Plan, the Rights Offering or the transactions contemplated by this Agreement or the other Transaction Agreements, in each case, on substantially the terms provided for therein, in a way that cannot be remedied in all material respects by the Debtors in a manner reasonably satisfactory to the Requisite Commitment Parties;</w:t>
      </w:r>
    </w:p>
    <w:p>
      <w:pPr>
        <w:spacing w:after="0" w:line="186" w:lineRule="exact"/>
        <w:rPr>
          <w:rFonts w:ascii="Arial" w:cs="Arial" w:eastAsia="Arial" w:hAnsi="Arial"/>
          <w:sz w:val="18"/>
          <w:szCs w:val="18"/>
          <w:color w:val="auto"/>
        </w:rPr>
      </w:pPr>
    </w:p>
    <w:p>
      <w:pPr>
        <w:ind w:left="600" w:right="60" w:firstLine="1293"/>
        <w:spacing w:after="0" w:line="277" w:lineRule="auto"/>
        <w:tabs>
          <w:tab w:leader="none" w:pos="25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or any other Debtor (A) amends or modifies, or files a pleading seeking authority to amend or modify, the Definitive Documentation in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52" w:name="page53"/>
    <w:bookmarkEnd w:id="52"/>
    <w:p>
      <w:pPr>
        <w:ind w:left="660" w:right="500"/>
        <w:spacing w:after="0" w:line="342" w:lineRule="auto"/>
        <w:rPr>
          <w:sz w:val="20"/>
          <w:szCs w:val="20"/>
          <w:color w:val="auto"/>
        </w:rPr>
      </w:pPr>
      <w:r>
        <w:rPr>
          <w:rFonts w:ascii="Arial" w:cs="Arial" w:eastAsia="Arial" w:hAnsi="Arial"/>
          <w:sz w:val="16"/>
          <w:szCs w:val="16"/>
          <w:color w:val="auto"/>
        </w:rPr>
        <w:t>manner that is materially inconsistent with this Agreement and the Restructuring Support Agreement; (B) suspends or revokes the Transaction Agreements; or (C) publicly announces its intention to take any such action listed in sub-clauses (A) or (B) of this subsection;</w:t>
      </w:r>
    </w:p>
    <w:p>
      <w:pPr>
        <w:spacing w:after="0" w:line="124" w:lineRule="exact"/>
        <w:rPr>
          <w:sz w:val="20"/>
          <w:szCs w:val="20"/>
          <w:color w:val="auto"/>
        </w:rPr>
      </w:pPr>
    </w:p>
    <w:p>
      <w:pPr>
        <w:ind w:left="660" w:right="120" w:firstLine="1293"/>
        <w:spacing w:after="0" w:line="342" w:lineRule="auto"/>
        <w:tabs>
          <w:tab w:leader="none" w:pos="2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of the Rights Offering Approval Order or Confirmation Order is terminated, reversed, stayed, dismissed, vacated, or reconsidered, or any such Order is modified or amended after entry without the prior written consent of the Requisite Commitment Parties; or</w:t>
      </w:r>
    </w:p>
    <w:p>
      <w:pPr>
        <w:spacing w:after="0" w:line="123" w:lineRule="exact"/>
        <w:rPr>
          <w:rFonts w:ascii="Arial" w:cs="Arial" w:eastAsia="Arial" w:hAnsi="Arial"/>
          <w:sz w:val="16"/>
          <w:szCs w:val="16"/>
          <w:color w:val="auto"/>
        </w:rPr>
      </w:pPr>
    </w:p>
    <w:p>
      <w:pPr>
        <w:ind w:left="660" w:right="140" w:firstLine="1293"/>
        <w:spacing w:after="0" w:line="277" w:lineRule="auto"/>
        <w:tabs>
          <w:tab w:leader="none" w:pos="26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the Milestones have not been achieved, extended, or waived within three (3) Business Days after the date of such Milestone as set forth in the Restructuring Support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Termination by the Debtors</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This Agreement may be terminated by the Debtors upon written notice to each Commitment Party upon the occurrence of any of the following events, subject to the rights of the Debtors to fully and conditionally waive, in writing, on a prospective or retroactive basis the occurrence of such event:</w:t>
      </w:r>
    </w:p>
    <w:p>
      <w:pPr>
        <w:spacing w:after="0" w:line="181" w:lineRule="exact"/>
        <w:rPr>
          <w:sz w:val="20"/>
          <w:szCs w:val="20"/>
          <w:color w:val="auto"/>
        </w:rPr>
      </w:pPr>
    </w:p>
    <w:p>
      <w:pPr>
        <w:jc w:val="both"/>
        <w:ind w:right="40" w:firstLine="1305"/>
        <w:spacing w:after="0" w:line="259" w:lineRule="auto"/>
        <w:tabs>
          <w:tab w:leader="none" w:pos="19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Law or final and non-appealable Order shall have been enacted, adopted or issued by any Governmental Entity that prohibits the implementation of the Plan or the Rights Offering or the transactions contemplated by this Agreement or the other Transaction Agreements, in each case, on substantially the terms provided for therein, in a way that cannot be remedied in all material respects by the Debtors in a manner reasonably satisfactory to the Requisite Commitment Parties;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right of the Commitment Parties to arrange a Commitment Party Replacement in accordance with</w:t>
      </w:r>
    </w:p>
    <w:p>
      <w:pPr>
        <w:spacing w:after="0" w:line="2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(which will be deemed to cure any breach by the replaced Commitment Party pursuant to this subsection (b)), (i) any Commitment Party shall have breached any representation, warranty, covenant or other agreement made by such Commitment Party in this Agreement or any such representation or warranty shall have become inaccurate and such breach or inaccuracy would, individually or in the aggregate, cause a condition set forth in</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6"/>
          <w:szCs w:val="16"/>
          <w:u w:val="single" w:color="auto"/>
          <w:color w:val="auto"/>
        </w:rPr>
        <w:t>Section 7.3(g)</w:t>
      </w:r>
      <w:r>
        <w:rPr>
          <w:rFonts w:ascii="Arial" w:cs="Arial" w:eastAsia="Arial" w:hAnsi="Arial"/>
          <w:sz w:val="16"/>
          <w:szCs w:val="16"/>
          <w:color w:val="auto"/>
        </w:rPr>
        <w:t xml:space="preserve"> (Representations and Warranties) or </w:t>
      </w:r>
      <w:r>
        <w:rPr>
          <w:rFonts w:ascii="Arial" w:cs="Arial" w:eastAsia="Arial" w:hAnsi="Arial"/>
          <w:sz w:val="16"/>
          <w:szCs w:val="16"/>
          <w:u w:val="single" w:color="auto"/>
          <w:color w:val="auto"/>
        </w:rPr>
        <w:t>Section 7.3(h)</w:t>
      </w:r>
      <w:r>
        <w:rPr>
          <w:rFonts w:ascii="Arial" w:cs="Arial" w:eastAsia="Arial" w:hAnsi="Arial"/>
          <w:sz w:val="16"/>
          <w:szCs w:val="16"/>
          <w:color w:val="auto"/>
        </w:rPr>
        <w:t xml:space="preserve"> (Covenants) not to be satisfied, (ii) the Debtors shall have delivered written notice of such breach or inaccuracy to such Commitment Party, (iii) such breach or inaccuracy is not cured by such Commitment Party by the tenth (10</w:t>
      </w:r>
      <w:r>
        <w:rPr>
          <w:rFonts w:ascii="Arial" w:cs="Arial" w:eastAsia="Arial" w:hAnsi="Arial"/>
          <w:sz w:val="20"/>
          <w:szCs w:val="20"/>
          <w:color w:val="auto"/>
          <w:vertAlign w:val="superscript"/>
        </w:rPr>
        <w:t>th</w:t>
      </w:r>
      <w:r>
        <w:rPr>
          <w:rFonts w:ascii="Arial" w:cs="Arial" w:eastAsia="Arial" w:hAnsi="Arial"/>
          <w:sz w:val="16"/>
          <w:szCs w:val="16"/>
          <w:color w:val="auto"/>
        </w:rPr>
        <w:t>) Business Day after receipt of such notice and (iv) as a result of such failure to cure, any condition set forth in Section 7.3(g) (Representations and Warranties) or</w:t>
      </w:r>
    </w:p>
    <w:p>
      <w:pPr>
        <w:ind w:right="100"/>
        <w:spacing w:after="0" w:line="261" w:lineRule="auto"/>
        <w:rPr>
          <w:sz w:val="20"/>
          <w:szCs w:val="20"/>
          <w:color w:val="auto"/>
        </w:rPr>
      </w:pPr>
      <w:r>
        <w:rPr>
          <w:rFonts w:ascii="Arial" w:cs="Arial" w:eastAsia="Arial" w:hAnsi="Arial"/>
          <w:sz w:val="18"/>
          <w:szCs w:val="18"/>
          <w:color w:val="auto"/>
        </w:rPr>
        <w:t xml:space="preserve">Section 7.3(h) (Covenants) is not capable of being satisfied; provided, that this Agreement shall not terminate automatically pursuant to this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if any Debtor is then in willful or intentional breach of this Agreement; or</w:t>
      </w:r>
    </w:p>
    <w:p>
      <w:pPr>
        <w:spacing w:after="0" w:line="184" w:lineRule="exact"/>
        <w:rPr>
          <w:sz w:val="20"/>
          <w:szCs w:val="20"/>
          <w:color w:val="auto"/>
        </w:rPr>
      </w:pPr>
    </w:p>
    <w:p>
      <w:pPr>
        <w:ind w:right="60" w:firstLine="1305"/>
        <w:spacing w:after="0" w:line="264"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Offering Approval Order or Confirmation Order is terminated, reversed, stayed, dismissed, vacated, or reconsidered, or any such Order is modified or amended after entry without the prior acquiescence or written consent (not to be unreasonably withheld, conditioned or delayed) of the Debtors in a manner that prevents or prohibits the consummation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color w:val="auto"/>
        </w:rPr>
        <w:t>of the Restructuring Transactions contemplated in this Agreement or any of the Definitive Documents in a way that cannot be remedied by the Commitment Parties subject to the reasonable satisfaction of the Debtors.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4" w:lineRule="auto"/>
        <w:tabs>
          <w:tab w:leader="none" w:pos="1942"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this Agreement shall forthwith become void and there shall be no further obligations or liabilities on the part of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obligations of the Debtors to pay the Expense Reimbursement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to satisfy their indemnification obligations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the termination of this Agreement and shall remain in full force and effect, in each case, until such obligations have been satisfied, (ii) the provisions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survive the termination of this Agreement in accordance with their terms, (iii) pursuant to and in accordance with Sections 2.3(b) and 6.5(b), the obligations of the Commitment Parties to repay the Commitment Payment in the event of termination of this Agreement under the circumstances set forth in Section 2.3 and Section 6.5 shall survive the termination of this Agreement and shall remain in full force and effect until such obligations have been satisfied and</w:t>
      </w:r>
    </w:p>
    <w:p>
      <w:pPr>
        <w:spacing w:after="0" w:line="2" w:lineRule="exact"/>
        <w:rPr>
          <w:rFonts w:ascii="Arial" w:cs="Arial" w:eastAsia="Arial" w:hAnsi="Arial"/>
          <w:sz w:val="16"/>
          <w:szCs w:val="16"/>
          <w:color w:val="auto"/>
        </w:rPr>
      </w:pPr>
    </w:p>
    <w:p>
      <w:pPr>
        <w:ind w:right="180" w:firstLine="8"/>
        <w:spacing w:after="0" w:line="254" w:lineRule="auto"/>
        <w:tabs>
          <w:tab w:leader="none" w:pos="3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(Damages), nothing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relieve any Party from liability for its fraud, gross negligence or any willful or intentional breach of this Agreement. For purposes of this Agreement, “</w:t>
      </w:r>
      <w:r>
        <w:rPr>
          <w:rFonts w:ascii="Arial" w:cs="Arial" w:eastAsia="Arial" w:hAnsi="Arial"/>
          <w:sz w:val="18"/>
          <w:szCs w:val="18"/>
          <w:b w:val="1"/>
          <w:bCs w:val="1"/>
          <w:u w:val="single" w:color="auto"/>
          <w:color w:val="auto"/>
        </w:rPr>
        <w:t>willful or intentional breach</w:t>
      </w:r>
      <w:r>
        <w:rPr>
          <w:rFonts w:ascii="Arial" w:cs="Arial" w:eastAsia="Arial" w:hAnsi="Arial"/>
          <w:sz w:val="18"/>
          <w:szCs w:val="18"/>
          <w:color w:val="auto"/>
        </w:rPr>
        <w:t>” means a breach of this Agreement that is a consequence of an act undertaken by the breaching Party with the knowledge that the taking of such act would, or would reasonably be expected to, cause a breach of this Agreement.</w:t>
      </w:r>
    </w:p>
    <w:p>
      <w:pPr>
        <w:spacing w:after="0" w:line="189" w:lineRule="exact"/>
        <w:rPr>
          <w:rFonts w:ascii="Arial" w:cs="Arial" w:eastAsia="Arial" w:hAnsi="Arial"/>
          <w:sz w:val="18"/>
          <w:szCs w:val="18"/>
          <w:color w:val="auto"/>
        </w:rPr>
      </w:pPr>
    </w:p>
    <w:p>
      <w:pPr>
        <w:ind w:firstLine="1305"/>
        <w:spacing w:after="0" w:line="270" w:lineRule="auto"/>
        <w:tabs>
          <w:tab w:leader="none" w:pos="1952" w:val="left"/>
        </w:tabs>
        <w:numPr>
          <w:ilvl w:val="1"/>
          <w:numId w:val="48"/>
        </w:numPr>
        <w:rPr>
          <w:rFonts w:ascii="Arial" w:cs="Arial" w:eastAsia="Arial" w:hAnsi="Arial"/>
          <w:sz w:val="17"/>
          <w:szCs w:val="17"/>
          <w:color w:val="auto"/>
        </w:rPr>
      </w:pPr>
      <w:r>
        <w:rPr>
          <w:rFonts w:ascii="Arial" w:cs="Arial" w:eastAsia="Arial" w:hAnsi="Arial"/>
          <w:sz w:val="17"/>
          <w:szCs w:val="17"/>
          <w:color w:val="auto"/>
        </w:rPr>
        <w:t>If this Agreement is terminated for any reason other than by the Debtors pursuant to Section 9.3(b), the Commitment Parties shall be entitled to keep the full Commitment Payment. If this Agreement is terminated by the Debtors pursuant to Section 9.3(b), the Commitment Parties shall be required to, within two (2) Business Days following such proper termination, return the full Commitment Payment to the Company. For the avoidance of doubt, other than the Company’s payment of the Commitment Payment, which has been paid to the Commitment Parties at or prior to the effectiveness of this Agreement, the Commitment Parties shall not and do not have any additional recourse against the Debtors for any obligations or liabilities relating to or arising from this Agreement, except for liability for gross negligence or willful or intentional breach of this Agreement pursuant to Section 9.2(a). For the avoidance of doubt, the automatic stay arising pursuant to section 362 of the Bankruptcy Code shall be deemed waived or modified solely for purposes of providing notice or exercising termination rights hereunder and under the Restructuring Support Agreement and shall not prohibit a party from taking any action necessary to effectuate the termination of this Agreement pursuant to and in accordance with its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in connection with this Agreement shall be in writing and shall be deemed given if delivered personally, sent via electronic facsimile (with confirmation), mailed by registered or certified mail (return receipt requested)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right="160"/>
        <w:spacing w:after="0" w:line="277" w:lineRule="auto"/>
        <w:rPr>
          <w:sz w:val="20"/>
          <w:szCs w:val="20"/>
          <w:color w:val="auto"/>
        </w:rPr>
      </w:pPr>
      <w:r>
        <w:rPr>
          <w:rFonts w:ascii="Arial" w:cs="Arial" w:eastAsia="Arial" w:hAnsi="Arial"/>
          <w:sz w:val="18"/>
          <w:szCs w:val="18"/>
          <w:color w:val="auto"/>
        </w:rPr>
        <w:t>delivered by an express courier (with confirmation) to the Parties at the following addresses (or at such other address for a Party as may be specified by like notice):</w:t>
      </w:r>
    </w:p>
    <w:p>
      <w:pPr>
        <w:spacing w:after="0" w:line="170" w:lineRule="exact"/>
        <w:rPr>
          <w:sz w:val="20"/>
          <w:szCs w:val="20"/>
          <w:color w:val="auto"/>
        </w:rPr>
      </w:pPr>
    </w:p>
    <w:p>
      <w:pPr>
        <w:ind w:left="1940" w:hanging="635"/>
        <w:spacing w:after="0"/>
        <w:tabs>
          <w:tab w:leader="none" w:pos="1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to any Debtor:</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Weatherford</w:t>
      </w:r>
    </w:p>
    <w:p>
      <w:pPr>
        <w:spacing w:after="0" w:line="23" w:lineRule="exact"/>
        <w:rPr>
          <w:rFonts w:ascii="Arial" w:cs="Arial" w:eastAsia="Arial" w:hAnsi="Arial"/>
          <w:sz w:val="18"/>
          <w:szCs w:val="18"/>
          <w:color w:val="auto"/>
        </w:rPr>
      </w:pPr>
    </w:p>
    <w:p>
      <w:pPr>
        <w:ind w:left="1960" w:right="7820"/>
        <w:spacing w:after="0" w:line="300" w:lineRule="auto"/>
        <w:rPr>
          <w:rFonts w:ascii="Arial" w:cs="Arial" w:eastAsia="Arial" w:hAnsi="Arial"/>
          <w:sz w:val="18"/>
          <w:szCs w:val="18"/>
          <w:color w:val="auto"/>
        </w:rPr>
      </w:pPr>
      <w:r>
        <w:rPr>
          <w:rFonts w:ascii="Arial" w:cs="Arial" w:eastAsia="Arial" w:hAnsi="Arial"/>
          <w:sz w:val="15"/>
          <w:szCs w:val="15"/>
          <w:color w:val="auto"/>
        </w:rPr>
        <w:t>2000 St. James Place Houston, Texas 77056</w:t>
      </w:r>
    </w:p>
    <w:p>
      <w:pPr>
        <w:ind w:left="1960"/>
        <w:spacing w:after="0"/>
        <w:rPr>
          <w:rFonts w:ascii="Arial" w:cs="Arial" w:eastAsia="Arial" w:hAnsi="Arial"/>
          <w:sz w:val="18"/>
          <w:szCs w:val="18"/>
          <w:color w:val="auto"/>
        </w:rPr>
      </w:pPr>
      <w:r>
        <w:rPr>
          <w:rFonts w:ascii="Arial" w:cs="Arial" w:eastAsia="Arial" w:hAnsi="Arial"/>
          <w:sz w:val="18"/>
          <w:szCs w:val="18"/>
          <w:color w:val="auto"/>
        </w:rPr>
        <w:t>Attn: Christina Ibrahim, EVP, General Counsel &amp; Chief Compliance Officer</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Phone: (713) 836-4000</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 (713) 836-5032</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 Christina.Ibrahim@Weatherford.com</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Attn:   Douglas Johns</w:t>
      </w:r>
    </w:p>
    <w:p>
      <w:pPr>
        <w:spacing w:after="0" w:line="210" w:lineRule="exact"/>
        <w:rPr>
          <w:rFonts w:ascii="Arial" w:cs="Arial" w:eastAsia="Arial" w:hAnsi="Arial"/>
          <w:sz w:val="18"/>
          <w:szCs w:val="18"/>
          <w:color w:val="auto"/>
        </w:rPr>
      </w:pPr>
    </w:p>
    <w:p>
      <w:pPr>
        <w:ind w:left="1960" w:right="5880"/>
        <w:spacing w:after="0" w:line="384" w:lineRule="auto"/>
        <w:rPr>
          <w:rFonts w:ascii="Arial" w:cs="Arial" w:eastAsia="Arial" w:hAnsi="Arial"/>
          <w:sz w:val="18"/>
          <w:szCs w:val="18"/>
          <w:color w:val="auto"/>
        </w:rPr>
      </w:pPr>
      <w:r>
        <w:rPr>
          <w:rFonts w:ascii="Arial" w:cs="Arial" w:eastAsia="Arial" w:hAnsi="Arial"/>
          <w:sz w:val="18"/>
          <w:szCs w:val="18"/>
          <w:i w:val="1"/>
          <w:iCs w:val="1"/>
          <w:color w:val="auto"/>
        </w:rPr>
        <w:t xml:space="preserve">with copies (which shall not constitute notice) to: </w:t>
      </w:r>
      <w:r>
        <w:rPr>
          <w:rFonts w:ascii="Arial" w:cs="Arial" w:eastAsia="Arial" w:hAnsi="Arial"/>
          <w:sz w:val="18"/>
          <w:szCs w:val="18"/>
          <w:color w:val="auto"/>
        </w:rPr>
        <w:t>Latham &amp; Watkins LLP</w:t>
      </w:r>
    </w:p>
    <w:p>
      <w:pPr>
        <w:ind w:left="19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(212) 906-1200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960"/>
        <w:spacing w:after="0"/>
        <w:tabs>
          <w:tab w:leader="none" w:pos="3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George Davis (george.davis@lw.com)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Keith Simon (keith.simon@lw.com)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David Hammerman (david.hammerman@lw.com)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Andrew Sorkin (Andrew.sorkin@lw.com)</w:t>
      </w:r>
    </w:p>
    <w:p>
      <w:pPr>
        <w:spacing w:after="0" w:line="211" w:lineRule="exact"/>
        <w:rPr>
          <w:sz w:val="20"/>
          <w:szCs w:val="20"/>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to the Commitment Parties:</w:t>
      </w:r>
    </w:p>
    <w:p>
      <w:pPr>
        <w:spacing w:after="0" w:line="225" w:lineRule="exact"/>
        <w:rPr>
          <w:rFonts w:ascii="Arial" w:cs="Arial" w:eastAsia="Arial" w:hAnsi="Arial"/>
          <w:sz w:val="18"/>
          <w:szCs w:val="18"/>
          <w:color w:val="auto"/>
        </w:rPr>
      </w:pPr>
    </w:p>
    <w:p>
      <w:pPr>
        <w:ind w:left="1960" w:right="100"/>
        <w:spacing w:after="0" w:line="277" w:lineRule="auto"/>
        <w:rPr>
          <w:rFonts w:ascii="Arial" w:cs="Arial" w:eastAsia="Arial" w:hAnsi="Arial"/>
          <w:sz w:val="18"/>
          <w:szCs w:val="18"/>
          <w:color w:val="auto"/>
        </w:rPr>
      </w:pPr>
      <w:r>
        <w:rPr>
          <w:rFonts w:ascii="Arial" w:cs="Arial" w:eastAsia="Arial" w:hAnsi="Arial"/>
          <w:sz w:val="18"/>
          <w:szCs w:val="18"/>
          <w:color w:val="auto"/>
        </w:rPr>
        <w:t>To each Commitment Party at the addresses or e-mail addresses set forth below the Commitment Party’s signature in its signature page to this Agreement.</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i w:val="1"/>
          <w:iCs w:val="1"/>
          <w:color w:val="auto"/>
        </w:rPr>
        <w:t>with a copy (which shall not constitute notice) to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6600"/>
        <w:spacing w:after="0" w:line="258" w:lineRule="auto"/>
        <w:rPr>
          <w:rFonts w:ascii="Arial" w:cs="Arial" w:eastAsia="Arial" w:hAnsi="Arial"/>
          <w:sz w:val="18"/>
          <w:szCs w:val="18"/>
          <w:color w:val="auto"/>
        </w:rPr>
      </w:pPr>
      <w:r>
        <w:rPr>
          <w:rFonts w:ascii="Arial" w:cs="Arial" w:eastAsia="Arial" w:hAnsi="Arial"/>
          <w:sz w:val="18"/>
          <w:szCs w:val="18"/>
          <w:color w:val="auto"/>
        </w:rPr>
        <w:t>Akin Gump Strauss Hauer &amp; Feld LLP One Bryant Park</w:t>
      </w:r>
    </w:p>
    <w:p>
      <w:pPr>
        <w:spacing w:after="0" w:line="1" w:lineRule="exact"/>
        <w:rPr>
          <w:rFonts w:ascii="Arial" w:cs="Arial" w:eastAsia="Arial" w:hAnsi="Arial"/>
          <w:sz w:val="18"/>
          <w:szCs w:val="18"/>
          <w:color w:val="auto"/>
        </w:rPr>
      </w:pPr>
    </w:p>
    <w:p>
      <w:pPr>
        <w:ind w:left="1960" w:right="736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10036 Phone: (212) 872-1000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960"/>
        <w:spacing w:after="0"/>
        <w:tabs>
          <w:tab w:leader="none" w:pos="3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S. Stamer, Esq. (mstamer@akingump.com)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Meredith Lahaie, Esq. (mlahaie@akingump.com)</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B. Kuhn, Esq. (skuhn@akingump.com)</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Assignment; Third Party Beneficiaries</w:t>
      </w:r>
      <w:r>
        <w:rPr>
          <w:rFonts w:ascii="Arial" w:cs="Arial" w:eastAsia="Arial" w:hAnsi="Arial"/>
          <w:sz w:val="18"/>
          <w:szCs w:val="18"/>
          <w:color w:val="auto"/>
        </w:rPr>
        <w:t>. Neither this Agreement nor any of the rights, interests or obligations under this Agreement shall be assigned by any Party (whether by operation of Law or otherwise) without the prior written consent of the Debtors and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 w:name="page56"/>
    <w:bookmarkEnd w:id="55"/>
    <w:p>
      <w:pPr>
        <w:ind w:right="20"/>
        <w:spacing w:after="0" w:line="255" w:lineRule="auto"/>
        <w:rPr>
          <w:sz w:val="20"/>
          <w:szCs w:val="20"/>
          <w:color w:val="auto"/>
        </w:rPr>
      </w:pPr>
      <w:r>
        <w:rPr>
          <w:rFonts w:ascii="Arial" w:cs="Arial" w:eastAsia="Arial" w:hAnsi="Arial"/>
          <w:sz w:val="18"/>
          <w:szCs w:val="18"/>
          <w:color w:val="auto"/>
        </w:rPr>
        <w:t xml:space="preserve">Requisite Commitment Parties, other than an assignment by a Commitment Party expressly permitted by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any purported assignment in violation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the Indemnified Persons, this Agreement (including the documents and instruments referred to in this Agreement) is not intended to and does not confer upon any Person any rights or remedies under this Agreement other than the Parties. Notwithstanding anything to the contrary herein, each Party hereto recognizes, acknowledges and agrees that this Agreement binds only the desk or business unit that executes this Agreement and shall not be binding on any other desk, business unit or affiliate, unless such desk, business unit or affiliate separately becomes a Party hereto.</w:t>
      </w:r>
    </w:p>
    <w:p>
      <w:pPr>
        <w:spacing w:after="0" w:line="19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Prior Negotiations; Entire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9" w:lineRule="auto"/>
        <w:tabs>
          <w:tab w:leader="none" w:pos="12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Agreement (including the agreements attached as Exhibits to and the documents and instruments referred to in this Agreement) and the Restructuring Support Agreement constitute the entire agreement of the Parties and supersede all prior agreements, arrangements or understandings, whether written or oral, among the Parties with respect to the subject matter of this Agreement, except that the Parties hereto acknowledge that any confidentiality agreements heretofore executed among the Parties will each continue in full force and effect.</w:t>
      </w:r>
    </w:p>
    <w:p>
      <w:pPr>
        <w:spacing w:after="0" w:line="171" w:lineRule="exact"/>
        <w:rPr>
          <w:rFonts w:ascii="Arial" w:cs="Arial" w:eastAsia="Arial" w:hAnsi="Arial"/>
          <w:sz w:val="17"/>
          <w:szCs w:val="17"/>
          <w:color w:val="auto"/>
        </w:rPr>
      </w:pPr>
    </w:p>
    <w:p>
      <w:pPr>
        <w:ind w:right="200" w:firstLine="656"/>
        <w:spacing w:after="0" w:line="257" w:lineRule="auto"/>
        <w:tabs>
          <w:tab w:leader="none" w:pos="13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Plan (including any amendments, supplements or modifications thereto) or the Confirmation Order (and any amendments, supplements or modifications thereto) or an affirmative vote to accept the Plan submitted by any Commitment Party, nothing contained in the Plan (including any amendments, supplements or modifications thereto) or Confirmation Order (including any amendments, supplements or modifications thereto) shall alter, amend or modify the rights of the Commitment Parties under this Agreement unless such alteration, amendment or modification has been made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7"/>
          <w:szCs w:val="17"/>
          <w:u w:val="single" w:color="auto"/>
          <w:color w:val="auto"/>
        </w:rPr>
        <w:t>Governing Law; Venue</w:t>
      </w:r>
      <w:r>
        <w:rPr>
          <w:rFonts w:ascii="Arial" w:cs="Arial" w:eastAsia="Arial" w:hAnsi="Arial"/>
          <w:sz w:val="17"/>
          <w:szCs w:val="17"/>
          <w:color w:val="auto"/>
        </w:rPr>
        <w:t>. THIS AGREEMENT SHALL BE GOVERNED BY, AND CONSTRUED IN ACCORDANCE WITH,</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LAWS OF THE STATE OF NEW YORK, WITHOUT REGARD TO SUCH STATE’S CHOICE OF LAW PROVISIONS WHICH WOULD REQUIRE OR PERMIT THE APPLICATION OF THE LAW OF ANY OTHER JURISDICTION. BY ITS EXECUTION AND DELIVERY OF THIS AGREEMENT, EACH OF THE PARTIES IRREVOCABLY AND UNCONDITIONALLY AGREES FOR ITSELF THAT ANY LEGAL ACTION, SUIT, OR PROCEEDING AGAINST IT WITH RESPECT TO ANY MATTER ARISING UNDER, ARISING OUT OF, OR IN CONNECTION WITH THIS AGREEMENT OR FOR RECOGNITION OR ENFORCEMENT OF ANY JUDGMENT RENDERED IN ANY SUCH ACTION, SUIT, OR PROCEEDING, SHALL BE BROUGHT IN THE BANKRUPTCY COURT, OR IF THE BANKRUPTCY COURT DOES NOT HAVE JURISDICTION TO HEAR SUCH ACTION, SUIT OR PROCEEDING, ANY STATE OR FEDERAL COURT LOCATED IN NEW YORK COUNTY, NEW YORK, AND BY EXECUTING AND DELIVERING THIS AGREEMENT, EACH OF THE PARTIES IRREVOCABLY ACCEPTS AND SUBMITS ITSELF TO THE EXCLUSIVE JURISDICTION OF SUCH COURT, GENERALLY AND UNCONDITIONALLY, WITH RESPECT TO ANY SUCH ACTION, SUIT OR PROCEEDING. THE PARTIES HEREBY AGREE THAT MAILING OF PROCESS OR OTHER PAPERS IN CONNECTION WITH ANY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740"/>
        <w:spacing w:after="0" w:line="264" w:lineRule="auto"/>
        <w:rPr>
          <w:sz w:val="20"/>
          <w:szCs w:val="20"/>
          <w:color w:val="auto"/>
        </w:rPr>
      </w:pPr>
      <w:r>
        <w:rPr>
          <w:rFonts w:ascii="Arial" w:cs="Arial" w:eastAsia="Arial" w:hAnsi="Arial"/>
          <w:sz w:val="18"/>
          <w:szCs w:val="18"/>
          <w:color w:val="auto"/>
        </w:rPr>
        <w:t>ACTION OF PROCEEDING TO AN ADDRESS PROVIDED IN WRITING BY THE RECIPIENT OF SUCH MAILING, OR IN SUCH OTHER MANNER AS MAY BE PERMITTED BY LAW, SHALL BE VALID AND SUFFICIENT SERVICE THEREOF AND HEREBY WAIVE ANY OBJECTIONS TO SERVICE ACCOMPLISHED IN THE MANNER HEREIN PROVIDED.</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Binding Agreement</w:t>
      </w:r>
      <w:r>
        <w:rPr>
          <w:rFonts w:ascii="Arial" w:cs="Arial" w:eastAsia="Arial" w:hAnsi="Arial"/>
          <w:sz w:val="18"/>
          <w:szCs w:val="18"/>
          <w:color w:val="auto"/>
        </w:rPr>
        <w:t>. Each party hereto agrees that this Agreement is a binding and enforceable agreement with respect to the subject matter contained herein or therein (including an obligation to negotiate in good faith).</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WAIVES ALL RIGHTS TO TRIAL BY JURY IN ANY JURISDICTION IN ANY ACTION, SUIT OR PROCEEDING BROUGHT TO RESOLVE ANY DISPUTE AMONG THE PARTIES UNDER THIS AGREEMENT, WHETHER IN CONTRACT, TORT OR OTHERWISE.</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facsimile, portable document format (pdf) or other electronic transmission, in any number of counterparts, all of which will be considered one and the same agreement and will become effective when counterparts have been signed by each of the Parties and delivered to each other Party (including via facsimile or other electronic transmission), it being understood that each Party need not sign the same counterpart.</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Waivers and Amendments; Rights Cumulative; Consent</w:t>
      </w:r>
      <w:r>
        <w:rPr>
          <w:rFonts w:ascii="Arial" w:cs="Arial" w:eastAsia="Arial" w:hAnsi="Arial"/>
          <w:sz w:val="16"/>
          <w:szCs w:val="16"/>
          <w:color w:val="auto"/>
        </w:rPr>
        <w:t xml:space="preserve">. This Agreement may be amended, restated, modified, or changed only by a written instrument signed by the Debtors and the Requisite Commitment Parties (other than a Defaulting Commitment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addition, each Commitment Party’s prior written consent shall be required for any amendment that would have the effect of: (a) modifying such Commitment Party’s Commitment Percentage, (b) increasing the Per Note Purchase Price to be paid in respect of the Rights Offering Notes, (c) increasing the Rights Offering Amount without each Commitment Party having the opportunity (but not the obligation) to participate pro rata in such increase; (d) amending any of the following: (i)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or (ii) the definition of “Requisite Commitment Parties”; or (e) otherwise having a materially adverse and disproportionate effect on such Commitment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written instrument signed by the Debtors and the Requisite Commitment Parties (other than a Defaulting Commitment Party) shall be required to amend, restate, modify or change any provision that gives the Requisite Commitment Parties consent rights with respect to any matter. The terms and conditions of this Agreement may be waived (i) by the Debtors only by a written instrument executed by the Debtors and (ii) by the Commitment Parties only by a written instrument executed by the Requisite Commitment Parties (provided that each Commitment Party’s prior written consent shall be required for any waiver having the effects referred to in the first proviso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No delay on the part of any Party in exercising any right, power or privilege pursuant to this Agreement will operate as a waiver thereof, nor will any waiver on the part of any Party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 Except as otherwise provided in this Agreement, the rights and remedies provided pursuant to this Agreement are cumulative and are not exclusive of any rights or remedies which any Party otherwise may have at law or in equity.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7" w:name="page58"/>
    <w:bookmarkEnd w:id="57"/>
    <w:p>
      <w:pPr>
        <w:ind w:right="140"/>
        <w:spacing w:after="0" w:line="277" w:lineRule="auto"/>
        <w:rPr>
          <w:sz w:val="20"/>
          <w:szCs w:val="20"/>
          <w:color w:val="auto"/>
        </w:rPr>
      </w:pPr>
      <w:r>
        <w:rPr>
          <w:rFonts w:ascii="Arial" w:cs="Arial" w:eastAsia="Arial" w:hAnsi="Arial"/>
          <w:sz w:val="18"/>
          <w:szCs w:val="18"/>
          <w:color w:val="auto"/>
        </w:rPr>
        <w:t>For the avoidance of doubt, nothing in this Agreement shall affect or otherwise impair the rights, including consent rights, of the Commitment Parties under the Restructuring Support Agreement or any other Definitive Document.</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will not in any way affect the meaning or interpretation of this Agreement.</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agree that irreparable damage would occur if any provision of this Agreement were not performed in accordance with the terms hereof and that the Parties shall be entitled to an injunction or injunctions without the necessity of posting a bond to prevent breaches of this Agreement or to enforce specifically the performance of the terms and provisions hereof, in addition to any other remedy to which they are entitled at law or in equity. Unless otherwise expressly stated in this Agreement, no right or remedy described or provided in this Agreement is intended to be exclusive or to preclude a Party from pursuing other rights and remedies to the extent available under this Agreement, at law or in equity.</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Damages</w:t>
      </w:r>
      <w:r>
        <w:rPr>
          <w:rFonts w:ascii="Arial" w:cs="Arial" w:eastAsia="Arial" w:hAnsi="Arial"/>
          <w:sz w:val="16"/>
          <w:szCs w:val="16"/>
          <w:color w:val="auto"/>
        </w:rPr>
        <w:t xml:space="preserve">. Notwithstanding anything to the contrary in this Agreement, none of the Parties will be liable for, and none of the Parties shall claim or seek to recover, any punitive, special, indirect or consequential damages or damages for lost profits. Notwithstanding anything to the contrary in this Agreement, each Commitment Party agrees that in the event of any breach of this Agreement by a Related Purchaser of such Commitment Party to whom such Commitment Party has Transferred all or a portion of its Rights Offering Backstop Commitment hereunder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such Commitment Party and its Related Purchaser will be jointly and severally liable for any damages caused by such breach of this Agreement.</w:t>
      </w:r>
    </w:p>
    <w:p>
      <w:pPr>
        <w:spacing w:after="0" w:line="15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No Reliance</w:t>
      </w:r>
      <w:r>
        <w:rPr>
          <w:rFonts w:ascii="Arial" w:cs="Arial" w:eastAsia="Arial" w:hAnsi="Arial"/>
          <w:sz w:val="16"/>
          <w:szCs w:val="16"/>
          <w:color w:val="auto"/>
        </w:rPr>
        <w:t>. No Commitment Party or any of its Related Parties shall have any duties or obligations to the other Commitment Parties in respect of this Agreement, the Plan or the transactions contemplated hereby or thereby, except those expressly set forth herein. Without limiting the generality of the foregoing, (a) no Commitment Party or any of its Related Parties shall be subject to any fiduciary or other implied duties to the other Commitment Parties, (b) no Commitment Party or any of its Related Parties shall have any duty to take any discretionary action or exercise any discretionary powers on behalf of any other Commitment Party, (c) no Commitment Party or any of its Related Parties shall have any duty to the other Commitment Parties to obtain, through the exercise of diligence or otherwise, to investigate, confirm, or disclose to the other Commitment Parties any information relating to the Company or any of its Subsidiaries that may have been communicated to or obtained by such Commitment Party or any of its Affiliates in any capacity,</w:t>
      </w:r>
    </w:p>
    <w:p>
      <w:pPr>
        <w:spacing w:after="0" w:line="3" w:lineRule="exact"/>
        <w:rPr>
          <w:sz w:val="20"/>
          <w:szCs w:val="20"/>
          <w:color w:val="auto"/>
        </w:rPr>
      </w:pPr>
    </w:p>
    <w:p>
      <w:pPr>
        <w:ind w:right="80" w:firstLine="8"/>
        <w:spacing w:after="0" w:line="295"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Commitment Party may rely, and each Commitment Party confirms that it has not relied, on any due diligence investigation that any other Commitment Party or any Person acting on behalf of such other Commitment Party may have conducted with respect to the Company or any of its Affiliates or any of their respective securities, and (e) each Commitment Party acknowledges that no other Commitment Party is acting as a placement agent, initial purchaser, underwriter, broker or finder with respect to its Unsubscribed Notes or Commitment Percentage of its Rights Offering Backstop Commitment.</w:t>
      </w:r>
    </w:p>
    <w:p>
      <w:pPr>
        <w:spacing w:after="0" w:line="16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Publicity</w:t>
      </w:r>
      <w:r>
        <w:rPr>
          <w:rFonts w:ascii="Arial" w:cs="Arial" w:eastAsia="Arial" w:hAnsi="Arial"/>
          <w:sz w:val="17"/>
          <w:szCs w:val="17"/>
          <w:color w:val="auto"/>
        </w:rPr>
        <w:t>. At all times prior to the Closing Date or the earlier termination of this Agreement in accordance with its terms, the Debtors and the Commitment Parties shall consult with each other prior to issuing any press releases (and provide each other a reasonable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ind w:right="200"/>
        <w:spacing w:after="0" w:line="276" w:lineRule="auto"/>
        <w:rPr>
          <w:sz w:val="20"/>
          <w:szCs w:val="20"/>
          <w:color w:val="auto"/>
        </w:rPr>
      </w:pPr>
      <w:r>
        <w:rPr>
          <w:rFonts w:ascii="Arial" w:cs="Arial" w:eastAsia="Arial" w:hAnsi="Arial"/>
          <w:sz w:val="17"/>
          <w:szCs w:val="17"/>
          <w:color w:val="auto"/>
        </w:rPr>
        <w:t xml:space="preserve">opportunity to review and comment upon such release) or otherwise making public announcements with respect to the transactions contemplated by this Agreement, it being understood that nothing in this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shall prohibit any Party from filing any motions or other pleadings or documents with the Bankruptcy Court in connection with the Cases. Except as required by applicable Law or as ordered by the Bankruptcy Court or other court of competent jurisdiction, no Party or its advisors shall disclose to any Person (including, for the avoidance of doubt, any other Party) the Commitment Percentage of any Commitment Party set forth on the Commitment Schedule without such Commitment Party’s prior written consent.</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Settlement Discussions</w:t>
      </w:r>
      <w:r>
        <w:rPr>
          <w:rFonts w:ascii="Arial" w:cs="Arial" w:eastAsia="Arial" w:hAnsi="Arial"/>
          <w:sz w:val="18"/>
          <w:szCs w:val="18"/>
          <w:color w:val="auto"/>
        </w:rPr>
        <w:t>. This Agreement and the transactions contemplated herein are part of a proposed settlement of a dispute between the Parties. Nothing herein shall be deemed an admission of any kind. Pursuant to Section 408 of the U.S. Federal Rules of Evidence and any applicable state rules of evidence, this Agreement and all negotiations relating thereto shall not be admissible into evidence in any Legal Proceeding, except to the extent filed with, or disclosed to, the Bankruptcy Court in connection with the Cases (other than a Legal Proceeding to approve or enforce the terms of this Agreement).</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No Recourse</w:t>
      </w:r>
      <w:r>
        <w:rPr>
          <w:rFonts w:ascii="Arial" w:cs="Arial" w:eastAsia="Arial" w:hAnsi="Arial"/>
          <w:sz w:val="16"/>
          <w:szCs w:val="16"/>
          <w:color w:val="auto"/>
        </w:rPr>
        <w:t xml:space="preserve">. Notwithstanding anything that may be expressed or implied in this Agreement, and notwithstanding the fact that certain of the Parties may be partnerships or limited liability companies, each Party covenants, agrees and acknowledges that no recourse under this Agreement or any documents or instruments delivered in connection with this Agreement shall be had against any Party’s Affiliates, or any of such Party’s Affiliates’ or respective Related Parties in each case other than the Parties to this Agreement and each of their respective successors and permitted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under this Agreement or any documents or instruments delivered in connection herewith for any claim based on, in respect of or by reason of such obligations or liabilities or their creation;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shall relieve or otherwise limit the liability of any Party hereto, any Related Purchaser, or any of their respective successors or permitted assigns for any breach or violation of its obligations under this Agreement or such other documents or instruments. For the avoidance of doubt, prior to the Effective Date, none of the Parties will have any recourse, be entitled to commence any proceeding or make any claim under this Agreement or in connection with the transactions contemplated hereby except against any of the Parties, any Related Purchaser, or their respective successors and permitted assigns, as applicable.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left="100"/>
        <w:spacing w:after="0"/>
        <w:rPr>
          <w:sz w:val="20"/>
          <w:szCs w:val="20"/>
          <w:color w:val="auto"/>
        </w:rPr>
      </w:pPr>
      <w:r>
        <w:rPr>
          <w:rFonts w:ascii="Arial" w:cs="Arial" w:eastAsia="Arial" w:hAnsi="Arial"/>
          <w:sz w:val="16"/>
          <w:szCs w:val="16"/>
          <w:color w:val="auto"/>
        </w:rPr>
        <w:t>IN WITNESS WHEREOF, the undersigned Parties have duly executed this Agreement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Muller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Valentin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LLC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Backstop Commitment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0" w:name="page61"/>
    <w:bookmarkEnd w:id="60"/>
    <w:p>
      <w:pPr>
        <w:ind w:left="4520"/>
        <w:spacing w:after="0"/>
        <w:rPr>
          <w:sz w:val="20"/>
          <w:szCs w:val="20"/>
          <w:color w:val="auto"/>
        </w:rPr>
      </w:pPr>
      <w:r>
        <w:rPr>
          <w:rFonts w:ascii="Arial" w:cs="Arial" w:eastAsia="Arial" w:hAnsi="Arial"/>
          <w:sz w:val="16"/>
          <w:szCs w:val="16"/>
          <w:color w:val="auto"/>
        </w:rPr>
        <w:t>[Commitment Parties Signatures]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Backstop Commitment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Rights Offering Procedures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WEATHERFORD RIGHTS OFFERING PROCEDURES</w:t>
      </w:r>
    </w:p>
    <w:p>
      <w:pPr>
        <w:spacing w:after="0" w:line="225"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 xml:space="preserve">Pursuant to the </w:t>
      </w:r>
      <w:r>
        <w:rPr>
          <w:rFonts w:ascii="Arial" w:cs="Arial" w:eastAsia="Arial" w:hAnsi="Arial"/>
          <w:sz w:val="17"/>
          <w:szCs w:val="17"/>
          <w:b w:val="1"/>
          <w:bCs w:val="1"/>
          <w:i w:val="1"/>
          <w:iCs w:val="1"/>
          <w:color w:val="auto"/>
        </w:rPr>
        <w:t>Joint Prepackaged Plan of Reorganization for Weatherford International plc and Its Affiliate Debtors Under Chapter 11 of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Bankruptcy Code </w:t>
      </w:r>
      <w:r>
        <w:rPr>
          <w:rFonts w:ascii="Arial" w:cs="Arial" w:eastAsia="Arial" w:hAnsi="Arial"/>
          <w:sz w:val="17"/>
          <w:szCs w:val="17"/>
          <w:b w:val="1"/>
          <w:bCs w:val="1"/>
          <w:color w:val="auto"/>
        </w:rPr>
        <w:t>(as such plan of reorganization may be amended or modified from time to time, the “Plan”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of Weatherford International plc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its affiliated debtors (the “Debtors”), each Holder of an Allowed Prepetition Notes Claim</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is being granted a subscription right (each, a “Subscription Right”) to purchase its Pro Rata share of New Tranche A Senior Unsecured Notes (the “Offered Securities”) to be issued by Weatherford International, LLC and Weatherford International Ltd., each as reorganized pursuant to the Plan on the Effective Date (collectively, the “Companies”), pursuant to the Plan, as more fully described in these Rights Offering Procedures. The Allowed Prepetition Notes Claims are claims arising under or based upon the Prepetition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 of the Offered Securities is referred to as the “Rights Offering.”</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Offered Securities are being solicited and will be distributed and issued by the Debtors without registration under the Securities Act of 1933, as amended (the “Securities Act”), or any state or local law requiring registration for offer and sale of a security, in reliance upon the exemption provided in section 1145 of the Bankruptcy Code.</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None of the Subscription Rights distributed in connection with these Rights Offering Procedures have been or will be registered under the Securities Act, nor any state or local law requiring registration for offer and sale of a security. To exercise the Subscription Rights, the Holder of the underlying Prepetition Notes must electronically deliver such Prepetition Notes into an account maintained by Prime Clerk LLC, the Subscription Agent for the Rights Offering (the “Subscription Agent”) through the Automated Tender Offer Program (“ATOP”) of the Depository Trust Company (“DTC”), so that they are received by the Subscription Expiration Deadline (as defined below). The Subscription Rights will not be detachable or otherwise transferable separately from the underlying Prepetition Notes. Rather, the Subscription Rights, together with the underlying Prepetition Notes with respect to which such Subscription Rights were allocated, will trade together and will be evidenced by the underlying Prepetition Notes until the Subscription Expiration Deadline, subject to such limitations, if any, that would be applicable to the transferability of the underlying Prepetition Notes; </w:t>
      </w:r>
      <w:r>
        <w:rPr>
          <w:rFonts w:ascii="Arial" w:cs="Arial" w:eastAsia="Arial" w:hAnsi="Arial"/>
          <w:sz w:val="17"/>
          <w:szCs w:val="17"/>
          <w:b w:val="1"/>
          <w:bCs w:val="1"/>
          <w:i w:val="1"/>
          <w:iCs w:val="1"/>
          <w:color w:val="auto"/>
        </w:rPr>
        <w:t>provided</w:t>
      </w:r>
      <w:r>
        <w:rPr>
          <w:rFonts w:ascii="Arial" w:cs="Arial" w:eastAsia="Arial" w:hAnsi="Arial"/>
          <w:sz w:val="17"/>
          <w:szCs w:val="17"/>
          <w:b w:val="1"/>
          <w:bCs w:val="1"/>
          <w:color w:val="auto"/>
        </w:rPr>
        <w:t>, that following the exercise of any Subscription Rights, the Holder thereof shall be prohibited from selling, transferring, assigning, pledging, hypothecating, participating, donating or otherwise encumbering or disposing of, directly or indirectly (including through derivatives, options, swaps, forward sales or other transactions in which any person receives the right to own or acquire any current or future interest in the Subscription Rights, the Allowed Prepetition Notes Claims, the Offered Securities, or the New Tranche A Senior Unsecured Notes) (each of the above, a “Transfer”) the Prepetition Notes corresponding to such Subscription Rights until the termination of the Rights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Capitalized terms used but not defined herein shall have the meanings assigned to them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3" w:name="page64"/>
    <w:bookmarkEnd w:id="63"/>
    <w:p>
      <w:pPr>
        <w:ind w:right="140"/>
        <w:spacing w:after="0" w:line="289" w:lineRule="auto"/>
        <w:rPr>
          <w:sz w:val="20"/>
          <w:szCs w:val="20"/>
          <w:color w:val="auto"/>
        </w:rPr>
      </w:pPr>
      <w:r>
        <w:rPr>
          <w:rFonts w:ascii="Arial" w:cs="Arial" w:eastAsia="Arial" w:hAnsi="Arial"/>
          <w:sz w:val="17"/>
          <w:szCs w:val="17"/>
          <w:b w:val="1"/>
          <w:bCs w:val="1"/>
          <w:color w:val="auto"/>
        </w:rPr>
        <w:t xml:space="preserve">Resale restrictions are discussed in more detail in Section IX of the </w:t>
      </w:r>
      <w:r>
        <w:rPr>
          <w:rFonts w:ascii="Arial" w:cs="Arial" w:eastAsia="Arial" w:hAnsi="Arial"/>
          <w:sz w:val="17"/>
          <w:szCs w:val="17"/>
          <w:b w:val="1"/>
          <w:bCs w:val="1"/>
          <w:i w:val="1"/>
          <w:iCs w:val="1"/>
          <w:color w:val="auto"/>
        </w:rPr>
        <w:t>Disclosure Statement for Joint Prepackaged Plan of Reorganization for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Weatherford International plc and Its Affiliate Debtors Under Chapter 11 of the Bankruptcy Code </w:t>
      </w:r>
      <w:r>
        <w:rPr>
          <w:rFonts w:ascii="Arial" w:cs="Arial" w:eastAsia="Arial" w:hAnsi="Arial"/>
          <w:sz w:val="17"/>
          <w:szCs w:val="17"/>
          <w:b w:val="1"/>
          <w:bCs w:val="1"/>
          <w:color w:val="auto"/>
        </w:rPr>
        <w:t>(as such disclosure statement may be amended from</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time to time, the “Disclosure Statement</w:t>
      </w:r>
      <w:r>
        <w:rPr>
          <w:rFonts w:ascii="Arial" w:cs="Arial" w:eastAsia="Arial" w:hAnsi="Arial"/>
          <w:sz w:val="17"/>
          <w:szCs w:val="17"/>
          <w:color w:val="auto"/>
        </w:rPr>
        <w:t>”)</w:t>
      </w:r>
      <w:r>
        <w:rPr>
          <w:rFonts w:ascii="Arial" w:cs="Arial" w:eastAsia="Arial" w:hAnsi="Arial"/>
          <w:sz w:val="17"/>
          <w:szCs w:val="17"/>
          <w:b w:val="1"/>
          <w:bCs w:val="1"/>
          <w:color w:val="auto"/>
        </w:rPr>
        <w:t>, entitled “Exemptions from Securities Act Registration.”</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The Rights Offering is being conducted by the Companies in good faith and in compliance with the Bankruptcy Code. In accordance with section 1125(e) of the Bankruptcy Code, a debtor or any of its agents that participate, in good faith and in compliance with the applicable provisions of the Bankruptcy Code, in the offer, issuance, sale, or purchase of a security, offered or sold under the plan of the debtor, of an affiliate participating in a joint plan with the debtor, or of a newly organized debtor under the plan, is not liable, on account of such participation, for violation of any applicable law, rule, or regulation governing the offer, issuance, sale or purchase of securities.</w:t>
      </w:r>
    </w:p>
    <w:p>
      <w:pPr>
        <w:spacing w:after="0" w:line="168"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The Rights Offering is not being made into any jurisdiction outside the United States of America and the European Economic Area where it is, or would be, either (i) unlawful or illegal to do so or (ii) such Rights Offering cannot be made unless a prospectus is issued or published (“Restricted Jurisdiction”).</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This document is not a prospectus within the meaning of the EU Prospectus Directive (Directive 2003/71/EC), as amended, the EU Prospectus Regulation (Regulation (EU) 2017/1129) or any implementing legislation or rules relating thereto of any member state of the European Economic Area, or elsewhere. This document has not been approved or reviewed by any competent authority or any regulatory authority of any member state of the European Economic Area. No offer of securities to the public is made or will be made, in any Member State of the European Economic Area or in, or to, any other jurisdiction that requires the publication of a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Noteholders and Nominees of Noteholders (each as defined below) should note the following dates and times relating to the Rights Offering: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840" w:type="dxa"/>
            <w:vAlign w:val="bottom"/>
          </w:tcPr>
          <w:p>
            <w:pPr>
              <w:ind w:left="960"/>
              <w:spacing w:after="0"/>
              <w:rPr>
                <w:sz w:val="20"/>
                <w:szCs w:val="20"/>
                <w:color w:val="auto"/>
              </w:rPr>
            </w:pPr>
            <w:r>
              <w:rPr>
                <w:rFonts w:ascii="Arial" w:cs="Arial" w:eastAsia="Arial" w:hAnsi="Arial"/>
                <w:sz w:val="14"/>
                <w:szCs w:val="14"/>
                <w:b w:val="1"/>
                <w:bCs w:val="1"/>
                <w:color w:val="auto"/>
              </w:rPr>
              <w:t>Calendar Date</w:t>
            </w:r>
          </w:p>
        </w:tc>
        <w:tc>
          <w:tcPr>
            <w:tcW w:w="280" w:type="dxa"/>
            <w:vAlign w:val="bottom"/>
          </w:tcPr>
          <w:p>
            <w:pPr>
              <w:spacing w:after="0"/>
              <w:rPr>
                <w:sz w:val="14"/>
                <w:szCs w:val="14"/>
                <w:color w:val="auto"/>
              </w:rPr>
            </w:pPr>
          </w:p>
        </w:tc>
        <w:tc>
          <w:tcPr>
            <w:tcW w:w="5320" w:type="dxa"/>
            <w:vAlign w:val="bottom"/>
          </w:tcPr>
          <w:p>
            <w:pPr>
              <w:ind w:left="2480"/>
              <w:spacing w:after="0"/>
              <w:rPr>
                <w:sz w:val="20"/>
                <w:szCs w:val="20"/>
                <w:color w:val="auto"/>
              </w:rPr>
            </w:pPr>
            <w:r>
              <w:rPr>
                <w:rFonts w:ascii="Arial" w:cs="Arial" w:eastAsia="Arial" w:hAnsi="Arial"/>
                <w:sz w:val="14"/>
                <w:szCs w:val="14"/>
                <w:b w:val="1"/>
                <w:bCs w:val="1"/>
                <w:color w:val="auto"/>
              </w:rPr>
              <w:t>Event</w:t>
            </w: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Subscription Commencement Date</w:t>
            </w:r>
          </w:p>
        </w:tc>
        <w:tc>
          <w:tcPr>
            <w:tcW w:w="2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 2019</w:t>
            </w:r>
          </w:p>
        </w:tc>
        <w:tc>
          <w:tcPr>
            <w:tcW w:w="28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Commencement of the Rights Offering.</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Subscription Expiration Deadline</w:t>
            </w:r>
          </w:p>
        </w:tc>
        <w:tc>
          <w:tcPr>
            <w:tcW w:w="2840" w:type="dxa"/>
            <w:vAlign w:val="bottom"/>
          </w:tcPr>
          <w:p>
            <w:pPr>
              <w:spacing w:after="0"/>
              <w:rPr>
                <w:sz w:val="20"/>
                <w:szCs w:val="20"/>
                <w:color w:val="auto"/>
              </w:rPr>
            </w:pPr>
            <w:r>
              <w:rPr>
                <w:rFonts w:ascii="Arial" w:cs="Arial" w:eastAsia="Arial" w:hAnsi="Arial"/>
                <w:sz w:val="18"/>
                <w:szCs w:val="18"/>
                <w:color w:val="auto"/>
                <w:w w:val="91"/>
              </w:rPr>
              <w:t>5:00 p.m. (Prevailing Eastern Time) on</w:t>
            </w: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w w:val="93"/>
              </w:rPr>
              <w:t>The deadline for Noteholders to subscribe for Offered Securities. On or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 · ], 2019</w:t>
            </w: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w w:val="94"/>
              </w:rPr>
              <w:t>before the Subscription Expiration Deadline, (i) the Subscription Agent</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w w:val="97"/>
              </w:rPr>
              <w:t>must receive a Noteholder’s duly completed and executed Beneficial</w:t>
            </w:r>
          </w:p>
        </w:tc>
      </w:tr>
      <w:tr>
        <w:trPr>
          <w:trHeight w:val="230"/>
        </w:trPr>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600" w:type="dxa"/>
            <w:vAlign w:val="bottom"/>
            <w:gridSpan w:val="2"/>
          </w:tcPr>
          <w:p>
            <w:pPr>
              <w:ind w:left="280"/>
              <w:spacing w:after="0"/>
              <w:rPr>
                <w:sz w:val="20"/>
                <w:szCs w:val="20"/>
                <w:color w:val="auto"/>
              </w:rPr>
            </w:pPr>
            <w:r>
              <w:rPr>
                <w:rFonts w:ascii="Arial" w:cs="Arial" w:eastAsia="Arial" w:hAnsi="Arial"/>
                <w:sz w:val="18"/>
                <w:szCs w:val="18"/>
                <w:color w:val="auto"/>
              </w:rPr>
              <w:t>Holder Subscription Form (with accompanying IRS Form W-9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2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7"/>
          <w:szCs w:val="17"/>
          <w:color w:val="auto"/>
        </w:rPr>
        <w:t>appropriate IRS Form W-8, as applicable), and (ii) the bank, broker, or</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other financial institution holding the Prepetition Notes in “street name”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for the Noteholder at DTC (each, a “Nominee”) must deliver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Prepetition Notes into the appropriate “envelope” on DTC’s ATOP</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platform.. Prepetition Notes delivered into ATOP will be frozen and may</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not thereafter be transferred.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ind w:left="6100"/>
        <w:spacing w:after="0"/>
        <w:rPr>
          <w:sz w:val="20"/>
          <w:szCs w:val="20"/>
          <w:color w:val="auto"/>
        </w:rPr>
      </w:pPr>
      <w:r>
        <w:rPr>
          <w:rFonts w:ascii="Arial" w:cs="Arial" w:eastAsia="Arial" w:hAnsi="Arial"/>
          <w:sz w:val="17"/>
          <w:szCs w:val="17"/>
          <w:color w:val="auto"/>
        </w:rPr>
        <w:t>Noteholders who are not Backstop Parties must deliver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2350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Price (as defined below) by the Subscription Expiration Deadline.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All Noteholders must confirm that they are not located in a Restricted</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Jurisdiction. Noteholders who are located in the European Economic</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Area must confirm that they are “qualified investors”.</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Noteholders who are Backstop Parties must deliver the Purchase Price no</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later than the Backstop Funding Deadline (as defined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Noteholders and Nominees of Noteholders: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June 28, 2019, the Debtors filed the Plan and the Disclosure Statement. Pursuant to the Plan, each Holder of an Allowed Prepetition Notes Claim from the Subscription Commencement Date to the Subscription Expiration Deadline (each such Holder, a “</w:t>
      </w:r>
      <w:r>
        <w:rPr>
          <w:rFonts w:ascii="Arial" w:cs="Arial" w:eastAsia="Arial" w:hAnsi="Arial"/>
          <w:sz w:val="17"/>
          <w:szCs w:val="17"/>
          <w:b w:val="1"/>
          <w:bCs w:val="1"/>
          <w:color w:val="auto"/>
        </w:rPr>
        <w:t>Noteholder</w:t>
      </w:r>
      <w:r>
        <w:rPr>
          <w:rFonts w:ascii="Arial" w:cs="Arial" w:eastAsia="Arial" w:hAnsi="Arial"/>
          <w:sz w:val="17"/>
          <w:szCs w:val="17"/>
          <w:color w:val="auto"/>
        </w:rPr>
        <w:t>”) has the right to participate in the Rights Offering in accordance with the terms and conditions of the Plan and these Rights Offering Procedures.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Pursuant to the Plan and these Rights Offering Procedures, each Noteholder will be allocated Subscription Rights to subscribe for its Pro Rata share of Offered Securities, and may irrevocably exercise such Subscription Rights by (x) timely and properly executing and delivering its Beneficial Holder Subscription Form (with accompanying IRS Form W-9 or appropriate IRS Form W-8, as applicable), the form of which is attached to these Rights Offering Procedures as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(the “</w:t>
      </w:r>
      <w:r>
        <w:rPr>
          <w:rFonts w:ascii="Arial" w:cs="Arial" w:eastAsia="Arial" w:hAnsi="Arial"/>
          <w:sz w:val="17"/>
          <w:szCs w:val="17"/>
          <w:b w:val="1"/>
          <w:bCs w:val="1"/>
          <w:color w:val="auto"/>
        </w:rPr>
        <w:t>Beneficial Holder Subscription Form</w:t>
      </w:r>
      <w:r>
        <w:rPr>
          <w:rFonts w:ascii="Arial" w:cs="Arial" w:eastAsia="Arial" w:hAnsi="Arial"/>
          <w:sz w:val="17"/>
          <w:szCs w:val="17"/>
          <w:color w:val="auto"/>
        </w:rPr>
        <w:t>”) to the Subscription Agent, (y) having its Prepetition Notes delivered into the appropriate “envelope” on DTC’s ATOP platform, and (z) funding in cash the aggregate purchase price (the “</w:t>
      </w:r>
      <w:r>
        <w:rPr>
          <w:rFonts w:ascii="Arial" w:cs="Arial" w:eastAsia="Arial" w:hAnsi="Arial"/>
          <w:sz w:val="17"/>
          <w:szCs w:val="17"/>
          <w:b w:val="1"/>
          <w:bCs w:val="1"/>
          <w:color w:val="auto"/>
        </w:rPr>
        <w:t>Purchase Price</w:t>
      </w:r>
      <w:r>
        <w:rPr>
          <w:rFonts w:ascii="Arial" w:cs="Arial" w:eastAsia="Arial" w:hAnsi="Arial"/>
          <w:sz w:val="17"/>
          <w:szCs w:val="17"/>
          <w:color w:val="auto"/>
        </w:rPr>
        <w:t>”) for its Subscribed Securities (as defined below) in accordance with the instructions provided herein. Please note that all Beneficial Holder Subscription Forms (with accompanying IRS Form W-9 or appropriate IRS Form W-8, as applicable) must be returned to the Subscription Agent prior to the Subscription Expiration Deadline. In addition, Beneficial Holders must direct their Nominees to submit the necessary instructions into ATOP and receive the corresponding ATOP confirmation number (also known as a “voluntary offering instruction” or “VOI”) on or before the Subscription Expiration Deadline. Therefore, Beneficial Holders should allocate sufficient time to coordinate with their Nominee on the submission of the appropriate instructions into ATOP and the delivery of Beneficial Holder Subscription Forms (with accompanying IRS Forms) to the Subscription Agent.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Noteholders who are located in the European Economic Area must confirm that they are “qualified investors” within the meaning of Article 2</w:t>
      </w:r>
    </w:p>
    <w:p>
      <w:pPr>
        <w:spacing w:after="0" w:line="35" w:lineRule="exact"/>
        <w:rPr>
          <w:sz w:val="20"/>
          <w:szCs w:val="20"/>
          <w:color w:val="auto"/>
        </w:rPr>
      </w:pPr>
    </w:p>
    <w:p>
      <w:pPr>
        <w:jc w:val="both"/>
        <w:ind w:right="120" w:firstLine="8"/>
        <w:spacing w:after="0" w:line="302"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(e) of the EU Prospectus Directive (Directive 2003/71/EC), as amended and Article 2 (e) of the EU Prospectus Regulation (Regulation (EU) 2017/1129). Otherwise such Noteholders will not be entitled to participate in the Rights Offering unless the issuer is satisfied that there would be no obligation on its part to publish or issue a prospectus. Noteholders located in a Restricted Jurisdiction will not be entitled to participate in the Rights Offering.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right="20" w:firstLine="648"/>
        <w:spacing w:after="0" w:line="270" w:lineRule="auto"/>
        <w:rPr>
          <w:sz w:val="20"/>
          <w:szCs w:val="20"/>
          <w:color w:val="auto"/>
        </w:rPr>
      </w:pPr>
      <w:r>
        <w:rPr>
          <w:rFonts w:ascii="Arial" w:cs="Arial" w:eastAsia="Arial" w:hAnsi="Arial"/>
          <w:sz w:val="17"/>
          <w:szCs w:val="17"/>
          <w:b w:val="1"/>
          <w:bCs w:val="1"/>
          <w:color w:val="auto"/>
        </w:rPr>
        <w:t>As part of the exercise process, following exercise of Subscription Rights, the underlying Prepetition Notes held through DTC will be frozen from trading, as described below</w:t>
      </w:r>
      <w:r>
        <w:rPr>
          <w:rFonts w:ascii="Arial" w:cs="Arial" w:eastAsia="Arial" w:hAnsi="Arial"/>
          <w:sz w:val="17"/>
          <w:szCs w:val="17"/>
          <w:color w:val="auto"/>
        </w:rPr>
        <w:t>. All Beneficial Holder Subscription Forms and/or other instructions required by the Nominee must be returned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Nominee in sufficient time to allow such Nominee to process and deliver the applicable underlying Prepetition Notes through ATOP. By instructing its Nominee to submit the underlying Prepetition Notes through ATOP, the Holder is (i) authorizing its Nominee to irrevocably exercise Subscription Rights associated with the amount of Prepetition Notes as to which the instruction pertains; and (ii) certifying that it understands that, once submitted, the underlying Prepetition Notes will be frozen from trading until the Effective Date or the termination of the Rights Offering. Beneficial Holders that participate in the Rights Offering shall be prohibited from transferring the underlying Prepetition Notes, and the Prepetition Notes Indenture Trustee shall be prohibited from effectuating any such requested transfers. If the Rights Offering is not terminated, on the Effective Date (a) the underlying Prepetition Notes will be cancelled pursuant to the Plan; (b) the Holder will receive any Subscribed Securities (as defined below) and (c) the Holder will additionally receive other recoveries distributed to its applicable Class(es) pursuant to the Plan.</w:t>
      </w:r>
    </w:p>
    <w:p>
      <w:pPr>
        <w:spacing w:after="0" w:line="18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 Noteholder holds Prepetition Notes underlying the Subscription Rights that it wishes to exercise through multiple Nominees, it must complete, execute and deliver a separate Beneficial Holder Subscription Form with respect to each such Nominee.</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amount of time necessary for a Nominee to process and deliver the applicable Prepetition Notes through ATOP may vary. Holders are urged to consult with their Nominees to determine the necessary deadline to return their Beneficial Holder Subscription Forms to their Nominee, which may be earlier than the Subscription Expiration Deadline, as well as any other steps required by such Nominee, which may vary from Nominee to Nominee. Failure to submit such Beneficial Holder Subscription Form (or other instructions required by the Nominee) on a timely basis will result in forfeiture of a Noteholder’s Subscription Rights. None of the Debtors, the Subscription Agent or any of the Backstop Parties will have any liability for any such failure.</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 Noteholder shall be entitled to participate in the Rights Offering unless cash in an amount equal to the Purchase Price of its Subscribed Securities, calculated in accordance with its Beneficial Holder Subscription Form, is received by the Subscription Agent (i) in the case of a Noteholder that is not a Backstop Party, on or before the Subscription Expiration Deadline and (ii) in the case of a Noteholder that is a Backstop Party, no later than the Backstop Funding Deadline, provided that the Backstop Parties may deposit their Purchase Price in the Escrow Account (as defined in the Backstop Commitment Agreement), in accordance with the terms of the Backstop Commitment Agreement. If the Rights Offering is terminated for any reason, the Purchase Price previously received by the Subscription Agent will be returned to the applicable Noteholders as provided in Section 7 hereof and the deposited Prepetition Notes will be released by the Subscription Agent. No interest will be paid on any advanced funding of the Purchase Price or on any returned Purchase Price.</w:t>
      </w:r>
    </w:p>
    <w:p>
      <w:pPr>
        <w:spacing w:after="0" w:line="19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Before electing to participate in the Rights Offering, all Noteholders should review the Disclosure Statement (including the risk factors described in the section entitled “Plan-Related Risk Factors”) and the Plan, and, in each case, any amendments, supplements or other modifications thereto, in addition to these Rights Offering Procedures and the instructions contained in the Beneficial Holder Subscription Form. A copy of the Disclosure Statement 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available from the Subscription Agent and on the Debtors’ restructuring website at http://www.primeclerk.com/Weatherford.</w:t>
      </w:r>
    </w:p>
    <w:p>
      <w:pPr>
        <w:spacing w:after="0" w:line="221"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In order to participate in the Rights Offering, you must complete all the steps outlined below. If all of the steps outlined below are not completed by the Subscription Expiration Deadline, you shall be deemed to have forever and irrevocably relinquished and waived your right to participate in the Rights Offering.</w:t>
      </w:r>
    </w:p>
    <w:p>
      <w:pPr>
        <w:spacing w:after="0" w:line="17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Rights Offering</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Noteholders have the right, but not the obligation, to participate in the Rights Offering.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Subject to the terms and conditions set forth in the Plan and these Rights Offering Procedures, each Noteholder is entitled to subscribe for up to its Pro Rata share of Offered Securities at the Purchase Price.</w:t>
      </w:r>
    </w:p>
    <w:p>
      <w:pPr>
        <w:spacing w:after="0" w:line="166" w:lineRule="exact"/>
        <w:rPr>
          <w:sz w:val="20"/>
          <w:szCs w:val="20"/>
          <w:color w:val="auto"/>
        </w:rPr>
      </w:pPr>
    </w:p>
    <w:p>
      <w:pPr>
        <w:ind w:right="1020" w:firstLine="648"/>
        <w:spacing w:after="0" w:line="282" w:lineRule="auto"/>
        <w:rPr>
          <w:sz w:val="20"/>
          <w:szCs w:val="20"/>
          <w:color w:val="auto"/>
        </w:rPr>
      </w:pPr>
      <w:r>
        <w:rPr>
          <w:rFonts w:ascii="Arial" w:cs="Arial" w:eastAsia="Arial" w:hAnsi="Arial"/>
          <w:sz w:val="18"/>
          <w:szCs w:val="18"/>
          <w:b w:val="1"/>
          <w:bCs w:val="1"/>
          <w:color w:val="auto"/>
        </w:rPr>
        <w:t>SUBJECT TO THE TERMS AND CONDITIONS OF THE PLAN AND THESE RIGHTS OFFERING PROCEDURES, ALL SUBSCRIPTIONS SET FORTH IN THE BENEFICIAL HOLDER SUBSCRIPTION FORM ARE IRREVOCABLE.</w:t>
      </w:r>
    </w:p>
    <w:p>
      <w:pPr>
        <w:spacing w:after="0" w:line="16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Period</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Rights Offering will commence on the Subscription Commencement Date and will expire on the Subscription Expiration Deadline. Each Noteholder intending to purchase Offered Securities in the Rights Offering must affirmatively elect to exercise its Subscription Rights in the manner set forth in the Rights Offering Instructions (consistent herewith, including as described in Section 5 hereof) on or prior to the Subscription Expiration Deadline and must pay for any exercised Subscription Rights by the applicable deadline.</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exercise (including payment by any Noteholder that is not a Backstop Party) of Subscription Rights after the Subscription Expiration Deadline will not be allowed and any purported exercise received by the Subscription Agent after the Subscription Expiration Deadline, regardless of when the documents or payment relating to such exercise were sent, will not be honored.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Subscription Expiration Deadline may be extended by the Debtors with the consent of the Required Consenting Noteholders or as required by law. Any such extension will be followed by a public announcement thereof no later than 9:00 a.m. (Prevailing Eastern Time) on the next Business Day after the previously scheduled Subscription Expiration Deadline.</w:t>
      </w:r>
    </w:p>
    <w:p>
      <w:pPr>
        <w:spacing w:after="0" w:line="17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the Beneficial Holder Subscription Form</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Each Noteholder may exercise all or any portion of such Noteholder’s Subscription Rights, but subject to the terms and conditions of the Plan and these Rights Offering Procedures, the exercise of any Subscription Rights will be irrevocable. In order to facilitate the exercise of the Subscription Rights, beginning on the Subscription Commencement Date, the Subscription Agent will furnish, or cause to be furnished, to each Noteholder or its Nominee, as applicable, the Beneficial Holder Subscription Form, together with appropriate instructions for the proper completion and due execution by, and timely delivery by or on behalf of, the Noteholder of the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7" w:name="page68"/>
    <w:bookmarkEnd w:id="67"/>
    <w:p>
      <w:pPr>
        <w:spacing w:after="0" w:line="255" w:lineRule="auto"/>
        <w:rPr>
          <w:sz w:val="20"/>
          <w:szCs w:val="20"/>
          <w:color w:val="auto"/>
        </w:rPr>
      </w:pPr>
      <w:r>
        <w:rPr>
          <w:rFonts w:ascii="Arial" w:cs="Arial" w:eastAsia="Arial" w:hAnsi="Arial"/>
          <w:sz w:val="18"/>
          <w:szCs w:val="18"/>
          <w:color w:val="auto"/>
        </w:rPr>
        <w:t>Beneficial Holder Subscription Form and the payment of the Purchase Price for that amount of Offered Securities set forth in Item 2 of such Noteholder’s Beneficial Holder Subscription Form (the “</w:t>
      </w:r>
      <w:r>
        <w:rPr>
          <w:rFonts w:ascii="Arial" w:cs="Arial" w:eastAsia="Arial" w:hAnsi="Arial"/>
          <w:sz w:val="18"/>
          <w:szCs w:val="18"/>
          <w:b w:val="1"/>
          <w:bCs w:val="1"/>
          <w:color w:val="auto"/>
        </w:rPr>
        <w:t>Subscribed Securities</w:t>
      </w:r>
      <w:r>
        <w:rPr>
          <w:rFonts w:ascii="Arial" w:cs="Arial" w:eastAsia="Arial" w:hAnsi="Arial"/>
          <w:sz w:val="18"/>
          <w:szCs w:val="18"/>
          <w:color w:val="auto"/>
        </w:rPr>
        <w:t>”). To effectuate delivery of the aforementioned documents, the Subscription Agent is authorized to rely on (i) information or registers provided by the Prepetition Notes Indenture Trustee and (ii) securities position reports requested and obtained from DTC for purposes of distribution. In addition, appropriate service of the aforementioned documents will be deemed completed by the Subscription Agent upon delivery of such documents to DTC and the applicable Nominees (or such Nominees’ agents); provided, however, that the Subscription Agent will instruct such Nominees (or their agents) to immediately distribute such documents to the underlying Noteholders in accordance with their customary procedures.</w:t>
      </w:r>
    </w:p>
    <w:p>
      <w:pPr>
        <w:spacing w:after="0" w:line="18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Subscription Rights</w:t>
      </w:r>
    </w:p>
    <w:p>
      <w:pPr>
        <w:spacing w:after="0" w:line="229" w:lineRule="exact"/>
        <w:rPr>
          <w:rFonts w:ascii="Arial" w:cs="Arial" w:eastAsia="Arial" w:hAnsi="Arial"/>
          <w:sz w:val="18"/>
          <w:szCs w:val="18"/>
          <w:b w:val="1"/>
          <w:bCs w:val="1"/>
          <w:color w:val="auto"/>
        </w:rPr>
      </w:pPr>
    </w:p>
    <w:p>
      <w:pPr>
        <w:ind w:left="1300" w:hanging="806"/>
        <w:spacing w:after="0"/>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order to validly exercise Subscription Rights, each Noteholder that is not a Backstop Party must:</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21"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instruct its Nominees to electronically deliver the Prepetition Notes underlying the Subscription Rights that are being exercised through ATOP such that they are received by the Subscription Expiration Deadline;</w:t>
      </w:r>
    </w:p>
    <w:p>
      <w:pPr>
        <w:spacing w:after="0" w:line="170" w:lineRule="exact"/>
        <w:rPr>
          <w:rFonts w:ascii="Arial" w:cs="Arial" w:eastAsia="Arial" w:hAnsi="Arial"/>
          <w:sz w:val="18"/>
          <w:szCs w:val="18"/>
          <w:color w:val="auto"/>
        </w:rPr>
      </w:pPr>
    </w:p>
    <w:p>
      <w:pPr>
        <w:ind w:left="1300" w:right="520" w:hanging="644"/>
        <w:spacing w:after="0" w:line="286" w:lineRule="auto"/>
        <w:tabs>
          <w:tab w:leader="none" w:pos="1331" w:val="left"/>
        </w:tabs>
        <w:numPr>
          <w:ilvl w:val="2"/>
          <w:numId w:val="58"/>
        </w:numPr>
        <w:rPr>
          <w:rFonts w:ascii="Arial" w:cs="Arial" w:eastAsia="Arial" w:hAnsi="Arial"/>
          <w:sz w:val="17"/>
          <w:szCs w:val="17"/>
          <w:color w:val="auto"/>
        </w:rPr>
      </w:pPr>
      <w:r>
        <w:rPr>
          <w:rFonts w:ascii="Arial" w:cs="Arial" w:eastAsia="Arial" w:hAnsi="Arial"/>
          <w:sz w:val="17"/>
          <w:szCs w:val="17"/>
          <w:color w:val="auto"/>
        </w:rPr>
        <w:t>return a duly completed and executed Beneficial Holder Subscription Form (with accompanying IRS Form W-9 or appropriate IRS Form W-8, as applicable) to the Subscription Agent (or its Nominee if otherwise directed by its Nominee) so that such documents are actually received by the Subscription Agent on or before the Subscription Expiration Deadline; and</w:t>
      </w:r>
    </w:p>
    <w:p>
      <w:pPr>
        <w:spacing w:after="0" w:line="165" w:lineRule="exact"/>
        <w:rPr>
          <w:rFonts w:ascii="Arial" w:cs="Arial" w:eastAsia="Arial" w:hAnsi="Arial"/>
          <w:sz w:val="17"/>
          <w:szCs w:val="17"/>
          <w:color w:val="auto"/>
        </w:rPr>
      </w:pPr>
    </w:p>
    <w:p>
      <w:pPr>
        <w:jc w:val="both"/>
        <w:ind w:left="1300" w:right="140" w:hanging="644"/>
        <w:spacing w:after="0" w:line="342" w:lineRule="auto"/>
        <w:tabs>
          <w:tab w:leader="none" w:pos="13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no later than the Subscription Expiration Deadline, pay the Purchase Price for all Subscribed Securities to the Subscription Agent by wire transfer of immediately available funds in accordance with the instructions included in Item 4 of the Beneficial Holder Subscription Form.</w:t>
      </w:r>
    </w:p>
    <w:p>
      <w:pPr>
        <w:spacing w:after="0" w:line="123" w:lineRule="exact"/>
        <w:rPr>
          <w:rFonts w:ascii="Arial" w:cs="Arial" w:eastAsia="Arial" w:hAnsi="Arial"/>
          <w:sz w:val="16"/>
          <w:szCs w:val="16"/>
          <w:color w:val="auto"/>
        </w:rPr>
      </w:pPr>
    </w:p>
    <w:p>
      <w:pPr>
        <w:ind w:left="1320" w:hanging="826"/>
        <w:spacing w:after="0"/>
        <w:tabs>
          <w:tab w:leader="none" w:pos="1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order to validly exercise Subscription Rights, each Noteholder that is a Backstop Party must:</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21"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instruct its Nominees to electronically deliver the Prepetition Notes underlying the Subscription Rights that are being exercised through ATOP, such that they are received by the Subscription Expiration Deadline;</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2"/>
          <w:numId w:val="58"/>
        </w:numPr>
        <w:rPr>
          <w:rFonts w:ascii="Arial" w:cs="Arial" w:eastAsia="Arial" w:hAnsi="Arial"/>
          <w:sz w:val="17"/>
          <w:szCs w:val="17"/>
          <w:color w:val="auto"/>
        </w:rPr>
      </w:pPr>
      <w:r>
        <w:rPr>
          <w:rFonts w:ascii="Arial" w:cs="Arial" w:eastAsia="Arial" w:hAnsi="Arial"/>
          <w:sz w:val="17"/>
          <w:szCs w:val="17"/>
          <w:color w:val="auto"/>
        </w:rPr>
        <w:t>return a duly completed and executed Beneficial Holder Subscription Form (with accompanying IRS Form W-9 or appropriate IRS</w:t>
      </w:r>
    </w:p>
    <w:p>
      <w:pPr>
        <w:spacing w:after="0" w:line="35" w:lineRule="exact"/>
        <w:rPr>
          <w:sz w:val="20"/>
          <w:szCs w:val="20"/>
          <w:color w:val="auto"/>
        </w:rPr>
      </w:pPr>
    </w:p>
    <w:p>
      <w:pPr>
        <w:ind w:left="1300" w:right="560"/>
        <w:spacing w:after="0" w:line="261" w:lineRule="auto"/>
        <w:rPr>
          <w:sz w:val="20"/>
          <w:szCs w:val="20"/>
          <w:color w:val="auto"/>
        </w:rPr>
      </w:pPr>
      <w:r>
        <w:rPr>
          <w:rFonts w:ascii="Arial" w:cs="Arial" w:eastAsia="Arial" w:hAnsi="Arial"/>
          <w:sz w:val="18"/>
          <w:szCs w:val="18"/>
          <w:color w:val="auto"/>
        </w:rPr>
        <w:t>Form W-8, as applicable) to the Subscription Agent or its Nominee (as directed by its Nominee), so that such documents are actually received by the Subscription Agent on or before the Subscription Expiration Deadline; and</w:t>
      </w:r>
    </w:p>
    <w:p>
      <w:pPr>
        <w:spacing w:after="0" w:line="184" w:lineRule="exact"/>
        <w:rPr>
          <w:sz w:val="20"/>
          <w:szCs w:val="20"/>
          <w:color w:val="auto"/>
        </w:rPr>
      </w:pPr>
    </w:p>
    <w:p>
      <w:pPr>
        <w:ind w:left="1340" w:hanging="684"/>
        <w:spacing w:after="0"/>
        <w:tabs>
          <w:tab w:leader="none" w:pos="1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later than the deadline specified in the Funding Notice (as defined in the Backstop Commitment Agreement) (such deadline, the</w:t>
      </w:r>
    </w:p>
    <w:p>
      <w:pPr>
        <w:spacing w:after="0" w:line="35" w:lineRule="exact"/>
        <w:rPr>
          <w:sz w:val="20"/>
          <w:szCs w:val="20"/>
          <w:color w:val="auto"/>
        </w:rPr>
      </w:pPr>
    </w:p>
    <w:p>
      <w:pPr>
        <w:ind w:left="1300" w:right="18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Backstop Funding Deadline</w:t>
      </w:r>
      <w:r>
        <w:rPr>
          <w:rFonts w:ascii="Arial" w:cs="Arial" w:eastAsia="Arial" w:hAnsi="Arial"/>
          <w:sz w:val="17"/>
          <w:szCs w:val="17"/>
          <w:color w:val="auto"/>
        </w:rPr>
        <w:t>”), pay the Purchase Price for all Subscribed Securities to the Subscription Agent or to the Escrow Account established and maintained by a third party satisfactory to the Backstop Parties and the Companies by wire transfer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left="1260"/>
        <w:spacing w:after="0"/>
        <w:rPr>
          <w:sz w:val="20"/>
          <w:szCs w:val="20"/>
          <w:color w:val="auto"/>
        </w:rPr>
      </w:pPr>
      <w:r>
        <w:rPr>
          <w:rFonts w:ascii="Arial" w:cs="Arial" w:eastAsia="Arial" w:hAnsi="Arial"/>
          <w:sz w:val="18"/>
          <w:szCs w:val="18"/>
          <w:color w:val="auto"/>
        </w:rPr>
        <w:t>immediately available funds in accordance with the instructions included in the Funding Notice.</w:t>
      </w:r>
    </w:p>
    <w:p>
      <w:pPr>
        <w:spacing w:after="0" w:line="225" w:lineRule="exact"/>
        <w:rPr>
          <w:sz w:val="20"/>
          <w:szCs w:val="20"/>
          <w:color w:val="auto"/>
        </w:rPr>
      </w:pPr>
    </w:p>
    <w:p>
      <w:pPr>
        <w:ind w:left="-40" w:right="40" w:firstLine="494"/>
        <w:spacing w:after="0" w:line="293" w:lineRule="auto"/>
        <w:tabs>
          <w:tab w:leader="none" w:pos="1267"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 respect to 5(a) and 5(b) above, a Noteholder that holds Allowed Prepetition Notes Claims through a Nominee must duly complete, execute and return its Beneficial Holder Subscription Form in accordance with the instructions herein directly to its Nominee (or as otherwise directed by its Nominee) in sufficient time to allow its Nominee to process its instructions and deliver to the Subscription Agent its completed Beneficial Holder Subscription Form (with accompanying IRS Form W-9 or appropriate IRS Form W-8, as applicable) on or before the Subscription Expiration Deadline. Noteholders that are Backstop Parties must deliver their payment of the Purchase Price for their Subscribed Securities directly to the Subscription Agent or to the Escrow Account, as applicable, and in accordance with the instructions in the Funding Notice no later than Backstop Funding Deadline.</w:t>
      </w:r>
    </w:p>
    <w:p>
      <w:pPr>
        <w:spacing w:after="0" w:line="160" w:lineRule="exact"/>
        <w:rPr>
          <w:rFonts w:ascii="Arial" w:cs="Arial" w:eastAsia="Arial" w:hAnsi="Arial"/>
          <w:sz w:val="16"/>
          <w:szCs w:val="16"/>
          <w:color w:val="auto"/>
        </w:rPr>
      </w:pPr>
    </w:p>
    <w:p>
      <w:pPr>
        <w:ind w:left="-40" w:right="100" w:firstLine="494"/>
        <w:spacing w:after="0" w:line="266" w:lineRule="auto"/>
        <w:tabs>
          <w:tab w:leader="none" w:pos="1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Any Noteholder that is not a Backstop Party and that </w:t>
      </w:r>
      <w:r>
        <w:rPr>
          <w:rFonts w:ascii="Arial" w:cs="Arial" w:eastAsia="Arial" w:hAnsi="Arial"/>
          <w:sz w:val="18"/>
          <w:szCs w:val="18"/>
          <w:b w:val="1"/>
          <w:bCs w:val="1"/>
          <w:u w:val="single" w:color="auto"/>
          <w:color w:val="auto"/>
        </w:rPr>
        <w:t>does not</w:t>
      </w:r>
      <w:r>
        <w:rPr>
          <w:rFonts w:ascii="Arial" w:cs="Arial" w:eastAsia="Arial" w:hAnsi="Arial"/>
          <w:sz w:val="18"/>
          <w:szCs w:val="18"/>
          <w:color w:val="auto"/>
        </w:rPr>
        <w:t xml:space="preserve"> hold an Allowed Prepetition Notes Claim through a Nominee must deliver their completed Beneficial Holder Subscription Form (with accompanying IRS Form W-9 or appropriate IRS Form W-8, as applicable) and payment directly to the Subscription Agent on or before the Subscription Expiration Deadline.</w:t>
      </w:r>
    </w:p>
    <w:p>
      <w:pPr>
        <w:spacing w:after="0" w:line="180" w:lineRule="exact"/>
        <w:rPr>
          <w:rFonts w:ascii="Arial" w:cs="Arial" w:eastAsia="Arial" w:hAnsi="Arial"/>
          <w:sz w:val="18"/>
          <w:szCs w:val="18"/>
          <w:color w:val="auto"/>
        </w:rPr>
      </w:pPr>
    </w:p>
    <w:p>
      <w:pPr>
        <w:ind w:left="-40" w:right="60" w:firstLine="494"/>
        <w:spacing w:after="0" w:line="259" w:lineRule="auto"/>
        <w:tabs>
          <w:tab w:leader="none" w:pos="12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Noteholders who are located in the European Economic Area must confirm and certify that they are “qualified investors” within the meaning of Article 2(1)(e) of the EU Prospectus Directive (Directive 2003/71/(EC), as amended and Article 2 (e) of the EU Prospectus Regulation (Regulation (EU) 2017/1129). All Noteholders located outside the United States of America and the European Economic Area must confirm that they are not located in a Restricted Jurisdiction.</w:t>
      </w:r>
    </w:p>
    <w:p>
      <w:pPr>
        <w:spacing w:after="0" w:line="186" w:lineRule="exact"/>
        <w:rPr>
          <w:rFonts w:ascii="Arial" w:cs="Arial" w:eastAsia="Arial" w:hAnsi="Arial"/>
          <w:sz w:val="18"/>
          <w:szCs w:val="18"/>
          <w:color w:val="auto"/>
        </w:rPr>
      </w:pPr>
    </w:p>
    <w:p>
      <w:pPr>
        <w:ind w:left="-40" w:firstLine="494"/>
        <w:spacing w:after="0" w:line="255" w:lineRule="auto"/>
        <w:tabs>
          <w:tab w:leader="none" w:pos="12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that funds received by the Subscription Agent in payment for such Noteholder’s Subscribed Securities are less than the Purchase Price for the Subscribed Securities of such Noteholder, the amount of Subscribed Securities deemed to be purchased by the Noteholder will be equal to the quotient of (i) the amount of such funds received and (ii) the Purchase Price, up to such Noteholder’s Pro Rata share of Offered Securities. For the avoidance of doubt, the principal amount(s) of underlying Prepetition Notes held by a Noteholder that is electronically delivered through ATOP will control, regardless of the principal amount(s) reflected on the Beneficial Holder Subscription Form, for purposes of making any Subscription Rights calculations or otherwise.</w:t>
      </w:r>
    </w:p>
    <w:p>
      <w:pPr>
        <w:spacing w:after="0" w:line="193" w:lineRule="exact"/>
        <w:rPr>
          <w:rFonts w:ascii="Arial" w:cs="Arial" w:eastAsia="Arial" w:hAnsi="Arial"/>
          <w:sz w:val="18"/>
          <w:szCs w:val="18"/>
          <w:color w:val="auto"/>
        </w:rPr>
      </w:pPr>
    </w:p>
    <w:p>
      <w:pPr>
        <w:ind w:left="-40" w:right="20" w:firstLine="494"/>
        <w:spacing w:after="0" w:line="297" w:lineRule="auto"/>
        <w:tabs>
          <w:tab w:leader="none" w:pos="127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payments of cash made in accordance with the Rights Offering will be deposited and held by the Subscription Agent in a segregated bank account established by the Subscription Agent for this purpose, until disbursed to the Companies in connection with the settlement of the Rights Offering on the Effective Date or returned to subscribing Noteholders as provided in Section 7. The Subscription Agent may not use such funds for any other purpose prior to such Effective Date and may not encumber or permit such funds to be encumbered with any lien or similar encumbrance. Such funds held in the segregated bank account or otherwise by the Subscription Agent shall not be deemed part of the Debtors’ bankruptcy estate.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69" w:name="page70"/>
    <w:bookmarkEnd w:id="69"/>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Restriction; Revocation</w:t>
      </w:r>
    </w:p>
    <w:p>
      <w:pPr>
        <w:spacing w:after="0" w:line="229" w:lineRule="exact"/>
        <w:rPr>
          <w:rFonts w:ascii="Arial" w:cs="Arial" w:eastAsia="Arial" w:hAnsi="Arial"/>
          <w:sz w:val="18"/>
          <w:szCs w:val="18"/>
          <w:b w:val="1"/>
          <w:bCs w:val="1"/>
          <w:color w:val="auto"/>
        </w:rPr>
      </w:pPr>
    </w:p>
    <w:p>
      <w:pPr>
        <w:ind w:right="160" w:firstLine="494"/>
        <w:spacing w:after="0" w:line="286" w:lineRule="auto"/>
        <w:tabs>
          <w:tab w:leader="none" w:pos="1294"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Subscription Rights will not be detachable or otherwise transferable separately from the Prepetition Notes. If any Subscription Rights are transferred by a Noteholder in contravention of the foregoing, the Subscription Rights will be cancelled, and neither such Noteholder nor the purported transferee will receive any Offered Securities otherwise purchasable on account of such transferred Subscription Rights.</w:t>
      </w:r>
    </w:p>
    <w:p>
      <w:pPr>
        <w:spacing w:after="0" w:line="165" w:lineRule="exact"/>
        <w:rPr>
          <w:rFonts w:ascii="Arial" w:cs="Arial" w:eastAsia="Arial" w:hAnsi="Arial"/>
          <w:sz w:val="17"/>
          <w:szCs w:val="17"/>
          <w:color w:val="auto"/>
        </w:rPr>
      </w:pPr>
    </w:p>
    <w:p>
      <w:pPr>
        <w:ind w:right="60" w:firstLine="494"/>
        <w:spacing w:after="0" w:line="308" w:lineRule="auto"/>
        <w:tabs>
          <w:tab w:leader="none" w:pos="1304"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Subscription Rights together with the underlying Prepetition Notes with respect to which such Subscription Rights were allocated, will trade together as a unit, subject to such limitations, if any, that would be applicable to the transferability of the underlying Prepetition Notes.</w:t>
      </w:r>
    </w:p>
    <w:p>
      <w:pPr>
        <w:spacing w:after="0" w:line="146" w:lineRule="exact"/>
        <w:rPr>
          <w:rFonts w:ascii="Arial" w:cs="Arial" w:eastAsia="Arial" w:hAnsi="Arial"/>
          <w:sz w:val="17"/>
          <w:szCs w:val="17"/>
          <w:color w:val="auto"/>
        </w:rPr>
      </w:pPr>
    </w:p>
    <w:p>
      <w:pPr>
        <w:ind w:right="100" w:firstLine="494"/>
        <w:spacing w:after="0" w:line="259" w:lineRule="auto"/>
        <w:tabs>
          <w:tab w:leader="none" w:pos="13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Once a Noteholder has properly exercised its Subscription Rights, subject to the terms and conditions contained in these Rights Offering Procedures and the Backstop Commitment Agreement in the case of any Backstop Party, such exercise will be irrevocable. Moreover, following the exercise of any Subscription Rights, the Holder thereof shall be prohibited from transferring or assigning the Prepetition Notes, as applicable, corresponding to such Subscription Rights until the termination of the Rights Offering.</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Termination/Return of Payment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Unless the Effective Date has occurred, the Rights Offering will be deemed automatically terminated without any action of any party upon the earlier of (i) revocation of the Plan or rejection of the Plan by all classes entitled to vote, (ii) termination of the Restructuring Support Agreement in accordance with its terms (other than termination on and as a result of the occurrence of the Effective Date), (iii) termination of the Backstop Commitment Agreement in accordance with its terms, and (iv) November 30, 2019, if the closing of the Rights Offering has not occurred on or prior to that date, which may be extended by the Debtors with the consent of the Required Consenting Noteholders. If the Rights Offering is terminated, any cash paid to the Subscription Agent will be returned, without interest, and all deposited Prepetition Notes shall be released by the Subscription Agent, to the applicable Noteholder as soon as reasonably practicable thereafter, but in any event within six (6) Business Days after the date on which the Rights Offering is terminated.</w:t>
      </w:r>
    </w:p>
    <w:p>
      <w:pPr>
        <w:spacing w:after="0" w:line="16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the Rights Offering and Distribution of the Subscribed Securities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settlement of the Rights Offering is conditioned on confirmation of the Plan by the Bankruptcy Court, compliance by the Debtors with these Rights Offering Procedures, satisfaction of the conditions precedent set forth in the Backstop Commitment Agreement and the occurrence of the Effective Date. The Debtors intend that the Subscribed Securities will be issued in book-entry form in accordance with the practices and procedures of DTC, and that DTC, or its nominee, will be the holder of record of such Subscribed Securities. The Companies will cause the Subscribed Securities to be credited to the accounts at DTC through which the respective Noteholders or Nominees, as applicable, held the Prepetition Notes underlying the applicable Allowed Prepetition Notes Claims (as evidenced by the Noteholder’s ATOP submission), and, for Prepetition Notes held through Nominees, the Nominees will arrange for the credit of the Subscribed Securities to the individual accounts of the applicable Noteholders.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0" w:name="page71"/>
    <w:bookmarkEnd w:id="70"/>
    <w:p>
      <w:pPr>
        <w:ind w:right="260" w:firstLine="648"/>
        <w:spacing w:after="0" w:line="257" w:lineRule="auto"/>
        <w:rPr>
          <w:sz w:val="20"/>
          <w:szCs w:val="20"/>
          <w:color w:val="auto"/>
        </w:rPr>
      </w:pPr>
      <w:r>
        <w:rPr>
          <w:rFonts w:ascii="Arial" w:cs="Arial" w:eastAsia="Arial" w:hAnsi="Arial"/>
          <w:sz w:val="18"/>
          <w:szCs w:val="18"/>
          <w:color w:val="auto"/>
        </w:rPr>
        <w:t>If for any reason the Subscribed Securities cannot be issued in book-entry form in accordance with the practices and procedures of DTC, the Subscribed Securities will be issued directly to the subscribing Noteholders, subject to the terms of the Plan and applicable law, including compliance with section 1145 of the Bankruptcy Code. After the initial issuance of the Subscribed Securities, however, Noteholders may freely transfer such Subscribed Securities in accordance with the procedures of [•], the indenture trustee for the New Tranche A Senior Unsecured Notes (the “</w:t>
      </w:r>
      <w:r>
        <w:rPr>
          <w:rFonts w:ascii="Arial" w:cs="Arial" w:eastAsia="Arial" w:hAnsi="Arial"/>
          <w:sz w:val="18"/>
          <w:szCs w:val="18"/>
          <w:u w:val="single" w:color="auto"/>
          <w:color w:val="auto"/>
        </w:rPr>
        <w:t>Tranche A Notes Trustee</w:t>
      </w:r>
      <w:r>
        <w:rPr>
          <w:rFonts w:ascii="Arial" w:cs="Arial" w:eastAsia="Arial" w:hAnsi="Arial"/>
          <w:sz w:val="18"/>
          <w:szCs w:val="18"/>
          <w:color w:val="auto"/>
        </w:rPr>
        <w:t>”), subject to any applicable transfer restrictions under applicable law.</w:t>
      </w:r>
    </w:p>
    <w:p>
      <w:pPr>
        <w:spacing w:after="0" w:line="18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Rights; Minimum Denominations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 fractional Subscription Rights will be issued in the Rights Offering. All security allocations (including each Noteholder’s Subscribed Securities) will be calculated and rounded down to the nearest minimum denomination of $1,000 and integral multiples of $1,000 in excess thereof. No compensation shall be paid, whether in cash or otherwise, in respect of any rounded-down amounts.</w:t>
      </w:r>
    </w:p>
    <w:p>
      <w:pPr>
        <w:spacing w:after="0" w:line="17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Exercise of Subscription Rights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All questions concerning the timeliness, viability, form, and eligibility of any exercise of Subscription Rights (including each Noteholder’s Subscribed Securities) will be determined in good faith by the Debtors in consultation with the Required Consenting Noteholders and, if necessary, subject to a final and binding determination by the Bankruptcy Court. The Debtors, with the consent of the Required Consenting Noteholders, may waive any defect or irregularity, or permit a defect or irregularity to be corrected within such time as they may determine in good faith, or reject the purported exercise of any Subscription Rights. Beneficial Holder Subscription Forms will be deemed not to have been received or accepted until all irregularities have been waived or cured within such time as the Debtors determine in good faith and with the consent of the Required Consenting Noteholders. In addition, the Debtors, with the consent of the Required Consenting Noteholders, may permit any such defect or irregularity to be cured within such time as they may determine in good faith to be appropriate.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and notwithstanding the above, the Debtors and their agents are not required to inform parties of any defect or irregularity with their submission of documents or payments and may reject such submissions without previously notifying the party prior to such rejection. Additionally, each such irregularity or defect if reviewed, will be done so on an individual submission basis.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Before exercising any Subscription Rights, Noteholders should read the Disclosure Statement and the Plan for information relating to the Debtors and risk factors to be considered.</w:t>
      </w:r>
    </w:p>
    <w:p>
      <w:pPr>
        <w:spacing w:after="0" w:line="166"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Procedures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to modify or adopt additional procedures consistent with the provisions of these Rights Offering Procedures to effectuate the Rights Offering and to issue the Subscribed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Debtors shall provide prompt written notice to each Noteholder (which may be through such Noteholder’s applicable Nominee) of any material modification to these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220"/>
        <w:spacing w:after="0" w:line="259" w:lineRule="auto"/>
        <w:rPr>
          <w:sz w:val="20"/>
          <w:szCs w:val="20"/>
          <w:color w:val="auto"/>
        </w:rPr>
      </w:pPr>
      <w:r>
        <w:rPr>
          <w:rFonts w:ascii="Arial" w:cs="Arial" w:eastAsia="Arial" w:hAnsi="Arial"/>
          <w:sz w:val="18"/>
          <w:szCs w:val="18"/>
          <w:color w:val="auto"/>
        </w:rPr>
        <w:t>Offering Procedures made after the commencement of the Rights Offering, which such notice may be provided through posting such notice on the Subscription Agent’s website at https://cases.primeclerk.com/weatherford. In so doing, the Debtors, with the consent of the Required Consenting Noteholders, may execute and enter into agreements and take further action that the Debtors determine in good faith are necessary and appropriate to effect and implement the Rights Offering and the issuance of the Subscribed Securities.</w:t>
      </w:r>
    </w:p>
    <w:p>
      <w:pPr>
        <w:spacing w:after="0" w:line="183"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Some or all of the Prepetition Notes are held in book-entry form in accordance with the practices and procedures of the DTC. The Debtors intend to comply with the practices and procedures of DTC for the purpose of conducting the Rights Offering, and, subject to compliance with Section 11 hereof, these Rights Offering Procedures will be deemed appropriately modified to achieve such compliance.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Without limiting the foregoing, the Companies intend that, to the extent practicable, the Offered Securities will be issued in book entry form, and that DTC, or its nominee, will be the holder of record of such Offered Securities. The ownership interest of each Holder of such Offered Securities, and transfers of ownership interests therein, is expected to be recorded on the records of the direct and indirect participants in DTC. It is expected that all Subscribed Securities will be allocated to exercising Noteholders through DTC on or as soon as practicable after the Effective Date. To the extent the Offered Securities are not eligible to be held through DTC, the Offered Securities allocated to Noteholders shall be reflected on the records of the Debtors or the Tranche A Notes Trustee (as applicable) based on the information provided in Item 6 on the Beneficial Holder Subscription Form.</w:t>
      </w:r>
    </w:p>
    <w:p>
      <w:pPr>
        <w:spacing w:after="0" w:line="174"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Inquiries and Transmittal of Documents; Subscription Agent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Rights Offering Instructions should be carefully read and strictly followed.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Questions relating to the Rights Offering should be directed to the Subscription Agent at the following phone number or email address:</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 (844) 233-5155 (domestic toll-free) or +1 (917) 942-6392 (for international calls) or weatherfordsubscription@primeclerk.com. To obtain copies of the documents, please visit https://cases.primeclerk.com/weatherford.</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risk of non-delivery of all documents and payments to the Subscription Agent and any Nominee is on the Noteholder electing to exercise its Subscription Rights and not the Debtors or the Subscription Agent.</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10165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weatherfordsubscription@primeclerk.com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firstLine="648"/>
        <w:spacing w:after="0" w:line="342" w:lineRule="auto"/>
        <w:rPr>
          <w:sz w:val="20"/>
          <w:szCs w:val="20"/>
          <w:color w:val="auto"/>
        </w:rPr>
      </w:pPr>
      <w:r>
        <w:rPr>
          <w:rFonts w:ascii="Arial" w:cs="Arial" w:eastAsia="Arial" w:hAnsi="Arial"/>
          <w:sz w:val="16"/>
          <w:szCs w:val="16"/>
          <w:color w:val="auto"/>
        </w:rPr>
        <w:t>All documents relating to the Rights Offering are available from the Subscription Agent at this address. In addition, these documents, together with all filing made with the Court by the Debtors, are available free of charge from the Debtors’ restructuring website at http://www.primeclerk.com/Weatherford.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Only choose </w:t>
      </w:r>
      <w:r>
        <w:rPr>
          <w:rFonts w:ascii="Arial" w:cs="Arial" w:eastAsia="Arial" w:hAnsi="Arial"/>
          <w:sz w:val="18"/>
          <w:szCs w:val="18"/>
          <w:b w:val="1"/>
          <w:bCs w:val="1"/>
          <w:u w:val="single" w:color="auto"/>
          <w:color w:val="auto"/>
        </w:rPr>
        <w:t>one</w:t>
      </w:r>
      <w:r>
        <w:rPr>
          <w:rFonts w:ascii="Arial" w:cs="Arial" w:eastAsia="Arial" w:hAnsi="Arial"/>
          <w:sz w:val="18"/>
          <w:szCs w:val="18"/>
          <w:b w:val="1"/>
          <w:bCs w:val="1"/>
          <w:color w:val="auto"/>
        </w:rPr>
        <w:t xml:space="preserve"> method of return. If you choose to return the applicable documents via email, do not follow up with hard copies.</w:t>
      </w:r>
    </w:p>
    <w:p>
      <w:pPr>
        <w:spacing w:after="0" w:line="22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Backstop Commitment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The Debtors are party to that certain Backstop Commitment Agreement (the “</w:t>
      </w:r>
      <w:r>
        <w:rPr>
          <w:rFonts w:ascii="Arial" w:cs="Arial" w:eastAsia="Arial" w:hAnsi="Arial"/>
          <w:sz w:val="18"/>
          <w:szCs w:val="18"/>
          <w:b w:val="1"/>
          <w:bCs w:val="1"/>
          <w:color w:val="auto"/>
        </w:rPr>
        <w:t>Backstop Commitment Agreement</w:t>
      </w:r>
      <w:r>
        <w:rPr>
          <w:rFonts w:ascii="Arial" w:cs="Arial" w:eastAsia="Arial" w:hAnsi="Arial"/>
          <w:sz w:val="18"/>
          <w:szCs w:val="18"/>
          <w:color w:val="auto"/>
        </w:rPr>
        <w:t>”) dated July 1, 2019 with the Backstop Parties. In the event of any conflict between these Rights Offering Procedures and the terms of the Backstop Commitment Agreement, the terms of the Backstop Commitment Agreement will control.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New Tranche A Senior Unsecured Notes Term Sheet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4" w:name="page75"/>
    <w:bookmarkEnd w:id="74"/>
    <w:p>
      <w:pPr>
        <w:ind w:left="3420"/>
        <w:spacing w:after="0"/>
        <w:rPr>
          <w:sz w:val="20"/>
          <w:szCs w:val="20"/>
          <w:color w:val="auto"/>
        </w:rPr>
      </w:pPr>
      <w:r>
        <w:rPr>
          <w:rFonts w:ascii="Arial" w:cs="Arial" w:eastAsia="Arial" w:hAnsi="Arial"/>
          <w:sz w:val="18"/>
          <w:szCs w:val="18"/>
          <w:b w:val="1"/>
          <w:bCs w:val="1"/>
          <w:color w:val="auto"/>
        </w:rPr>
        <w:t>WEATHERFORD RIGHTS OFFERING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used and not defined herein shall have the meaning assigned to them in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elect to participate in the Rights Offering, you must follow the instructions set out below:</w:t>
      </w:r>
    </w:p>
    <w:p>
      <w:pPr>
        <w:spacing w:after="0" w:line="225" w:lineRule="exact"/>
        <w:rPr>
          <w:sz w:val="20"/>
          <w:szCs w:val="20"/>
          <w:color w:val="auto"/>
        </w:rPr>
      </w:pPr>
    </w:p>
    <w:p>
      <w:pPr>
        <w:ind w:left="660" w:right="20" w:hanging="652"/>
        <w:spacing w:after="0" w:line="261"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Insert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amount of your Prepetition Notes that you hold in Item 1 of your Beneficial Holder Subscription Form. If your Nominee holds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Prepetition Notes issued by the Debtors on your behalf and you do not know the principal amount, please contact your Nominee immediately. Please note that the principal amount of your Prepetition Notes electronically delivered by your Nominee through ATOP will control for all purposes to the extent of any discrepancies.</w:t>
      </w:r>
    </w:p>
    <w:p>
      <w:pPr>
        <w:spacing w:after="0" w:line="180" w:lineRule="exact"/>
        <w:rPr>
          <w:rFonts w:ascii="Arial" w:cs="Arial" w:eastAsia="Arial" w:hAnsi="Arial"/>
          <w:sz w:val="18"/>
          <w:szCs w:val="18"/>
          <w:color w:val="auto"/>
        </w:rPr>
      </w:pPr>
    </w:p>
    <w:p>
      <w:pPr>
        <w:jc w:val="both"/>
        <w:ind w:left="660" w:right="120" w:hanging="652"/>
        <w:spacing w:after="0" w:line="26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the calculation in Item 1a-1m of your Beneficial Holder Subscription Form, which calculates your Maximum Participation Amount (i.e.,</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amount of Offered Securities you are entitled to purchase in the Rights Offering). Such amount must be rounded down to the nearest $1,000 increment.</w:t>
      </w:r>
    </w:p>
    <w:p>
      <w:pPr>
        <w:spacing w:after="0" w:line="176" w:lineRule="exact"/>
        <w:rPr>
          <w:rFonts w:ascii="Arial" w:cs="Arial" w:eastAsia="Arial" w:hAnsi="Arial"/>
          <w:sz w:val="18"/>
          <w:szCs w:val="18"/>
          <w:color w:val="auto"/>
        </w:rPr>
      </w:pPr>
    </w:p>
    <w:p>
      <w:pPr>
        <w:ind w:left="660" w:hanging="652"/>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the calculation in Item 2a-2m of your Beneficial Holder Subscription Form, which calculates the Purchase Price for the amount of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which you elect to purchase. If you do not wish to purchase all of the Offered Securities to which you are entitled, you must provide instructions to your Nominee to submit ONLY the relevant portion of your Prepetition Notes into the ATOP system (as reflected in Item 5 of your Beneficial Holder Subscription Form). For example, if you only wish to subscribe for 50% of your Offered Securities, then submit, or request that your Nominee submit, only 50% of your Prepetition Notes through ATOP. Beneficial Holders will be prohibited from trading only the portion of their underlying Prepetition Notes on account of which they wish to subscribe.</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Read</w:t>
      </w:r>
      <w:r>
        <w:rPr>
          <w:rFonts w:ascii="Arial" w:cs="Arial" w:eastAsia="Arial" w:hAnsi="Arial"/>
          <w:sz w:val="18"/>
          <w:szCs w:val="18"/>
          <w:b w:val="1"/>
          <w:bCs w:val="1"/>
          <w:color w:val="auto"/>
        </w:rPr>
        <w:t xml:space="preserve"> </w:t>
      </w:r>
      <w:r>
        <w:rPr>
          <w:rFonts w:ascii="Arial" w:cs="Arial" w:eastAsia="Arial" w:hAnsi="Arial"/>
          <w:sz w:val="18"/>
          <w:szCs w:val="18"/>
          <w:color w:val="auto"/>
        </w:rPr>
        <w:t>Item 4 of your Beneficial Holder Subscription Form.</w:t>
      </w:r>
    </w:p>
    <w:p>
      <w:pPr>
        <w:spacing w:after="0" w:line="225" w:lineRule="exact"/>
        <w:rPr>
          <w:rFonts w:ascii="Arial" w:cs="Arial" w:eastAsia="Arial" w:hAnsi="Arial"/>
          <w:sz w:val="18"/>
          <w:szCs w:val="18"/>
          <w:color w:val="auto"/>
        </w:rPr>
      </w:pPr>
    </w:p>
    <w:p>
      <w:pPr>
        <w:ind w:left="660" w:right="680" w:hanging="652"/>
        <w:spacing w:after="0" w:line="28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Read, complete and sign</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certification in Item 5 of your Beneficial Holder Subscription Form and all other requested information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items.</w:t>
      </w:r>
    </w:p>
    <w:p>
      <w:pPr>
        <w:spacing w:after="0" w:line="161" w:lineRule="exact"/>
        <w:rPr>
          <w:rFonts w:ascii="Arial" w:cs="Arial" w:eastAsia="Arial" w:hAnsi="Arial"/>
          <w:sz w:val="18"/>
          <w:szCs w:val="18"/>
          <w:color w:val="auto"/>
        </w:rPr>
      </w:pPr>
    </w:p>
    <w:p>
      <w:pPr>
        <w:ind w:left="660" w:right="460" w:hanging="652"/>
        <w:spacing w:after="0" w:line="28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Read, complete and sign</w:t>
      </w:r>
      <w:r>
        <w:rPr>
          <w:rFonts w:ascii="Arial" w:cs="Arial" w:eastAsia="Arial" w:hAnsi="Arial"/>
          <w:sz w:val="18"/>
          <w:szCs w:val="18"/>
          <w:b w:val="1"/>
          <w:bCs w:val="1"/>
          <w:color w:val="auto"/>
        </w:rPr>
        <w:t xml:space="preserve"> </w:t>
      </w:r>
      <w:r>
        <w:rPr>
          <w:rFonts w:ascii="Arial" w:cs="Arial" w:eastAsia="Arial" w:hAnsi="Arial"/>
          <w:sz w:val="18"/>
          <w:szCs w:val="18"/>
          <w:color w:val="auto"/>
        </w:rPr>
        <w:t>an IRS Form W-9 if you are a U.S. person. If you are a non-U.S. person, read, complete and sign an appropriate IRS</w:t>
      </w:r>
      <w:r>
        <w:rPr>
          <w:rFonts w:ascii="Arial" w:cs="Arial" w:eastAsia="Arial" w:hAnsi="Arial"/>
          <w:sz w:val="18"/>
          <w:szCs w:val="18"/>
          <w:b w:val="1"/>
          <w:bCs w:val="1"/>
          <w:color w:val="auto"/>
        </w:rPr>
        <w:t xml:space="preserve"> </w:t>
      </w:r>
      <w:r>
        <w:rPr>
          <w:rFonts w:ascii="Arial" w:cs="Arial" w:eastAsia="Arial" w:hAnsi="Arial"/>
          <w:sz w:val="18"/>
          <w:szCs w:val="18"/>
          <w:color w:val="auto"/>
        </w:rPr>
        <w:t>Form IRS Form W-8. These forms may be obtained from the IRS at its website: www.irs.gov.</w:t>
      </w:r>
    </w:p>
    <w:p>
      <w:pPr>
        <w:spacing w:after="0" w:line="161" w:lineRule="exact"/>
        <w:rPr>
          <w:rFonts w:ascii="Arial" w:cs="Arial" w:eastAsia="Arial" w:hAnsi="Arial"/>
          <w:sz w:val="18"/>
          <w:szCs w:val="18"/>
          <w:color w:val="auto"/>
        </w:rPr>
      </w:pPr>
    </w:p>
    <w:p>
      <w:pPr>
        <w:ind w:left="660" w:right="720" w:hanging="652"/>
        <w:spacing w:after="0" w:line="28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Instruct</w:t>
      </w:r>
      <w:r>
        <w:rPr>
          <w:rFonts w:ascii="Arial" w:cs="Arial" w:eastAsia="Arial" w:hAnsi="Arial"/>
          <w:sz w:val="18"/>
          <w:szCs w:val="18"/>
          <w:b w:val="1"/>
          <w:bCs w:val="1"/>
          <w:color w:val="auto"/>
        </w:rPr>
        <w:t xml:space="preserve"> </w:t>
      </w:r>
      <w:r>
        <w:rPr>
          <w:rFonts w:ascii="Arial" w:cs="Arial" w:eastAsia="Arial" w:hAnsi="Arial"/>
          <w:sz w:val="18"/>
          <w:szCs w:val="18"/>
          <w:color w:val="auto"/>
        </w:rPr>
        <w:t>your Nominee to electronically deliver via ATOP your Prepetition Notes to the Subscription Agent by the Subscription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w:t>
      </w:r>
    </w:p>
    <w:p>
      <w:pPr>
        <w:spacing w:after="0" w:line="161" w:lineRule="exact"/>
        <w:rPr>
          <w:rFonts w:ascii="Arial" w:cs="Arial" w:eastAsia="Arial" w:hAnsi="Arial"/>
          <w:sz w:val="18"/>
          <w:szCs w:val="18"/>
          <w:color w:val="auto"/>
        </w:rPr>
      </w:pPr>
    </w:p>
    <w:p>
      <w:pPr>
        <w:ind w:left="660" w:right="240" w:hanging="652"/>
        <w:spacing w:after="0" w:line="261"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w:t>
      </w:r>
      <w:r>
        <w:rPr>
          <w:rFonts w:ascii="Arial" w:cs="Arial" w:eastAsia="Arial" w:hAnsi="Arial"/>
          <w:sz w:val="18"/>
          <w:szCs w:val="18"/>
          <w:b w:val="1"/>
          <w:bCs w:val="1"/>
          <w:color w:val="auto"/>
        </w:rPr>
        <w:t xml:space="preserve"> </w:t>
      </w:r>
      <w:r>
        <w:rPr>
          <w:rFonts w:ascii="Arial" w:cs="Arial" w:eastAsia="Arial" w:hAnsi="Arial"/>
          <w:sz w:val="18"/>
          <w:szCs w:val="18"/>
          <w:color w:val="auto"/>
        </w:rPr>
        <w:t>your signed Beneficial Holder Subscription Form (with accompanying IRS Form W-9 or appropriate IRS Form W-8, as applicable)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Agent prior to the Subscription Expiration Deadline or to your Nominee in sufficient time to allow your Nominee to process your instructions and prepare and deliver your Beneficial Holder Subscription Form to the Subscription Agent (or otherwise follow the instructions of your Nominee) prior to the Subscription Expiration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5" w:name="page76"/>
    <w:bookmarkEnd w:id="75"/>
    <w:p>
      <w:pPr>
        <w:ind w:left="660" w:right="40" w:hanging="652"/>
        <w:spacing w:after="0" w:line="25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Arrange for full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 Price in immediately available funds, calculated in accordance with Item 2 of your Beneficial Holder</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Form. A Noteholder who is not a Backstop Party should follow the payment instructions as provided in Item 4 of the Beneficial Holder Subscription Form. Any Backstop Party should follow the payment instructions that will be provided in the Funding Notice, except to the extent of any Purchase Price previously paid by such Backstop Party to the Subscription Agent or the Escrow Account in accordance with the terms of the Backstop Commitment Agreement.</w:t>
      </w:r>
    </w:p>
    <w:p>
      <w:pPr>
        <w:spacing w:after="0" w:line="183" w:lineRule="exact"/>
        <w:rPr>
          <w:rFonts w:ascii="Arial" w:cs="Arial" w:eastAsia="Arial" w:hAnsi="Arial"/>
          <w:sz w:val="18"/>
          <w:szCs w:val="18"/>
          <w:color w:val="auto"/>
        </w:rPr>
      </w:pPr>
    </w:p>
    <w:p>
      <w:pPr>
        <w:ind w:left="660" w:right="540" w:hanging="652"/>
        <w:spacing w:after="0" w:line="26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For Backstop Parties ONLY,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are a Backstop Party by checking the appropriate box in Item 5 of your Beneficial Holder</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Form, so that the Nominee will receive confirmation that payment does not have to be made prior to the Subscription Expiration Deadline. (This instruction is only for Backstop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Expiration Deadline is 5:00 p.m. (Prevailing Eastern Time) on [ · ], 2019.</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Beneficial Holder Subscription Forms (with accompanying IRS Form W-9 or appropriate IRS Form W-8, as applicable) must be received by the Subscription Agent and the underlying Prepetition Notes must be delivered into ATOP by the Subscription Expiration Deadline or the subscription represented by your Beneficial Holder Subscription Form will not be recognized, and the associated Subscription Rights will be deemed forever relinquished and waived.</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If you hold your Prepetition Notes through a Nominee, please note that, unless otherwise directed by your Nominee, the Beneficial Holder Subscription Form (with accompanying IRS Form W-9 or appropriate IRS Form W-8, as applicable) must be received by your Nominee in sufficient time to allow such Nominee to process and deliver your underlying Prepetition Notes through ATOP to the Subscription Agent by the Subscription Expiration Deadline or the subscription represented by your Beneficial Holder Subscription Form will not be recognized, and the associated Subscription Rights will be deemed forever relinquished and waived</w:t>
      </w:r>
    </w:p>
    <w:p>
      <w:pPr>
        <w:spacing w:after="0" w:line="184" w:lineRule="exact"/>
        <w:rPr>
          <w:sz w:val="20"/>
          <w:szCs w:val="20"/>
          <w:color w:val="auto"/>
        </w:rPr>
      </w:pPr>
    </w:p>
    <w:p>
      <w:pPr>
        <w:jc w:val="both"/>
        <w:ind w:right="360"/>
        <w:spacing w:after="0" w:line="289" w:lineRule="auto"/>
        <w:rPr>
          <w:sz w:val="20"/>
          <w:szCs w:val="20"/>
          <w:color w:val="auto"/>
        </w:rPr>
      </w:pPr>
      <w:r>
        <w:rPr>
          <w:rFonts w:ascii="Arial" w:cs="Arial" w:eastAsia="Arial" w:hAnsi="Arial"/>
          <w:sz w:val="17"/>
          <w:szCs w:val="17"/>
          <w:b w:val="1"/>
          <w:bCs w:val="1"/>
          <w:color w:val="auto"/>
        </w:rPr>
        <w:t>Further, the full payment of the Purchase Price by Noteholders who are not Backstop Parties must be received by the Subscription Agent by the Subscription Expiration Deadline or the subscription represented by your Beneficial Holder Subscription Form will not be recognized, and the associated Subscription Rights will be deemed forever relinquished and waived.</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Noteholders that are Backstop Parties must deliver the Purchase Price for their Subscribed Securities directly to the Subscription Agent or to the Escrow Account, as applicable, pursuant to the Funding Notice (except to the extent of any funding amounts previously provided by any such Noteholders to the Subscription Agent or the Escrow Account in accordance with the terms of the Backstop Commitment Agreement) no later than the Backstop Funding Deadline.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Questions relating to the Rights Offering should be directed to the Subscription Agent at the following phone number or email address:</w:t>
      </w:r>
    </w:p>
    <w:p>
      <w:pPr>
        <w:spacing w:after="0" w:line="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+1 (844) 233-5155 (domestic toll-free) or +1 (917) 942-6392 (for international calls) or weatherfordsubscription@primeclerk.com. To obtain copies of the documents, please visit https://cases.primeclerk.com/weatherford.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6" w:name="page77"/>
    <w:bookmarkEnd w:id="76"/>
    <w:p>
      <w:pPr>
        <w:ind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New York, NY 10165</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Email: weatherfordsubscription@primeclerk.com</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 xml:space="preserve">Only choose </w:t>
      </w:r>
      <w:r>
        <w:rPr>
          <w:rFonts w:ascii="Arial" w:cs="Arial" w:eastAsia="Arial" w:hAnsi="Arial"/>
          <w:sz w:val="17"/>
          <w:szCs w:val="17"/>
          <w:b w:val="1"/>
          <w:bCs w:val="1"/>
          <w:u w:val="single" w:color="auto"/>
          <w:color w:val="auto"/>
        </w:rPr>
        <w:t>one</w:t>
      </w:r>
      <w:r>
        <w:rPr>
          <w:rFonts w:ascii="Arial" w:cs="Arial" w:eastAsia="Arial" w:hAnsi="Arial"/>
          <w:sz w:val="17"/>
          <w:szCs w:val="17"/>
          <w:b w:val="1"/>
          <w:bCs w:val="1"/>
          <w:color w:val="auto"/>
        </w:rPr>
        <w:t xml:space="preserve"> method of return. If you choose to return the applicable documents via email, do not follow up with hard copies.</w:t>
      </w: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341" w:right="5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u w:val="single" w:color="auto"/>
          <w:color w:val="auto"/>
        </w:rPr>
        <w:t>Annex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Beneficial Holder Subscription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WEATHERFORD RIGHTS OFFERING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BENEFICIAL HOLDER SUBSCRIPTION FORM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USE BY NOTEHOLDERS IN CONNECTION WITH THE DEBTORS’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PROPOSED CONFIRMATION OF THE PLAN AND THE RELATED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STATEMENT DATED June 28, 2019</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SUBSCRIPTION EXPIRATION DEADLINE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Expiration Deadline is 5:00 p.m. (Prevailing Eastern Time) on [ · ], 2019.</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Backstop Parties must deliver the appropriate funding amounts directly to the Subscription Agent or the Escrow Account, as applicable (except to the extent of any funding amounts previously provided by any such Backstop Party to the Subscription Agent or the Escrow Account in accordance with the terms of the Backstop Commitment Agreement), no later than the deadline specified in the Funding Notice (the “Backstop Funding Deadline”).</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If you hold your Prepetition Notes through a Nominee, your duly completed and executed Beneficial Holder Subscription Form (with accompanying IRS Form W-9 or appropriate IRS Form W-8, as applicable) must be received </w:t>
      </w:r>
      <w:r>
        <w:rPr>
          <w:rFonts w:ascii="Arial" w:cs="Arial" w:eastAsia="Arial" w:hAnsi="Arial"/>
          <w:sz w:val="17"/>
          <w:szCs w:val="17"/>
          <w:b w:val="1"/>
          <w:bCs w:val="1"/>
          <w:u w:val="single" w:color="auto"/>
          <w:color w:val="auto"/>
        </w:rPr>
        <w:t>by your Nominee (or as otherwise directed by your Nominee)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sufficient time</w:t>
      </w:r>
      <w:r>
        <w:rPr>
          <w:rFonts w:ascii="Arial" w:cs="Arial" w:eastAsia="Arial" w:hAnsi="Arial"/>
          <w:sz w:val="17"/>
          <w:szCs w:val="17"/>
          <w:b w:val="1"/>
          <w:bCs w:val="1"/>
          <w:color w:val="auto"/>
        </w:rPr>
        <w:t xml:space="preserve"> to allow such Nominee to deliver your underlying Prepetition Notes through ATOP and your Beneficial Holder Subscription Form to the Subscription Agent by the Subscription Expiration Deadline or the subscription represented by your Beneficial Holder Subscription Form will not be recognized and will be deemed forever relinquished and waived.</w:t>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Further, you must complete (or otherwise coordinate for the completion of) a wire transfer of the Purchase Price to the Subscription Agent in accordance with the wire instructions by the Subscription Expiration Deadline, or in accordance with the Funding Notice if you are a Backstop Party, or the subscription represented by your Beneficial Holder Subscription Form will not be recognized and will be deemed forever relinquished and waived.</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The Offered Securities are being solicited under and will be distributed and issued by the Debtors without registration under the Securities Act of 1933, as amended (the “Securities Act”), in reliance upon the exemption provided in section 1145 of the Bankruptcy Code. None of the Offered Securities have been registered under the Securities Act, nor any state or local law requiring registration for offer or sale of a security. No offer of securities to the public is being made, or will be made, in any Member State of the European Economic Area that requires the publication of a prospectus or in, or to, any Restricted Jurisdiction.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consult the Plan and the Rights Offering Procedures for additional information with respect to this Beneficial Holder Subscription Form.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terms capitalized but not defined herein shall have the meaning as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9" w:name="page80"/>
    <w:bookmarkEnd w:id="79"/>
    <w:p>
      <w:pPr>
        <w:ind w:firstLine="648"/>
        <w:spacing w:after="0" w:line="264" w:lineRule="auto"/>
        <w:rPr>
          <w:sz w:val="20"/>
          <w:szCs w:val="20"/>
          <w:color w:val="auto"/>
        </w:rPr>
      </w:pPr>
      <w:r>
        <w:rPr>
          <w:rFonts w:ascii="Arial" w:cs="Arial" w:eastAsia="Arial" w:hAnsi="Arial"/>
          <w:sz w:val="18"/>
          <w:szCs w:val="18"/>
          <w:color w:val="auto"/>
        </w:rPr>
        <w:t>Each Noteholder is entitled to subscribe for its Pro Rata share of Offered Securities. The maximum amount of Offered Securities for which a Noteholder is entitled to subscribe (calculated based on the principal amount of underlying Prepetition Notes electronically delivered via ATOP) is referred to as the “</w:t>
      </w:r>
      <w:r>
        <w:rPr>
          <w:rFonts w:ascii="Arial" w:cs="Arial" w:eastAsia="Arial" w:hAnsi="Arial"/>
          <w:sz w:val="18"/>
          <w:szCs w:val="18"/>
          <w:b w:val="1"/>
          <w:bCs w:val="1"/>
          <w:color w:val="auto"/>
        </w:rPr>
        <w:t>Maximum Participation Amount</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subscribe, fill out all Items below (unless marked as optional).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1. Amount of Prepetition Notes and Calculation of Maximum Amount of Offered Securities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undersigned Noteholder certifies that it is a beneficial Holder of Prepetition Notes in the following principal amount and that the person executing this form is an authorized signatory of that beneficial Holder. For purposes of this Beneficial Holder Subscription Form, do not adjust the principal (face) amount for any accrued or unmatured interest. The amounts below must correspond to the principal amounts of Prepetition Notes that your Nominee electronically delivers via ATOP. If there is a discrepancy between Item 1 and the amount delivered via ATOP, the amount submitted through ATOP shall control. (If a Nominee holds your Prepetition Notes on your behalf and you do not know the principal amount, please contact your Nominee immediately). The undersigned Noteholder also certifies that (i) in the event it is located in the European Economic Area, it is a “qualified investor” and that (ii) it is not otherwise located in a Restricted Jurisdiction.</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IMPORTANT NOTE: IF YOU HOLD YOUR NOTES THROUGH MORE THAN ONE NOMINEE,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AND RETURN A SEPARATE BENEFICIAL HOLDER SUBSCRIPTION FORM TO EACH APPLICABLE NOMINEE. YOU MAY NOT AGGREGATE POSITIONS HELD BY DIFFERENT NOMINEES ON A SINGLE BENEFICIAL HOLDER SUBSCRIPTION FORM.</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principal amount of Prepetition Notes electronically delivered through ATOP and calculate Maximum Amount of Offered Securities for each CUSIP</w:t>
      </w:r>
      <w:r>
        <w:rPr>
          <w:rFonts w:ascii="Arial" w:cs="Arial" w:eastAsia="Arial" w:hAnsi="Arial"/>
          <w:sz w:val="18"/>
          <w:szCs w:val="18"/>
          <w:color w:val="auto"/>
        </w:rPr>
        <w:t xml:space="preserve"> </w:t>
      </w:r>
      <w:r>
        <w:rPr>
          <w:rFonts w:ascii="Arial" w:cs="Arial" w:eastAsia="Arial" w:hAnsi="Arial"/>
          <w:sz w:val="18"/>
          <w:szCs w:val="18"/>
          <w:i w:val="1"/>
          <w:iCs w:val="1"/>
          <w:color w:val="auto"/>
        </w:rPr>
        <w:t>held</w:t>
      </w:r>
      <w:r>
        <w:rPr>
          <w:rFonts w:ascii="Arial" w:cs="Arial" w:eastAsia="Arial" w:hAnsi="Arial"/>
          <w:sz w:val="18"/>
          <w:szCs w:val="18"/>
          <w:color w:val="auto"/>
        </w:rPr>
        <w: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81" w:name="page82"/>
    <w:bookmarkEnd w:id="81"/>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5.125% senior unsecured notes due 2020, issued by Weatherford International Ltd.</w:t>
      </w:r>
    </w:p>
    <w:p>
      <w:pPr>
        <w:spacing w:after="0" w:line="154"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7.750% senior unsecured notes due 2021, issued by Weatherford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0" w:hanging="152"/>
        <w:spacing w:after="0"/>
        <w:tabs>
          <w:tab w:leader="none" w:pos="160" w:val="left"/>
        </w:tabs>
        <w:numPr>
          <w:ilvl w:val="0"/>
          <w:numId w:val="71"/>
        </w:numPr>
        <w:rPr>
          <w:rFonts w:ascii="Arial" w:cs="Arial" w:eastAsia="Arial" w:hAnsi="Arial"/>
          <w:sz w:val="21"/>
          <w:szCs w:val="21"/>
          <w:color w:val="auto"/>
          <w:vertAlign w:val="superscript"/>
        </w:rPr>
      </w:pPr>
      <w:r>
        <w:rPr>
          <w:rFonts w:ascii="Arial" w:cs="Arial" w:eastAsia="Arial" w:hAnsi="Arial"/>
          <w:sz w:val="16"/>
          <w:szCs w:val="16"/>
          <w:color w:val="auto"/>
        </w:rPr>
        <w:t>Trustee to provide CUSIPs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68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Arial" w:cs="Arial" w:eastAsia="Arial" w:hAnsi="Arial"/>
                <w:sz w:val="18"/>
                <w:szCs w:val="18"/>
                <w:color w:val="auto"/>
              </w:rPr>
              <w:t>[ · ] / [ · ]</w:t>
            </w:r>
            <w:r>
              <w:rPr>
                <w:rFonts w:ascii="Arial" w:cs="Arial" w:eastAsia="Arial" w:hAnsi="Arial"/>
                <w:sz w:val="23"/>
                <w:szCs w:val="23"/>
                <w:color w:val="auto"/>
                <w:vertAlign w:val="superscript"/>
              </w:rPr>
              <w:t>2</w:t>
            </w:r>
          </w:p>
        </w:tc>
        <w:tc>
          <w:tcPr>
            <w:tcW w:w="16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3"/>
              </w:rPr>
              <w:t>Item 1a</w:t>
            </w:r>
          </w:p>
        </w:tc>
      </w:tr>
      <w:tr>
        <w:trPr>
          <w:trHeight w:val="20"/>
        </w:trPr>
        <w:tc>
          <w:tcPr>
            <w:tcW w:w="1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80" w:type="dxa"/>
            <w:vAlign w:val="bottom"/>
          </w:tcPr>
          <w:p>
            <w:pPr>
              <w:ind w:left="20"/>
              <w:spacing w:after="0"/>
              <w:rPr>
                <w:sz w:val="20"/>
                <w:szCs w:val="20"/>
                <w:color w:val="auto"/>
              </w:rPr>
            </w:pPr>
            <w:r>
              <w:rPr>
                <w:rFonts w:ascii="Arial" w:cs="Arial" w:eastAsia="Arial" w:hAnsi="Arial"/>
                <w:sz w:val="18"/>
                <w:szCs w:val="18"/>
                <w:color w:val="auto"/>
              </w:rPr>
              <w:t>[ · ] / [ · ]</w:t>
            </w:r>
          </w:p>
        </w:tc>
        <w:tc>
          <w:tcPr>
            <w:tcW w:w="16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Item 1b</w:t>
            </w:r>
          </w:p>
        </w:tc>
        <w:tc>
          <w:tcPr>
            <w:tcW w:w="68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color w:val="auto"/>
                <w:w w:val="90"/>
              </w:rPr>
              <w:t>$1,000 increment)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100" w:space="260"/>
            <w:col w:w="9060"/>
          </w:cols>
          <w:pgMar w:left="240" w:top="320" w:right="239" w:bottom="1440" w:gutter="0" w:footer="0" w:header="0"/>
        </w:sectPr>
      </w:pPr>
    </w:p>
    <w:bookmarkStart w:id="82" w:name="page83"/>
    <w:bookmarkEnd w:id="82"/>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5.875% exchangeable senior unsecured notes due 2021, issued by Weatherford International Ltd.</w:t>
      </w:r>
    </w:p>
    <w:p>
      <w:pPr>
        <w:spacing w:after="0" w:line="154" w:lineRule="exact"/>
        <w:rPr>
          <w:sz w:val="20"/>
          <w:szCs w:val="20"/>
          <w:color w:val="auto"/>
        </w:rPr>
      </w:pPr>
    </w:p>
    <w:p>
      <w:pPr>
        <w:jc w:val="center"/>
        <w:ind w:left="20" w:right="100"/>
        <w:spacing w:after="0" w:line="302" w:lineRule="auto"/>
        <w:rPr>
          <w:sz w:val="20"/>
          <w:szCs w:val="20"/>
          <w:color w:val="auto"/>
        </w:rPr>
      </w:pPr>
      <w:r>
        <w:rPr>
          <w:rFonts w:ascii="Arial" w:cs="Arial" w:eastAsia="Arial" w:hAnsi="Arial"/>
          <w:sz w:val="16"/>
          <w:szCs w:val="16"/>
          <w:color w:val="auto"/>
        </w:rPr>
        <w:t>4.500% senior unsecured notes due 2022, issued by Weatherford International Ltd.</w:t>
      </w:r>
    </w:p>
    <w:p>
      <w:pPr>
        <w:spacing w:after="0" w:line="154" w:lineRule="exact"/>
        <w:rPr>
          <w:sz w:val="20"/>
          <w:szCs w:val="20"/>
          <w:color w:val="auto"/>
        </w:rPr>
      </w:pPr>
    </w:p>
    <w:p>
      <w:pPr>
        <w:jc w:val="center"/>
        <w:ind w:left="20" w:right="100"/>
        <w:spacing w:after="0" w:line="302" w:lineRule="auto"/>
        <w:rPr>
          <w:sz w:val="20"/>
          <w:szCs w:val="20"/>
          <w:color w:val="auto"/>
        </w:rPr>
      </w:pPr>
      <w:r>
        <w:rPr>
          <w:rFonts w:ascii="Arial" w:cs="Arial" w:eastAsia="Arial" w:hAnsi="Arial"/>
          <w:sz w:val="16"/>
          <w:szCs w:val="16"/>
          <w:color w:val="auto"/>
        </w:rPr>
        <w:t>8.250% senior unsecured notes due 2023, issued by Weatherford International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0"/>
              </w:rPr>
              <w:t>Item 1c</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Item 1d</w:t>
            </w:r>
          </w:p>
        </w:tc>
        <w:tc>
          <w:tcPr>
            <w:tcW w:w="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0"/>
              </w:rPr>
              <w:t>Item 1e</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432"/>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66675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080" w:space="280"/>
            <w:col w:w="9060"/>
          </w:cols>
          <w:pgMar w:left="240" w:top="320" w:right="239" w:bottom="1440" w:gutter="0" w:footer="0" w:header="0"/>
        </w:sectPr>
      </w:pPr>
    </w:p>
    <w:bookmarkStart w:id="83" w:name="page84"/>
    <w:bookmarkEnd w:id="83"/>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9.875% senior unsecured notes due 2024,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6.500% senior unsecured notes due 2036,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7.000% senior unsecured notes due 2038, issued by Weatherford International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Item 1f</w:t>
            </w:r>
          </w:p>
        </w:tc>
        <w:tc>
          <w:tcPr>
            <w:tcW w:w="700" w:type="dxa"/>
            <w:vAlign w:val="bottom"/>
            <w:gridSpan w:val="2"/>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28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1"/>
              </w:rPr>
              <w:t>Item 1g</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Item 1h</w:t>
            </w:r>
          </w:p>
        </w:tc>
        <w:tc>
          <w:tcPr>
            <w:tcW w:w="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432"/>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6</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66675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980" w:space="380"/>
            <w:col w:w="9060"/>
          </w:cols>
          <w:pgMar w:left="240" w:top="320" w:right="239" w:bottom="1440" w:gutter="0" w:footer="0" w:header="0"/>
        </w:sectPr>
      </w:pPr>
    </w:p>
    <w:bookmarkStart w:id="84" w:name="page85"/>
    <w:bookmarkEnd w:id="84"/>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9.875% senior unsecured notes due 2039,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6.750% senior unsecured notes due 2040, issued by Weatherford International Ltd.</w:t>
      </w:r>
    </w:p>
    <w:p>
      <w:pPr>
        <w:spacing w:after="0" w:line="154" w:lineRule="exact"/>
        <w:rPr>
          <w:sz w:val="20"/>
          <w:szCs w:val="20"/>
          <w:color w:val="auto"/>
        </w:rPr>
      </w:pPr>
    </w:p>
    <w:p>
      <w:pPr>
        <w:jc w:val="center"/>
        <w:ind w:left="120"/>
        <w:spacing w:after="0" w:line="302" w:lineRule="auto"/>
        <w:rPr>
          <w:sz w:val="20"/>
          <w:szCs w:val="20"/>
          <w:color w:val="auto"/>
        </w:rPr>
      </w:pPr>
      <w:r>
        <w:rPr>
          <w:rFonts w:ascii="Arial" w:cs="Arial" w:eastAsia="Arial" w:hAnsi="Arial"/>
          <w:sz w:val="16"/>
          <w:szCs w:val="16"/>
          <w:color w:val="auto"/>
        </w:rPr>
        <w:t>5.950% senior unsecured notes due 2042, issued by Weatherford International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94"/>
              </w:rPr>
              <w:t>Item 1i</w:t>
            </w:r>
          </w:p>
        </w:tc>
      </w:tr>
      <w:tr>
        <w:trPr>
          <w:trHeight w:val="20"/>
        </w:trPr>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Item 1j</w:t>
            </w:r>
          </w:p>
        </w:tc>
        <w:tc>
          <w:tcPr>
            <w:tcW w:w="700" w:type="dxa"/>
            <w:vAlign w:val="bottom"/>
            <w:gridSpan w:val="2"/>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140" w:type="dxa"/>
            <w:vAlign w:val="bottom"/>
          </w:tcPr>
          <w:p>
            <w:pPr>
              <w:ind w:left="16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Item 1k</w:t>
            </w:r>
          </w:p>
        </w:tc>
        <w:tc>
          <w:tcPr>
            <w:tcW w:w="6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0"/>
              </w:rPr>
              <w:t>$1,000 increment)</w:t>
            </w:r>
          </w:p>
        </w:tc>
      </w:tr>
      <w:tr>
        <w:trPr>
          <w:trHeight w:val="432"/>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7</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66675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980" w:space="380"/>
            <w:col w:w="9060"/>
          </w:cols>
          <w:pgMar w:left="240" w:top="320" w:right="239" w:bottom="1440" w:gutter="0" w:footer="0" w:header="0"/>
        </w:sectPr>
      </w:pPr>
    </w:p>
    <w:bookmarkStart w:id="85" w:name="page86"/>
    <w:bookmarkEnd w:id="85"/>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own the</w:t>
      </w:r>
    </w:p>
    <w:p>
      <w:pPr>
        <w:spacing w:after="0" w:line="226" w:lineRule="auto"/>
        <w:rPr>
          <w:sz w:val="20"/>
          <w:szCs w:val="20"/>
          <w:color w:val="auto"/>
        </w:rPr>
      </w:pPr>
      <w:r>
        <w:rPr>
          <w:rFonts w:ascii="Arial" w:cs="Arial" w:eastAsia="Arial" w:hAnsi="Arial"/>
          <w:sz w:val="14"/>
          <w:szCs w:val="14"/>
          <w:b w:val="1"/>
          <w:bCs w:val="1"/>
          <w:color w:val="auto"/>
        </w:rPr>
        <w:t>following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Prepetition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119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1" w:lineRule="exact"/>
        <w:rPr>
          <w:sz w:val="20"/>
          <w:szCs w:val="20"/>
          <w:color w:val="auto"/>
        </w:rPr>
      </w:pPr>
    </w:p>
    <w:p>
      <w:pPr>
        <w:jc w:val="center"/>
        <w:ind w:left="80"/>
        <w:spacing w:after="0" w:line="302" w:lineRule="auto"/>
        <w:rPr>
          <w:sz w:val="20"/>
          <w:szCs w:val="20"/>
          <w:color w:val="auto"/>
        </w:rPr>
      </w:pPr>
      <w:r>
        <w:rPr>
          <w:rFonts w:ascii="Arial" w:cs="Arial" w:eastAsia="Arial" w:hAnsi="Arial"/>
          <w:sz w:val="16"/>
          <w:szCs w:val="16"/>
          <w:color w:val="auto"/>
        </w:rPr>
        <w:t>9.875% senior unsecured notes due 2025, issued by Weatherford International, LLC</w:t>
      </w:r>
    </w:p>
    <w:p>
      <w:pPr>
        <w:spacing w:after="0" w:line="154" w:lineRule="exact"/>
        <w:rPr>
          <w:sz w:val="20"/>
          <w:szCs w:val="20"/>
          <w:color w:val="auto"/>
        </w:rPr>
      </w:pPr>
    </w:p>
    <w:p>
      <w:pPr>
        <w:jc w:val="center"/>
        <w:ind w:left="80"/>
        <w:spacing w:after="0" w:line="302" w:lineRule="auto"/>
        <w:rPr>
          <w:sz w:val="20"/>
          <w:szCs w:val="20"/>
          <w:color w:val="auto"/>
        </w:rPr>
      </w:pPr>
      <w:r>
        <w:rPr>
          <w:rFonts w:ascii="Arial" w:cs="Arial" w:eastAsia="Arial" w:hAnsi="Arial"/>
          <w:sz w:val="16"/>
          <w:szCs w:val="16"/>
          <w:color w:val="auto"/>
        </w:rPr>
        <w:t>6.800% senior unsecured notes due 2037, issued by Weatherford International,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delivered via ATOP or</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reflected on the</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Prepetition Notes</w:t>
            </w: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 Maximum Amount of</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CUSIP/ISIN</w:t>
            </w:r>
          </w:p>
        </w:tc>
        <w:tc>
          <w:tcPr>
            <w:tcW w:w="280" w:type="dxa"/>
            <w:vAlign w:val="bottom"/>
            <w:vMerge w:val="restart"/>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Indenture Trustee’s</w:t>
            </w: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Rights Factor</w:t>
            </w:r>
          </w:p>
        </w:tc>
        <w:tc>
          <w:tcPr>
            <w:tcW w:w="280" w:type="dxa"/>
            <w:vAlign w:val="bottom"/>
            <w:vMerge w:val="restart"/>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w:t>
            </w:r>
          </w:p>
        </w:tc>
        <w:tc>
          <w:tcPr>
            <w:tcW w:w="30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 Securities 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60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4"/>
              </w:rPr>
              <w:t>Item 1l</w:t>
            </w:r>
          </w:p>
        </w:tc>
      </w:tr>
      <w:tr>
        <w:trPr>
          <w:trHeight w:val="20"/>
        </w:trPr>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89"/>
              </w:rPr>
              <w:t>(Round down to the nearest</w:t>
            </w:r>
          </w:p>
        </w:tc>
      </w:tr>
      <w:tr>
        <w:trPr>
          <w:trHeight w:val="230"/>
        </w:trPr>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color w:val="auto"/>
                <w:w w:val="90"/>
              </w:rPr>
              <w:t>$1,000 increment)</w:t>
            </w:r>
          </w:p>
        </w:tc>
      </w:tr>
      <w:tr>
        <w:trPr>
          <w:trHeight w:val="608"/>
        </w:trPr>
        <w:tc>
          <w:tcPr>
            <w:tcW w:w="1140" w:type="dxa"/>
            <w:vAlign w:val="bottom"/>
          </w:tcPr>
          <w:p>
            <w:pPr>
              <w:jc w:val="right"/>
              <w:ind w:right="410"/>
              <w:spacing w:after="0"/>
              <w:rPr>
                <w:sz w:val="20"/>
                <w:szCs w:val="20"/>
                <w:color w:val="auto"/>
              </w:rPr>
            </w:pPr>
            <w:r>
              <w:rPr>
                <w:rFonts w:ascii="Arial" w:cs="Arial" w:eastAsia="Arial" w:hAnsi="Arial"/>
                <w:sz w:val="18"/>
                <w:szCs w:val="18"/>
                <w:color w:val="auto"/>
                <w:w w:val="92"/>
              </w:rPr>
              <w:t>[ · ] / [ · ]</w:t>
            </w:r>
          </w:p>
        </w:tc>
        <w:tc>
          <w:tcPr>
            <w:tcW w:w="160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540" w:type="dxa"/>
            <w:vAlign w:val="bottom"/>
          </w:tcPr>
          <w:p>
            <w:pPr>
              <w:ind w:left="1020"/>
              <w:spacing w:after="0"/>
              <w:rPr>
                <w:sz w:val="20"/>
                <w:szCs w:val="20"/>
                <w:color w:val="auto"/>
              </w:rPr>
            </w:pPr>
            <w:r>
              <w:rPr>
                <w:rFonts w:ascii="Arial" w:cs="Arial" w:eastAsia="Arial" w:hAnsi="Arial"/>
                <w:sz w:val="18"/>
                <w:szCs w:val="18"/>
                <w:color w:val="auto"/>
              </w:rPr>
              <w:t>x</w:t>
            </w:r>
          </w:p>
        </w:tc>
        <w:tc>
          <w:tcPr>
            <w:tcW w:w="1400" w:type="dxa"/>
            <w:vAlign w:val="bottom"/>
          </w:tcPr>
          <w:p>
            <w:pPr>
              <w:ind w:left="400"/>
              <w:spacing w:after="0"/>
              <w:rPr>
                <w:sz w:val="20"/>
                <w:szCs w:val="20"/>
                <w:color w:val="auto"/>
              </w:rPr>
            </w:pPr>
            <w:r>
              <w:rPr>
                <w:rFonts w:ascii="Arial" w:cs="Arial" w:eastAsia="Arial" w:hAnsi="Arial"/>
                <w:sz w:val="18"/>
                <w:szCs w:val="18"/>
                <w:color w:val="auto"/>
              </w:rPr>
              <w:t>[Factor]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Item 1m</w:t>
            </w:r>
          </w:p>
        </w:tc>
        <w:tc>
          <w:tcPr>
            <w:tcW w:w="660" w:type="dxa"/>
            <w:vAlign w:val="bottom"/>
          </w:tcPr>
          <w:p>
            <w:pPr>
              <w:spacing w:after="0"/>
              <w:rPr>
                <w:sz w:val="24"/>
                <w:szCs w:val="24"/>
                <w:color w:val="auto"/>
              </w:rPr>
            </w:pPr>
          </w:p>
        </w:tc>
      </w:tr>
    </w:tbl>
    <w:p>
      <w:pPr>
        <w:spacing w:after="0" w:line="13" w:lineRule="exact"/>
        <w:rPr>
          <w:sz w:val="20"/>
          <w:szCs w:val="20"/>
          <w:color w:val="auto"/>
        </w:rPr>
      </w:pPr>
    </w:p>
    <w:p>
      <w:pPr>
        <w:jc w:val="center"/>
        <w:ind w:left="-6739"/>
        <w:spacing w:after="0"/>
        <w:rPr>
          <w:sz w:val="20"/>
          <w:szCs w:val="20"/>
          <w:color w:val="auto"/>
        </w:rPr>
      </w:pPr>
      <w:r>
        <w:rPr>
          <w:rFonts w:ascii="Arial" w:cs="Arial" w:eastAsia="Arial" w:hAnsi="Arial"/>
          <w:sz w:val="16"/>
          <w:szCs w:val="16"/>
          <w:color w:val="auto"/>
        </w:rPr>
        <w:t>(Round down to the nearest</w:t>
      </w:r>
    </w:p>
    <w:p>
      <w:pPr>
        <w:spacing w:after="0" w:line="46" w:lineRule="exact"/>
        <w:rPr>
          <w:sz w:val="20"/>
          <w:szCs w:val="20"/>
          <w:color w:val="auto"/>
        </w:rPr>
      </w:pPr>
    </w:p>
    <w:p>
      <w:pPr>
        <w:jc w:val="center"/>
        <w:ind w:left="-6739"/>
        <w:spacing w:after="0"/>
        <w:rPr>
          <w:sz w:val="20"/>
          <w:szCs w:val="20"/>
          <w:color w:val="auto"/>
        </w:rPr>
      </w:pPr>
      <w:r>
        <w:rPr>
          <w:rFonts w:ascii="Arial" w:cs="Arial" w:eastAsia="Arial" w:hAnsi="Arial"/>
          <w:sz w:val="18"/>
          <w:szCs w:val="18"/>
          <w:color w:val="auto"/>
        </w:rPr>
        <w:t>$1,000 increment)</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i w:val="1"/>
          <w:iCs w:val="1"/>
          <w:color w:val="auto"/>
        </w:rPr>
        <w:t>Total Maximum Participation Amount (Total of Items 1a-1m):</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000" w:space="380"/>
            <w:col w:w="9040"/>
          </w:cols>
          <w:pgMar w:left="240" w:top="32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2. Purchase Price for Offered Securities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By filling in the following blanks, you are subscribing for the amount of Offered Securities specified below (specify an amount of Offered Securities, which is not greater than the Maximum Participation Amount calculated in Item 1 above), on the terms and subject to the conditions set forth in the Plan and the Rights Offering Procedures.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60" w:type="dxa"/>
            <w:vAlign w:val="bottom"/>
          </w:tcPr>
          <w:p>
            <w:pPr>
              <w:spacing w:after="0"/>
              <w:rPr>
                <w:sz w:val="18"/>
                <w:szCs w:val="18"/>
                <w:color w:val="auto"/>
              </w:rPr>
            </w:pP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60"/>
              <w:spacing w:after="0"/>
              <w:rPr>
                <w:sz w:val="20"/>
                <w:szCs w:val="20"/>
                <w:color w:val="auto"/>
              </w:rPr>
            </w:pPr>
            <w:r>
              <w:rPr>
                <w:rFonts w:ascii="Arial" w:cs="Arial" w:eastAsia="Arial" w:hAnsi="Arial"/>
                <w:sz w:val="18"/>
                <w:szCs w:val="18"/>
                <w:color w:val="auto"/>
              </w:rPr>
              <w:t>2a</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89"/>
              </w:rPr>
              <w:t>purchase — not to exceed the amount in Item 1a</w:t>
            </w:r>
          </w:p>
        </w:tc>
        <w:tc>
          <w:tcPr>
            <w:tcW w:w="360" w:type="dxa"/>
            <w:vAlign w:val="bottom"/>
          </w:tcPr>
          <w:p>
            <w:pPr>
              <w:ind w:left="200"/>
              <w:spacing w:after="0"/>
              <w:rPr>
                <w:sz w:val="20"/>
                <w:szCs w:val="20"/>
                <w:color w:val="auto"/>
              </w:rPr>
            </w:pPr>
            <w:r>
              <w:rPr>
                <w:rFonts w:ascii="Arial" w:cs="Arial" w:eastAsia="Arial" w:hAnsi="Arial"/>
                <w:sz w:val="18"/>
                <w:szCs w:val="18"/>
                <w:color w:val="auto"/>
              </w:rPr>
              <w:t>x</w:t>
            </w: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2a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60" w:type="dxa"/>
            <w:vAlign w:val="bottom"/>
          </w:tcPr>
          <w:p>
            <w:pPr>
              <w:spacing w:after="0"/>
              <w:rPr>
                <w:sz w:val="7"/>
                <w:szCs w:val="7"/>
                <w:color w:val="auto"/>
              </w:rPr>
            </w:pPr>
          </w:p>
        </w:tc>
        <w:tc>
          <w:tcPr>
            <w:tcW w:w="294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60" w:type="dxa"/>
            <w:vAlign w:val="bottom"/>
          </w:tcPr>
          <w:p>
            <w:pPr>
              <w:spacing w:after="0"/>
              <w:rPr>
                <w:sz w:val="24"/>
                <w:szCs w:val="24"/>
                <w:color w:val="auto"/>
              </w:rPr>
            </w:pP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2b</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1b</w:t>
            </w:r>
          </w:p>
        </w:tc>
        <w:tc>
          <w:tcPr>
            <w:tcW w:w="360" w:type="dxa"/>
            <w:vAlign w:val="bottom"/>
          </w:tcPr>
          <w:p>
            <w:pPr>
              <w:ind w:left="200"/>
              <w:spacing w:after="0"/>
              <w:rPr>
                <w:sz w:val="20"/>
                <w:szCs w:val="20"/>
                <w:color w:val="auto"/>
              </w:rPr>
            </w:pPr>
            <w:r>
              <w:rPr>
                <w:rFonts w:ascii="Arial" w:cs="Arial" w:eastAsia="Arial" w:hAnsi="Arial"/>
                <w:sz w:val="18"/>
                <w:szCs w:val="18"/>
                <w:color w:val="auto"/>
              </w:rPr>
              <w:t>x</w:t>
            </w: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2b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60" w:type="dxa"/>
            <w:vAlign w:val="bottom"/>
          </w:tcPr>
          <w:p>
            <w:pPr>
              <w:spacing w:after="0"/>
              <w:rPr>
                <w:sz w:val="7"/>
                <w:szCs w:val="7"/>
                <w:color w:val="auto"/>
              </w:rPr>
            </w:pPr>
          </w:p>
        </w:tc>
        <w:tc>
          <w:tcPr>
            <w:tcW w:w="294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jc w:val="right"/>
              <w:ind w:right="269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18"/>
                <w:szCs w:val="18"/>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60"/>
              <w:spacing w:after="0"/>
              <w:rPr>
                <w:sz w:val="20"/>
                <w:szCs w:val="20"/>
                <w:color w:val="auto"/>
              </w:rPr>
            </w:pPr>
            <w:r>
              <w:rPr>
                <w:rFonts w:ascii="Arial" w:cs="Arial" w:eastAsia="Arial" w:hAnsi="Arial"/>
                <w:sz w:val="18"/>
                <w:szCs w:val="18"/>
                <w:color w:val="auto"/>
              </w:rPr>
              <w:t>2c</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89"/>
              </w:rPr>
              <w:t>purchase — not to exceed the amount in Item 1c</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2c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40"/>
              <w:spacing w:after="0"/>
              <w:rPr>
                <w:sz w:val="20"/>
                <w:szCs w:val="20"/>
                <w:color w:val="auto"/>
              </w:rPr>
            </w:pPr>
            <w:r>
              <w:rPr>
                <w:rFonts w:ascii="Arial" w:cs="Arial" w:eastAsia="Arial" w:hAnsi="Arial"/>
                <w:sz w:val="18"/>
                <w:szCs w:val="18"/>
                <w:color w:val="auto"/>
              </w:rPr>
              <w:t>2d</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1d</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2d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560"/>
              <w:spacing w:after="0"/>
              <w:rPr>
                <w:sz w:val="20"/>
                <w:szCs w:val="20"/>
                <w:color w:val="auto"/>
              </w:rPr>
            </w:pPr>
            <w:r>
              <w:rPr>
                <w:rFonts w:ascii="Arial" w:cs="Arial" w:eastAsia="Arial" w:hAnsi="Arial"/>
                <w:sz w:val="18"/>
                <w:szCs w:val="18"/>
                <w:color w:val="auto"/>
              </w:rPr>
              <w:t>2e</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89"/>
              </w:rPr>
              <w:t>purchase — not to exceed the amount in Item 1e</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Item 2e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right"/>
              <w:ind w:right="2650"/>
              <w:spacing w:after="0"/>
              <w:rPr>
                <w:sz w:val="20"/>
                <w:szCs w:val="20"/>
                <w:color w:val="auto"/>
              </w:rPr>
            </w:pPr>
            <w:r>
              <w:rPr>
                <w:rFonts w:ascii="Arial" w:cs="Arial" w:eastAsia="Arial" w:hAnsi="Arial"/>
                <w:sz w:val="18"/>
                <w:szCs w:val="18"/>
                <w:color w:val="auto"/>
                <w:w w:val="99"/>
              </w:rPr>
              <w:t>10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18"/>
                <w:szCs w:val="18"/>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70"/>
              <w:spacing w:after="0"/>
              <w:rPr>
                <w:sz w:val="20"/>
                <w:szCs w:val="20"/>
                <w:color w:val="auto"/>
              </w:rPr>
            </w:pPr>
            <w:r>
              <w:rPr>
                <w:rFonts w:ascii="Arial" w:cs="Arial" w:eastAsia="Arial" w:hAnsi="Arial"/>
                <w:sz w:val="18"/>
                <w:szCs w:val="18"/>
                <w:color w:val="auto"/>
              </w:rPr>
              <w:t>2f</w:t>
            </w: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0"/>
              </w:rPr>
              <w:t>purchase — not to exceed the amount in Item 1f</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 xml:space="preserve">Item 2f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2g</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1g</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2g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2h</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89"/>
              </w:rPr>
              <w:t>purchase — not to exceed the amount in Item 1h</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2h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right"/>
              <w:ind w:right="2650"/>
              <w:spacing w:after="0"/>
              <w:rPr>
                <w:sz w:val="20"/>
                <w:szCs w:val="20"/>
                <w:color w:val="auto"/>
              </w:rPr>
            </w:pPr>
            <w:r>
              <w:rPr>
                <w:rFonts w:ascii="Arial" w:cs="Arial" w:eastAsia="Arial" w:hAnsi="Arial"/>
                <w:sz w:val="18"/>
                <w:szCs w:val="18"/>
                <w:color w:val="auto"/>
                <w:w w:val="99"/>
              </w:rPr>
              <w:t>11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18"/>
                <w:szCs w:val="18"/>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18"/>
                <w:szCs w:val="18"/>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99"/>
              </w:rPr>
              <w:t>2i</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90"/>
              </w:rPr>
              <w:t>purchase — not to exceed the amount in Item 1i</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Item 2i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99"/>
              </w:rPr>
              <w:t>2j</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90"/>
              </w:rPr>
              <w:t>purchase — not to exceed the amount in Item 1j</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 xml:space="preserve">Item 2j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4120" w:type="dxa"/>
            <w:vAlign w:val="bottom"/>
          </w:tcPr>
          <w:p>
            <w:pPr>
              <w:jc w:val="center"/>
              <w:ind w:left="70"/>
              <w:spacing w:after="0"/>
              <w:rPr>
                <w:sz w:val="20"/>
                <w:szCs w:val="20"/>
                <w:color w:val="auto"/>
              </w:rPr>
            </w:pPr>
            <w:r>
              <w:rPr>
                <w:rFonts w:ascii="Arial" w:cs="Arial" w:eastAsia="Arial" w:hAnsi="Arial"/>
                <w:sz w:val="18"/>
                <w:szCs w:val="18"/>
                <w:color w:val="auto"/>
                <w:w w:val="91"/>
              </w:rPr>
              <w:t>(Insert amount of Offered Securities you elect to</w:t>
            </w:r>
          </w:p>
        </w:tc>
        <w:tc>
          <w:tcPr>
            <w:tcW w:w="340" w:type="dxa"/>
            <w:vAlign w:val="bottom"/>
          </w:tcPr>
          <w:p>
            <w:pPr>
              <w:spacing w:after="0"/>
              <w:rPr>
                <w:sz w:val="24"/>
                <w:szCs w:val="24"/>
                <w:color w:val="auto"/>
              </w:rPr>
            </w:pP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5"/>
              </w:rPr>
              <w:t>$[1,000]</w:t>
            </w:r>
          </w:p>
        </w:tc>
        <w:tc>
          <w:tcPr>
            <w:tcW w:w="400" w:type="dxa"/>
            <w:vAlign w:val="bottom"/>
          </w:tcPr>
          <w:p>
            <w:pPr>
              <w:spacing w:after="0"/>
              <w:rPr>
                <w:sz w:val="24"/>
                <w:szCs w:val="24"/>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left="50"/>
              <w:spacing w:after="0"/>
              <w:rPr>
                <w:sz w:val="20"/>
                <w:szCs w:val="20"/>
                <w:color w:val="auto"/>
              </w:rPr>
            </w:pPr>
            <w:r>
              <w:rPr>
                <w:rFonts w:ascii="Arial" w:cs="Arial" w:eastAsia="Arial" w:hAnsi="Arial"/>
                <w:sz w:val="18"/>
                <w:szCs w:val="18"/>
                <w:color w:val="auto"/>
                <w:w w:val="94"/>
              </w:rPr>
              <w:t>2k</w:t>
            </w:r>
          </w:p>
        </w:tc>
        <w:tc>
          <w:tcPr>
            <w:tcW w:w="4120" w:type="dxa"/>
            <w:vAlign w:val="bottom"/>
          </w:tcPr>
          <w:p>
            <w:pPr>
              <w:jc w:val="center"/>
              <w:ind w:left="90"/>
              <w:spacing w:after="0"/>
              <w:rPr>
                <w:sz w:val="20"/>
                <w:szCs w:val="20"/>
                <w:color w:val="auto"/>
              </w:rPr>
            </w:pPr>
            <w:r>
              <w:rPr>
                <w:rFonts w:ascii="Arial" w:cs="Arial" w:eastAsia="Arial" w:hAnsi="Arial"/>
                <w:sz w:val="18"/>
                <w:szCs w:val="18"/>
                <w:color w:val="auto"/>
                <w:w w:val="90"/>
              </w:rPr>
              <w:t>purchase — not to exceed the amount in Item 1k</w:t>
            </w:r>
          </w:p>
        </w:tc>
        <w:tc>
          <w:tcPr>
            <w:tcW w:w="340" w:type="dxa"/>
            <w:vAlign w:val="bottom"/>
          </w:tcPr>
          <w:p>
            <w:pPr>
              <w:ind w:left="200"/>
              <w:spacing w:after="0"/>
              <w:rPr>
                <w:sz w:val="20"/>
                <w:szCs w:val="20"/>
                <w:color w:val="auto"/>
              </w:rPr>
            </w:pPr>
            <w:r>
              <w:rPr>
                <w:rFonts w:ascii="Arial" w:cs="Arial" w:eastAsia="Arial" w:hAnsi="Arial"/>
                <w:sz w:val="18"/>
                <w:szCs w:val="18"/>
                <w:color w:val="auto"/>
              </w:rPr>
              <w:t>x</w:t>
            </w:r>
          </w:p>
        </w:tc>
        <w:tc>
          <w:tcPr>
            <w:tcW w:w="2960" w:type="dxa"/>
            <w:vAlign w:val="bottom"/>
          </w:tcPr>
          <w:p>
            <w:pPr>
              <w:jc w:val="center"/>
              <w:ind w:left="90"/>
              <w:spacing w:after="0"/>
              <w:rPr>
                <w:sz w:val="20"/>
                <w:szCs w:val="20"/>
                <w:color w:val="auto"/>
              </w:rPr>
            </w:pPr>
            <w:r>
              <w:rPr>
                <w:rFonts w:ascii="Arial" w:cs="Arial" w:eastAsia="Arial" w:hAnsi="Arial"/>
                <w:sz w:val="18"/>
                <w:szCs w:val="18"/>
                <w:color w:val="auto"/>
                <w:w w:val="91"/>
              </w:rPr>
              <w:t>(Per $1,000 principal amount of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8"/>
                <w:szCs w:val="18"/>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 xml:space="preserve">Item 2k </w:t>
            </w:r>
            <w:r>
              <w:rPr>
                <w:rFonts w:ascii="Arial" w:cs="Arial" w:eastAsia="Arial" w:hAnsi="Arial"/>
                <w:sz w:val="18"/>
                <w:szCs w:val="18"/>
                <w:color w:val="auto"/>
              </w:rPr>
              <w:t>— Purchase Price</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120" w:type="dxa"/>
            <w:vAlign w:val="bottom"/>
            <w:vMerge w:val="restart"/>
          </w:tcPr>
          <w:p>
            <w:pPr>
              <w:jc w:val="center"/>
              <w:ind w:left="70"/>
              <w:spacing w:after="0"/>
              <w:rPr>
                <w:sz w:val="20"/>
                <w:szCs w:val="20"/>
                <w:color w:val="auto"/>
              </w:rPr>
            </w:pPr>
            <w:r>
              <w:rPr>
                <w:rFonts w:ascii="Arial" w:cs="Arial" w:eastAsia="Arial" w:hAnsi="Arial"/>
                <w:sz w:val="18"/>
                <w:szCs w:val="18"/>
                <w:color w:val="auto"/>
                <w:w w:val="91"/>
              </w:rPr>
              <w:t>calculated in Item 1 above)</w:t>
            </w:r>
          </w:p>
        </w:tc>
        <w:tc>
          <w:tcPr>
            <w:tcW w:w="340" w:type="dxa"/>
            <w:vAlign w:val="bottom"/>
          </w:tcPr>
          <w:p>
            <w:pPr>
              <w:spacing w:after="0"/>
              <w:rPr>
                <w:sz w:val="7"/>
                <w:szCs w:val="7"/>
                <w:color w:val="auto"/>
              </w:rPr>
            </w:pPr>
          </w:p>
        </w:tc>
        <w:tc>
          <w:tcPr>
            <w:tcW w:w="296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Offered Securities)</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right"/>
              <w:ind w:right="2650"/>
              <w:spacing w:after="0"/>
              <w:rPr>
                <w:sz w:val="20"/>
                <w:szCs w:val="20"/>
                <w:color w:val="auto"/>
              </w:rPr>
            </w:pPr>
            <w:r>
              <w:rPr>
                <w:rFonts w:ascii="Arial" w:cs="Arial" w:eastAsia="Arial" w:hAnsi="Arial"/>
                <w:sz w:val="18"/>
                <w:szCs w:val="18"/>
                <w:color w:val="auto"/>
                <w:w w:val="99"/>
              </w:rPr>
              <w:t>12</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2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4600" w:type="dxa"/>
            <w:vAlign w:val="bottom"/>
            <w:gridSpan w:val="2"/>
          </w:tcPr>
          <w:p>
            <w:pPr>
              <w:jc w:val="center"/>
              <w:ind w:right="370"/>
              <w:spacing w:after="0" w:line="194" w:lineRule="exact"/>
              <w:rPr>
                <w:sz w:val="20"/>
                <w:szCs w:val="20"/>
                <w:color w:val="auto"/>
              </w:rPr>
            </w:pPr>
            <w:r>
              <w:rPr>
                <w:rFonts w:ascii="Arial" w:cs="Arial" w:eastAsia="Arial" w:hAnsi="Arial"/>
                <w:sz w:val="18"/>
                <w:szCs w:val="18"/>
                <w:color w:val="auto"/>
                <w:w w:val="91"/>
              </w:rPr>
              <w:t>(Insert amount of Offered Securities you elect to</w:t>
            </w:r>
          </w:p>
        </w:tc>
        <w:tc>
          <w:tcPr>
            <w:tcW w:w="1660" w:type="dxa"/>
            <w:vAlign w:val="bottom"/>
          </w:tcPr>
          <w:p>
            <w:pPr>
              <w:spacing w:after="0"/>
              <w:rPr>
                <w:sz w:val="16"/>
                <w:szCs w:val="16"/>
                <w:color w:val="auto"/>
              </w:rPr>
            </w:pPr>
          </w:p>
        </w:tc>
        <w:tc>
          <w:tcPr>
            <w:tcW w:w="3280" w:type="dxa"/>
            <w:vAlign w:val="bottom"/>
          </w:tcPr>
          <w:p>
            <w:pPr>
              <w:jc w:val="center"/>
              <w:ind w:left="610"/>
              <w:spacing w:after="0" w:line="194" w:lineRule="exact"/>
              <w:rPr>
                <w:sz w:val="20"/>
                <w:szCs w:val="20"/>
                <w:color w:val="auto"/>
              </w:rPr>
            </w:pPr>
            <w:r>
              <w:rPr>
                <w:rFonts w:ascii="Arial" w:cs="Arial" w:eastAsia="Arial" w:hAnsi="Arial"/>
                <w:sz w:val="18"/>
                <w:szCs w:val="18"/>
                <w:color w:val="auto"/>
                <w:w w:val="95"/>
              </w:rPr>
              <w:t>$[1,000]</w:t>
            </w:r>
          </w:p>
        </w:tc>
        <w:tc>
          <w:tcPr>
            <w:tcW w:w="240" w:type="dxa"/>
            <w:vAlign w:val="bottom"/>
          </w:tcPr>
          <w:p>
            <w:pPr>
              <w:spacing w:after="0"/>
              <w:rPr>
                <w:sz w:val="16"/>
                <w:szCs w:val="16"/>
                <w:color w:val="auto"/>
              </w:rPr>
            </w:pPr>
          </w:p>
        </w:tc>
        <w:tc>
          <w:tcPr>
            <w:tcW w:w="6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4"/>
              </w:rPr>
              <w:t>Item 2l</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99"/>
              </w:rPr>
              <w:t>2l</w:t>
            </w:r>
          </w:p>
        </w:tc>
        <w:tc>
          <w:tcPr>
            <w:tcW w:w="4600" w:type="dxa"/>
            <w:vAlign w:val="bottom"/>
            <w:gridSpan w:val="2"/>
          </w:tcPr>
          <w:p>
            <w:pPr>
              <w:jc w:val="center"/>
              <w:ind w:right="370"/>
              <w:spacing w:after="0"/>
              <w:rPr>
                <w:sz w:val="20"/>
                <w:szCs w:val="20"/>
                <w:color w:val="auto"/>
              </w:rPr>
            </w:pPr>
            <w:r>
              <w:rPr>
                <w:rFonts w:ascii="Arial" w:cs="Arial" w:eastAsia="Arial" w:hAnsi="Arial"/>
                <w:sz w:val="18"/>
                <w:szCs w:val="18"/>
                <w:color w:val="auto"/>
                <w:w w:val="90"/>
              </w:rPr>
              <w:t>purchase — not to exceed the amount in Item 1l</w:t>
            </w:r>
          </w:p>
        </w:tc>
        <w:tc>
          <w:tcPr>
            <w:tcW w:w="1660" w:type="dxa"/>
            <w:vAlign w:val="bottom"/>
          </w:tcPr>
          <w:p>
            <w:pPr>
              <w:ind w:left="740"/>
              <w:spacing w:after="0"/>
              <w:rPr>
                <w:sz w:val="20"/>
                <w:szCs w:val="20"/>
                <w:color w:val="auto"/>
              </w:rPr>
            </w:pPr>
            <w:r>
              <w:rPr>
                <w:rFonts w:ascii="Arial" w:cs="Arial" w:eastAsia="Arial" w:hAnsi="Arial"/>
                <w:sz w:val="18"/>
                <w:szCs w:val="18"/>
                <w:color w:val="auto"/>
              </w:rPr>
              <w:t>x</w:t>
            </w: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(Per $1,000 principal amount of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1450"/>
              <w:spacing w:after="0"/>
              <w:rPr>
                <w:sz w:val="20"/>
                <w:szCs w:val="20"/>
                <w:color w:val="auto"/>
              </w:rPr>
            </w:pPr>
            <w:r>
              <w:rPr>
                <w:rFonts w:ascii="Arial" w:cs="Arial" w:eastAsia="Arial" w:hAnsi="Arial"/>
                <w:sz w:val="18"/>
                <w:szCs w:val="18"/>
                <w:color w:val="auto"/>
                <w:w w:val="91"/>
              </w:rPr>
              <w:t>calculated in Item 1 above)</w:t>
            </w:r>
          </w:p>
        </w:tc>
        <w:tc>
          <w:tcPr>
            <w:tcW w:w="1660" w:type="dxa"/>
            <w:vAlign w:val="bottom"/>
          </w:tcPr>
          <w:p>
            <w:pPr>
              <w:spacing w:after="0"/>
              <w:rPr>
                <w:sz w:val="18"/>
                <w:szCs w:val="18"/>
                <w:color w:val="auto"/>
              </w:rPr>
            </w:pP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Offered Securities)</w:t>
            </w:r>
          </w:p>
        </w:tc>
        <w:tc>
          <w:tcPr>
            <w:tcW w:w="2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6"/>
              </w:rPr>
              <w:t>Purchase</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Price</w:t>
            </w:r>
          </w:p>
        </w:tc>
      </w:tr>
      <w:tr>
        <w:trPr>
          <w:trHeight w:val="414"/>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4600" w:type="dxa"/>
            <w:vAlign w:val="bottom"/>
            <w:gridSpan w:val="2"/>
          </w:tcPr>
          <w:p>
            <w:pPr>
              <w:jc w:val="center"/>
              <w:ind w:right="370"/>
              <w:spacing w:after="0" w:line="194" w:lineRule="exact"/>
              <w:rPr>
                <w:sz w:val="20"/>
                <w:szCs w:val="20"/>
                <w:color w:val="auto"/>
              </w:rPr>
            </w:pPr>
            <w:r>
              <w:rPr>
                <w:rFonts w:ascii="Arial" w:cs="Arial" w:eastAsia="Arial" w:hAnsi="Arial"/>
                <w:sz w:val="18"/>
                <w:szCs w:val="18"/>
                <w:color w:val="auto"/>
                <w:w w:val="91"/>
              </w:rPr>
              <w:t>(Insert amount of Offered Securities you elect to</w:t>
            </w:r>
          </w:p>
        </w:tc>
        <w:tc>
          <w:tcPr>
            <w:tcW w:w="1660" w:type="dxa"/>
            <w:vAlign w:val="bottom"/>
          </w:tcPr>
          <w:p>
            <w:pPr>
              <w:spacing w:after="0"/>
              <w:rPr>
                <w:sz w:val="16"/>
                <w:szCs w:val="16"/>
                <w:color w:val="auto"/>
              </w:rPr>
            </w:pPr>
          </w:p>
        </w:tc>
        <w:tc>
          <w:tcPr>
            <w:tcW w:w="3280" w:type="dxa"/>
            <w:vAlign w:val="bottom"/>
          </w:tcPr>
          <w:p>
            <w:pPr>
              <w:jc w:val="center"/>
              <w:ind w:left="610"/>
              <w:spacing w:after="0" w:line="194" w:lineRule="exact"/>
              <w:rPr>
                <w:sz w:val="20"/>
                <w:szCs w:val="20"/>
                <w:color w:val="auto"/>
              </w:rPr>
            </w:pPr>
            <w:r>
              <w:rPr>
                <w:rFonts w:ascii="Arial" w:cs="Arial" w:eastAsia="Arial" w:hAnsi="Arial"/>
                <w:sz w:val="18"/>
                <w:szCs w:val="18"/>
                <w:color w:val="auto"/>
                <w:w w:val="95"/>
              </w:rPr>
              <w:t>$[1,000]</w:t>
            </w:r>
          </w:p>
        </w:tc>
        <w:tc>
          <w:tcPr>
            <w:tcW w:w="240" w:type="dxa"/>
            <w:vAlign w:val="bottom"/>
          </w:tcPr>
          <w:p>
            <w:pPr>
              <w:spacing w:after="0"/>
              <w:rPr>
                <w:sz w:val="16"/>
                <w:szCs w:val="16"/>
                <w:color w:val="auto"/>
              </w:rPr>
            </w:pPr>
          </w:p>
        </w:tc>
        <w:tc>
          <w:tcPr>
            <w:tcW w:w="66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6"/>
              </w:rPr>
              <w:t>Item 2m</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7"/>
              </w:rPr>
              <w:t>2m</w:t>
            </w:r>
          </w:p>
        </w:tc>
        <w:tc>
          <w:tcPr>
            <w:tcW w:w="460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purchase — not to exceed the amount in Item 1m</w:t>
            </w:r>
          </w:p>
        </w:tc>
        <w:tc>
          <w:tcPr>
            <w:tcW w:w="1660" w:type="dxa"/>
            <w:vAlign w:val="bottom"/>
          </w:tcPr>
          <w:p>
            <w:pPr>
              <w:ind w:left="740"/>
              <w:spacing w:after="0"/>
              <w:rPr>
                <w:sz w:val="20"/>
                <w:szCs w:val="20"/>
                <w:color w:val="auto"/>
              </w:rPr>
            </w:pPr>
            <w:r>
              <w:rPr>
                <w:rFonts w:ascii="Arial" w:cs="Arial" w:eastAsia="Arial" w:hAnsi="Arial"/>
                <w:sz w:val="18"/>
                <w:szCs w:val="18"/>
                <w:color w:val="auto"/>
              </w:rPr>
              <w:t>x</w:t>
            </w: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(Per $1,000 principal amount of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1450"/>
              <w:spacing w:after="0"/>
              <w:rPr>
                <w:sz w:val="20"/>
                <w:szCs w:val="20"/>
                <w:color w:val="auto"/>
              </w:rPr>
            </w:pPr>
            <w:r>
              <w:rPr>
                <w:rFonts w:ascii="Arial" w:cs="Arial" w:eastAsia="Arial" w:hAnsi="Arial"/>
                <w:sz w:val="18"/>
                <w:szCs w:val="18"/>
                <w:color w:val="auto"/>
                <w:w w:val="91"/>
              </w:rPr>
              <w:t>calculated in Item 1 above)</w:t>
            </w:r>
          </w:p>
        </w:tc>
        <w:tc>
          <w:tcPr>
            <w:tcW w:w="1660" w:type="dxa"/>
            <w:vAlign w:val="bottom"/>
          </w:tcPr>
          <w:p>
            <w:pPr>
              <w:spacing w:after="0"/>
              <w:rPr>
                <w:sz w:val="18"/>
                <w:szCs w:val="18"/>
                <w:color w:val="auto"/>
              </w:rPr>
            </w:pPr>
          </w:p>
        </w:tc>
        <w:tc>
          <w:tcPr>
            <w:tcW w:w="3280" w:type="dxa"/>
            <w:vAlign w:val="bottom"/>
          </w:tcPr>
          <w:p>
            <w:pPr>
              <w:jc w:val="center"/>
              <w:ind w:left="610"/>
              <w:spacing w:after="0"/>
              <w:rPr>
                <w:sz w:val="20"/>
                <w:szCs w:val="20"/>
                <w:color w:val="auto"/>
              </w:rPr>
            </w:pPr>
            <w:r>
              <w:rPr>
                <w:rFonts w:ascii="Arial" w:cs="Arial" w:eastAsia="Arial" w:hAnsi="Arial"/>
                <w:sz w:val="18"/>
                <w:szCs w:val="18"/>
                <w:color w:val="auto"/>
                <w:w w:val="91"/>
              </w:rPr>
              <w:t>Offered Securities)</w:t>
            </w:r>
          </w:p>
        </w:tc>
        <w:tc>
          <w:tcPr>
            <w:tcW w:w="2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6"/>
              </w:rPr>
              <w:t>Purchase</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Price</w:t>
            </w:r>
          </w:p>
        </w:tc>
      </w:tr>
      <w:tr>
        <w:trPr>
          <w:trHeight w:val="414"/>
        </w:trPr>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Offered Securities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2"/>
              </w:rPr>
              <w:t>(Indicate total amount of Offered</w:t>
            </w:r>
          </w:p>
        </w:tc>
        <w:tc>
          <w:tcPr>
            <w:tcW w:w="494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 Purchase Price for Offered Securities: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Electing to Purchase:</w:t>
            </w:r>
          </w:p>
        </w:tc>
        <w:tc>
          <w:tcPr>
            <w:tcW w:w="3540" w:type="dxa"/>
            <w:vAlign w:val="bottom"/>
          </w:tcPr>
          <w:p>
            <w:pPr>
              <w:jc w:val="center"/>
              <w:ind w:right="50"/>
              <w:spacing w:after="0"/>
              <w:rPr>
                <w:sz w:val="20"/>
                <w:szCs w:val="20"/>
                <w:color w:val="auto"/>
              </w:rPr>
            </w:pPr>
            <w:r>
              <w:rPr>
                <w:rFonts w:ascii="Arial" w:cs="Arial" w:eastAsia="Arial" w:hAnsi="Arial"/>
                <w:sz w:val="18"/>
                <w:szCs w:val="18"/>
                <w:color w:val="auto"/>
                <w:w w:val="89"/>
              </w:rPr>
              <w:t>Securities you elect to purchase</w:t>
            </w:r>
          </w:p>
        </w:tc>
        <w:tc>
          <w:tcPr>
            <w:tcW w:w="1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0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(Indicate</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1"/>
              </w:rPr>
              <w:t>from Items 2a-2m in each row</w:t>
            </w: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total</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0"/>
              </w:rPr>
              <w:t>above)</w:t>
            </w:r>
          </w:p>
        </w:tc>
        <w:tc>
          <w:tcPr>
            <w:tcW w:w="1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gridSpan w:val="4"/>
          </w:tcPr>
          <w:p>
            <w:pPr>
              <w:jc w:val="center"/>
              <w:ind w:left="70"/>
              <w:spacing w:after="0"/>
              <w:rPr>
                <w:sz w:val="20"/>
                <w:szCs w:val="20"/>
                <w:color w:val="auto"/>
              </w:rPr>
            </w:pPr>
            <w:r>
              <w:rPr>
                <w:rFonts w:ascii="Arial" w:cs="Arial" w:eastAsia="Arial" w:hAnsi="Arial"/>
                <w:sz w:val="18"/>
                <w:szCs w:val="18"/>
                <w:color w:val="auto"/>
                <w:w w:val="86"/>
              </w:rPr>
              <w:t>Purchase</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Price of</w:t>
            </w:r>
          </w:p>
        </w:tc>
      </w:tr>
    </w:tbl>
    <w:p>
      <w:pPr>
        <w:jc w:val="center"/>
        <w:ind w:left="10680"/>
        <w:spacing w:after="0"/>
        <w:rPr>
          <w:sz w:val="20"/>
          <w:szCs w:val="20"/>
          <w:color w:val="auto"/>
        </w:rPr>
      </w:pPr>
      <w:r>
        <w:rPr>
          <w:rFonts w:ascii="Arial" w:cs="Arial" w:eastAsia="Arial" w:hAnsi="Arial"/>
          <w:sz w:val="18"/>
          <w:szCs w:val="18"/>
          <w:color w:val="auto"/>
        </w:rPr>
        <w:t>Offered</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6"/>
          <w:szCs w:val="16"/>
          <w:color w:val="auto"/>
        </w:rPr>
        <w:t>Securities</w:t>
      </w:r>
    </w:p>
    <w:p>
      <w:pPr>
        <w:spacing w:after="0" w:line="32"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you elect</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7"/>
          <w:szCs w:val="17"/>
          <w:color w:val="auto"/>
        </w:rPr>
        <w:t>purchase</w:t>
      </w:r>
    </w:p>
    <w:p>
      <w:pPr>
        <w:spacing w:after="0" w:line="21" w:lineRule="exact"/>
        <w:rPr>
          <w:sz w:val="20"/>
          <w:szCs w:val="20"/>
          <w:color w:val="auto"/>
        </w:rPr>
      </w:pPr>
    </w:p>
    <w:p>
      <w:pPr>
        <w:jc w:val="center"/>
        <w:ind w:left="10680"/>
        <w:spacing w:after="0"/>
        <w:rPr>
          <w:sz w:val="20"/>
          <w:szCs w:val="20"/>
          <w:color w:val="auto"/>
        </w:rPr>
      </w:pPr>
      <w:r>
        <w:rPr>
          <w:rFonts w:ascii="Arial" w:cs="Arial" w:eastAsia="Arial" w:hAnsi="Arial"/>
          <w:sz w:val="17"/>
          <w:szCs w:val="17"/>
          <w:color w:val="auto"/>
        </w:rPr>
        <w:t>by adding</w:t>
      </w:r>
    </w:p>
    <w:p>
      <w:pPr>
        <w:spacing w:after="0" w:line="21" w:lineRule="exact"/>
        <w:rPr>
          <w:sz w:val="20"/>
          <w:szCs w:val="20"/>
          <w:color w:val="auto"/>
        </w:rPr>
      </w:pPr>
    </w:p>
    <w:p>
      <w:pPr>
        <w:jc w:val="center"/>
        <w:ind w:left="10680"/>
        <w:spacing w:after="0"/>
        <w:rPr>
          <w:sz w:val="20"/>
          <w:szCs w:val="20"/>
          <w:color w:val="auto"/>
        </w:rPr>
      </w:pPr>
      <w:r>
        <w:rPr>
          <w:rFonts w:ascii="Arial" w:cs="Arial" w:eastAsia="Arial" w:hAnsi="Arial"/>
          <w:sz w:val="17"/>
          <w:szCs w:val="17"/>
          <w:color w:val="auto"/>
        </w:rPr>
        <w:t>Items 2a-</w:t>
      </w:r>
    </w:p>
    <w:p>
      <w:pPr>
        <w:spacing w:after="0" w:line="21"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2m in</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each row</w:t>
      </w:r>
    </w:p>
    <w:p>
      <w:pPr>
        <w:spacing w:after="0" w:line="9" w:lineRule="exact"/>
        <w:rPr>
          <w:sz w:val="20"/>
          <w:szCs w:val="20"/>
          <w:color w:val="auto"/>
        </w:rPr>
      </w:pPr>
    </w:p>
    <w:p>
      <w:pPr>
        <w:jc w:val="center"/>
        <w:ind w:left="1068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91" w:name="page92"/>
    <w:bookmarkEnd w:id="91"/>
    <w:p>
      <w:pPr>
        <w:ind w:right="280"/>
        <w:spacing w:after="0" w:line="313" w:lineRule="auto"/>
        <w:rPr>
          <w:sz w:val="20"/>
          <w:szCs w:val="20"/>
          <w:color w:val="auto"/>
        </w:rPr>
      </w:pPr>
      <w:r>
        <w:rPr>
          <w:rFonts w:ascii="Arial" w:cs="Arial" w:eastAsia="Arial" w:hAnsi="Arial"/>
          <w:sz w:val="17"/>
          <w:szCs w:val="17"/>
          <w:b w:val="1"/>
          <w:bCs w:val="1"/>
          <w:color w:val="auto"/>
        </w:rPr>
        <w:t>Item 3. Principal Amount and Nominee/ DTC Information. Holders electing to participate in the Rights Offering must electronically deliver their applicable underlying Prepetition Notes via DTC’s Automated Tender Offer Program (“ATOP”) or your applicable depository.</w:t>
      </w:r>
    </w:p>
    <w:p>
      <w:pPr>
        <w:spacing w:after="0" w:line="142" w:lineRule="exact"/>
        <w:rPr>
          <w:sz w:val="20"/>
          <w:szCs w:val="20"/>
          <w:color w:val="auto"/>
        </w:rPr>
      </w:pPr>
    </w:p>
    <w:p>
      <w:pPr>
        <w:jc w:val="both"/>
        <w:ind w:right="760"/>
        <w:spacing w:after="0" w:line="312" w:lineRule="auto"/>
        <w:rPr>
          <w:sz w:val="20"/>
          <w:szCs w:val="20"/>
          <w:color w:val="auto"/>
        </w:rPr>
      </w:pPr>
      <w:r>
        <w:rPr>
          <w:rFonts w:ascii="Arial" w:cs="Arial" w:eastAsia="Arial" w:hAnsi="Arial"/>
          <w:sz w:val="16"/>
          <w:szCs w:val="16"/>
          <w:color w:val="auto"/>
        </w:rPr>
        <w:t>The undersigned hereby certifies that the undersigned has electronically delivered their underlying Prepetition Notes via DTC’s ATOP system in the following principal amount(s). (Noteholders must coordinate with their Nominee to tender their Prepetition Notes in order to obtain the DTC ATOP Confirmation Number from their Nominee, as applicable, to complete this table prior to returning this Beneficial Holder Subscription Form):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Nominee Holding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Position at DTC,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DTC ATOP Confirmation</w:t>
            </w:r>
          </w:p>
        </w:tc>
        <w:tc>
          <w:tcPr>
            <w:tcW w:w="2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Euroclear or Clearstream</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jc w:val="right"/>
              <w:ind w:right="971"/>
              <w:spacing w:after="0"/>
              <w:rPr>
                <w:sz w:val="20"/>
                <w:szCs w:val="20"/>
                <w:color w:val="auto"/>
              </w:rPr>
            </w:pPr>
            <w:r>
              <w:rPr>
                <w:rFonts w:ascii="Arial" w:cs="Arial" w:eastAsia="Arial" w:hAnsi="Arial"/>
                <w:sz w:val="14"/>
                <w:szCs w:val="14"/>
                <w:b w:val="1"/>
                <w:bCs w:val="1"/>
                <w:color w:val="auto"/>
              </w:rPr>
              <w:t>CUSIP/ISIN</w:t>
            </w:r>
          </w:p>
        </w:tc>
        <w:tc>
          <w:tcPr>
            <w:tcW w:w="300" w:type="dxa"/>
            <w:vAlign w:val="bottom"/>
          </w:tcPr>
          <w:p>
            <w:pPr>
              <w:spacing w:after="0"/>
              <w:rPr>
                <w:sz w:val="12"/>
                <w:szCs w:val="12"/>
                <w:color w:val="auto"/>
              </w:rPr>
            </w:pPr>
          </w:p>
        </w:tc>
        <w:tc>
          <w:tcPr>
            <w:tcW w:w="25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Principal Amount Tendered</w:t>
            </w:r>
          </w:p>
        </w:tc>
        <w:tc>
          <w:tcPr>
            <w:tcW w:w="2340" w:type="dxa"/>
            <w:vAlign w:val="bottom"/>
            <w:gridSpan w:val="2"/>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Applicable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Ref Number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Depository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20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 · ]/[ · ]</w:t>
            </w:r>
          </w:p>
        </w:tc>
        <w:tc>
          <w:tcPr>
            <w:tcW w:w="2580" w:type="dxa"/>
            <w:vAlign w:val="bottom"/>
            <w:gridSpan w:val="2"/>
            <w:shd w:val="clear" w:color="auto" w:fill="CCEEFF"/>
          </w:tcPr>
          <w:p>
            <w:pPr>
              <w:jc w:val="right"/>
              <w:ind w:right="20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4. Payment and Delivery Instructions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 of the Purchase Price calculated pursuant to Item 2 above shall be made by wire transfer ONLY of immediately available funds.</w:t>
      </w:r>
    </w:p>
    <w:p>
      <w:pPr>
        <w:spacing w:after="0" w:line="23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YOUR BENEFICIAL HOLDER SUBSCRIPTION FORM (WITH ACCOMPANYING IRS FORM W-9 OR APPROPRIATE IRS FORM W-8, AS APPLICABLE) MUST BE RECEIVED BY THE SUBSCRIPTION AGENT AND THE UNDERLYING PREPETITION NOTES MUST BE DELIVERED INTO ATOP BY THE SUBSCRIPTION EXPIRATION DEADLINE OR THE SUBSCRIPTION REPRESENTED BY YOUR BENEFICIAL HOLDER SUBSCRIPTION FORM WILL NOT BE RECOGNIZED, AND THE ASSOCIATED SUBSCRIPTION RIGHTS WILL BE DEEMED FOREVER RELINQUISHED AND WAIVED.</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IF YOU HOLD YOUR PREPETITION NOTES THROUGH A NOMINEE, PLEASE NOTE THAT, UNLESS OTHERWISE DIRECTED BY YOUR NOMINEE, THE BENEFICIAL HOLDER SUBSCRIPTION FORM (WITH ACCOMPANYING IRS FORM W-9 OR APPROPRIATE IRS FORM W-8, AS APPLICABLE) MUST BE RECEIVED BY YOUR NOMINEE </w:t>
      </w:r>
      <w:r>
        <w:rPr>
          <w:rFonts w:ascii="Arial" w:cs="Arial" w:eastAsia="Arial" w:hAnsi="Arial"/>
          <w:sz w:val="18"/>
          <w:szCs w:val="18"/>
          <w:b w:val="1"/>
          <w:bCs w:val="1"/>
          <w:u w:val="single" w:color="auto"/>
          <w:color w:val="auto"/>
        </w:rPr>
        <w:t>IN SUFFICIENT TIME</w:t>
      </w:r>
      <w:r>
        <w:rPr>
          <w:rFonts w:ascii="Arial" w:cs="Arial" w:eastAsia="Arial" w:hAnsi="Arial"/>
          <w:sz w:val="18"/>
          <w:szCs w:val="18"/>
          <w:b w:val="1"/>
          <w:bCs w:val="1"/>
          <w:color w:val="auto"/>
        </w:rPr>
        <w:t xml:space="preserve"> TO ALLOW SUCH NOMINEE TO PROCESS AND DELIVER YOUR UNDERLYING PREPETITION NOTES THROUGH ATOP TO THE SUBSCRIPTION AGENT BY THE SUBSCRIPTION EXPIRATION DEADLINE OR THE SUBSCRIPTION REPRESENTED BY YOUR BENEFICIAL HOLDER SUBSCRIPTION FORM WILL NOT BE RECOGNIZED, AND THE ASSOCIATED SUBSCRIPTION RIGHTS WILL BE DEEMED FOREVER RELINQUISHED AND WAIVED.</w:t>
      </w:r>
    </w:p>
    <w:p>
      <w:pPr>
        <w:spacing w:after="0" w:line="200" w:lineRule="exact"/>
        <w:rPr>
          <w:sz w:val="20"/>
          <w:szCs w:val="20"/>
          <w:color w:val="auto"/>
        </w:rPr>
      </w:pPr>
    </w:p>
    <w:p>
      <w:pPr>
        <w:spacing w:after="0" w:line="2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NOTEHOLDERS WHO ARE NOT BACKSTOP PARTIES MUST DELIVER FULL PAYMENT OF THE PURCHASE PRICE SO AS TO BE RECEIVED BY THE SUBSCRIPTION AGENT BY THE SUBSCRIPTION EXPIRATION DEADLINE OR THE SUBSCRIPTION REPRESENTED BY SUCH NOTEHOLDER’S BENEFICIAL HOLDER SUBSCRIPTION FORM WILL NOT BE RECOGNIZED, AND THE ASSOCIATED SUBSCRIPTION RIGHTS WILL BE DEEMED FOREVER RELINQUISHED AND WAIVED.</w:t>
      </w:r>
    </w:p>
    <w:p>
      <w:pPr>
        <w:spacing w:after="0" w:line="180" w:lineRule="exact"/>
        <w:rPr>
          <w:sz w:val="20"/>
          <w:szCs w:val="20"/>
          <w:color w:val="auto"/>
        </w:rPr>
      </w:pPr>
    </w:p>
    <w:p>
      <w:pPr>
        <w:ind w:right="1160"/>
        <w:spacing w:after="0" w:line="282" w:lineRule="auto"/>
        <w:rPr>
          <w:sz w:val="20"/>
          <w:szCs w:val="20"/>
          <w:color w:val="auto"/>
        </w:rPr>
      </w:pPr>
      <w:r>
        <w:rPr>
          <w:rFonts w:ascii="Arial" w:cs="Arial" w:eastAsia="Arial" w:hAnsi="Arial"/>
          <w:sz w:val="18"/>
          <w:szCs w:val="18"/>
          <w:b w:val="1"/>
          <w:bCs w:val="1"/>
          <w:color w:val="auto"/>
        </w:rPr>
        <w:t>NOTEHOLDERS WHO ARE BACKSTOP PARTIES MUST DELIVER THE PURCHASE PRICE IN ACCORDANCE WITH THE INSTRUCTIONS IN THE FUNDING NOTICE.</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10165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weatherfordsubscription@primeclerk.com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3" w:name="page94"/>
    <w:bookmarkEnd w:id="93"/>
    <w:p>
      <w:pPr>
        <w:ind w:left="760"/>
        <w:spacing w:after="0"/>
        <w:rPr>
          <w:sz w:val="20"/>
          <w:szCs w:val="20"/>
          <w:color w:val="auto"/>
        </w:rPr>
      </w:pPr>
      <w:r>
        <w:rPr>
          <w:rFonts w:ascii="Arial" w:cs="Arial" w:eastAsia="Arial" w:hAnsi="Arial"/>
          <w:sz w:val="17"/>
          <w:szCs w:val="17"/>
          <w:b w:val="1"/>
          <w:bCs w:val="1"/>
          <w:color w:val="auto"/>
        </w:rPr>
        <w:t xml:space="preserve">Only choose </w:t>
      </w:r>
      <w:r>
        <w:rPr>
          <w:rFonts w:ascii="Arial" w:cs="Arial" w:eastAsia="Arial" w:hAnsi="Arial"/>
          <w:sz w:val="17"/>
          <w:szCs w:val="17"/>
          <w:b w:val="1"/>
          <w:bCs w:val="1"/>
          <w:u w:val="single" w:color="auto"/>
          <w:color w:val="auto"/>
        </w:rPr>
        <w:t>one</w:t>
      </w:r>
      <w:r>
        <w:rPr>
          <w:rFonts w:ascii="Arial" w:cs="Arial" w:eastAsia="Arial" w:hAnsi="Arial"/>
          <w:sz w:val="17"/>
          <w:szCs w:val="17"/>
          <w:b w:val="1"/>
          <w:bCs w:val="1"/>
          <w:color w:val="auto"/>
        </w:rPr>
        <w:t xml:space="preserve"> method of return. If you choose to return the applicable documents via email, do not follow up with hard copies.</w:t>
      </w: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Noteholders other than Backstop Parties, payment of the Purchase Price calculated in Item 2 above shall be made by wire transfer ONLY in accordance with the following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Wire Instructions:</w:t>
      </w:r>
    </w:p>
    <w:p>
      <w:pPr>
        <w:sectPr>
          <w:pgSz w:w="11900" w:h="16838" w:orient="portrait"/>
          <w:cols w:equalWidth="0" w:num="1">
            <w:col w:w="11320"/>
          </w:cols>
          <w:pgMar w:left="24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Bank Account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ABA/Routing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[Insert Form Number in memo field]</w:t>
      </w:r>
      <w:r>
        <w:rPr>
          <w:rFonts w:ascii="Arial" w:cs="Arial" w:eastAsia="Arial" w:hAnsi="Arial"/>
          <w:sz w:val="10"/>
          <w:szCs w:val="10"/>
          <w:color w:val="auto"/>
        </w:rPr>
        <w:t>1</w:t>
      </w:r>
    </w:p>
    <w:p>
      <w:pPr>
        <w:spacing w:after="0" w:line="237" w:lineRule="exact"/>
        <w:rPr>
          <w:sz w:val="20"/>
          <w:szCs w:val="20"/>
          <w:color w:val="auto"/>
        </w:rPr>
      </w:pPr>
    </w:p>
    <w:p>
      <w:pPr>
        <w:sectPr>
          <w:pgSz w:w="11900" w:h="16838" w:orient="portrait"/>
          <w:cols w:equalWidth="0" w:num="2">
            <w:col w:w="3440" w:space="720"/>
            <w:col w:w="7160"/>
          </w:cols>
          <w:pgMar w:left="240" w:top="33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International Wire Instructions:</w:t>
      </w:r>
    </w:p>
    <w:p>
      <w:pPr>
        <w:sectPr>
          <w:pgSz w:w="11900" w:h="16838" w:orient="portrait"/>
          <w:cols w:equalWidth="0" w:num="1">
            <w:col w:w="11320"/>
          </w:cols>
          <w:pgMar w:left="240" w:top="337"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Correspondent/Intermediary Bank SWIFT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Correspondent/Intermediary Bank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Correspondent/Intermediary Bank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Address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Memo, Special Instructions, Originator to Beneficiary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Bank to Bank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[Insert Form Number in memo field]</w:t>
      </w:r>
    </w:p>
    <w:p>
      <w:pPr>
        <w:spacing w:after="0" w:line="453" w:lineRule="exact"/>
        <w:rPr>
          <w:sz w:val="20"/>
          <w:szCs w:val="20"/>
          <w:color w:val="auto"/>
        </w:rPr>
      </w:pPr>
    </w:p>
    <w:p>
      <w:pPr>
        <w:sectPr>
          <w:pgSz w:w="11900" w:h="16838" w:orient="portrait"/>
          <w:cols w:equalWidth="0" w:num="2">
            <w:col w:w="4360" w:space="720"/>
            <w:col w:w="6240"/>
          </w:cols>
          <w:pgMar w:left="240" w:top="337" w:right="339" w:bottom="1440" w:gutter="0" w:footer="0" w:header="0"/>
          <w:type w:val="continuous"/>
        </w:sectPr>
      </w:pPr>
    </w:p>
    <w:p>
      <w:pPr>
        <w:spacing w:after="0" w:line="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Please note that the failure to include the claimant name or form number in the reference field of any domestic or international wire payment may result in the rejection of the corresponding rights offering submission. In addition, please also note that payments cannot be aggregated, and one wire should be sent per Beneficial Holder Subscription Form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340" w:right="120" w:hanging="332"/>
        <w:spacing w:after="0" w:line="227" w:lineRule="auto"/>
        <w:tabs>
          <w:tab w:leader="none" w:pos="164" w:val="left"/>
        </w:tabs>
        <w:numPr>
          <w:ilvl w:val="0"/>
          <w:numId w:val="72"/>
        </w:numPr>
        <w:rPr>
          <w:rFonts w:ascii="Arial" w:cs="Arial" w:eastAsia="Arial" w:hAnsi="Arial"/>
          <w:sz w:val="23"/>
          <w:szCs w:val="23"/>
          <w:color w:val="auto"/>
          <w:vertAlign w:val="superscript"/>
        </w:rPr>
      </w:pPr>
      <w:r>
        <w:rPr>
          <w:rFonts w:ascii="Arial" w:cs="Arial" w:eastAsia="Arial" w:hAnsi="Arial"/>
          <w:sz w:val="18"/>
          <w:szCs w:val="18"/>
          <w:color w:val="auto"/>
        </w:rPr>
        <w:t>Upon submission of your Beneficial Holder Subscription Form, the Subscription Agent will provide you with a form number that must be included in the wire reference section.</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5. Certification.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Noteholder certifies that (i) as of the date hereof, the undersigned is the beneficial Holder of the Prepetition Notes set forth in Item 1 above and will continue to be the beneficial owner thereof through the Subscription Expiration Deadline, (ii) the undersigned has received a copy of the Plan, the Disclosure Statement, the Rights Offering Procedures and the Rights Offering Instructions, (iii) the undersigned understands that the exercise of its Subscription Rights under the Rights Offering is subject to all the terms and conditions set forth in the Plan and the Rights Offering Procedures and (iv) the undersigned Noteholder is not located in the European Economic Area or is a “qualified investor” within the meaning of Article 2(1)(c) of the EU Prospectus Directive (Directive 2003/71/EC), as amended and Article 2 (e) of the EU Prospectus Regulation (Regulation (EU) 2017/1129) and (v) the undersigned Noteholder is not otherwise located in a Restricted Jurisdiction.</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Noteholders who hold Prepetition Notes through Nominees: By electing to subscribe for the amount of Offered Securities designated under Item 2 above, the undersigned Noteholder is hereby instructing its Nominee to arrange for delivery of its Beneficial Holder Subscription Form and underlying Prepetition Notes shown in Item 1 via ATOP to the Subscription Agent.</w:t>
      </w:r>
    </w:p>
    <w:p>
      <w:pPr>
        <w:spacing w:after="0" w:line="177"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rPr>
        <w:t>The undersigned Noteholder acknowledges that, by executing this Beneficial Holder Subscription Form, the undersigned has elected to subscribe for the amount of Offered Securities associated with the amounts tendered through ATOP and designated under Item 2 above and will be bound to pay for the Offered Securities it has subscribed for and that it may be liable to the Debtors to the extent of any nonpayment.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6620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2804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U.S. Federal Tax EIN/SSN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18783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Non-U.S. person, check here and attach appropriate IRS Form W- 8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U.S. person, check here and attach IRS Form W-9 o</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If Backstop Party, check here o </w:t>
      </w:r>
      <w:r>
        <w:rPr>
          <w:rFonts w:ascii="Arial" w:cs="Arial" w:eastAsia="Arial" w:hAnsi="Arial"/>
          <w:sz w:val="18"/>
          <w:szCs w:val="18"/>
          <w:b w:val="1"/>
          <w:bCs w:val="1"/>
          <w:color w:val="auto"/>
        </w:rPr>
        <w:t>(ONLY CHECK THIS BOX IF YOU ARE CERTAIN THIS APPLIES TO YOU. IF YOU ARE UNSURE, DO NOT</w:t>
      </w:r>
      <w:r>
        <w:rPr>
          <w:rFonts w:ascii="Arial" w:cs="Arial" w:eastAsia="Arial" w:hAnsi="Arial"/>
          <w:sz w:val="18"/>
          <w:szCs w:val="18"/>
          <w:color w:val="auto"/>
        </w:rPr>
        <w:t xml:space="preserve"> </w:t>
      </w:r>
      <w:r>
        <w:rPr>
          <w:rFonts w:ascii="Arial" w:cs="Arial" w:eastAsia="Arial" w:hAnsi="Arial"/>
          <w:sz w:val="18"/>
          <w:szCs w:val="18"/>
          <w:b w:val="1"/>
          <w:bCs w:val="1"/>
          <w:color w:val="auto"/>
        </w:rPr>
        <w:t>CHECK THIS BOX AND PLEASE CONTACT THE SUBSCRIPTION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14605</wp:posOffset>
            </wp:positionV>
            <wp:extent cx="3387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14605</wp:posOffset>
            </wp:positionV>
            <wp:extent cx="28816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4219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9878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14605</wp:posOffset>
            </wp:positionV>
            <wp:extent cx="28816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41681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6. Registration Information</w:t>
      </w:r>
      <w:r>
        <w:rPr>
          <w:rFonts w:ascii="Arial" w:cs="Arial" w:eastAsia="Arial" w:hAnsi="Arial"/>
          <w:sz w:val="23"/>
          <w:szCs w:val="23"/>
          <w:b w:val="1"/>
          <w:bCs w:val="1"/>
          <w:color w:val="auto"/>
          <w:vertAlign w:val="superscript"/>
        </w:rPr>
        <w:t>2</w:t>
      </w:r>
    </w:p>
    <w:p>
      <w:pPr>
        <w:spacing w:after="0" w:line="16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In the event the Offered Securities will not be eligible to be initially distributed through DTC, please indicate on the lines provided below the Noteholder’s name and address as you would like it to be reflected on the Debtors’ or the Tranche A Notes Trustee’s records (as applicable) (this will apply to all Offered Securities):</w:t>
      </w:r>
      <w:r>
        <w:rPr>
          <w:rFonts w:ascii="Arial" w:cs="Arial" w:eastAsia="Arial" w:hAnsi="Arial"/>
          <w:sz w:val="23"/>
          <w:szCs w:val="23"/>
          <w:b w:val="1"/>
          <w:bCs w:val="1"/>
          <w:color w:val="auto"/>
          <w:vertAlign w:val="superscript"/>
        </w:rPr>
        <w:t>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 Name:</w:t>
      </w:r>
      <w:r>
        <w:rPr>
          <w:rFonts w:ascii="Arial" w:cs="Arial" w:eastAsia="Arial" w:hAnsi="Arial"/>
          <w:sz w:val="23"/>
          <w:szCs w:val="23"/>
          <w:color w:val="auto"/>
          <w:vertAlign w:val="superscript"/>
        </w:rPr>
        <w:t>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 Name (continued from above, if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 Country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Tax Identification Number:</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here if non-US (no TIN)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here if located in the European Economic Area </w:t>
      </w:r>
      <w:r>
        <w:rPr>
          <w:rFonts w:ascii="MS PGothic" w:cs="MS PGothic" w:eastAsia="MS PGothic" w:hAnsi="MS PGothic"/>
          <w:sz w:val="18"/>
          <w:szCs w:val="18"/>
          <w:color w:val="auto"/>
        </w:rPr>
        <w:t>☐</w:t>
      </w:r>
      <w:r>
        <w:rPr>
          <w:rFonts w:ascii="Arial" w:cs="Arial" w:eastAsia="Arial" w:hAnsi="Arial"/>
          <w:sz w:val="18"/>
          <w:szCs w:val="18"/>
          <w:color w:val="auto"/>
        </w:rPr>
        <w:t xml:space="preserve">. If so, please confirm you are a “qualified investor”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here if located outside the United States of America and the Economic Area. </w:t>
      </w:r>
      <w:r>
        <w:rPr>
          <w:rFonts w:ascii="MS PGothic" w:cs="MS PGothic" w:eastAsia="MS PGothic" w:hAnsi="MS PGothic"/>
          <w:sz w:val="17"/>
          <w:szCs w:val="17"/>
          <w:color w:val="auto"/>
        </w:rPr>
        <w:t>☐</w:t>
      </w:r>
      <w:r>
        <w:rPr>
          <w:rFonts w:ascii="Arial" w:cs="Arial" w:eastAsia="Arial" w:hAnsi="Arial"/>
          <w:sz w:val="17"/>
          <w:szCs w:val="17"/>
          <w:color w:val="auto"/>
        </w:rPr>
        <w:t xml:space="preserve"> If so, please state the jurisdiction in which you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60" w:hanging="5"/>
        <w:spacing w:after="0" w:line="277" w:lineRule="auto"/>
        <w:rPr>
          <w:sz w:val="20"/>
          <w:szCs w:val="20"/>
          <w:color w:val="auto"/>
        </w:rPr>
      </w:pPr>
      <w:r>
        <w:rPr>
          <w:rFonts w:ascii="Arial" w:cs="Arial" w:eastAsia="Arial" w:hAnsi="Arial"/>
          <w:sz w:val="18"/>
          <w:szCs w:val="18"/>
          <w:color w:val="auto"/>
        </w:rPr>
        <w:t>This section is required. If you fail to complete this section (including the “account type” information requested below), we will be unable to register the applicable securities in your name.</w:t>
      </w:r>
    </w:p>
    <w:p>
      <w:pPr>
        <w:spacing w:after="0" w:line="170" w:lineRule="exact"/>
        <w:rPr>
          <w:sz w:val="20"/>
          <w:szCs w:val="20"/>
          <w:color w:val="auto"/>
        </w:rPr>
      </w:pPr>
    </w:p>
    <w:p>
      <w:pPr>
        <w:ind w:hanging="5"/>
        <w:spacing w:after="0" w:line="277" w:lineRule="auto"/>
        <w:rPr>
          <w:sz w:val="20"/>
          <w:szCs w:val="20"/>
          <w:color w:val="auto"/>
        </w:rPr>
      </w:pPr>
      <w:r>
        <w:rPr>
          <w:rFonts w:ascii="Arial" w:cs="Arial" w:eastAsia="Arial" w:hAnsi="Arial"/>
          <w:sz w:val="18"/>
          <w:szCs w:val="18"/>
          <w:color w:val="auto"/>
        </w:rPr>
        <w:t>After the initial issuance of securities, Noteholders may transfer such securities to third parties in accordance with the procedures of the Tranche A Notes Trustee or the Debtors (as applicable).</w:t>
      </w:r>
    </w:p>
    <w:p>
      <w:pPr>
        <w:spacing w:after="0" w:line="170" w:lineRule="exact"/>
        <w:rPr>
          <w:sz w:val="20"/>
          <w:szCs w:val="20"/>
          <w:color w:val="auto"/>
        </w:rPr>
      </w:pPr>
    </w:p>
    <w:p>
      <w:pPr>
        <w:ind w:right="60" w:hanging="5"/>
        <w:spacing w:after="0" w:line="342" w:lineRule="auto"/>
        <w:rPr>
          <w:sz w:val="20"/>
          <w:szCs w:val="20"/>
          <w:color w:val="auto"/>
        </w:rPr>
      </w:pPr>
      <w:r>
        <w:rPr>
          <w:rFonts w:ascii="Arial" w:cs="Arial" w:eastAsia="Arial" w:hAnsi="Arial"/>
          <w:sz w:val="16"/>
          <w:szCs w:val="16"/>
          <w:color w:val="auto"/>
        </w:rPr>
        <w:t>Registration in the name of DTC or Cede &amp; Co. is not permitted in this section. In addition, if the resulting securities are being registered to a trust, you must provide the name of the trustee and the trust date. Failure to provide this information will result in a delay in delivery of the resulting securities.</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60" w:space="340"/>
            <w:col w:w="11020"/>
          </w:cols>
          <w:pgMar w:left="240" w:top="337"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left intentionally blank. Please make sure to complete the “account type” on the following page.</w:t>
      </w:r>
      <w:r>
        <w:rPr>
          <w:rFonts w:ascii="Arial" w:cs="Arial" w:eastAsia="Arial" w:hAnsi="Arial"/>
          <w:sz w:val="16"/>
          <w:szCs w:val="16"/>
          <w:color w:val="auto"/>
        </w:rPr>
        <w:t>]</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t>Please indicate the “account type” that may be used in connection with registration of your Subscribed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Please check </w:t>
      </w:r>
      <w:r>
        <w:rPr>
          <w:rFonts w:ascii="Arial" w:cs="Arial" w:eastAsia="Arial" w:hAnsi="Arial"/>
          <w:sz w:val="18"/>
          <w:szCs w:val="18"/>
          <w:i w:val="1"/>
          <w:iCs w:val="1"/>
          <w:u w:val="single" w:color="auto"/>
          <w:color w:val="auto"/>
        </w:rPr>
        <w:t>only one</w:t>
      </w:r>
      <w:r>
        <w:rPr>
          <w:rFonts w:ascii="Arial" w:cs="Arial" w:eastAsia="Arial" w:hAnsi="Arial"/>
          <w:sz w:val="18"/>
          <w:szCs w:val="18"/>
          <w:i w:val="1"/>
          <w:iCs w:val="1"/>
          <w:color w:val="auto"/>
        </w:rPr>
        <w:t xml:space="preserve"> box:</w:t>
      </w:r>
    </w:p>
    <w:p>
      <w:pPr>
        <w:spacing w:after="0" w:line="225" w:lineRule="exact"/>
        <w:rPr>
          <w:sz w:val="20"/>
          <w:szCs w:val="20"/>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INDIVIDUAL ACCOUNT;</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IRA ACCOUNT;</w:t>
      </w:r>
    </w:p>
    <w:p>
      <w:pPr>
        <w:spacing w:after="0" w:line="225" w:lineRule="exact"/>
        <w:rPr>
          <w:rFonts w:ascii="Arial" w:cs="Arial" w:eastAsia="Arial" w:hAnsi="Arial"/>
          <w:sz w:val="18"/>
          <w:szCs w:val="18"/>
          <w:color w:val="auto"/>
        </w:rPr>
      </w:pPr>
    </w:p>
    <w:p>
      <w:pPr>
        <w:ind w:left="660" w:right="340" w:hanging="328"/>
        <w:spacing w:after="0" w:line="264" w:lineRule="auto"/>
        <w:tabs>
          <w:tab w:leader="none" w:pos="58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CORPORATIONS (S-CORP): (ASSOCIATED, ASSOCIATES, ASSOCIATION, CO, CO. COMPANY, CORP, CORPORATE/PARTNER, ENTERPRISE(S), FUND, GROUP, INCORPORATED, INC, INTERNATIONAL, INTL, LIMITED, LTD, LIFETIME LIMITED COMPANY, LLC, L.L.C., PARTNER, PARTNERS, PLC, PUBLIC LIMITED COMPANY);</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PARTNERSHIP: (LP, L P, L.P., LLP, LIMITED PARTNERSHIP, LIFETIME LIMITED PARTNERSHIP);</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BANK;</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NOMINEE ACCOUNTS;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THE NEW C-CORP;</w:t>
      </w:r>
    </w:p>
    <w:p>
      <w:pPr>
        <w:spacing w:after="0" w:line="225" w:lineRule="exact"/>
        <w:rPr>
          <w:rFonts w:ascii="Arial" w:cs="Arial" w:eastAsia="Arial" w:hAnsi="Arial"/>
          <w:sz w:val="18"/>
          <w:szCs w:val="18"/>
          <w:color w:val="auto"/>
        </w:rPr>
      </w:pPr>
    </w:p>
    <w:p>
      <w:pPr>
        <w:ind w:left="660" w:hanging="328"/>
        <w:spacing w:after="0" w:line="264" w:lineRule="auto"/>
        <w:tabs>
          <w:tab w:leader="none" w:pos="58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NON-PROFIT: (CEMETERY, CHURCH, COLLEGE, COMMISSION FOR CHILDREN WITH, COMMISSION FOR HANDICAPPED, COMMISSION MINISTRIES INC, COMMISSION OF PUBLIC WORKS, COMMISSION OF BANKING &amp; FOUNDATIONS, HOSPITAL, SCHOOL, SYNAGOGUE, UNIVERSITY);</w:t>
      </w:r>
    </w:p>
    <w:p>
      <w:pPr>
        <w:spacing w:after="0" w:line="181" w:lineRule="exact"/>
        <w:rPr>
          <w:rFonts w:ascii="Arial" w:cs="Arial" w:eastAsia="Arial" w:hAnsi="Arial"/>
          <w:sz w:val="18"/>
          <w:szCs w:val="18"/>
          <w:color w:val="auto"/>
        </w:rPr>
      </w:pPr>
    </w:p>
    <w:p>
      <w:pPr>
        <w:ind w:left="660" w:hanging="328"/>
        <w:spacing w:after="0" w:line="257" w:lineRule="auto"/>
        <w:tabs>
          <w:tab w:leader="none" w:pos="58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FIDUCIARY ACCOUNT: (CUSTODIAN, CO-TRUSTEE, ESTATE, EXECUTOR, EXECUTRIX, FBO, F/B/O, FAO, FIDUCIARY TRUST, ITF, LIFE TEN, PENSION PLAN, INDIVIDUAL NAME PROFIT SHARING PLAN, RETIREMENT PLAN, 401K PLAN, SELL TRANSFER PLEDGE, STATE UNIFORM TRANSFER TO MINOR’S ACT, TTEE, TTEES, UW, UTMA, UGMA, USUFRUCT, UNIFIED, UNIF GIFT MIN ACT, UNIF TRUST MIN ACT, UNIFIED GIFT TO MINORS ACT, UNIFORM GIFT TO MINORS, UNIFORM TRANSFER TO MINORS, GRANT (GRANTOR ANNUITY TRUST));</w:t>
      </w:r>
    </w:p>
    <w:p>
      <w:pPr>
        <w:spacing w:after="0" w:line="188"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TENANTS IN COMMON;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TENANTS BY ENTIRETY: (TEN ENT, TENANTS ENT, TENANTS ENTIRETY, TENANTS BY ENTIRETY, TENANTS BY ENTIRETIES);</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58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JOINT TENANTS: (JT TEN, JT TEN WROS, JT WROS, J/T/W/R/S, JOINT TENANCY, JOINT TENANTS WITH RIGHT OF SURVIVORSHIP, JT OWNERSHIP, IF JT ACCOUNT WITH TOD); or</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58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COMMUNITY PROPERTY: (COM PROP, COMM PROP, COM PROPERTY, COMM PROPERTY, MARITAL PROPERTY, HWACP, HUSBAND &amp; WIFE AS COMMUNITY PROPERTY).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7. Wire information in the event a refund is needed:</w:t>
      </w:r>
      <w:r>
        <w:rPr>
          <w:rFonts w:ascii="Arial" w:cs="Arial" w:eastAsia="Arial" w:hAnsi="Arial"/>
          <w:sz w:val="23"/>
          <w:szCs w:val="23"/>
          <w:b w:val="1"/>
          <w:bCs w:val="1"/>
          <w:color w:val="auto"/>
          <w:vertAlign w:val="superscript"/>
        </w:rPr>
        <w:t>5</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Account No.: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ABA/Routing No.: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AS INDICATED ABOVE, TO THE EXTENT THE RIGHTS OFFERING SECURITIES ARE DTC ELIGIBLE SUCH SECURITIES WILL </w:t>
      </w:r>
      <w:r>
        <w:rPr>
          <w:rFonts w:ascii="Arial" w:cs="Arial" w:eastAsia="Arial" w:hAnsi="Arial"/>
          <w:sz w:val="18"/>
          <w:szCs w:val="18"/>
          <w:b w:val="1"/>
          <w:bCs w:val="1"/>
          <w:u w:val="single" w:color="auto"/>
          <w:color w:val="auto"/>
        </w:rPr>
        <w:t>ONLY</w:t>
      </w:r>
      <w:r>
        <w:rPr>
          <w:rFonts w:ascii="Arial" w:cs="Arial" w:eastAsia="Arial" w:hAnsi="Arial"/>
          <w:sz w:val="18"/>
          <w:szCs w:val="18"/>
          <w:b w:val="1"/>
          <w:bCs w:val="1"/>
          <w:color w:val="auto"/>
        </w:rPr>
        <w:t xml:space="preserve"> BE DELIVERED TO THE ACCOUNT ASSOCIATED WITH THE UNDERLYING APPLICABLE PREPETITION NOTES POSITION ELECTRONICALLY DELIVERED VIA DTC’S ATOP.</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right="760" w:hanging="392"/>
        <w:spacing w:after="0" w:line="227" w:lineRule="auto"/>
        <w:tabs>
          <w:tab w:leader="none" w:pos="394"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If payment of the Purchase Price will be made by your Nominee on your behalf, the wire information in this Item 7 should be your Nominee’s information, and any refund will be issued to your Nominee.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9" w:name="page100"/>
    <w:bookmarkEnd w:id="99"/>
    <w:p>
      <w:pPr>
        <w:jc w:val="center"/>
        <w:ind w:left="300" w:right="100"/>
        <w:spacing w:after="0" w:line="282" w:lineRule="auto"/>
        <w:rPr>
          <w:sz w:val="20"/>
          <w:szCs w:val="20"/>
          <w:color w:val="auto"/>
        </w:rPr>
      </w:pPr>
      <w:r>
        <w:rPr>
          <w:rFonts w:ascii="Arial" w:cs="Arial" w:eastAsia="Arial" w:hAnsi="Arial"/>
          <w:sz w:val="18"/>
          <w:szCs w:val="18"/>
          <w:b w:val="1"/>
          <w:bCs w:val="1"/>
          <w:color w:val="auto"/>
        </w:rPr>
        <w:t>PLEASE RETURN THIS BENEFICIAL HOLDER SUBSCRIPTION FORM (WITH ACCOMPANYING IRS FORM W-9 OR APPROPRIATE IRS FORM W- 8, AS APPLICABLE) TO THE SUBSCRIPTION AGENT.</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IF YOU HOLD YOUR PREPETITION NOTES THROUGH A NOMINEE</w:t>
      </w:r>
      <w:r>
        <w:rPr>
          <w:rFonts w:ascii="Arial" w:cs="Arial" w:eastAsia="Arial" w:hAnsi="Arial"/>
          <w:sz w:val="18"/>
          <w:szCs w:val="18"/>
          <w:b w:val="1"/>
          <w:bCs w:val="1"/>
          <w:color w:val="auto"/>
        </w:rPr>
        <w:t xml:space="preserve">, PLEASE RETURN THIS BENEFICIAL HOLDER SUBSCRIPTION FORM (WITH ACCOMPANYING IRS FORM W-9 OR APPROPRIATE IRS FORM W- 8, AS APPLICABLE) ONLY TO YOUR NOMINEE (OR AS OTHERWISE DIRECTED BY YOUR NOMINEE). </w:t>
      </w:r>
      <w:r>
        <w:rPr>
          <w:rFonts w:ascii="Arial" w:cs="Arial" w:eastAsia="Arial" w:hAnsi="Arial"/>
          <w:sz w:val="18"/>
          <w:szCs w:val="18"/>
          <w:b w:val="1"/>
          <w:bCs w:val="1"/>
          <w:u w:val="single" w:color="auto"/>
          <w:color w:val="auto"/>
        </w:rPr>
        <w:t>DO NOT</w:t>
      </w:r>
      <w:r>
        <w:rPr>
          <w:rFonts w:ascii="Arial" w:cs="Arial" w:eastAsia="Arial" w:hAnsi="Arial"/>
          <w:sz w:val="18"/>
          <w:szCs w:val="18"/>
          <w:b w:val="1"/>
          <w:bCs w:val="1"/>
          <w:color w:val="auto"/>
        </w:rPr>
        <w:t xml:space="preserve"> RETURN THIS FORM DIRECTLY TO THE SUBSCRIPTION AGENT (UNLESS OTHERWISE DIRECTED TO DO SO BY YOUR NOMINEE).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Questions relating to the Rights Offering should be directed to the Subscription Agent at the following phone number or email address:</w:t>
      </w:r>
    </w:p>
    <w:p>
      <w:pPr>
        <w:spacing w:after="0" w:line="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+1 (844) 233-5155 (domestic toll-free) or +1 (917) 942-6392 (for international calls) or weatherfordsubscription@primeclerk.com. To obtain copies of the documents, please visit https://cases.primeclerk.com/weatherford.</w:t>
      </w:r>
    </w:p>
    <w:p>
      <w:pPr>
        <w:spacing w:after="0" w:line="18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Nominees (or Noteholders that are instructed by their Nominees to return the Beneficial Holder Subscription Form directly to the Subscription Agent) must return the Beneficial Holder Subscription Form and the appropriate IRS tax form by no later than the Subscription Expiration Deadline to the following: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Weatherford Rights Offering</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 East 42nd Street, Suite 1440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weatherfordsubscription@primeclerk.com</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Only choose </w:t>
      </w:r>
      <w:r>
        <w:rPr>
          <w:rFonts w:ascii="Arial" w:cs="Arial" w:eastAsia="Arial" w:hAnsi="Arial"/>
          <w:sz w:val="18"/>
          <w:szCs w:val="18"/>
          <w:b w:val="1"/>
          <w:bCs w:val="1"/>
          <w:u w:val="single" w:color="auto"/>
          <w:color w:val="auto"/>
        </w:rPr>
        <w:t>one</w:t>
      </w:r>
      <w:r>
        <w:rPr>
          <w:rFonts w:ascii="Arial" w:cs="Arial" w:eastAsia="Arial" w:hAnsi="Arial"/>
          <w:sz w:val="18"/>
          <w:szCs w:val="18"/>
          <w:b w:val="1"/>
          <w:bCs w:val="1"/>
          <w:color w:val="auto"/>
        </w:rPr>
        <w:t xml:space="preserve"> method of return. If you choose to return the applicable documents via email, do not follow up with hard copies.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TERMS AND CONDITIONS OF THE TRANCHE A EXIT SENIOR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UNSECURED NOTES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Capitalized terms used but not defined herein shall have the meanings assigned to them in the Restructuring Term Sheet.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860" w:type="dxa"/>
            <w:vAlign w:val="bottom"/>
            <w:gridSpan w:val="13"/>
          </w:tcPr>
          <w:p>
            <w:pPr>
              <w:spacing w:after="0"/>
              <w:rPr>
                <w:sz w:val="20"/>
                <w:szCs w:val="20"/>
                <w:color w:val="auto"/>
              </w:rPr>
            </w:pPr>
            <w:r>
              <w:rPr>
                <w:rFonts w:ascii="Arial" w:cs="Arial" w:eastAsia="Arial" w:hAnsi="Arial"/>
                <w:sz w:val="18"/>
                <w:szCs w:val="18"/>
                <w:color w:val="auto"/>
              </w:rPr>
              <w:t>Weatherford International, LLC (“WIL-Delaware”)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Guarantors: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99"/>
              </w:rPr>
              <w:t>Weatherford International PLC, Weatherford International Ltd. and all of the guarantors of the Exit Revolver (the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8860" w:type="dxa"/>
            <w:vAlign w:val="bottom"/>
            <w:gridSpan w:val="13"/>
          </w:tcPr>
          <w:p>
            <w:pPr>
              <w:spacing w:after="0" w:line="190" w:lineRule="exact"/>
              <w:rPr>
                <w:sz w:val="20"/>
                <w:szCs w:val="20"/>
                <w:color w:val="auto"/>
              </w:rPr>
            </w:pPr>
            <w:r>
              <w:rPr>
                <w:rFonts w:ascii="Arial" w:cs="Arial" w:eastAsia="Arial" w:hAnsi="Arial"/>
                <w:sz w:val="18"/>
                <w:szCs w:val="18"/>
                <w:color w:val="auto"/>
              </w:rPr>
              <w:t>“Guarantors”).</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Issue:</w:t>
            </w: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91"/>
              </w:rPr>
              <w:t>Up to $1.25 billion aggregate principal amount of senior unsecured notes (the “Tranche A Exit Senior Unsecured Notes”).</w:t>
            </w:r>
          </w:p>
        </w:tc>
        <w:tc>
          <w:tcPr>
            <w:tcW w:w="0" w:type="dxa"/>
            <w:vAlign w:val="bottom"/>
          </w:tcPr>
          <w:p>
            <w:pPr>
              <w:spacing w:after="0"/>
              <w:rPr>
                <w:sz w:val="1"/>
                <w:szCs w:val="1"/>
                <w:color w:val="auto"/>
              </w:rPr>
            </w:pPr>
          </w:p>
        </w:tc>
      </w:tr>
      <w:tr>
        <w:trPr>
          <w:trHeight w:val="453"/>
        </w:trPr>
        <w:tc>
          <w:tcPr>
            <w:tcW w:w="250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5700" w:type="dxa"/>
            <w:vAlign w:val="bottom"/>
            <w:gridSpan w:val="9"/>
          </w:tcPr>
          <w:p>
            <w:pPr>
              <w:spacing w:after="0"/>
              <w:rPr>
                <w:sz w:val="20"/>
                <w:szCs w:val="20"/>
                <w:color w:val="auto"/>
              </w:rPr>
            </w:pPr>
            <w:r>
              <w:rPr>
                <w:rFonts w:ascii="Arial" w:cs="Arial" w:eastAsia="Arial" w:hAnsi="Arial"/>
                <w:sz w:val="18"/>
                <w:szCs w:val="18"/>
                <w:color w:val="auto"/>
              </w:rPr>
              <w:t>None.</w:t>
            </w:r>
          </w:p>
        </w:tc>
        <w:tc>
          <w:tcPr>
            <w:tcW w:w="2900" w:type="dxa"/>
            <w:vAlign w:val="bottom"/>
            <w:tcBorders>
              <w:top w:val="single" w:sz="8" w:color="auto"/>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50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8860" w:type="dxa"/>
            <w:vAlign w:val="bottom"/>
            <w:gridSpan w:val="13"/>
          </w:tcPr>
          <w:p>
            <w:pPr>
              <w:spacing w:after="0"/>
              <w:rPr>
                <w:sz w:val="20"/>
                <w:szCs w:val="20"/>
                <w:color w:val="auto"/>
              </w:rPr>
            </w:pPr>
            <w:r>
              <w:rPr>
                <w:rFonts w:ascii="Arial" w:cs="Arial" w:eastAsia="Arial" w:hAnsi="Arial"/>
                <w:sz w:val="18"/>
                <w:szCs w:val="18"/>
                <w:color w:val="auto"/>
              </w:rPr>
              <w:t>144A-for-life.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336"/>
        </w:trPr>
        <w:tc>
          <w:tcPr>
            <w:tcW w:w="25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860" w:type="dxa"/>
            <w:vAlign w:val="bottom"/>
            <w:gridSpan w:val="13"/>
          </w:tcPr>
          <w:p>
            <w:pPr>
              <w:spacing w:after="0"/>
              <w:rPr>
                <w:sz w:val="20"/>
                <w:szCs w:val="20"/>
                <w:color w:val="auto"/>
              </w:rPr>
            </w:pPr>
            <w:r>
              <w:rPr>
                <w:rFonts w:ascii="Arial" w:cs="Arial" w:eastAsia="Arial" w:hAnsi="Arial"/>
                <w:sz w:val="18"/>
                <w:szCs w:val="18"/>
                <w:color w:val="auto"/>
                <w:w w:val="93"/>
              </w:rPr>
              <w:t>Working capital, general corporate purposes, payment of transaction fees and expenses and repayment of outstanding</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rPr>
              <w:t>amounts under DIP Facilities.</w:t>
            </w:r>
          </w:p>
        </w:tc>
        <w:tc>
          <w:tcPr>
            <w:tcW w:w="0" w:type="dxa"/>
            <w:vAlign w:val="bottom"/>
          </w:tcPr>
          <w:p>
            <w:pPr>
              <w:spacing w:after="0"/>
              <w:rPr>
                <w:sz w:val="1"/>
                <w:szCs w:val="1"/>
                <w:color w:val="auto"/>
              </w:rPr>
            </w:pPr>
          </w:p>
        </w:tc>
      </w:tr>
      <w:tr>
        <w:trPr>
          <w:trHeight w:val="392"/>
        </w:trPr>
        <w:tc>
          <w:tcPr>
            <w:tcW w:w="2500" w:type="dxa"/>
            <w:vAlign w:val="bottom"/>
          </w:tcPr>
          <w:p>
            <w:pPr>
              <w:spacing w:after="0"/>
              <w:rPr>
                <w:sz w:val="20"/>
                <w:szCs w:val="20"/>
                <w:color w:val="auto"/>
              </w:rPr>
            </w:pPr>
            <w:r>
              <w:rPr>
                <w:rFonts w:ascii="Arial" w:cs="Arial" w:eastAsia="Arial" w:hAnsi="Arial"/>
                <w:sz w:val="18"/>
                <w:szCs w:val="18"/>
                <w:b w:val="1"/>
                <w:bCs w:val="1"/>
                <w:color w:val="auto"/>
              </w:rPr>
              <w:t>Holders/Backstop</w:t>
            </w:r>
          </w:p>
        </w:tc>
        <w:tc>
          <w:tcPr>
            <w:tcW w:w="8860" w:type="dxa"/>
            <w:vAlign w:val="bottom"/>
            <w:gridSpan w:val="13"/>
          </w:tcPr>
          <w:p>
            <w:pPr>
              <w:spacing w:after="0"/>
              <w:rPr>
                <w:sz w:val="20"/>
                <w:szCs w:val="20"/>
                <w:color w:val="auto"/>
              </w:rPr>
            </w:pPr>
            <w:r>
              <w:rPr>
                <w:rFonts w:ascii="Arial" w:cs="Arial" w:eastAsia="Arial" w:hAnsi="Arial"/>
                <w:sz w:val="18"/>
                <w:szCs w:val="18"/>
                <w:color w:val="auto"/>
                <w:w w:val="93"/>
              </w:rPr>
              <w:t>Certain members of the Noteholder Committee will fully backstop the Tranche A Exit Senior Unsecured Notes (the “Exit</w:t>
            </w:r>
          </w:p>
        </w:tc>
        <w:tc>
          <w:tcPr>
            <w:tcW w:w="0" w:type="dxa"/>
            <w:vAlign w:val="bottom"/>
          </w:tcPr>
          <w:p>
            <w:pPr>
              <w:spacing w:after="0"/>
              <w:rPr>
                <w:sz w:val="1"/>
                <w:szCs w:val="1"/>
                <w:color w:val="auto"/>
              </w:rPr>
            </w:pPr>
          </w:p>
        </w:tc>
      </w:tr>
      <w:tr>
        <w:trPr>
          <w:trHeight w:val="196"/>
        </w:trPr>
        <w:tc>
          <w:tcPr>
            <w:tcW w:w="2500" w:type="dxa"/>
            <w:vAlign w:val="bottom"/>
          </w:tcPr>
          <w:p>
            <w:pPr>
              <w:spacing w:after="0" w:line="196" w:lineRule="exact"/>
              <w:rPr>
                <w:sz w:val="20"/>
                <w:szCs w:val="20"/>
                <w:color w:val="auto"/>
              </w:rPr>
            </w:pPr>
            <w:r>
              <w:rPr>
                <w:rFonts w:ascii="Arial" w:cs="Arial" w:eastAsia="Arial" w:hAnsi="Arial"/>
                <w:sz w:val="18"/>
                <w:szCs w:val="18"/>
                <w:b w:val="1"/>
                <w:bCs w:val="1"/>
                <w:color w:val="auto"/>
              </w:rPr>
              <w:t>Commitments:</w:t>
            </w:r>
          </w:p>
        </w:tc>
        <w:tc>
          <w:tcPr>
            <w:tcW w:w="8440" w:type="dxa"/>
            <w:vAlign w:val="bottom"/>
            <w:gridSpan w:val="10"/>
          </w:tcPr>
          <w:p>
            <w:pPr>
              <w:spacing w:after="0" w:line="196" w:lineRule="exact"/>
              <w:rPr>
                <w:sz w:val="20"/>
                <w:szCs w:val="20"/>
                <w:color w:val="auto"/>
              </w:rPr>
            </w:pPr>
            <w:r>
              <w:rPr>
                <w:rFonts w:ascii="Arial" w:cs="Arial" w:eastAsia="Arial" w:hAnsi="Arial"/>
                <w:sz w:val="18"/>
                <w:szCs w:val="18"/>
                <w:color w:val="auto"/>
              </w:rPr>
              <w:t>Backstop Parties”).</w:t>
            </w:r>
          </w:p>
        </w:tc>
        <w:tc>
          <w:tcPr>
            <w:tcW w:w="30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Backstop Fees:</w:t>
            </w:r>
          </w:p>
        </w:tc>
        <w:tc>
          <w:tcPr>
            <w:tcW w:w="72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89"/>
              </w:rPr>
              <w:t>5.00%, payable to the Exit Backstop Parties on a date to be agreed in the definitive backstop agreement; provided that such</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rPr>
              <w:t>time shall be prior to the commencement of the Chapter 11 Cases.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860" w:type="dxa"/>
            <w:vAlign w:val="bottom"/>
            <w:gridSpan w:val="13"/>
          </w:tcPr>
          <w:p>
            <w:pPr>
              <w:spacing w:after="0"/>
              <w:rPr>
                <w:sz w:val="20"/>
                <w:szCs w:val="20"/>
                <w:color w:val="auto"/>
              </w:rPr>
            </w:pPr>
            <w:r>
              <w:rPr>
                <w:rFonts w:ascii="Arial" w:cs="Arial" w:eastAsia="Arial" w:hAnsi="Arial"/>
                <w:sz w:val="18"/>
                <w:szCs w:val="18"/>
                <w:color w:val="auto"/>
              </w:rPr>
              <w:t>5 years from the Effective Date of the Chapter 11 Plan.</w:t>
            </w: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860" w:type="dxa"/>
            <w:vAlign w:val="bottom"/>
            <w:gridSpan w:val="13"/>
          </w:tcPr>
          <w:p>
            <w:pPr>
              <w:spacing w:after="0"/>
              <w:rPr>
                <w:sz w:val="20"/>
                <w:szCs w:val="20"/>
                <w:color w:val="auto"/>
              </w:rPr>
            </w:pPr>
            <w:r>
              <w:rPr>
                <w:rFonts w:ascii="Arial" w:cs="Arial" w:eastAsia="Arial" w:hAnsi="Arial"/>
                <w:sz w:val="18"/>
                <w:szCs w:val="18"/>
                <w:color w:val="auto"/>
                <w:w w:val="90"/>
              </w:rPr>
              <w:t>8.00% in the event the Tranche A Exit Senior Unsecured Notes are rated Ba2 or better by Moody’s Investors Services, Inc.</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w w:val="93"/>
              </w:rPr>
              <w:t>(“Moody’s”), and 9.00% in the event the Tranche A Exit Senior Unsecured Notes are rated Ba3 or worse by Moody’s, in</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8860" w:type="dxa"/>
            <w:vAlign w:val="bottom"/>
            <w:gridSpan w:val="13"/>
          </w:tcPr>
          <w:p>
            <w:pPr>
              <w:spacing w:after="0" w:line="190" w:lineRule="exact"/>
              <w:rPr>
                <w:sz w:val="20"/>
                <w:szCs w:val="20"/>
                <w:color w:val="auto"/>
              </w:rPr>
            </w:pPr>
            <w:r>
              <w:rPr>
                <w:rFonts w:ascii="Arial" w:cs="Arial" w:eastAsia="Arial" w:hAnsi="Arial"/>
                <w:sz w:val="18"/>
                <w:szCs w:val="18"/>
                <w:color w:val="auto"/>
              </w:rPr>
              <w:t>each case plus flex as set forth on Annex A hereto.</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Default Rate:</w:t>
            </w:r>
          </w:p>
        </w:tc>
        <w:tc>
          <w:tcPr>
            <w:tcW w:w="7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00" w:type="dxa"/>
            <w:vAlign w:val="bottom"/>
            <w:vMerge w:val="continue"/>
          </w:tcPr>
          <w:p>
            <w:pPr>
              <w:spacing w:after="0"/>
              <w:rPr>
                <w:sz w:val="24"/>
                <w:szCs w:val="24"/>
                <w:color w:val="auto"/>
              </w:rPr>
            </w:pPr>
          </w:p>
        </w:tc>
        <w:tc>
          <w:tcPr>
            <w:tcW w:w="8860" w:type="dxa"/>
            <w:vAlign w:val="bottom"/>
            <w:gridSpan w:val="13"/>
          </w:tcPr>
          <w:p>
            <w:pPr>
              <w:spacing w:after="0"/>
              <w:rPr>
                <w:sz w:val="20"/>
                <w:szCs w:val="20"/>
                <w:color w:val="auto"/>
              </w:rPr>
            </w:pPr>
            <w:r>
              <w:rPr>
                <w:rFonts w:ascii="Arial" w:cs="Arial" w:eastAsia="Arial" w:hAnsi="Arial"/>
                <w:sz w:val="18"/>
                <w:szCs w:val="18"/>
                <w:color w:val="auto"/>
              </w:rPr>
              <w:t>Additional 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60" w:hanging="104"/>
        <w:spacing w:after="0"/>
        <w:tabs>
          <w:tab w:leader="none" w:pos="760"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WFT to confirm which entity will issue the notes.</w:t>
      </w:r>
    </w:p>
    <w:p>
      <w:pPr>
        <w:spacing w:after="0" w:line="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To be discussed with the Exit Backstop Parties.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b w:val="1"/>
                <w:bCs w:val="1"/>
                <w:color w:val="auto"/>
              </w:rPr>
              <w:t>Call Protection:</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5"/>
              </w:rPr>
              <w:t>Prior to the second anniversary of the issuance date, par, plus accrued interest plus a customary make whole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0" w:type="dxa"/>
            <w:vAlign w:val="bottom"/>
            <w:gridSpan w:val="14"/>
          </w:tcPr>
          <w:p>
            <w:pPr>
              <w:ind w:left="140"/>
              <w:spacing w:after="0" w:line="196" w:lineRule="exact"/>
              <w:rPr>
                <w:sz w:val="20"/>
                <w:szCs w:val="20"/>
                <w:color w:val="auto"/>
              </w:rPr>
            </w:pPr>
            <w:r>
              <w:rPr>
                <w:rFonts w:ascii="Arial" w:cs="Arial" w:eastAsia="Arial" w:hAnsi="Arial"/>
                <w:sz w:val="18"/>
                <w:szCs w:val="18"/>
                <w:color w:val="auto"/>
                <w:w w:val="95"/>
              </w:rPr>
              <w:t>premium using a discount rate equal to the treasury rate on a comparable treasury note plus 50 basis points;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16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1"/>
              </w:rPr>
              <w:t>On or after the second anniversary but prior to the third anniversary of the issuance date, the prepayment amount</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0" w:type="dxa"/>
            <w:vAlign w:val="bottom"/>
            <w:gridSpan w:val="14"/>
          </w:tcPr>
          <w:p>
            <w:pPr>
              <w:ind w:left="140"/>
              <w:spacing w:after="0" w:line="190" w:lineRule="exact"/>
              <w:rPr>
                <w:sz w:val="20"/>
                <w:szCs w:val="20"/>
                <w:color w:val="auto"/>
              </w:rPr>
            </w:pPr>
            <w:r>
              <w:rPr>
                <w:rFonts w:ascii="Arial" w:cs="Arial" w:eastAsia="Arial" w:hAnsi="Arial"/>
                <w:sz w:val="18"/>
                <w:szCs w:val="18"/>
                <w:color w:val="auto"/>
              </w:rPr>
              <w:t>shall be at 100% of par plus one-half of the interest rate, plus accrued interest;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16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2"/>
              </w:rPr>
              <w:t>On or after the third anniversary but prior to the fourth anniversary of the issuance date, the prepayment amount</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0" w:type="dxa"/>
            <w:vAlign w:val="bottom"/>
            <w:gridSpan w:val="14"/>
          </w:tcPr>
          <w:p>
            <w:pPr>
              <w:ind w:left="140"/>
              <w:spacing w:after="0" w:line="190" w:lineRule="exact"/>
              <w:rPr>
                <w:sz w:val="20"/>
                <w:szCs w:val="20"/>
                <w:color w:val="auto"/>
              </w:rPr>
            </w:pPr>
            <w:r>
              <w:rPr>
                <w:rFonts w:ascii="Arial" w:cs="Arial" w:eastAsia="Arial" w:hAnsi="Arial"/>
                <w:sz w:val="18"/>
                <w:szCs w:val="18"/>
                <w:color w:val="auto"/>
              </w:rPr>
              <w:t>shall be at 100% of par plus one-quarter of the interest rate, plus accrued interest; and</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6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8400" w:type="dxa"/>
            <w:vAlign w:val="bottom"/>
            <w:gridSpan w:val="14"/>
          </w:tcPr>
          <w:p>
            <w:pPr>
              <w:ind w:left="120"/>
              <w:spacing w:after="0"/>
              <w:rPr>
                <w:sz w:val="20"/>
                <w:szCs w:val="20"/>
                <w:color w:val="auto"/>
              </w:rPr>
            </w:pPr>
            <w:r>
              <w:rPr>
                <w:rFonts w:ascii="Arial" w:cs="Arial" w:eastAsia="Arial" w:hAnsi="Arial"/>
                <w:sz w:val="18"/>
                <w:szCs w:val="18"/>
                <w:color w:val="auto"/>
                <w:w w:val="96"/>
              </w:rPr>
              <w:t>On or after the fourth anniversary of issuance, the prepayment amount shall be at par plus accrued interest.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160" w:type="dxa"/>
            <w:vAlign w:val="bottom"/>
          </w:tcPr>
          <w:p>
            <w:pPr>
              <w:spacing w:after="0"/>
              <w:rPr>
                <w:sz w:val="24"/>
                <w:szCs w:val="24"/>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5"/>
              </w:rPr>
              <w:t>Notwithstanding the foregoing, the Issuer shall be permitted to redeem up to $500 million of the Tranche A Exit Senior</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300" w:type="dxa"/>
            <w:vAlign w:val="bottom"/>
            <w:gridSpan w:val="15"/>
          </w:tcPr>
          <w:p>
            <w:pPr>
              <w:ind w:left="340"/>
              <w:spacing w:after="0" w:line="190" w:lineRule="exact"/>
              <w:rPr>
                <w:sz w:val="20"/>
                <w:szCs w:val="20"/>
                <w:color w:val="auto"/>
              </w:rPr>
            </w:pPr>
            <w:r>
              <w:rPr>
                <w:rFonts w:ascii="Arial" w:cs="Arial" w:eastAsia="Arial" w:hAnsi="Arial"/>
                <w:sz w:val="18"/>
                <w:szCs w:val="18"/>
                <w:color w:val="auto"/>
              </w:rPr>
              <w:t>Unsecured Notes at 103% of par plus accrued interest.</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Representations and</w:t>
            </w:r>
          </w:p>
        </w:tc>
        <w:tc>
          <w:tcPr>
            <w:tcW w:w="27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60" w:type="dxa"/>
            <w:vAlign w:val="bottom"/>
            <w:vMerge w:val="continue"/>
          </w:tcPr>
          <w:p>
            <w:pPr>
              <w:spacing w:after="0"/>
              <w:rPr>
                <w:sz w:val="24"/>
                <w:szCs w:val="24"/>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5"/>
              </w:rPr>
              <w:t>Customary for exit financings of this type to be included in a customary securities purchase agreement to be executed</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Warranties: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1"/>
              </w:rPr>
              <w:t>among the Issuer, the Guarantors, the Exit Backstop Parties and any other purchasers of Exit Senior Secured Notes at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time of initial issuance.</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Affirmative Covenants: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8"/>
              </w:rPr>
              <w:t>Customary for exit financings of this type, including, without limitation, standard public company financial reporting</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requirements.</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Negative Covenants: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2"/>
              </w:rPr>
              <w:t>Customary for exit financings of this type, including but not limited to restrictions on debt, liens, restricted payments, asset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5"/>
              </w:rPr>
              <w:t>sales and investments. Debt covenant shall permit, among other things, up to a $1.0 billion first lien Exit Revolver and</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9300" w:type="dxa"/>
            <w:vAlign w:val="bottom"/>
            <w:gridSpan w:val="15"/>
          </w:tcPr>
          <w:p>
            <w:pPr>
              <w:ind w:left="340"/>
              <w:spacing w:after="0" w:line="190" w:lineRule="exact"/>
              <w:rPr>
                <w:sz w:val="20"/>
                <w:szCs w:val="20"/>
                <w:color w:val="auto"/>
              </w:rPr>
            </w:pPr>
            <w:r>
              <w:rPr>
                <w:rFonts w:ascii="Arial" w:cs="Arial" w:eastAsia="Arial" w:hAnsi="Arial"/>
                <w:sz w:val="18"/>
                <w:szCs w:val="18"/>
                <w:color w:val="auto"/>
              </w:rPr>
              <w:t>$1.25 billion of New Unsecured Notes (Tranche B) (plus, in each case, interest and fees accrued thereon).</w:t>
            </w:r>
          </w:p>
        </w:tc>
        <w:tc>
          <w:tcPr>
            <w:tcW w:w="0" w:type="dxa"/>
            <w:vAlign w:val="bottom"/>
          </w:tcPr>
          <w:p>
            <w:pPr>
              <w:spacing w:after="0"/>
              <w:rPr>
                <w:sz w:val="1"/>
                <w:szCs w:val="1"/>
                <w:color w:val="auto"/>
              </w:rPr>
            </w:pPr>
          </w:p>
        </w:tc>
      </w:tr>
      <w:tr>
        <w:trPr>
          <w:trHeight w:val="453"/>
        </w:trPr>
        <w:tc>
          <w:tcPr>
            <w:tcW w:w="2160" w:type="dxa"/>
            <w:vAlign w:val="bottom"/>
          </w:tcPr>
          <w:p>
            <w:pPr>
              <w:spacing w:after="0"/>
              <w:rPr>
                <w:sz w:val="20"/>
                <w:szCs w:val="20"/>
                <w:color w:val="auto"/>
              </w:rPr>
            </w:pPr>
            <w:r>
              <w:rPr>
                <w:rFonts w:ascii="Arial" w:cs="Arial" w:eastAsia="Arial" w:hAnsi="Arial"/>
                <w:sz w:val="18"/>
                <w:szCs w:val="18"/>
                <w:b w:val="1"/>
                <w:bCs w:val="1"/>
                <w:color w:val="auto"/>
              </w:rPr>
              <w:t>Financial Covenants:</w:t>
            </w:r>
          </w:p>
        </w:tc>
        <w:tc>
          <w:tcPr>
            <w:tcW w:w="900" w:type="dxa"/>
            <w:vAlign w:val="bottom"/>
          </w:tcPr>
          <w:p>
            <w:pPr>
              <w:ind w:left="340"/>
              <w:spacing w:after="0"/>
              <w:rPr>
                <w:sz w:val="20"/>
                <w:szCs w:val="20"/>
                <w:color w:val="auto"/>
              </w:rPr>
            </w:pPr>
            <w:r>
              <w:rPr>
                <w:rFonts w:ascii="Arial" w:cs="Arial" w:eastAsia="Arial" w:hAnsi="Arial"/>
                <w:sz w:val="18"/>
                <w:szCs w:val="18"/>
                <w:color w:val="auto"/>
              </w:rPr>
              <w:t>None.</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Amendments: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9"/>
              </w:rPr>
              <w:t>100% approval for pricing changes, maturity extensions, voting rights and other customary “sacred rights” for exit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financings of this type.</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9300" w:type="dxa"/>
            <w:vAlign w:val="bottom"/>
            <w:gridSpan w:val="15"/>
          </w:tcPr>
          <w:p>
            <w:pPr>
              <w:ind w:left="380"/>
              <w:spacing w:after="0"/>
              <w:rPr>
                <w:sz w:val="20"/>
                <w:szCs w:val="20"/>
                <w:color w:val="auto"/>
              </w:rPr>
            </w:pPr>
            <w:r>
              <w:rPr>
                <w:rFonts w:ascii="Arial" w:cs="Arial" w:eastAsia="Arial" w:hAnsi="Arial"/>
                <w:sz w:val="18"/>
                <w:szCs w:val="18"/>
                <w:color w:val="auto"/>
              </w:rPr>
              <w:t>Greater than 50.0% approval for other amendments and waivers.</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2"/>
              </w:rPr>
              <w:t>All reasonable and documented out-of-pocket expenses (including, without limitation, reasonable fees, disbursements and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0"/>
              </w:rPr>
              <w:t>other charges of one outside counsel for the trustee, one outside counsel for the Exit Backstop Parties taken as a whole and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8"/>
              </w:rPr>
              <w:t>one local counsel as reasonably required in each applicable jurisdiction) of the trustee and Exit Backstop Parties in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w w:val="92"/>
              </w:rPr>
              <w:t>connection with the negotiation and issuance of the Exit Senior Secured Notes and the transactions contemplated thereby</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shall be paid by the Issuer from time to time.</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9300" w:type="dxa"/>
            <w:vAlign w:val="bottom"/>
            <w:gridSpan w:val="15"/>
          </w:tcPr>
          <w:p>
            <w:pPr>
              <w:ind w:left="3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gridSpan w:val="4"/>
          </w:tcPr>
          <w:p>
            <w:pPr>
              <w:ind w:left="26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RESTRUCTURING SUPPORT AGREEMENT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FIRST AMENDMENT (this “</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to the Restructuring Support Agreement, dated as of May 10, 2019, by and among: (i) the Debtors (as defined therein) and (ii) the Consenting Noteholders (as defined therein) (together with the schedules, annexes and exhibits (including the term sheets) attached thereto, the “</w:t>
      </w:r>
      <w:r>
        <w:rPr>
          <w:rFonts w:ascii="Arial" w:cs="Arial" w:eastAsia="Arial" w:hAnsi="Arial"/>
          <w:sz w:val="18"/>
          <w:szCs w:val="18"/>
          <w:b w:val="1"/>
          <w:bCs w:val="1"/>
          <w:i w:val="1"/>
          <w:iCs w:val="1"/>
          <w:color w:val="auto"/>
        </w:rPr>
        <w:t>Restructuring Support Agreement</w:t>
      </w:r>
      <w:r>
        <w:rPr>
          <w:rFonts w:ascii="Arial" w:cs="Arial" w:eastAsia="Arial" w:hAnsi="Arial"/>
          <w:sz w:val="18"/>
          <w:szCs w:val="18"/>
          <w:color w:val="auto"/>
        </w:rPr>
        <w:t>”), is being entered into as of July 1, 2019, by and among (i) the Debtors and (ii) the Required Consenting Noteholders (as defined in the Restructuring Support Agreement). This First Amendment collectively refers to the Debtors and the Required Consenting Noteholders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Capitalized terms used but not defined herein shall have the meanings ascribed to them in the Restructuring Support Agreement.</w:t>
      </w:r>
    </w:p>
    <w:p>
      <w:pPr>
        <w:spacing w:after="0" w:line="18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certain terms of the Restructuring Support Agreement to facilitate the commencement of the solicitation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Plan as contemplated in the Restructuring Support Agreement (collectively, the “</w:t>
      </w:r>
      <w:r>
        <w:rPr>
          <w:rFonts w:ascii="Arial" w:cs="Arial" w:eastAsia="Arial" w:hAnsi="Arial"/>
          <w:sz w:val="18"/>
          <w:szCs w:val="18"/>
          <w:b w:val="1"/>
          <w:bCs w:val="1"/>
          <w:i w:val="1"/>
          <w:iCs w:val="1"/>
          <w:color w:val="auto"/>
        </w:rPr>
        <w:t>Proposed Amendment</w:t>
      </w:r>
      <w:r>
        <w:rPr>
          <w:rFonts w:ascii="Arial" w:cs="Arial" w:eastAsia="Arial" w:hAnsi="Arial"/>
          <w:sz w:val="18"/>
          <w:szCs w:val="18"/>
          <w:color w:val="auto"/>
        </w:rPr>
        <w:t>”);</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28 of the Restructuring Support Agreement, the Proposed Amendment requires the prior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Debtors and the Required Consenting Noteholders; and</w:t>
      </w:r>
    </w:p>
    <w:p>
      <w:pPr>
        <w:spacing w:after="0" w:line="162"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Consenting Noteholders, taken as a whole, constitute the Required Consenting Noteholders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Support Agreement as it applies to the Proposed Amendment.</w:t>
      </w:r>
    </w:p>
    <w:p>
      <w:pPr>
        <w:spacing w:after="0" w:line="162"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promises,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each of the Parties, intending to be legally bound, hereby agrees as follows:</w:t>
      </w:r>
    </w:p>
    <w:p>
      <w:pPr>
        <w:spacing w:after="0" w:line="120" w:lineRule="exact"/>
        <w:rPr>
          <w:sz w:val="20"/>
          <w:szCs w:val="20"/>
          <w:color w:val="auto"/>
        </w:rPr>
      </w:pPr>
    </w:p>
    <w:p>
      <w:pPr>
        <w:ind w:right="220" w:firstLine="656"/>
        <w:spacing w:after="0" w:line="277" w:lineRule="auto"/>
        <w:tabs>
          <w:tab w:leader="none" w:pos="129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Amendment to WHEREAS clause</w:t>
      </w:r>
      <w:r>
        <w:rPr>
          <w:rFonts w:ascii="Arial" w:cs="Arial" w:eastAsia="Arial" w:hAnsi="Arial"/>
          <w:sz w:val="18"/>
          <w:szCs w:val="18"/>
          <w:color w:val="auto"/>
        </w:rPr>
        <w:t>. The second WHEREAS clause of the Restructuring Support Agreement be, and it hereby is, amended and restated in its entirety as follows:</w:t>
      </w:r>
    </w:p>
    <w:p>
      <w:pPr>
        <w:spacing w:after="0" w:line="166"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the Parties have engaged in good faith, arm’s length negotiations regarding the principal terms of a prepackaged chapter 11 plan of reorganization (as may be amended or supplemented from time to time in accordance with the terms of this Agreement, including all exhibits, schedules, supplements, appendices, annexes and attachments thereto,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by which the Debtors will seek to restructure the Notes Claims and certain of their other obligations, to cancel the existing equity interests of WIL-Ireland and to recapitalize in accordance with the terms provided in the restructuring term sheet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Term Sheet</w:t>
      </w:r>
      <w:r>
        <w:rPr>
          <w:rFonts w:ascii="Arial" w:cs="Arial" w:eastAsia="Arial" w:hAnsi="Arial"/>
          <w:sz w:val="18"/>
          <w:szCs w:val="18"/>
          <w:color w:val="auto"/>
        </w:rPr>
        <w:t>”) and incorporated herein pursuant to Section 3 of this Agreement, through (a) jointly-administered voluntary cases to be commenced by the Debtors (the “</w:t>
      </w:r>
      <w:r>
        <w:rPr>
          <w:rFonts w:ascii="Arial" w:cs="Arial" w:eastAsia="Arial" w:hAnsi="Arial"/>
          <w:sz w:val="18"/>
          <w:szCs w:val="18"/>
          <w:b w:val="1"/>
          <w:bCs w:val="1"/>
          <w:i w:val="1"/>
          <w:iCs w:val="1"/>
          <w:color w:val="auto"/>
        </w:rPr>
        <w:t>Chapter 11 Cases</w:t>
      </w:r>
      <w:r>
        <w:rPr>
          <w:rFonts w:ascii="Arial" w:cs="Arial" w:eastAsia="Arial" w:hAnsi="Arial"/>
          <w:sz w:val="18"/>
          <w:szCs w:val="18"/>
          <w:color w:val="auto"/>
        </w:rPr>
        <w:t>”) under chapter 11 of title 11 of the United States Code, 11 U.S.C. §§ 101—1532 (as amended, the “</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in the United States Bankruptcy Court for the Southern District of Texas (the “</w:t>
      </w:r>
      <w:r>
        <w:rPr>
          <w:rFonts w:ascii="Arial" w:cs="Arial" w:eastAsia="Arial" w:hAnsi="Arial"/>
          <w:sz w:val="18"/>
          <w:szCs w:val="18"/>
          <w:b w:val="1"/>
          <w:bCs w:val="1"/>
          <w:i w:val="1"/>
          <w:iCs w:val="1"/>
          <w:color w:val="auto"/>
        </w:rPr>
        <w:t>Bankruptcy Court</w:t>
      </w:r>
      <w:r>
        <w:rPr>
          <w:rFonts w:ascii="Arial" w:cs="Arial" w:eastAsia="Arial" w:hAnsi="Arial"/>
          <w:sz w:val="18"/>
          <w:szCs w:val="18"/>
          <w:color w:val="auto"/>
        </w:rPr>
        <w:t>”), (b) an examinership proceeding to be commenced by WIL-Ireland under the laws of Ireland (the “</w:t>
      </w:r>
      <w:r>
        <w:rPr>
          <w:rFonts w:ascii="Arial" w:cs="Arial" w:eastAsia="Arial" w:hAnsi="Arial"/>
          <w:sz w:val="18"/>
          <w:szCs w:val="18"/>
          <w:b w:val="1"/>
          <w:bCs w:val="1"/>
          <w:i w:val="1"/>
          <w:iCs w:val="1"/>
          <w:color w:val="auto"/>
        </w:rPr>
        <w:t>Examinership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4" w:right="40"/>
        <w:spacing w:after="0" w:line="255" w:lineRule="auto"/>
        <w:rPr>
          <w:sz w:val="20"/>
          <w:szCs w:val="20"/>
          <w:color w:val="auto"/>
        </w:rPr>
      </w:pPr>
      <w:r>
        <w:rPr>
          <w:rFonts w:ascii="Arial" w:cs="Arial" w:eastAsia="Arial" w:hAnsi="Arial"/>
          <w:sz w:val="18"/>
          <w:szCs w:val="18"/>
          <w:color w:val="auto"/>
        </w:rPr>
        <w:t>provisional liquidation proceedings pursuant to sections 161 and 170 of the Companies Act 1981 of Bermuda (the “</w:t>
      </w:r>
      <w:r>
        <w:rPr>
          <w:rFonts w:ascii="Arial" w:cs="Arial" w:eastAsia="Arial" w:hAnsi="Arial"/>
          <w:sz w:val="18"/>
          <w:szCs w:val="18"/>
          <w:b w:val="1"/>
          <w:bCs w:val="1"/>
          <w:i w:val="1"/>
          <w:iCs w:val="1"/>
          <w:color w:val="auto"/>
        </w:rPr>
        <w:t>Bermuda Proceedings</w:t>
      </w:r>
      <w:r>
        <w:rPr>
          <w:rFonts w:ascii="Arial" w:cs="Arial" w:eastAsia="Arial" w:hAnsi="Arial"/>
          <w:sz w:val="18"/>
          <w:szCs w:val="18"/>
          <w:color w:val="auto"/>
        </w:rPr>
        <w:t>” and, together with the Examinership Proceeding and the Chapter 11 Cases, the “</w:t>
      </w:r>
      <w:r>
        <w:rPr>
          <w:rFonts w:ascii="Arial" w:cs="Arial" w:eastAsia="Arial" w:hAnsi="Arial"/>
          <w:sz w:val="18"/>
          <w:szCs w:val="18"/>
          <w:b w:val="1"/>
          <w:bCs w:val="1"/>
          <w:i w:val="1"/>
          <w:iCs w:val="1"/>
          <w:color w:val="auto"/>
        </w:rPr>
        <w:t>Cases</w:t>
      </w:r>
      <w:r>
        <w:rPr>
          <w:rFonts w:ascii="Arial" w:cs="Arial" w:eastAsia="Arial" w:hAnsi="Arial"/>
          <w:sz w:val="18"/>
          <w:szCs w:val="18"/>
          <w:color w:val="auto"/>
        </w:rPr>
        <w:t>”) by presenting “winding up” petitions to the Supreme Court of Bermuda (the “</w:t>
      </w:r>
      <w:r>
        <w:rPr>
          <w:rFonts w:ascii="Arial" w:cs="Arial" w:eastAsia="Arial" w:hAnsi="Arial"/>
          <w:sz w:val="18"/>
          <w:szCs w:val="18"/>
          <w:b w:val="1"/>
          <w:bCs w:val="1"/>
          <w:i w:val="1"/>
          <w:iCs w:val="1"/>
          <w:color w:val="auto"/>
        </w:rPr>
        <w:t>Bermuda Court</w:t>
      </w:r>
      <w:r>
        <w:rPr>
          <w:rFonts w:ascii="Arial" w:cs="Arial" w:eastAsia="Arial" w:hAnsi="Arial"/>
          <w:sz w:val="18"/>
          <w:szCs w:val="18"/>
          <w:color w:val="auto"/>
        </w:rPr>
        <w:t>”). The restructuring contemplated by the Plan, the scheme of arrangement based on the Plan submitted for approval in the Examinership Proceeding (the “</w:t>
      </w:r>
      <w:r>
        <w:rPr>
          <w:rFonts w:ascii="Arial" w:cs="Arial" w:eastAsia="Arial" w:hAnsi="Arial"/>
          <w:sz w:val="18"/>
          <w:szCs w:val="18"/>
          <w:b w:val="1"/>
          <w:bCs w:val="1"/>
          <w:i w:val="1"/>
          <w:iCs w:val="1"/>
          <w:color w:val="auto"/>
        </w:rPr>
        <w:t>Scheme of Arrangement</w:t>
      </w:r>
      <w:r>
        <w:rPr>
          <w:rFonts w:ascii="Arial" w:cs="Arial" w:eastAsia="Arial" w:hAnsi="Arial"/>
          <w:sz w:val="18"/>
          <w:szCs w:val="18"/>
          <w:color w:val="auto"/>
        </w:rPr>
        <w:t>”) and either the scheme of arrangement based on the Plan submitted for approval in the Bermuda Proceedings (the “</w:t>
      </w:r>
      <w:r>
        <w:rPr>
          <w:rFonts w:ascii="Arial" w:cs="Arial" w:eastAsia="Arial" w:hAnsi="Arial"/>
          <w:sz w:val="18"/>
          <w:szCs w:val="18"/>
          <w:b w:val="1"/>
          <w:bCs w:val="1"/>
          <w:i w:val="1"/>
          <w:iCs w:val="1"/>
          <w:color w:val="auto"/>
        </w:rPr>
        <w:t>Bermuda Scheme</w:t>
      </w:r>
      <w:r>
        <w:rPr>
          <w:rFonts w:ascii="Arial" w:cs="Arial" w:eastAsia="Arial" w:hAnsi="Arial"/>
          <w:sz w:val="18"/>
          <w:szCs w:val="18"/>
          <w:color w:val="auto"/>
        </w:rPr>
        <w:t>”) or a Conditional Recognition Order (defined below) are together referred to in this Agreement as the “</w:t>
      </w:r>
      <w:r>
        <w:rPr>
          <w:rFonts w:ascii="Arial" w:cs="Arial" w:eastAsia="Arial" w:hAnsi="Arial"/>
          <w:sz w:val="18"/>
          <w:szCs w:val="18"/>
          <w:b w:val="1"/>
          <w:bCs w:val="1"/>
          <w:i w:val="1"/>
          <w:iCs w:val="1"/>
          <w:color w:val="auto"/>
        </w:rPr>
        <w:t>Restructuring</w:t>
      </w:r>
      <w:r>
        <w:rPr>
          <w:rFonts w:ascii="Arial" w:cs="Arial" w:eastAsia="Arial" w:hAnsi="Arial"/>
          <w:sz w:val="18"/>
          <w:szCs w:val="18"/>
          <w:color w:val="auto"/>
        </w:rPr>
        <w:t>”;</w:t>
      </w:r>
    </w:p>
    <w:p>
      <w:pPr>
        <w:spacing w:after="0" w:line="193" w:lineRule="exact"/>
        <w:rPr>
          <w:sz w:val="20"/>
          <w:szCs w:val="20"/>
          <w:color w:val="auto"/>
        </w:rPr>
      </w:pPr>
    </w:p>
    <w:p>
      <w:pPr>
        <w:ind w:left="644" w:hanging="644"/>
        <w:spacing w:after="0"/>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Amendment to Section 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Section 2(b) of the Restructuring Support Agreement be, and it hereby is, amended and restated as follows:</w:t>
      </w:r>
    </w:p>
    <w:p>
      <w:pPr>
        <w:spacing w:after="0" w:line="225" w:lineRule="exact"/>
        <w:rPr>
          <w:sz w:val="20"/>
          <w:szCs w:val="20"/>
          <w:color w:val="auto"/>
        </w:rPr>
      </w:pPr>
    </w:p>
    <w:p>
      <w:pPr>
        <w:ind w:left="644"/>
        <w:spacing w:after="0" w:line="268" w:lineRule="auto"/>
        <w:rPr>
          <w:sz w:val="20"/>
          <w:szCs w:val="20"/>
          <w:color w:val="auto"/>
        </w:rPr>
      </w:pPr>
      <w:r>
        <w:rPr>
          <w:rFonts w:ascii="Arial" w:cs="Arial" w:eastAsia="Arial" w:hAnsi="Arial"/>
          <w:sz w:val="17"/>
          <w:szCs w:val="17"/>
          <w:color w:val="auto"/>
        </w:rPr>
        <w:t>“Where the provisions of this Agreement and the Term Sheet refer or apply to the Chapter 11 Cases, the Bankruptcy Court and/or the Plan (including Definitive Documentation (as defined below) and any other documentation relating or relevant thereto) or events, circumstances or procedures in the United States (the “</w:t>
      </w:r>
      <w:r>
        <w:rPr>
          <w:rFonts w:ascii="Arial" w:cs="Arial" w:eastAsia="Arial" w:hAnsi="Arial"/>
          <w:sz w:val="17"/>
          <w:szCs w:val="17"/>
          <w:b w:val="1"/>
          <w:bCs w:val="1"/>
          <w:i w:val="1"/>
          <w:iCs w:val="1"/>
          <w:color w:val="auto"/>
        </w:rPr>
        <w:t>US Process</w:t>
      </w:r>
      <w:r>
        <w:rPr>
          <w:rFonts w:ascii="Arial" w:cs="Arial" w:eastAsia="Arial" w:hAnsi="Arial"/>
          <w:sz w:val="17"/>
          <w:szCs w:val="17"/>
          <w:color w:val="auto"/>
        </w:rPr>
        <w:t>”) but do not equally reference or apply to (i) the Examinership Proceeding, the Irish court and/or the Scheme of Arrangement (including Definitive Documentation and any other documentation relating or relevant thereto) or equivalent events, circumstances or procedures in Ireland (the “</w:t>
      </w:r>
      <w:r>
        <w:rPr>
          <w:rFonts w:ascii="Arial" w:cs="Arial" w:eastAsia="Arial" w:hAnsi="Arial"/>
          <w:sz w:val="17"/>
          <w:szCs w:val="17"/>
          <w:b w:val="1"/>
          <w:bCs w:val="1"/>
          <w:i w:val="1"/>
          <w:iCs w:val="1"/>
          <w:color w:val="auto"/>
        </w:rPr>
        <w:t>Irish Process</w:t>
      </w:r>
      <w:r>
        <w:rPr>
          <w:rFonts w:ascii="Arial" w:cs="Arial" w:eastAsia="Arial" w:hAnsi="Arial"/>
          <w:sz w:val="17"/>
          <w:szCs w:val="17"/>
          <w:color w:val="auto"/>
        </w:rPr>
        <w:t>”) or (ii) the Bermuda Proceedings, the Bermuda Court, the Bermuda Scheme and/or the Conditional Recognition Order (including Definitive Documentation and any other documentation relating or relevant thereto) or equivalent events, circumstances or procedures in Bermuda (the “</w:t>
      </w:r>
      <w:r>
        <w:rPr>
          <w:rFonts w:ascii="Arial" w:cs="Arial" w:eastAsia="Arial" w:hAnsi="Arial"/>
          <w:sz w:val="17"/>
          <w:szCs w:val="17"/>
          <w:b w:val="1"/>
          <w:bCs w:val="1"/>
          <w:i w:val="1"/>
          <w:iCs w:val="1"/>
          <w:color w:val="auto"/>
        </w:rPr>
        <w:t>Bermuda Process</w:t>
      </w:r>
      <w:r>
        <w:rPr>
          <w:rFonts w:ascii="Arial" w:cs="Arial" w:eastAsia="Arial" w:hAnsi="Arial"/>
          <w:sz w:val="17"/>
          <w:szCs w:val="17"/>
          <w:color w:val="auto"/>
        </w:rPr>
        <w:t>”), those provisions relating to the US Process shall be deemed to apply or refer equally to the Irish Process and Bermuda Process (and, if necessary, this Agreement and the Term Sheet will be deemed to include provisions relating to the Irish Process and Bermuda Process which correspond to provisions relating to the US Process) to ensure that the rights and obligations of the Parties under this Agreement apply equally to the Irish Process and Bermuda Process in the same way as the US Process, to the fullest extent necessary in order to implement the Restructuring in accordance with the terms, spirit and intent of this Agreement and the Term Sheet. For the avoidance of doubt, the foregoing will not require the provision of any additional funding to WIL-Ireland or WIL-Bermuda in addition to the funding contemplated in the US Process by this Agreement in the Term Sheet.”</w:t>
      </w:r>
    </w:p>
    <w:p>
      <w:pPr>
        <w:spacing w:after="0" w:line="185" w:lineRule="exact"/>
        <w:rPr>
          <w:sz w:val="20"/>
          <w:szCs w:val="20"/>
          <w:color w:val="auto"/>
        </w:rPr>
      </w:pPr>
    </w:p>
    <w:p>
      <w:pPr>
        <w:ind w:left="1364" w:hanging="651"/>
        <w:spacing w:after="0"/>
        <w:tabs>
          <w:tab w:leader="none" w:pos="13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Section 2(c) of the Restructuring Support Agreement be, and it hereby is, included and shall read as follows:</w:t>
      </w:r>
    </w:p>
    <w:p>
      <w:pPr>
        <w:spacing w:after="0" w:line="225"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“In connection with the Bermuda Process, the Debtors may, with the prior written consent of the Required Consenting Noteholders, pursue a Conditional Recognition Order in place of the Bermuda Scheme.”</w:t>
      </w:r>
    </w:p>
    <w:p>
      <w:pPr>
        <w:spacing w:after="0" w:line="170" w:lineRule="exact"/>
        <w:rPr>
          <w:sz w:val="20"/>
          <w:szCs w:val="20"/>
          <w:color w:val="auto"/>
        </w:rPr>
      </w:pPr>
    </w:p>
    <w:p>
      <w:pPr>
        <w:jc w:val="center"/>
        <w:ind w:left="5004" w:right="1560" w:hanging="5004"/>
        <w:spacing w:after="0" w:line="528" w:lineRule="auto"/>
        <w:tabs>
          <w:tab w:leader="none" w:pos="63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Amendment to Section 4</w:t>
      </w:r>
      <w:r>
        <w:rPr>
          <w:rFonts w:ascii="Arial" w:cs="Arial" w:eastAsia="Arial" w:hAnsi="Arial"/>
          <w:sz w:val="18"/>
          <w:szCs w:val="18"/>
          <w:color w:val="auto"/>
        </w:rPr>
        <w:t>. Section 4 of the Restructuring Support Agreement be, and it hereby is, amended as follows: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-90170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104" w:name="page105"/>
    <w:bookmarkEnd w:id="104"/>
    <w:p>
      <w:pPr>
        <w:ind w:left="1284" w:hanging="635"/>
        <w:spacing w:after="0"/>
        <w:tabs>
          <w:tab w:leader="none" w:pos="128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Subsections 4(a)(vii) and 4(a)(viii) are hereby amended and restated as follows:</w:t>
      </w:r>
    </w:p>
    <w:p>
      <w:pPr>
        <w:spacing w:after="0" w:line="225" w:lineRule="exact"/>
        <w:rPr>
          <w:sz w:val="20"/>
          <w:szCs w:val="20"/>
          <w:color w:val="auto"/>
        </w:rPr>
      </w:pPr>
    </w:p>
    <w:p>
      <w:pPr>
        <w:ind w:left="644" w:right="520"/>
        <w:spacing w:after="0" w:line="277" w:lineRule="auto"/>
        <w:rPr>
          <w:sz w:val="20"/>
          <w:szCs w:val="20"/>
          <w:color w:val="auto"/>
        </w:rPr>
      </w:pPr>
      <w:r>
        <w:rPr>
          <w:rFonts w:ascii="Arial" w:cs="Arial" w:eastAsia="Arial" w:hAnsi="Arial"/>
          <w:sz w:val="18"/>
          <w:szCs w:val="18"/>
          <w:color w:val="auto"/>
        </w:rPr>
        <w:t>“(vii) if applicable in accordance with Section 2(c), the Bermuda Scheme and an order of the Bermuda Court approving the Bermuda Scheme (the “</w:t>
      </w:r>
      <w:r>
        <w:rPr>
          <w:rFonts w:ascii="Arial" w:cs="Arial" w:eastAsia="Arial" w:hAnsi="Arial"/>
          <w:sz w:val="18"/>
          <w:szCs w:val="18"/>
          <w:b w:val="1"/>
          <w:bCs w:val="1"/>
          <w:i w:val="1"/>
          <w:iCs w:val="1"/>
          <w:color w:val="auto"/>
        </w:rPr>
        <w:t>Bermuda Scheme Confirmation</w:t>
      </w:r>
      <w:r>
        <w:rPr>
          <w:rFonts w:ascii="Arial" w:cs="Arial" w:eastAsia="Arial" w:hAnsi="Arial"/>
          <w:sz w:val="18"/>
          <w:szCs w:val="18"/>
          <w:color w:val="auto"/>
        </w:rPr>
        <w:t>”); and</w:t>
      </w:r>
    </w:p>
    <w:p>
      <w:pPr>
        <w:spacing w:after="0" w:line="170" w:lineRule="exact"/>
        <w:rPr>
          <w:sz w:val="20"/>
          <w:szCs w:val="20"/>
          <w:color w:val="auto"/>
        </w:rPr>
      </w:pPr>
    </w:p>
    <w:p>
      <w:pPr>
        <w:ind w:left="644" w:right="100" w:firstLine="5"/>
        <w:spacing w:after="0" w:line="288" w:lineRule="auto"/>
        <w:tabs>
          <w:tab w:leader="none" w:pos="1049"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applicable in accordance with Section 2(c), an order of the Bermuda Court confirming that, conditional upon the Confirmation Order, (i) the Bermuda Court recognizes the Confirmation Order as a matter of Bermuda law; (ii) the Bermuda Court permanently restrains creditors and shareholders of WIL Bermuda from pursing claims against WIL Bermuda in breach of their obligations under the Plan; and</w:t>
      </w:r>
    </w:p>
    <w:p>
      <w:pPr>
        <w:ind w:left="644" w:firstLine="5"/>
        <w:spacing w:after="0" w:line="261" w:lineRule="auto"/>
        <w:tabs>
          <w:tab w:leader="none" w:pos="959"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Bermuda Court dismisses the winding up petition in the Bermuda Proceedings, thereby removing the provisional liquidators of WIL Bermuda from office and terminating the Bermuda Proceedings (the “</w:t>
      </w:r>
      <w:r>
        <w:rPr>
          <w:rFonts w:ascii="Arial" w:cs="Arial" w:eastAsia="Arial" w:hAnsi="Arial"/>
          <w:sz w:val="18"/>
          <w:szCs w:val="18"/>
          <w:b w:val="1"/>
          <w:bCs w:val="1"/>
          <w:i w:val="1"/>
          <w:iCs w:val="1"/>
          <w:color w:val="auto"/>
        </w:rPr>
        <w:t>Conditional Recognition Order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Amendment to Section 6</w:t>
      </w:r>
      <w:r>
        <w:rPr>
          <w:rFonts w:ascii="Arial" w:cs="Arial" w:eastAsia="Arial" w:hAnsi="Arial"/>
          <w:sz w:val="18"/>
          <w:szCs w:val="18"/>
          <w:color w:val="auto"/>
        </w:rPr>
        <w:t>.</w:t>
      </w:r>
    </w:p>
    <w:p>
      <w:pPr>
        <w:spacing w:after="0" w:line="225" w:lineRule="exact"/>
        <w:rPr>
          <w:sz w:val="20"/>
          <w:szCs w:val="20"/>
          <w:color w:val="auto"/>
        </w:rPr>
      </w:pPr>
    </w:p>
    <w:p>
      <w:pPr>
        <w:ind w:left="1284" w:hanging="635"/>
        <w:spacing w:after="0"/>
        <w:tabs>
          <w:tab w:leader="none" w:pos="12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Subsection 6(a)(i) of the Restructuring Support Agreement is hereby amended and restated as follows:</w:t>
      </w:r>
    </w:p>
    <w:p>
      <w:pPr>
        <w:spacing w:after="0" w:line="225" w:lineRule="exact"/>
        <w:rPr>
          <w:sz w:val="20"/>
          <w:szCs w:val="20"/>
          <w:color w:val="auto"/>
        </w:rPr>
      </w:pPr>
    </w:p>
    <w:p>
      <w:pPr>
        <w:ind w:left="644" w:right="40"/>
        <w:spacing w:after="0" w:line="271" w:lineRule="auto"/>
        <w:rPr>
          <w:sz w:val="20"/>
          <w:szCs w:val="20"/>
          <w:color w:val="auto"/>
        </w:rPr>
      </w:pPr>
      <w:r>
        <w:rPr>
          <w:rFonts w:ascii="Arial" w:cs="Arial" w:eastAsia="Arial" w:hAnsi="Arial"/>
          <w:sz w:val="17"/>
          <w:szCs w:val="17"/>
          <w:color w:val="auto"/>
        </w:rPr>
        <w:t>“(A) subject to receipt of the Disclosure Statement, vote all of its Notes Claims against, or interests in, as applicable, the Debtors now or hereafter owned by such Consenting Noteholder (or which such Consenting Noteholder now or hereafter has voting control over) to accept the Plan, the Bermuda Scheme (if applicable in accordance with Section 2(c)) and the Scheme of Arrangement in accordance with the applicable procedures set forth in the Disclosure Statement and the Solicitation Materials that meet the requirements of applicable law, including sections 1125 and 1126 of the Bankruptcy Code and any similar laws applicable to the Bermuda Proceedings and the Examinership Proceeding; (B) timely return a duly-executed ballot, or voting or proxy form (as may be applicable) in connection therewith; and (C) not “opt out” of or object to any releases or exculpation provided under the Plan (and, to the extent required by such ballot, affirmatively “opt in” to such releases and exculpation);”</w:t>
      </w:r>
    </w:p>
    <w:p>
      <w:pPr>
        <w:spacing w:after="0" w:line="179" w:lineRule="exact"/>
        <w:rPr>
          <w:sz w:val="20"/>
          <w:szCs w:val="20"/>
          <w:color w:val="auto"/>
        </w:rPr>
      </w:pPr>
    </w:p>
    <w:p>
      <w:pPr>
        <w:ind w:left="1304" w:hanging="655"/>
        <w:spacing w:after="0"/>
        <w:tabs>
          <w:tab w:leader="none" w:pos="13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Subsection 6(a)(iii) of the Restructuring Support Agreement is hereby amended and restated as follows:</w:t>
      </w:r>
    </w:p>
    <w:p>
      <w:pPr>
        <w:spacing w:after="0" w:line="225" w:lineRule="exact"/>
        <w:rPr>
          <w:sz w:val="20"/>
          <w:szCs w:val="20"/>
          <w:color w:val="auto"/>
        </w:rPr>
      </w:pPr>
    </w:p>
    <w:p>
      <w:pPr>
        <w:ind w:left="644" w:right="100" w:firstLine="5"/>
        <w:spacing w:after="0" w:line="255" w:lineRule="auto"/>
        <w:tabs>
          <w:tab w:leader="none" w:pos="9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 (A) object to, delay, impede, or take any other action (including to instruct or direct the Indenture Trustee) to interfere with the prompt (x) consummation of the Restructuring or the Definitive Documentation (including the entry by the Bankruptcy Court of an order approving the Disclosure Statement and the Confirmation Order, if applicable), and (y) court approval and payment by the Debtors of any fees and expenses owed to Lazard Frères &amp; Co. LLC (“</w:t>
      </w:r>
      <w:r>
        <w:rPr>
          <w:rFonts w:ascii="Arial" w:cs="Arial" w:eastAsia="Arial" w:hAnsi="Arial"/>
          <w:sz w:val="18"/>
          <w:szCs w:val="18"/>
          <w:b w:val="1"/>
          <w:bCs w:val="1"/>
          <w:i w:val="1"/>
          <w:iCs w:val="1"/>
          <w:color w:val="auto"/>
        </w:rPr>
        <w:t>Lazard</w:t>
      </w:r>
      <w:r>
        <w:rPr>
          <w:rFonts w:ascii="Arial" w:cs="Arial" w:eastAsia="Arial" w:hAnsi="Arial"/>
          <w:sz w:val="18"/>
          <w:szCs w:val="18"/>
          <w:color w:val="auto"/>
        </w:rPr>
        <w:t xml:space="preserve">”) pursuant to the engagement letter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which engagement letter is acknowledged to include a cap such that the fees and expenses payable to Lazard thereunder shall not exceed $31.75 million under any circumstance; (B) propose, file, support, or vote for any restructuring, workout, reorganization, liquidation, or chapter 11 plan for any of the Debtors or their</w:t>
      </w:r>
    </w:p>
    <w:p>
      <w:pPr>
        <w:spacing w:after="0" w:line="18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1440" w:gutter="0" w:footer="0" w:header="0"/>
        </w:sectPr>
      </w:pPr>
    </w:p>
    <w:bookmarkStart w:id="105" w:name="page106"/>
    <w:bookmarkEnd w:id="105"/>
    <w:p>
      <w:pPr>
        <w:ind w:left="704"/>
        <w:spacing w:after="0"/>
        <w:rPr>
          <w:sz w:val="20"/>
          <w:szCs w:val="20"/>
          <w:color w:val="auto"/>
        </w:rPr>
      </w:pPr>
      <w:r>
        <w:rPr>
          <w:rFonts w:ascii="Arial" w:cs="Arial" w:eastAsia="Arial" w:hAnsi="Arial"/>
          <w:sz w:val="16"/>
          <w:szCs w:val="16"/>
          <w:color w:val="auto"/>
        </w:rPr>
        <w:t>subsidiaries (the Debtors and their subsidiaries, collectively, the “</w:t>
      </w:r>
      <w:r>
        <w:rPr>
          <w:rFonts w:ascii="Arial" w:cs="Arial" w:eastAsia="Arial" w:hAnsi="Arial"/>
          <w:sz w:val="16"/>
          <w:szCs w:val="16"/>
          <w:b w:val="1"/>
          <w:bCs w:val="1"/>
          <w:i w:val="1"/>
          <w:iCs w:val="1"/>
          <w:color w:val="auto"/>
        </w:rPr>
        <w:t>Weatherford Parties</w:t>
      </w:r>
      <w:r>
        <w:rPr>
          <w:rFonts w:ascii="Arial" w:cs="Arial" w:eastAsia="Arial" w:hAnsi="Arial"/>
          <w:sz w:val="16"/>
          <w:szCs w:val="16"/>
          <w:color w:val="auto"/>
        </w:rPr>
        <w:t>”), other than the Restructuring and the Plan; or</w:t>
      </w:r>
    </w:p>
    <w:p>
      <w:pPr>
        <w:spacing w:after="0" w:line="46" w:lineRule="exact"/>
        <w:rPr>
          <w:sz w:val="20"/>
          <w:szCs w:val="20"/>
          <w:color w:val="auto"/>
        </w:rPr>
      </w:pPr>
    </w:p>
    <w:p>
      <w:pPr>
        <w:ind w:left="1004" w:hanging="291"/>
        <w:spacing w:after="0"/>
        <w:tabs>
          <w:tab w:leader="none" w:pos="1004" w:val="left"/>
        </w:tabs>
        <w:numPr>
          <w:ilvl w:val="2"/>
          <w:numId w:val="87"/>
        </w:numPr>
        <w:rPr>
          <w:rFonts w:ascii="Arial" w:cs="Arial" w:eastAsia="Arial" w:hAnsi="Arial"/>
          <w:sz w:val="18"/>
          <w:szCs w:val="18"/>
          <w:color w:val="auto"/>
        </w:rPr>
      </w:pPr>
      <w:r>
        <w:rPr>
          <w:rFonts w:ascii="Arial" w:cs="Arial" w:eastAsia="Arial" w:hAnsi="Arial"/>
          <w:sz w:val="18"/>
          <w:szCs w:val="18"/>
          <w:color w:val="auto"/>
        </w:rPr>
        <w:t>encourage or support any other person or entity to do any of the foregoing;”</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Amendment to Section 7</w:t>
      </w:r>
      <w:r>
        <w:rPr>
          <w:rFonts w:ascii="Arial" w:cs="Arial" w:eastAsia="Arial" w:hAnsi="Arial"/>
          <w:sz w:val="18"/>
          <w:szCs w:val="18"/>
          <w:color w:val="auto"/>
        </w:rPr>
        <w:t>. Section 7 of the Restructuring Support Agreement be, and it hereby is, amended as follows:</w:t>
      </w:r>
    </w:p>
    <w:p>
      <w:pPr>
        <w:spacing w:after="0" w:line="225"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Subsection 7(g) is hereby amended and restated as follows:</w:t>
      </w:r>
    </w:p>
    <w:p>
      <w:pPr>
        <w:spacing w:after="0" w:line="225" w:lineRule="exact"/>
        <w:rPr>
          <w:sz w:val="20"/>
          <w:szCs w:val="20"/>
          <w:color w:val="auto"/>
        </w:rPr>
      </w:pPr>
    </w:p>
    <w:p>
      <w:pPr>
        <w:ind w:left="644" w:right="60"/>
        <w:spacing w:after="0" w:line="264" w:lineRule="auto"/>
        <w:rPr>
          <w:sz w:val="20"/>
          <w:szCs w:val="20"/>
          <w:color w:val="auto"/>
        </w:rPr>
      </w:pPr>
      <w:r>
        <w:rPr>
          <w:rFonts w:ascii="Arial" w:cs="Arial" w:eastAsia="Arial" w:hAnsi="Arial"/>
          <w:sz w:val="18"/>
          <w:szCs w:val="18"/>
          <w:color w:val="auto"/>
        </w:rPr>
        <w:t>“(g) consult in good faith with the Noteholder Committee as regards WIL Bermuda’s proposed approach to and structuring of the Bermuda Proceedings and the Bermuda Scheme or the Conditional Recognition Order (as applicable in accordance with Section 2(c)), and any and all documents relating to the procedure therefore and implementation thereof;”</w:t>
      </w:r>
    </w:p>
    <w:p>
      <w:pPr>
        <w:spacing w:after="0" w:line="181" w:lineRule="exact"/>
        <w:rPr>
          <w:sz w:val="20"/>
          <w:szCs w:val="20"/>
          <w:color w:val="auto"/>
        </w:rPr>
      </w:pPr>
    </w:p>
    <w:p>
      <w:pPr>
        <w:ind w:left="644" w:hanging="644"/>
        <w:spacing w:after="0"/>
        <w:tabs>
          <w:tab w:leader="none" w:pos="64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Amendment to Section 8</w:t>
      </w:r>
      <w:r>
        <w:rPr>
          <w:rFonts w:ascii="Arial" w:cs="Arial" w:eastAsia="Arial" w:hAnsi="Arial"/>
          <w:sz w:val="18"/>
          <w:szCs w:val="18"/>
          <w:color w:val="auto"/>
        </w:rPr>
        <w:t>. Section 8 of the Restructuring Support Agreement be, and it hereby is, amended as follows:</w:t>
      </w:r>
    </w:p>
    <w:p>
      <w:pPr>
        <w:spacing w:after="0" w:line="225" w:lineRule="exact"/>
        <w:rPr>
          <w:rFonts w:ascii="Arial" w:cs="Arial" w:eastAsia="Arial" w:hAnsi="Arial"/>
          <w:sz w:val="18"/>
          <w:szCs w:val="18"/>
          <w:color w:val="auto"/>
        </w:rPr>
      </w:pPr>
    </w:p>
    <w:p>
      <w:pPr>
        <w:ind w:left="70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Subsection 8(l) of the Restructuring Support Agreement is amended and restated in its entirety, which shall read as follows:</w:t>
      </w:r>
    </w:p>
    <w:p>
      <w:pPr>
        <w:spacing w:after="0" w:line="225"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“if the Executive Arrangements relating to change in control and severance matters are not modified in a manner acceptable to the Required Consenting Noteholders.”</w:t>
      </w:r>
    </w:p>
    <w:p>
      <w:pPr>
        <w:spacing w:after="0" w:line="170" w:lineRule="exact"/>
        <w:rPr>
          <w:sz w:val="20"/>
          <w:szCs w:val="20"/>
          <w:color w:val="auto"/>
        </w:rPr>
      </w:pPr>
    </w:p>
    <w:p>
      <w:pPr>
        <w:ind w:left="1364" w:hanging="651"/>
        <w:spacing w:after="0"/>
        <w:tabs>
          <w:tab w:leader="none" w:pos="13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Subsection 8(k) of the Restructuring Support Agreement is hereby amended and restated as follows:</w:t>
      </w:r>
    </w:p>
    <w:p>
      <w:pPr>
        <w:spacing w:after="0" w:line="225" w:lineRule="exact"/>
        <w:rPr>
          <w:sz w:val="20"/>
          <w:szCs w:val="20"/>
          <w:color w:val="auto"/>
        </w:rPr>
      </w:pPr>
    </w:p>
    <w:p>
      <w:pPr>
        <w:ind w:left="644" w:right="20"/>
        <w:spacing w:after="0" w:line="255" w:lineRule="auto"/>
        <w:rPr>
          <w:sz w:val="20"/>
          <w:szCs w:val="20"/>
          <w:color w:val="auto"/>
        </w:rPr>
      </w:pPr>
      <w:r>
        <w:rPr>
          <w:rFonts w:ascii="Arial" w:cs="Arial" w:eastAsia="Arial" w:hAnsi="Arial"/>
          <w:sz w:val="18"/>
          <w:szCs w:val="18"/>
          <w:color w:val="auto"/>
        </w:rPr>
        <w:t>“Since the date of this Agreement, any effect, change, condition, circumstance, development or event that, individually or in the aggregate has had, or would reasonably be expected to have, a material adverse effect on the assets, liabilities, properties, business or condition (financial or otherwise) of the Weatherford Parties taken as a whole, other than any effect, change, condition, circumstance or event (i) that has occurred prior to the date of this Agreement or that contributed to or gave rise to the filing of the Chapter 11 Cases, (ii) arising from the filing of any of the Cases, or (iii) arising from compliance with the terms of this Agreement, including, without limitation, seeking approval of the Disclosure Statement, and seeking to confirm or consummate the Plan, the Scheme of Arrangement, the Bermuda Scheme or the Conditional Recognition Order;”</w:t>
      </w:r>
    </w:p>
    <w:p>
      <w:pPr>
        <w:spacing w:after="0" w:line="189" w:lineRule="exact"/>
        <w:rPr>
          <w:sz w:val="20"/>
          <w:szCs w:val="20"/>
          <w:color w:val="auto"/>
        </w:rPr>
      </w:pPr>
    </w:p>
    <w:p>
      <w:pPr>
        <w:ind w:left="644" w:hanging="644"/>
        <w:spacing w:after="0"/>
        <w:tabs>
          <w:tab w:leader="none" w:pos="64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Amendments to Schedule 1</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of the Restructuring Support Agreement be, and it hereby is, amended as follows:</w:t>
      </w:r>
    </w:p>
    <w:p>
      <w:pPr>
        <w:spacing w:after="0" w:line="225" w:lineRule="exact"/>
        <w:rPr>
          <w:rFonts w:ascii="Arial" w:cs="Arial" w:eastAsia="Arial" w:hAnsi="Arial"/>
          <w:sz w:val="18"/>
          <w:szCs w:val="18"/>
          <w:color w:val="auto"/>
        </w:rPr>
      </w:pPr>
    </w:p>
    <w:p>
      <w:pPr>
        <w:ind w:left="1344" w:hanging="631"/>
        <w:spacing w:after="0"/>
        <w:tabs>
          <w:tab w:leader="none" w:pos="1344"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Paragraph (b)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of the Restructuring Support Agreement be, and it hereby is, amended and restated in its entirety to</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read: “within two (2) calendar days after the Petition Date, the Debtors shall commence with the Bermuda Court, the Bermuda Proceedings;”</w:t>
      </w:r>
    </w:p>
    <w:p>
      <w:pPr>
        <w:spacing w:after="0" w:line="222" w:lineRule="exact"/>
        <w:rPr>
          <w:rFonts w:ascii="Arial" w:cs="Arial" w:eastAsia="Arial" w:hAnsi="Arial"/>
          <w:sz w:val="16"/>
          <w:szCs w:val="16"/>
          <w:color w:val="auto"/>
        </w:rPr>
      </w:pPr>
    </w:p>
    <w:p>
      <w:pPr>
        <w:ind w:left="1364" w:hanging="651"/>
        <w:spacing w:after="0"/>
        <w:tabs>
          <w:tab w:leader="none" w:pos="13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Paragraph (f) of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1 of the Restructuring Support Agreement is hereby deleted;</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106" w:name="page107"/>
    <w:bookmarkEnd w:id="106"/>
    <w:p>
      <w:pPr>
        <w:ind w:left="1304" w:hanging="591"/>
        <w:spacing w:after="0"/>
        <w:tabs>
          <w:tab w:leader="none" w:pos="1304"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Paragraph (g)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of the Restructuring Support Agreement be, and it hereby is, amended and restated in its entirety to</w:t>
      </w:r>
    </w:p>
    <w:p>
      <w:pPr>
        <w:spacing w:after="0" w:line="46" w:lineRule="exact"/>
        <w:rPr>
          <w:rFonts w:ascii="Arial" w:cs="Arial" w:eastAsia="Arial" w:hAnsi="Arial"/>
          <w:sz w:val="16"/>
          <w:szCs w:val="16"/>
          <w:color w:val="auto"/>
        </w:rPr>
      </w:pPr>
    </w:p>
    <w:p>
      <w:pPr>
        <w:ind w:left="4" w:right="380"/>
        <w:spacing w:after="0" w:line="261" w:lineRule="auto"/>
        <w:rPr>
          <w:rFonts w:ascii="Arial" w:cs="Arial" w:eastAsia="Arial" w:hAnsi="Arial"/>
          <w:sz w:val="16"/>
          <w:szCs w:val="16"/>
          <w:color w:val="auto"/>
        </w:rPr>
      </w:pPr>
      <w:r>
        <w:rPr>
          <w:rFonts w:ascii="Arial" w:cs="Arial" w:eastAsia="Arial" w:hAnsi="Arial"/>
          <w:sz w:val="18"/>
          <w:szCs w:val="18"/>
          <w:color w:val="auto"/>
        </w:rPr>
        <w:t>read: “WIL-Ireland shall have commenced the Examinership Proceeding by no later than October 9, 2019 (the “</w:t>
      </w:r>
      <w:r>
        <w:rPr>
          <w:rFonts w:ascii="Arial" w:cs="Arial" w:eastAsia="Arial" w:hAnsi="Arial"/>
          <w:sz w:val="18"/>
          <w:szCs w:val="18"/>
          <w:b w:val="1"/>
          <w:bCs w:val="1"/>
          <w:i w:val="1"/>
          <w:iCs w:val="1"/>
          <w:color w:val="auto"/>
        </w:rPr>
        <w:t>Examinership Commencement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and</w:t>
      </w:r>
    </w:p>
    <w:p>
      <w:pPr>
        <w:spacing w:after="0" w:line="183" w:lineRule="exact"/>
        <w:rPr>
          <w:rFonts w:ascii="Arial" w:cs="Arial" w:eastAsia="Arial" w:hAnsi="Arial"/>
          <w:sz w:val="16"/>
          <w:szCs w:val="16"/>
          <w:color w:val="auto"/>
        </w:rPr>
      </w:pPr>
    </w:p>
    <w:p>
      <w:pPr>
        <w:ind w:left="4" w:right="160" w:firstLine="709"/>
        <w:spacing w:after="0" w:line="257" w:lineRule="auto"/>
        <w:tabs>
          <w:tab w:leader="none" w:pos="1297"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Paragraph (j)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of the Restructuring Support Agreement is hereby amended and restated in its entirety to read: “no later than fifteen (15) calendar days after (1) the entry of the Confirmation Order by the Bankruptcy Court, (2) the entry of the order of the Irish Court approving the Scheme of Arrangement and (3) the entry by the Bermuda Court of either the Bermuda Scheme Confirmation or (if applicable in accordance with Section 2(c)) the Conditional Recognition Order, the Debtors shall consummate the transactions contemplated by the Plan (the date of such consummation, the “</w:t>
      </w:r>
      <w:r>
        <w:rPr>
          <w:rFonts w:ascii="Arial" w:cs="Arial" w:eastAsia="Arial" w:hAnsi="Arial"/>
          <w:sz w:val="18"/>
          <w:szCs w:val="18"/>
          <w:b w:val="1"/>
          <w:bCs w:val="1"/>
          <w:i w:val="1"/>
          <w:iCs w:val="1"/>
          <w:color w:val="auto"/>
        </w:rPr>
        <w:t>Plan Effective Date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709"/>
        <w:spacing w:after="0" w:line="255" w:lineRule="auto"/>
        <w:tabs>
          <w:tab w:leader="none" w:pos="12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Sections 15 (Fees and Expenses), 16 (Consents and Acknowledgments), 18 (Survival of Agreement), 19 (Settlement), 20 (Relationship Among Parties), 21 (Specific Performance), 22 (Governing Law and Consent to Jurisdiction and Venue), 23 (WAIVER OF RIGHT TO TRIAL BY JURY), 24 (Successors and Assigns), 25 (No Third-Party Beneficiaries), 26 (Notices), 28 (Amendments), 29 (Reservation of Rights), 30 (Counterparts), 31 (Public Disclosure), 32 (Creditors’ Committee), 33 (Severability), 35 (Time Periods), 36 (Headings), 37 (Interpretation) and 38 (Remedies Cumulative; No Waiver) be, and each of them hereby is,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such provisions were set forth fully herein.</w:t>
      </w:r>
    </w:p>
    <w:p>
      <w:pPr>
        <w:spacing w:after="0" w:line="193" w:lineRule="exact"/>
        <w:rPr>
          <w:rFonts w:ascii="Arial" w:cs="Arial" w:eastAsia="Arial" w:hAnsi="Arial"/>
          <w:sz w:val="18"/>
          <w:szCs w:val="18"/>
          <w:color w:val="auto"/>
        </w:rPr>
      </w:pPr>
    </w:p>
    <w:p>
      <w:pPr>
        <w:ind w:left="4" w:right="20" w:firstLine="709"/>
        <w:spacing w:after="0" w:line="312" w:lineRule="auto"/>
        <w:tabs>
          <w:tab w:leader="none" w:pos="1297"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This First Amendment, together with the Restructuring Support Agreement, as amended hereby, constitute the complete and exclusive statement of agreement among the Debtors and the Required Consenting Noteholders with respect to the subject matter hereof and thereof, and supersede all prior written and oral statements by and among the Debtors and the Required Consenting Noteholders or any of them.</w:t>
      </w:r>
    </w:p>
    <w:p>
      <w:pPr>
        <w:spacing w:after="0" w:line="146" w:lineRule="exact"/>
        <w:rPr>
          <w:rFonts w:ascii="Arial" w:cs="Arial" w:eastAsia="Arial" w:hAnsi="Arial"/>
          <w:sz w:val="16"/>
          <w:szCs w:val="16"/>
          <w:color w:val="auto"/>
        </w:rPr>
      </w:pPr>
    </w:p>
    <w:p>
      <w:pPr>
        <w:ind w:left="1304" w:hanging="591"/>
        <w:spacing w:after="0"/>
        <w:tabs>
          <w:tab w:leader="none" w:pos="13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Except as specifically amended hereby, the Restructuring Support Agreement shall remain in full force and effect.</w:t>
      </w:r>
    </w:p>
    <w:p>
      <w:pPr>
        <w:spacing w:after="0" w:line="225" w:lineRule="exact"/>
        <w:rPr>
          <w:sz w:val="20"/>
          <w:szCs w:val="20"/>
          <w:color w:val="auto"/>
        </w:rPr>
      </w:pPr>
    </w:p>
    <w:p>
      <w:pPr>
        <w:jc w:val="center"/>
        <w:ind w:right="616"/>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set forth above.</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 Bausch</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-130810</wp:posOffset>
            </wp:positionV>
            <wp:extent cx="32670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WEATHERFORD INTERNATIONAL LTD.</w:t>
      </w:r>
    </w:p>
    <w:p>
      <w:pPr>
        <w:spacing w:after="0" w:line="200" w:lineRule="exact"/>
        <w:rPr>
          <w:sz w:val="20"/>
          <w:szCs w:val="20"/>
          <w:color w:val="auto"/>
        </w:rPr>
      </w:pPr>
    </w:p>
    <w:p>
      <w:pPr>
        <w:spacing w:after="0" w:line="245"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 Bausch</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-130810</wp:posOffset>
            </wp:positionV>
            <wp:extent cx="32670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President &amp; Chief Financial Officer</w:t>
      </w: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WEATHERFORD INTERNATIONAL, LLC</w:t>
      </w:r>
    </w:p>
    <w:p>
      <w:pPr>
        <w:spacing w:after="0" w:line="200" w:lineRule="exact"/>
        <w:rPr>
          <w:sz w:val="20"/>
          <w:szCs w:val="20"/>
          <w:color w:val="auto"/>
        </w:rPr>
      </w:pPr>
    </w:p>
    <w:p>
      <w:pPr>
        <w:spacing w:after="0" w:line="245"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 Bausch</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-130810</wp:posOffset>
            </wp:positionV>
            <wp:extent cx="32670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Authorized Governing Person</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Amendment to 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218440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60"/>
          </w:cols>
          <w:pgMar w:left="1100" w:top="337" w:right="1239" w:bottom="1440" w:gutter="0" w:footer="0" w:header="0"/>
        </w:sectPr>
      </w:pPr>
    </w:p>
    <w:bookmarkStart w:id="108" w:name="page109"/>
    <w:bookmarkEnd w:id="108"/>
    <w:p>
      <w:pPr>
        <w:ind w:left="4520"/>
        <w:spacing w:after="0"/>
        <w:rPr>
          <w:sz w:val="20"/>
          <w:szCs w:val="20"/>
          <w:color w:val="auto"/>
        </w:rPr>
      </w:pPr>
      <w:r>
        <w:rPr>
          <w:rFonts w:ascii="Arial" w:cs="Arial" w:eastAsia="Arial" w:hAnsi="Arial"/>
          <w:sz w:val="17"/>
          <w:szCs w:val="17"/>
          <w:b w:val="1"/>
          <w:bCs w:val="1"/>
          <w:color w:val="auto"/>
        </w:rPr>
        <w:t>[CONSENTING NOTEHOLDER SIGNATURES]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to 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This FORBEARANCE AGREEMENT (as may be amended, supplemented or otherwise modified,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 2019, is by and among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WOFS ASSURANCE LIMITED, a Bermuda exempted company (“</w:t>
      </w:r>
      <w:r>
        <w:rPr>
          <w:rFonts w:ascii="Arial" w:cs="Arial" w:eastAsia="Arial" w:hAnsi="Arial"/>
          <w:sz w:val="17"/>
          <w:szCs w:val="17"/>
          <w:u w:val="single" w:color="auto"/>
          <w:color w:val="auto"/>
        </w:rPr>
        <w:t>WOFS</w:t>
      </w:r>
      <w:r>
        <w:rPr>
          <w:rFonts w:ascii="Arial" w:cs="Arial" w:eastAsia="Arial" w:hAnsi="Arial"/>
          <w:sz w:val="17"/>
          <w:szCs w:val="17"/>
          <w:color w:val="auto"/>
        </w:rPr>
        <w:t>”, and together with WIL-Bermuda, the “</w:t>
      </w:r>
      <w:r>
        <w:rPr>
          <w:rFonts w:ascii="Arial" w:cs="Arial" w:eastAsia="Arial" w:hAnsi="Arial"/>
          <w:sz w:val="17"/>
          <w:szCs w:val="17"/>
          <w:u w:val="single" w:color="auto"/>
          <w:color w:val="auto"/>
        </w:rPr>
        <w:t>Borrowers</w:t>
      </w:r>
      <w:r>
        <w:rPr>
          <w:rFonts w:ascii="Arial" w:cs="Arial" w:eastAsia="Arial" w:hAnsi="Arial"/>
          <w:sz w:val="17"/>
          <w:szCs w:val="17"/>
          <w:color w:val="auto"/>
        </w:rPr>
        <w:t>”), WEATHERFORD INTERNATIONAL PLC, an Irish public limited company (“</w:t>
      </w:r>
      <w:r>
        <w:rPr>
          <w:rFonts w:ascii="Arial" w:cs="Arial" w:eastAsia="Arial" w:hAnsi="Arial"/>
          <w:sz w:val="17"/>
          <w:szCs w:val="17"/>
          <w:u w:val="single" w:color="auto"/>
          <w:color w:val="auto"/>
        </w:rPr>
        <w:t>WIL-Ireland</w:t>
      </w:r>
      <w:r>
        <w:rPr>
          <w:rFonts w:ascii="Arial" w:cs="Arial" w:eastAsia="Arial" w:hAnsi="Arial"/>
          <w:sz w:val="17"/>
          <w:szCs w:val="17"/>
          <w:color w:val="auto"/>
        </w:rPr>
        <w:t>”), each of the Guarantors in their capacities as such (together with the Borrowers and WIL-Ireland, the “</w:t>
      </w:r>
      <w:r>
        <w:rPr>
          <w:rFonts w:ascii="Arial" w:cs="Arial" w:eastAsia="Arial" w:hAnsi="Arial"/>
          <w:sz w:val="17"/>
          <w:szCs w:val="17"/>
          <w:u w:val="single" w:color="auto"/>
          <w:color w:val="auto"/>
        </w:rPr>
        <w:t>Obligors</w:t>
      </w:r>
      <w:r>
        <w:rPr>
          <w:rFonts w:ascii="Arial" w:cs="Arial" w:eastAsia="Arial" w:hAnsi="Arial"/>
          <w:sz w:val="17"/>
          <w:szCs w:val="17"/>
          <w:color w:val="auto"/>
        </w:rPr>
        <w:t>”), the Lenders (as defined below) party hereto from time to time and JPMORGAN 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Issuing Banks party hereto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WHEREAS, the Borrowers, WIL-Ireland, the lending and other financial institutions from time to time party thereto as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the Issuing Banks, and the Administrative Agent are parties to the Amended and Restated Credit Agreement, dated as of May 9, 2016 (as amended by that certain Amendment No. 1 to Amended and Restated Credit Agreement dated as of July 19, 2016, by that certain Amendment No. 2 to Amended and Restated Credit Agreement dated as of April 17, 2017, by that certain Amendment No. 3 to the Amended and Restated Credit Agreement dated as of August 16, 2018, and as further amended, supplemented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5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WHEREAS, pursuant to the Credit Agreement, the Issuing Banks and the Lenders have made certain loans and other extensions of credit to, or for the account of, the Borrowers.</w:t>
      </w:r>
    </w:p>
    <w:p>
      <w:pPr>
        <w:spacing w:after="0" w:line="170"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WHEREAS, each of the Obligors hereby acknowledges and agrees that as of the date hereof certain Defaults and Events of Default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have occurred under the Credit Agreement and that after the date hereof certain Defaults and Events of Default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occur under the Credit Agreement (such Defaults and Events of Default, solely as they exist for the reasons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 the “</w:t>
      </w:r>
      <w:r>
        <w:rPr>
          <w:rFonts w:ascii="Arial" w:cs="Arial" w:eastAsia="Arial" w:hAnsi="Arial"/>
          <w:sz w:val="18"/>
          <w:szCs w:val="18"/>
          <w:u w:val="single" w:color="auto"/>
          <w:color w:val="auto"/>
        </w:rPr>
        <w:t>Specified Events of Default</w:t>
      </w:r>
      <w:r>
        <w:rPr>
          <w:rFonts w:ascii="Arial" w:cs="Arial" w:eastAsia="Arial" w:hAnsi="Arial"/>
          <w:sz w:val="18"/>
          <w:szCs w:val="18"/>
          <w:color w:val="auto"/>
        </w:rPr>
        <w:t>”).</w:t>
      </w:r>
    </w:p>
    <w:p>
      <w:pPr>
        <w:spacing w:after="0" w:line="187"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WHEREAS, (i) as a result of the occurrence of the Specified Events of Default under the Credit Agreement, the Administrative Agent, the Issuing Banks and the Lenders are entitled to exercise at any time their rights and remedies and to commence enforcement, litigation and collection actions under the Credit Agreement, the other Loan Documents and applicable law, including without limitation, to terminate the Commitments, to set off funds, demand cash collateralization of all issued and outstanding Letters of Credit and to declare to be immediately due and payable the principal amount of the Loans now outstanding, all accrued interest, fees and the other obligations of the Obligors accrued under the Credit Agreement and the other Loan Documents (such rights, remedies and actions, other than as described in the following clause (ii), collectively, the “</w:t>
      </w:r>
      <w:r>
        <w:rPr>
          <w:rFonts w:ascii="Arial" w:cs="Arial" w:eastAsia="Arial" w:hAnsi="Arial"/>
          <w:sz w:val="16"/>
          <w:szCs w:val="16"/>
          <w:u w:val="single" w:color="auto"/>
          <w:color w:val="auto"/>
        </w:rPr>
        <w:t>Enforcement Actions</w:t>
      </w:r>
      <w:r>
        <w:rPr>
          <w:rFonts w:ascii="Arial" w:cs="Arial" w:eastAsia="Arial" w:hAnsi="Arial"/>
          <w:sz w:val="16"/>
          <w:szCs w:val="16"/>
          <w:color w:val="auto"/>
        </w:rPr>
        <w:t>”), in each case in accordance with the Loan Documents and applicable law and (ii) as a result of the Specified Event of Default under Section 9.01(j) of the Credit Agreement, the Commitments shall automatically terminate and the Loans and other Obligations then outstanding shall automatically become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ind w:right="20" w:firstLine="1297"/>
        <w:spacing w:after="0" w:line="257" w:lineRule="auto"/>
        <w:rPr>
          <w:sz w:val="20"/>
          <w:szCs w:val="20"/>
          <w:color w:val="auto"/>
        </w:rPr>
      </w:pPr>
      <w:r>
        <w:rPr>
          <w:rFonts w:ascii="Arial" w:cs="Arial" w:eastAsia="Arial" w:hAnsi="Arial"/>
          <w:sz w:val="18"/>
          <w:szCs w:val="18"/>
          <w:color w:val="auto"/>
        </w:rPr>
        <w:t>WHEREAS, the Borrowers have requested that the Administrative Agent, the Lenders and the Issuing Banks agree to forbear from taking any Enforcement Actions to afford WIL-Ireland, WIL-Bermuda and Weatherford International, LLC (“</w:t>
      </w:r>
      <w:r>
        <w:rPr>
          <w:rFonts w:ascii="Arial" w:cs="Arial" w:eastAsia="Arial" w:hAnsi="Arial"/>
          <w:sz w:val="18"/>
          <w:szCs w:val="18"/>
          <w:u w:val="single" w:color="auto"/>
          <w:color w:val="auto"/>
        </w:rPr>
        <w:t>WIL-Delaware</w:t>
      </w:r>
      <w:r>
        <w:rPr>
          <w:rFonts w:ascii="Arial" w:cs="Arial" w:eastAsia="Arial" w:hAnsi="Arial"/>
          <w:sz w:val="18"/>
          <w:szCs w:val="18"/>
          <w:color w:val="auto"/>
        </w:rPr>
        <w:t>” and together with WIL-Ireland and WIL-Bermuda, the “</w:t>
      </w:r>
      <w:r>
        <w:rPr>
          <w:rFonts w:ascii="Arial" w:cs="Arial" w:eastAsia="Arial" w:hAnsi="Arial"/>
          <w:sz w:val="18"/>
          <w:szCs w:val="18"/>
          <w:u w:val="single" w:color="auto"/>
          <w:color w:val="auto"/>
        </w:rPr>
        <w:t>Debtors</w:t>
      </w:r>
      <w:r>
        <w:rPr>
          <w:rFonts w:ascii="Arial" w:cs="Arial" w:eastAsia="Arial" w:hAnsi="Arial"/>
          <w:sz w:val="18"/>
          <w:szCs w:val="18"/>
          <w:color w:val="auto"/>
        </w:rPr>
        <w:t>”) an opportunity to pursue a financial restructuring in accordance with the restructuring support agreement, dated as of May 10, 2019 (as amended, supplemented or otherwise modified from time to time, subject to the terms hereof, the “</w:t>
      </w:r>
      <w:r>
        <w:rPr>
          <w:rFonts w:ascii="Arial" w:cs="Arial" w:eastAsia="Arial" w:hAnsi="Arial"/>
          <w:sz w:val="18"/>
          <w:szCs w:val="18"/>
          <w:u w:val="single" w:color="auto"/>
          <w:color w:val="auto"/>
        </w:rPr>
        <w:t>RSA</w:t>
      </w:r>
      <w:r>
        <w:rPr>
          <w:rFonts w:ascii="Arial" w:cs="Arial" w:eastAsia="Arial" w:hAnsi="Arial"/>
          <w:sz w:val="18"/>
          <w:szCs w:val="18"/>
          <w:color w:val="auto"/>
        </w:rPr>
        <w:t>”), with the holders of Existing Senior Notes (the “</w:t>
      </w:r>
      <w:r>
        <w:rPr>
          <w:rFonts w:ascii="Arial" w:cs="Arial" w:eastAsia="Arial" w:hAnsi="Arial"/>
          <w:sz w:val="18"/>
          <w:szCs w:val="18"/>
          <w:u w:val="single" w:color="auto"/>
          <w:color w:val="auto"/>
        </w:rPr>
        <w:t>Noteholders</w:t>
      </w:r>
      <w:r>
        <w:rPr>
          <w:rFonts w:ascii="Arial" w:cs="Arial" w:eastAsia="Arial" w:hAnsi="Arial"/>
          <w:sz w:val="18"/>
          <w:szCs w:val="18"/>
          <w:color w:val="auto"/>
        </w:rPr>
        <w:t>”) issued pursuant to the Existing Senior Notes Indentures.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Lenders hereto have agreed to such request, subject to the terms and provisions set forth in this Agreement.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in consideration of the premises herein contained and for other good and valuable consideration, the receipt of which is hereby acknowledged, the parties hereto agree as follows:</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capitalized terms are used herein as defined in the Credit Agreement and the following terms shall have the following meanings:</w:t>
      </w:r>
    </w:p>
    <w:p>
      <w:pPr>
        <w:spacing w:after="0" w:line="170" w:lineRule="exact"/>
        <w:rPr>
          <w:sz w:val="20"/>
          <w:szCs w:val="20"/>
          <w:color w:val="auto"/>
        </w:rPr>
      </w:pPr>
    </w:p>
    <w:p>
      <w:pPr>
        <w:ind w:left="660" w:right="180" w:firstLine="645"/>
        <w:spacing w:after="0" w:line="264" w:lineRule="auto"/>
        <w:tabs>
          <w:tab w:leader="none" w:pos="19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Plan</w:t>
      </w:r>
      <w:r>
        <w:rPr>
          <w:rFonts w:ascii="Arial" w:cs="Arial" w:eastAsia="Arial" w:hAnsi="Arial"/>
          <w:sz w:val="18"/>
          <w:szCs w:val="18"/>
          <w:color w:val="auto"/>
        </w:rPr>
        <w:t>” shall mean a plan of reorganization of the Debtors that provides for (i) Payment in Full, including all accrued and unpaid interest payable pursuant to Section 4.4 below, no later than the effective date of such plan and (ii) releases for the holders of the Guaranteed Obligations in form and substance reasonably satisfactory to the Required Lenders.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Unites Sates Code, 11 U.S.C. § § 101-1532 (as amended).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Southern District of Texas.</w:t>
      </w:r>
    </w:p>
    <w:p>
      <w:pPr>
        <w:spacing w:after="0" w:line="225"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means the jointly-administered voluntary cases to be commenced by the Debtors under chapter 11 of the Bankruptcy Code in the Bankruptcy Court.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Order</w:t>
      </w:r>
      <w:r>
        <w:rPr>
          <w:rFonts w:ascii="Arial" w:cs="Arial" w:eastAsia="Arial" w:hAnsi="Arial"/>
          <w:sz w:val="18"/>
          <w:szCs w:val="18"/>
          <w:color w:val="auto"/>
        </w:rPr>
        <w:t>” means an order of the Bankruptcy Court approving a plan of reorganization.</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9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w:t>
      </w:r>
      <w:r>
        <w:rPr>
          <w:rFonts w:ascii="Arial" w:cs="Arial" w:eastAsia="Arial" w:hAnsi="Arial"/>
          <w:sz w:val="18"/>
          <w:szCs w:val="18"/>
          <w:color w:val="auto"/>
        </w:rPr>
        <w:t>” has the meaning specified in the RSA as in effect on the date hereof, which shall not exceed $1.75 billion in aggregate principal amount.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Examinership Proceeding</w:t>
      </w:r>
      <w:r>
        <w:rPr>
          <w:rFonts w:ascii="Arial" w:cs="Arial" w:eastAsia="Arial" w:hAnsi="Arial"/>
          <w:sz w:val="18"/>
          <w:szCs w:val="18"/>
          <w:color w:val="auto"/>
        </w:rPr>
        <w:t>” has the meaning specified in the RSA as in effect on the date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Facility Documents</w:t>
      </w:r>
      <w:r>
        <w:rPr>
          <w:rFonts w:ascii="Arial" w:cs="Arial" w:eastAsia="Arial" w:hAnsi="Arial"/>
          <w:sz w:val="18"/>
          <w:szCs w:val="18"/>
          <w:color w:val="auto"/>
        </w:rPr>
        <w:t>” has the meaning specified in the RSA as in effect on the date hereof.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1" w:name="page112"/>
    <w:bookmarkEnd w:id="111"/>
    <w:p>
      <w:pPr>
        <w:ind w:left="1980" w:hanging="675"/>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Court</w:t>
      </w:r>
      <w:r>
        <w:rPr>
          <w:rFonts w:ascii="Arial" w:cs="Arial" w:eastAsia="Arial" w:hAnsi="Arial"/>
          <w:sz w:val="18"/>
          <w:szCs w:val="18"/>
          <w:color w:val="auto"/>
        </w:rPr>
        <w:t>” means the Irish High Court in which WIL-Ireland will commence the Examinership Proceeding.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Scheme Approval Order</w:t>
      </w:r>
      <w:r>
        <w:rPr>
          <w:rFonts w:ascii="Arial" w:cs="Arial" w:eastAsia="Arial" w:hAnsi="Arial"/>
          <w:sz w:val="18"/>
          <w:szCs w:val="18"/>
          <w:color w:val="auto"/>
        </w:rPr>
        <w:t>” means an order of an Irish Court sanctioning the Scheme of Arrangement.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Scheme of Arrangement</w:t>
      </w:r>
      <w:r>
        <w:rPr>
          <w:rFonts w:ascii="Arial" w:cs="Arial" w:eastAsia="Arial" w:hAnsi="Arial"/>
          <w:sz w:val="18"/>
          <w:szCs w:val="18"/>
          <w:color w:val="auto"/>
        </w:rPr>
        <w:t>” has the meaning specified in the RSA as in effect on the date hereof.</w:t>
      </w:r>
    </w:p>
    <w:p>
      <w:pPr>
        <w:spacing w:after="0" w:line="22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ACKNOWLEDGEMENTS.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Amount of Obligations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Obligor acknowledges and agrees that (i) as of July 1, 2019, the Guaranteed Obligations included, without limitation, the amounts set forth on </w:t>
      </w:r>
      <w:r>
        <w:rPr>
          <w:rFonts w:ascii="Arial" w:cs="Arial" w:eastAsia="Arial" w:hAnsi="Arial"/>
          <w:sz w:val="16"/>
          <w:szCs w:val="16"/>
          <w:u w:val="single" w:color="auto"/>
          <w:color w:val="auto"/>
        </w:rPr>
        <w:t>Schedule</w:t>
      </w:r>
    </w:p>
    <w:p>
      <w:pPr>
        <w:spacing w:after="0" w:line="46" w:lineRule="exact"/>
        <w:rPr>
          <w:sz w:val="20"/>
          <w:szCs w:val="20"/>
          <w:color w:val="auto"/>
        </w:rPr>
      </w:pPr>
    </w:p>
    <w:p>
      <w:pPr>
        <w:ind w:right="20" w:firstLine="8"/>
        <w:spacing w:after="0" w:line="269" w:lineRule="auto"/>
        <w:tabs>
          <w:tab w:leader="none" w:pos="165" w:val="left"/>
        </w:tabs>
        <w:numPr>
          <w:ilvl w:val="0"/>
          <w:numId w:val="96"/>
        </w:numPr>
        <w:rPr>
          <w:rFonts w:ascii="Arial" w:cs="Arial" w:eastAsia="Arial" w:hAnsi="Arial"/>
          <w:sz w:val="17"/>
          <w:szCs w:val="17"/>
          <w:u w:val="single" w:color="auto"/>
          <w:color w:val="auto"/>
        </w:rPr>
      </w:pPr>
      <w:r>
        <w:rPr>
          <w:rFonts w:ascii="Arial" w:cs="Arial" w:eastAsia="Arial" w:hAnsi="Arial"/>
          <w:sz w:val="17"/>
          <w:szCs w:val="17"/>
          <w:color w:val="auto"/>
        </w:rPr>
        <w:t>attached hereto on account of (A) the outstanding unpaid amount of principal of, accrued and unpaid interest on, and fees and commissions related to, the Loans, (B) the aggregate principal balance of the outstanding Total LC Exposure under the Credit Agreement and all related fees, (C) the aggregate unpaid Banking Services Obligations, and (D) the aggregate unpaid Swap Obligations (if any), and (ii) such Obligor is indebted to the Credit Parties (or, to the extent applicable with respect to the Swap Obligations and Banking Services Obligations, their Affiliates), to the extent provided in the Guaranty Agreements, for such Guaranteed Obligations (including the LC Exposure) and all other Guaranteed Obligations, without defense, counterclaim or offset of any kind (other than the defense that Payment in Full has occurred), and such Obligor ratifies and reaffirms the validity, enforceability and binding nature of all such Guaranteed Obligations to the extent provided in the Guaranty Agreements.</w:t>
      </w:r>
    </w:p>
    <w:p>
      <w:pPr>
        <w:spacing w:after="0" w:line="181"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Events of Default</w:t>
      </w:r>
      <w:r>
        <w:rPr>
          <w:rFonts w:ascii="Arial" w:cs="Arial" w:eastAsia="Arial" w:hAnsi="Arial"/>
          <w:sz w:val="17"/>
          <w:szCs w:val="17"/>
          <w:color w:val="auto"/>
        </w:rPr>
        <w:t>. Each Obligor acknowledges and agrees that (a)(i) Specified Events of Default exist, and will continue to exist, after the Forbearance Effective Date (as defined below) and (ii) no other Default or Event of Default has occurred and continues to exist as of the Forbearance Effective Date and (b) absent the agreement of the Credit Parties to forbear from taking Enforcement Actions as provided in this Agreement, the occurrence of the Specified Events of Default entitles one or more Credit Parties at any time to take one or more Enforcement Actions.</w:t>
      </w:r>
    </w:p>
    <w:p>
      <w:pPr>
        <w:spacing w:after="0" w:line="17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Guarantee</w:t>
      </w:r>
      <w:r>
        <w:rPr>
          <w:rFonts w:ascii="Arial" w:cs="Arial" w:eastAsia="Arial" w:hAnsi="Arial"/>
          <w:sz w:val="18"/>
          <w:szCs w:val="18"/>
          <w:color w:val="auto"/>
        </w:rPr>
        <w:t>. Each Obligor ratifies and reaffirms the validity and enforceability (without defense, counterclaim or offset of any kind (other than the defense that Payment in Full has occurred)) of the Guarantees granted in support of the Guaranteed Obligations by such Obligor to the Administrative Agent, for the benefit of the Lenders, pursuant to the Guaranty Agreements to which such Obligor is a party. Each Obligor acknowledges and agrees that all such Guarantees provided by such Obligor continue to guarantee the Guaranteed Obligations to the extent provided in the Guaranty Agreements notwithstanding the occurrence of the Forbearance Effective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2" w:name="page113"/>
    <w:bookmarkEnd w:id="112"/>
    <w:p>
      <w:pPr>
        <w:ind w:left="100"/>
        <w:spacing w:after="0"/>
        <w:tabs>
          <w:tab w:leader="none" w:pos="14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FORBEARANCE</w:t>
      </w:r>
      <w:r>
        <w:rPr>
          <w:rFonts w:ascii="Arial" w:cs="Arial" w:eastAsia="Arial" w:hAnsi="Arial"/>
          <w:sz w:val="17"/>
          <w:szCs w:val="17"/>
          <w:color w:val="auto"/>
        </w:rPr>
        <w:t>.</w:t>
      </w:r>
    </w:p>
    <w:p>
      <w:pPr>
        <w:spacing w:after="0" w:line="22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Forbearance Period</w:t>
      </w:r>
      <w:r>
        <w:rPr>
          <w:rFonts w:ascii="Arial" w:cs="Arial" w:eastAsia="Arial" w:hAnsi="Arial"/>
          <w:sz w:val="16"/>
          <w:szCs w:val="16"/>
          <w:color w:val="auto"/>
        </w:rPr>
        <w:t>.</w:t>
      </w:r>
    </w:p>
    <w:p>
      <w:pPr>
        <w:spacing w:after="0" w:line="225" w:lineRule="exact"/>
        <w:rPr>
          <w:sz w:val="20"/>
          <w:szCs w:val="20"/>
          <w:color w:val="auto"/>
        </w:rPr>
      </w:pPr>
    </w:p>
    <w:p>
      <w:pPr>
        <w:ind w:left="-540" w:firstLine="645"/>
        <w:spacing w:after="0" w:line="276" w:lineRule="auto"/>
        <w:tabs>
          <w:tab w:leader="none" w:pos="754"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Credit Parties shall forbear from taking any Enforcement Actions as a result of the occurrence of the Specified Events of Default during the period from and including the Forbearance Effective Date until, the Administrative Agent, on behalf of the Credit Parties, or at the request of the Required Lenders provides a notice of termination to the Borrowers or any other Obligor after the earliest to occur of any of the following events (each such event, a “</w:t>
      </w:r>
      <w:r>
        <w:rPr>
          <w:rFonts w:ascii="Arial" w:cs="Arial" w:eastAsia="Arial" w:hAnsi="Arial"/>
          <w:sz w:val="17"/>
          <w:szCs w:val="17"/>
          <w:u w:val="single" w:color="auto"/>
          <w:color w:val="auto"/>
        </w:rPr>
        <w:t>Forbearance Termination Event</w:t>
      </w:r>
      <w:r>
        <w:rPr>
          <w:rFonts w:ascii="Arial" w:cs="Arial" w:eastAsia="Arial" w:hAnsi="Arial"/>
          <w:sz w:val="17"/>
          <w:szCs w:val="17"/>
          <w:color w:val="auto"/>
        </w:rPr>
        <w:t>”; the date of delivery of such notice, the “</w:t>
      </w:r>
      <w:r>
        <w:rPr>
          <w:rFonts w:ascii="Arial" w:cs="Arial" w:eastAsia="Arial" w:hAnsi="Arial"/>
          <w:sz w:val="17"/>
          <w:szCs w:val="17"/>
          <w:u w:val="single" w:color="auto"/>
          <w:color w:val="auto"/>
        </w:rPr>
        <w:t>Forbearance Termination Date</w:t>
      </w:r>
      <w:r>
        <w:rPr>
          <w:rFonts w:ascii="Arial" w:cs="Arial" w:eastAsia="Arial" w:hAnsi="Arial"/>
          <w:sz w:val="17"/>
          <w:szCs w:val="17"/>
          <w:color w:val="auto"/>
        </w:rPr>
        <w:t>”; and such period, the “</w:t>
      </w:r>
      <w:r>
        <w:rPr>
          <w:rFonts w:ascii="Arial" w:cs="Arial" w:eastAsia="Arial" w:hAnsi="Arial"/>
          <w:sz w:val="17"/>
          <w:szCs w:val="17"/>
          <w:u w:val="single" w:color="auto"/>
          <w:color w:val="auto"/>
        </w:rPr>
        <w:t>Forbearance Period</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400" w:right="80" w:hanging="647"/>
        <w:spacing w:after="0" w:line="277" w:lineRule="auto"/>
        <w:tabs>
          <w:tab w:leader="none" w:pos="1394" w:val="left"/>
        </w:tabs>
        <w:numPr>
          <w:ilvl w:val="1"/>
          <w:numId w:val="97"/>
        </w:numPr>
        <w:rPr>
          <w:rFonts w:ascii="Arial" w:cs="Arial" w:eastAsia="Arial" w:hAnsi="Arial"/>
          <w:sz w:val="18"/>
          <w:szCs w:val="18"/>
          <w:color w:val="auto"/>
        </w:rPr>
      </w:pPr>
      <w:r>
        <w:rPr>
          <w:rFonts w:ascii="Arial" w:cs="Arial" w:eastAsia="Arial" w:hAnsi="Arial"/>
          <w:sz w:val="18"/>
          <w:szCs w:val="18"/>
          <w:color w:val="auto"/>
        </w:rPr>
        <w:t>11:59 p.m. (New York City time) on the earlier of (x) date set forth in Section 11 of the RSA and (y) December 31, 2019 (either such date, the “</w:t>
      </w:r>
      <w:r>
        <w:rPr>
          <w:rFonts w:ascii="Arial" w:cs="Arial" w:eastAsia="Arial" w:hAnsi="Arial"/>
          <w:sz w:val="18"/>
          <w:szCs w:val="18"/>
          <w:u w:val="single" w:color="auto"/>
          <w:color w:val="auto"/>
        </w:rPr>
        <w:t>RSA Termination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11:59 p.m. (New York City time) on July 15, 2019 if the Debtors have not commenced the Chapter 11 Cases;</w:t>
      </w:r>
    </w:p>
    <w:p>
      <w:pPr>
        <w:spacing w:after="0" w:line="225" w:lineRule="exact"/>
        <w:rPr>
          <w:rFonts w:ascii="Arial" w:cs="Arial" w:eastAsia="Arial" w:hAnsi="Arial"/>
          <w:sz w:val="18"/>
          <w:szCs w:val="18"/>
          <w:color w:val="auto"/>
        </w:rPr>
      </w:pPr>
    </w:p>
    <w:p>
      <w:pPr>
        <w:ind w:left="1400" w:right="380" w:hanging="647"/>
        <w:spacing w:after="0" w:line="264" w:lineRule="auto"/>
        <w:tabs>
          <w:tab w:leader="none" w:pos="14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RSA (as in effect on the date hereof) is either terminated or modified in a manner that is adverse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extending the RSA Termination Date to a date not later than December 31, 2019 shall not constitute a modification that is adverse to the Lenders;</w:t>
      </w:r>
    </w:p>
    <w:p>
      <w:pPr>
        <w:spacing w:after="0" w:line="181" w:lineRule="exact"/>
        <w:rPr>
          <w:rFonts w:ascii="Arial" w:cs="Arial" w:eastAsia="Arial" w:hAnsi="Arial"/>
          <w:sz w:val="18"/>
          <w:szCs w:val="18"/>
          <w:color w:val="auto"/>
        </w:rPr>
      </w:pPr>
    </w:p>
    <w:p>
      <w:pPr>
        <w:ind w:left="1400" w:right="20" w:hanging="647"/>
        <w:spacing w:after="0" w:line="253" w:lineRule="auto"/>
        <w:tabs>
          <w:tab w:leader="none" w:pos="139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The Borrower shall not have delivered to the Lenders on or before November 15, 2019, an executed and binding commitment letter in respect of the exit revolving credit facility in the principal amount of not less than $750,000,000 (or such other amount as set forth in an Acceptable Plan), including a letter of credit sublimit of up to $500,000,000, from one or more creditworthy financial institutions which provides financings of this type in the ordinary course of its business and which is reasonably capable of fulfilling its commitment and with such conditions to funding that are customary for financings of this type (the “</w:t>
      </w:r>
      <w:r>
        <w:rPr>
          <w:rFonts w:ascii="Arial" w:cs="Arial" w:eastAsia="Arial" w:hAnsi="Arial"/>
          <w:sz w:val="18"/>
          <w:szCs w:val="18"/>
          <w:u w:val="single" w:color="auto"/>
          <w:color w:val="auto"/>
        </w:rPr>
        <w:t>Revolver Exit Commitment</w:t>
      </w:r>
      <w:r>
        <w:rPr>
          <w:rFonts w:ascii="Arial" w:cs="Arial" w:eastAsia="Arial" w:hAnsi="Arial"/>
          <w:sz w:val="18"/>
          <w:szCs w:val="18"/>
          <w:color w:val="auto"/>
        </w:rPr>
        <w:t>”) or (B) either of the Revolver Exit Commitment or the Notes Exit Commitment (as defined below) is terminated or modified in a manner that reduces the amount of the commitment thereunder, incorporates new material conditions to closing or funding thereunder or otherwise makes funding thereunder materially less certain;</w:t>
      </w:r>
    </w:p>
    <w:p>
      <w:pPr>
        <w:spacing w:after="0" w:line="197" w:lineRule="exact"/>
        <w:rPr>
          <w:rFonts w:ascii="Arial" w:cs="Arial" w:eastAsia="Arial" w:hAnsi="Arial"/>
          <w:sz w:val="18"/>
          <w:szCs w:val="18"/>
          <w:color w:val="auto"/>
        </w:rPr>
      </w:pPr>
    </w:p>
    <w:p>
      <w:pPr>
        <w:ind w:left="1400" w:right="220" w:hanging="647"/>
        <w:spacing w:after="0" w:line="277" w:lineRule="auto"/>
        <w:tabs>
          <w:tab w:leader="none" w:pos="1394"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occurrence of an Event of Default under, and as defined in, the credit agreement governing the DIP Financing (the “</w:t>
      </w:r>
      <w:r>
        <w:rPr>
          <w:rFonts w:ascii="Arial" w:cs="Arial" w:eastAsia="Arial" w:hAnsi="Arial"/>
          <w:sz w:val="18"/>
          <w:szCs w:val="18"/>
          <w:u w:val="single" w:color="auto"/>
          <w:color w:val="auto"/>
        </w:rPr>
        <w:t>DIP Agreement</w:t>
      </w:r>
      <w:r>
        <w:rPr>
          <w:rFonts w:ascii="Arial" w:cs="Arial" w:eastAsia="Arial" w:hAnsi="Arial"/>
          <w:sz w:val="18"/>
          <w:szCs w:val="18"/>
          <w:color w:val="auto"/>
        </w:rPr>
        <w:t>”);</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60"/>
          </w:cols>
          <w:pgMar w:left="1440" w:top="341" w:right="299" w:bottom="1440" w:gutter="0" w:footer="0" w:header="0"/>
        </w:sectPr>
      </w:pPr>
    </w:p>
    <w:bookmarkStart w:id="113" w:name="page114"/>
    <w:bookmarkEnd w:id="113"/>
    <w:p>
      <w:pPr>
        <w:ind w:left="1400" w:hanging="647"/>
        <w:spacing w:after="0" w:line="255" w:lineRule="auto"/>
        <w:tabs>
          <w:tab w:leader="none" w:pos="13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The interim order approving the DIP Financing does not provide for authority (I) to repay in full the Term Loan Facility and the 364-Day Revolving Facility as required under clause (vii) below or (II) to provide cash collateral for the outstanding Letters of Credit, and permit the application of such cash collateral, as required under Section 4.7 or (B) the DIP Agreement or the orders of the Bankruptcy Court approving the DIP Agreement are not reasonably satisfactory to the Required Lenders as to the matters addressed in this Agreement or have been modified in a manner that is materially adverse to the Lenders;</w:t>
      </w:r>
    </w:p>
    <w:p>
      <w:pPr>
        <w:spacing w:after="0" w:line="193" w:lineRule="exact"/>
        <w:rPr>
          <w:rFonts w:ascii="Arial" w:cs="Arial" w:eastAsia="Arial" w:hAnsi="Arial"/>
          <w:sz w:val="18"/>
          <w:szCs w:val="18"/>
          <w:color w:val="auto"/>
        </w:rPr>
      </w:pPr>
    </w:p>
    <w:p>
      <w:pPr>
        <w:ind w:left="1400" w:right="40" w:hanging="647"/>
        <w:spacing w:after="0" w:line="274" w:lineRule="auto"/>
        <w:tabs>
          <w:tab w:leader="none" w:pos="1399"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Term Loan Facility and the 364-Day Revolving Credit Facility are not repaid substantially concurrently with the date of the closing of the DIP Financing and the initial draw thereunder, which in no event shall occur later than five</w:t>
      </w:r>
    </w:p>
    <w:p>
      <w:pPr>
        <w:ind w:left="1400"/>
        <w:spacing w:after="0"/>
        <w:rPr>
          <w:rFonts w:ascii="Arial" w:cs="Arial" w:eastAsia="Arial" w:hAnsi="Arial"/>
          <w:sz w:val="17"/>
          <w:szCs w:val="17"/>
          <w:color w:val="auto"/>
        </w:rPr>
      </w:pPr>
      <w:r>
        <w:rPr>
          <w:rFonts w:ascii="Arial" w:cs="Arial" w:eastAsia="Arial" w:hAnsi="Arial"/>
          <w:sz w:val="18"/>
          <w:szCs w:val="18"/>
          <w:color w:val="auto"/>
        </w:rPr>
        <w:t>(5) Business Days after the commencement of the Chapter 11 Cases (such date, the “</w:t>
      </w:r>
      <w:r>
        <w:rPr>
          <w:rFonts w:ascii="Arial" w:cs="Arial" w:eastAsia="Arial" w:hAnsi="Arial"/>
          <w:sz w:val="18"/>
          <w:szCs w:val="18"/>
          <w:u w:val="single" w:color="auto"/>
          <w:color w:val="auto"/>
        </w:rPr>
        <w:t>DIP Funding Date</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400" w:right="280" w:hanging="647"/>
        <w:spacing w:after="0" w:line="277" w:lineRule="auto"/>
        <w:tabs>
          <w:tab w:leader="none" w:pos="140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Bankruptcy Court enters an order converting one or more of the Chapter 11 Cases to a case under chapter 7 of the Bankruptcy Code or dismissing any of the Chapter 11 Cases;</w:t>
      </w:r>
    </w:p>
    <w:p>
      <w:pPr>
        <w:spacing w:after="0" w:line="170" w:lineRule="exact"/>
        <w:rPr>
          <w:rFonts w:ascii="Arial" w:cs="Arial" w:eastAsia="Arial" w:hAnsi="Arial"/>
          <w:sz w:val="18"/>
          <w:szCs w:val="18"/>
          <w:color w:val="auto"/>
        </w:rPr>
      </w:pPr>
    </w:p>
    <w:p>
      <w:pPr>
        <w:ind w:left="1400" w:right="80" w:hanging="647"/>
        <w:spacing w:after="0" w:line="308" w:lineRule="auto"/>
        <w:tabs>
          <w:tab w:leader="none" w:pos="139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Bankruptcy Court enters an order appointing a trustee, receiver, or examiner with expanded powers beyond those set forth in section 1106(a)(3) and (4) of the Bankruptcy Code in one or more of the Chapter 11 Cases;</w:t>
      </w:r>
    </w:p>
    <w:p>
      <w:pPr>
        <w:spacing w:after="0" w:line="146" w:lineRule="exact"/>
        <w:rPr>
          <w:rFonts w:ascii="Arial" w:cs="Arial" w:eastAsia="Arial" w:hAnsi="Arial"/>
          <w:sz w:val="17"/>
          <w:szCs w:val="17"/>
          <w:color w:val="auto"/>
        </w:rPr>
      </w:pPr>
    </w:p>
    <w:p>
      <w:pPr>
        <w:ind w:left="1400" w:right="140" w:hanging="647"/>
        <w:spacing w:after="0" w:line="297" w:lineRule="auto"/>
        <w:tabs>
          <w:tab w:leader="none" w:pos="13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Either (i) any Debtor files with the Bankruptcy Court a motion, application, or adversary proceeding (or any Debtor supports any such motion, application, or adversary proceeding filed or commenced by any third party) (A) challenging the validity, enforceability, scope or priority of, or seeking avoidance or subordination of, the claims of any Credit Party or (B) asserting any other cause of action against any Credit Party or (ii) the Bankruptcy Court enters an order providing relief against any Credit Party with respect to any of the foregoing causes of action or proceedings filed by any Debtor;</w:t>
      </w:r>
    </w:p>
    <w:p>
      <w:pPr>
        <w:spacing w:after="0" w:line="158" w:lineRule="exact"/>
        <w:rPr>
          <w:rFonts w:ascii="Arial" w:cs="Arial" w:eastAsia="Arial" w:hAnsi="Arial"/>
          <w:sz w:val="16"/>
          <w:szCs w:val="16"/>
          <w:color w:val="auto"/>
        </w:rPr>
      </w:pPr>
    </w:p>
    <w:p>
      <w:pPr>
        <w:ind w:left="1400" w:right="80" w:hanging="647"/>
        <w:spacing w:after="0" w:line="342" w:lineRule="auto"/>
        <w:tabs>
          <w:tab w:leader="none" w:pos="139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filing of a plan of reorganization or liquidation with respect to the Debtors that is not an Acceptable Plan or the Debtors seek approval of a disclosure statement for a plan of reorganization or liquidation that is not an Acceptable Plan;</w:t>
      </w:r>
    </w:p>
    <w:p>
      <w:pPr>
        <w:spacing w:after="0" w:line="123" w:lineRule="exact"/>
        <w:rPr>
          <w:rFonts w:ascii="Arial" w:cs="Arial" w:eastAsia="Arial" w:hAnsi="Arial"/>
          <w:sz w:val="16"/>
          <w:szCs w:val="16"/>
          <w:color w:val="auto"/>
        </w:rPr>
      </w:pPr>
    </w:p>
    <w:p>
      <w:pPr>
        <w:ind w:left="1400" w:right="300" w:hanging="647"/>
        <w:spacing w:after="0" w:line="277" w:lineRule="auto"/>
        <w:tabs>
          <w:tab w:leader="none" w:pos="13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Bankruptcy Court enters an order in the Chapter 11 Cases terminating any of the Debtors’ exclusive right to file a plan or plans of reorganization pursuant to section 1121 of the Bankruptcy Code;</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14" w:name="page115"/>
    <w:bookmarkEnd w:id="114"/>
    <w:p>
      <w:pPr>
        <w:ind w:left="1400" w:hanging="647"/>
        <w:spacing w:after="0" w:line="259" w:lineRule="auto"/>
        <w:tabs>
          <w:tab w:leader="none" w:pos="14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Bankruptcy Court or other governmental authority with jurisdiction shall have issued any order, injunction, or other decree or taken any other action, in each case, which has become final and non-appealable and which restrains, enjoins, or otherwise prohibits the implementation of an Acceptable Plan or the effect of which would render an Acceptable Plan incapable of consummation on the terms set forth in this Agreement;</w:t>
      </w:r>
    </w:p>
    <w:p>
      <w:pPr>
        <w:spacing w:after="0" w:line="186" w:lineRule="exact"/>
        <w:rPr>
          <w:rFonts w:ascii="Arial" w:cs="Arial" w:eastAsia="Arial" w:hAnsi="Arial"/>
          <w:sz w:val="18"/>
          <w:szCs w:val="18"/>
          <w:color w:val="auto"/>
        </w:rPr>
      </w:pPr>
    </w:p>
    <w:p>
      <w:pPr>
        <w:ind w:left="1400" w:right="340" w:hanging="647"/>
        <w:spacing w:after="0" w:line="277" w:lineRule="auto"/>
        <w:tabs>
          <w:tab w:leader="none" w:pos="13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entry of a Confirmation Order or Scheme Approval Order that does not implement an Acceptable Plan and is not otherwise satisfactory to the Required Lenders;</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Irish Court declines to make an order appointing an examiner to WIL-Ireland;</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Following entry into the Examinership Proceeding, the petition seeking to appoint an examiner is at any point withdrawn;</w:t>
      </w:r>
    </w:p>
    <w:p>
      <w:pPr>
        <w:spacing w:after="0" w:line="248" w:lineRule="exact"/>
        <w:rPr>
          <w:rFonts w:ascii="Arial" w:cs="Arial" w:eastAsia="Arial" w:hAnsi="Arial"/>
          <w:sz w:val="16"/>
          <w:szCs w:val="16"/>
          <w:color w:val="auto"/>
        </w:rPr>
      </w:pPr>
    </w:p>
    <w:p>
      <w:pPr>
        <w:ind w:left="1400" w:right="520" w:hanging="647"/>
        <w:spacing w:after="0" w:line="277" w:lineRule="auto"/>
        <w:tabs>
          <w:tab w:leader="none" w:pos="13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examiner’s proposal for a Scheme of Arrangement does not obtain the support of at least one class of impaired creditors within the Examinership Proceeding;</w:t>
      </w:r>
    </w:p>
    <w:p>
      <w:pPr>
        <w:spacing w:after="0" w:line="170" w:lineRule="exact"/>
        <w:rPr>
          <w:rFonts w:ascii="Arial" w:cs="Arial" w:eastAsia="Arial" w:hAnsi="Arial"/>
          <w:sz w:val="18"/>
          <w:szCs w:val="18"/>
          <w:color w:val="auto"/>
        </w:rPr>
      </w:pPr>
    </w:p>
    <w:p>
      <w:pPr>
        <w:ind w:left="1400" w:hanging="647"/>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Irish Court refuses to confirm the examiner’s proposal for a Scheme of Arrangement;</w:t>
      </w:r>
    </w:p>
    <w:p>
      <w:pPr>
        <w:spacing w:after="0" w:line="225" w:lineRule="exact"/>
        <w:rPr>
          <w:rFonts w:ascii="Arial" w:cs="Arial" w:eastAsia="Arial" w:hAnsi="Arial"/>
          <w:sz w:val="18"/>
          <w:szCs w:val="18"/>
          <w:color w:val="auto"/>
        </w:rPr>
      </w:pPr>
    </w:p>
    <w:p>
      <w:pPr>
        <w:ind w:left="1400" w:right="20" w:hanging="647"/>
        <w:spacing w:after="0" w:line="277" w:lineRule="auto"/>
        <w:tabs>
          <w:tab w:leader="none" w:pos="141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petition is presented for the appointment of a liquidator or receiver to WIL-Ireland and the Irish Court declines to order that such liquidator or receiver ceases to act;</w:t>
      </w:r>
    </w:p>
    <w:p>
      <w:pPr>
        <w:spacing w:after="0" w:line="170" w:lineRule="exact"/>
        <w:rPr>
          <w:rFonts w:ascii="Arial" w:cs="Arial" w:eastAsia="Arial" w:hAnsi="Arial"/>
          <w:sz w:val="18"/>
          <w:szCs w:val="18"/>
          <w:color w:val="auto"/>
        </w:rPr>
      </w:pPr>
    </w:p>
    <w:p>
      <w:pPr>
        <w:ind w:left="1400" w:right="100" w:hanging="647"/>
        <w:spacing w:after="0" w:line="257" w:lineRule="auto"/>
        <w:tabs>
          <w:tab w:leader="none" w:pos="13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meeting of the directors or members of WIL-Ireland is convened for the purposes of considering any resolution for its liquidation or other analogous insolvency procedure or with a view to a composition, assignment or arrangement with its creditors generally (or any class of its creditors) or any meeting is convened for the purposes of considering any event similar or analogous to the foregoing and such a resolution is passed (in each case other than the Examinership Proceeding and the Chapter 11 Cases);</w:t>
      </w:r>
    </w:p>
    <w:p>
      <w:pPr>
        <w:spacing w:after="0" w:line="188" w:lineRule="exact"/>
        <w:rPr>
          <w:rFonts w:ascii="Arial" w:cs="Arial" w:eastAsia="Arial" w:hAnsi="Arial"/>
          <w:sz w:val="18"/>
          <w:szCs w:val="18"/>
          <w:color w:val="auto"/>
        </w:rPr>
      </w:pPr>
    </w:p>
    <w:p>
      <w:pPr>
        <w:ind w:left="1400" w:right="80" w:hanging="647"/>
        <w:spacing w:after="0" w:line="264" w:lineRule="auto"/>
        <w:tabs>
          <w:tab w:leader="none" w:pos="138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execution of Exit Facility Documents or any commitment letter (whether fully underwritten or best efforts) or highly confident letters with respect to the Revolver Exit Commitment that do not contemplate Payment in Full pursuant to an Acceptable Plan;</w:t>
      </w:r>
    </w:p>
    <w:p>
      <w:pPr>
        <w:spacing w:after="0" w:line="181" w:lineRule="exact"/>
        <w:rPr>
          <w:rFonts w:ascii="Arial" w:cs="Arial" w:eastAsia="Arial" w:hAnsi="Arial"/>
          <w:sz w:val="18"/>
          <w:szCs w:val="18"/>
          <w:color w:val="auto"/>
        </w:rPr>
      </w:pPr>
    </w:p>
    <w:p>
      <w:pPr>
        <w:ind w:left="1400" w:right="40" w:hanging="647"/>
        <w:spacing w:after="0" w:line="277" w:lineRule="auto"/>
        <w:tabs>
          <w:tab w:leader="none" w:pos="13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commencement of any material enforcement action that is not stayed within 45 days after the commencement thereof or any insolvency proceeding against or in respect of any Obligor that is not a Debtor;</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15" w:name="page116"/>
    <w:bookmarkEnd w:id="115"/>
    <w:p>
      <w:pPr>
        <w:ind w:left="1420" w:hanging="667"/>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occurrence of an Event of Default that is not a Specified Event of Default;</w:t>
      </w:r>
    </w:p>
    <w:p>
      <w:pPr>
        <w:spacing w:after="0" w:line="225" w:lineRule="exact"/>
        <w:rPr>
          <w:rFonts w:ascii="Arial" w:cs="Arial" w:eastAsia="Arial" w:hAnsi="Arial"/>
          <w:sz w:val="18"/>
          <w:szCs w:val="18"/>
          <w:color w:val="auto"/>
        </w:rPr>
      </w:pPr>
    </w:p>
    <w:p>
      <w:pPr>
        <w:ind w:left="1400" w:right="40" w:hanging="647"/>
        <w:spacing w:after="0" w:line="273" w:lineRule="auto"/>
        <w:tabs>
          <w:tab w:leader="none" w:pos="139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representation or warranty made by any Obligor in this Agreement proving to have been untrue or inaccurate in any material respect (except to the extent qualified by materiality, in which case such representation shall have been untrue or inaccurate in any respect) on or as of the date made or deemed made, except where such representation or warranty expressly relates to an earlier date, in which case such representation or warranty shall have been untrue or inaccurate in any material respect (except to the extent qualified by materiality, in which case such representation shall have been untrue or inaccurate in any respect) as of such earlier date;</w:t>
      </w:r>
    </w:p>
    <w:p>
      <w:pPr>
        <w:spacing w:after="0" w:line="178" w:lineRule="exact"/>
        <w:rPr>
          <w:rFonts w:ascii="Arial" w:cs="Arial" w:eastAsia="Arial" w:hAnsi="Arial"/>
          <w:sz w:val="17"/>
          <w:szCs w:val="17"/>
          <w:color w:val="auto"/>
        </w:rPr>
      </w:pPr>
    </w:p>
    <w:p>
      <w:pPr>
        <w:ind w:left="1400" w:hanging="647"/>
        <w:spacing w:after="0" w:line="268" w:lineRule="auto"/>
        <w:tabs>
          <w:tab w:leader="none" w:pos="138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 On the DIP Funding Date if (I) the Guaranteed Obligations are not guaranteed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all guarantors of the DIP Financing, including without limitation the guarantors of the DIP Financing organized in the United States and Canada (the “</w:t>
      </w:r>
      <w:r>
        <w:rPr>
          <w:rFonts w:ascii="Arial" w:cs="Arial" w:eastAsia="Arial" w:hAnsi="Arial"/>
          <w:sz w:val="17"/>
          <w:szCs w:val="17"/>
          <w:u w:val="single" w:color="auto"/>
          <w:color w:val="auto"/>
        </w:rPr>
        <w:t>North American DIP Guarantors</w:t>
      </w:r>
      <w:r>
        <w:rPr>
          <w:rFonts w:ascii="Arial" w:cs="Arial" w:eastAsia="Arial" w:hAnsi="Arial"/>
          <w:sz w:val="17"/>
          <w:szCs w:val="17"/>
          <w:color w:val="auto"/>
        </w:rPr>
        <w:t xml:space="preserve">”), pursuant to documentation reasonably satisfactory to the Administrative Agent, or (II) (a) the Guaranteed Obligations are not secured by the same assets of the North America DIP Guarantors as, and on a second lien basis to, the DIP Financing pursuant to documentation substantially similar to the security documentation for such assets under the DIP Financing or such liens shall not be perfected to the same extent as the liens securing the DIP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the Guaranteed Obligations secured thereby shall not exceed $100,000,000, or (b) the Administrative Agent and the agent under the DIP Financing shall not have entered into intercreditor arrangements reasonably satisfactory to the Administrative Agent, which shall provide, among other things, that the liens securing the Guaranteed Obligations as described in this clause (xxv) shall automatically transition from second liens to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liens on November 30, 2019 if Payment in Full shall not have occurred by such date, or (B) if any affiliate of any Obligor guarantees, or provides collateral for, the DIP Financing and does not guarantee, or provide such collateral for the benefit of, the Guaranteed Obligations (except any such affiliate as otherwise agreed to by the Required Lenders) to the same extent provided to the DIP Financing with, and subject to, the priority described in this clause (xxv); and</w:t>
      </w:r>
    </w:p>
    <w:p>
      <w:pPr>
        <w:spacing w:after="0" w:line="183" w:lineRule="exact"/>
        <w:rPr>
          <w:rFonts w:ascii="Arial" w:cs="Arial" w:eastAsia="Arial" w:hAnsi="Arial"/>
          <w:sz w:val="17"/>
          <w:szCs w:val="17"/>
          <w:color w:val="auto"/>
        </w:rPr>
      </w:pPr>
    </w:p>
    <w:p>
      <w:pPr>
        <w:ind w:left="1400" w:right="20" w:hanging="647"/>
        <w:spacing w:after="0" w:line="259" w:lineRule="auto"/>
        <w:tabs>
          <w:tab w:leader="none" w:pos="13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failure of any Obligor to (A) pay or provide any amount required by Sections 4.1, 4.2, 4.4 and 4.7 in accordance with such Sections or (B) perform, as and when required, any of its respective covenants or other obligations set forth in this Agreement (it being understood that time is of the essence for each such covenant and obligation), including without limitation, any provision of Section 4</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16" w:name="page117"/>
    <w:bookmarkEnd w:id="116"/>
    <w:p>
      <w:pPr>
        <w:ind w:left="2600"/>
        <w:spacing w:after="0"/>
        <w:rPr>
          <w:sz w:val="20"/>
          <w:szCs w:val="20"/>
          <w:color w:val="auto"/>
        </w:rPr>
      </w:pPr>
      <w:r>
        <w:rPr>
          <w:rFonts w:ascii="Arial" w:cs="Arial" w:eastAsia="Arial" w:hAnsi="Arial"/>
          <w:sz w:val="17"/>
          <w:szCs w:val="17"/>
          <w:color w:val="auto"/>
        </w:rPr>
        <w:t>below and, in the case of clause (B), such failure shall remain unremedied for 5 calendar days (or, in the case of</w:t>
      </w:r>
    </w:p>
    <w:p>
      <w:pPr>
        <w:spacing w:after="0" w:line="35" w:lineRule="exact"/>
        <w:rPr>
          <w:sz w:val="20"/>
          <w:szCs w:val="20"/>
          <w:color w:val="auto"/>
        </w:rPr>
      </w:pPr>
    </w:p>
    <w:p>
      <w:pPr>
        <w:jc w:val="both"/>
        <w:ind w:left="2600" w:right="80"/>
        <w:spacing w:after="0" w:line="255" w:lineRule="auto"/>
        <w:rPr>
          <w:sz w:val="20"/>
          <w:szCs w:val="20"/>
          <w:color w:val="auto"/>
        </w:rPr>
      </w:pPr>
      <w:r>
        <w:rPr>
          <w:rFonts w:ascii="Arial" w:cs="Arial" w:eastAsia="Arial" w:hAnsi="Arial"/>
          <w:sz w:val="18"/>
          <w:szCs w:val="18"/>
          <w:color w:val="auto"/>
        </w:rPr>
        <w:t>Section 4.6(a), 30 calendar days) after the earlier to occur of (i) receipt by a Principal Financial Officer of any Obligor of written notice of such failure (given by the Administrative Agent or any Lender) and (ii) a Principal Financial Officer of any Obligor otherwise becoming aware of such failure.</w:t>
      </w:r>
    </w:p>
    <w:p>
      <w:pPr>
        <w:spacing w:after="0" w:line="190" w:lineRule="exact"/>
        <w:rPr>
          <w:sz w:val="20"/>
          <w:szCs w:val="20"/>
          <w:color w:val="auto"/>
        </w:rPr>
      </w:pPr>
    </w:p>
    <w:p>
      <w:pPr>
        <w:ind w:left="660" w:firstLine="645"/>
        <w:spacing w:after="0" w:line="268" w:lineRule="auto"/>
        <w:tabs>
          <w:tab w:leader="none" w:pos="196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Loan Document, the Specified Events of Default constitute actionable Defaults and Events of Default for the purpose of triggering any and all limitations, restrictions or prohibitions on certain actions that may be taken or omitted or otherwise acquiesced to by or on behalf of any Obligor pursuant to the Credit Agreement or any other Loan Document, including, without limitation, any and all limitations, restrictions or prohibitions with respect to any distribution, advance or other payment directly or indirectly from or for the benefit of any Obligor to any other Obligor, any direct or indirect owner of an equity interest in any Obligor or any Affiliate of any of the foregoing and any actions or inactions taken or omitted or otherwise acquiesced to, by or on behalf of any Obligor in violation of such provisions, in each case while any Default or Event of Default (including the Specified Events of Default) exists, will constitute additional Events of Default under the Credit Agreement and the other Loan Documents under this Agreement; provided, however, prior to and only until the occurrence of a Forbearance Termination Event (i) a Specified Event of Default shall not constitute an Event of Default for the purposes of Section 2.05(e) of the Credit Agreement, and (ii) a Specified Event of Default shall not constitute a Default or Event of Default for the purposes of Sections 7.09(d), 8.02(a) (without giving effect to clause (D)(2) thereof), 8.02(c)(i), 8.05(d), 8.05(j), 8.06(f)(ii) and 8.08(k) of the Credit Agreement so long as (x) any transaction sought to be consummated by the Obligors under such Sections shall be permitted by the DIP Agreement (as amended, supplemented or otherwise modified from time to time, but subject to Section 3.1(a)(vi)) and the Obligors shall otherwise comply with the terms of the Credit Agreement in respect of such transactions.</w:t>
      </w:r>
    </w:p>
    <w:p>
      <w:pPr>
        <w:spacing w:after="0" w:line="185"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Limitation on Forbearance</w:t>
      </w:r>
      <w:r>
        <w:rPr>
          <w:rFonts w:ascii="Arial" w:cs="Arial" w:eastAsia="Arial" w:hAnsi="Arial"/>
          <w:sz w:val="16"/>
          <w:szCs w:val="16"/>
          <w:color w:val="auto"/>
        </w:rPr>
        <w:t>. Each Obligor acknowledges and agrees that, notwithstanding the agreement of the Credit Parties to forbear from taking any Enforcement Actions during the Forbearance Period in respect of the Specified Events of Default, (i) such forbearance shall not constitute a waiver of the occurrence or the continuance of any Event of Default (including the Specified Events of Default), and each such Event of Default which has occurred and is otherwise still continuing shall continue to exist during and after the Forbearance Effective Date, (ii) nothing contained in this Agreement shall be construed to limit or affect the right of the Credit Parties to bring or maintain during the Forbearance Period any action to enforce or interpret any term or provision of this Agreement, (iii) nothing contained in this Agreement shall be construed to limit or affect the right of the Credit Parties to take protective actions in the Chapter 11 Cases, including to enforce the terms of this Agreement and filing (x) responsive pleadings in respect of actions taken or relief sought in the Chapter 11 Cases that is adverse to the Credit Parties and (y) a proof of claim in the Chapter 11 Cases and (iv) nothing contained in this Agreement shall be construed to affect any rights or remedies of any institution that is a Lender or Issuing Bank under the Credit Agreement in any other capacity or under any agreements (other than the Credit Agreement and this Agreement) with respect to WIL-Ireland or any of its Subsidiaries.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7" w:name="page118"/>
    <w:bookmarkEnd w:id="117"/>
    <w:p>
      <w:pPr>
        <w:ind w:right="40" w:firstLine="1297"/>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Enforcement Actions After Forbearance Period</w:t>
      </w:r>
      <w:r>
        <w:rPr>
          <w:rFonts w:ascii="Arial" w:cs="Arial" w:eastAsia="Arial" w:hAnsi="Arial"/>
          <w:sz w:val="17"/>
          <w:szCs w:val="17"/>
          <w:color w:val="auto"/>
        </w:rPr>
        <w:t>. Each Obligor acknowledges and agrees that, on the Forbearance Termination Date, the Forbearance Period shall automatically terminate and the agreement of the Credit Parties to forbear from taking any Enforcement Actions in respect of the Specified Events of Default shall immediately and automatically cease and be of no further force or effect, and the Credit Parties shall be entitled to immediately take any or all Enforcement Actions under (and in accordance with) the Credit Agreement, the other Loan Documents and applicable law, all without further notice or demand, in respect of the Specified Events of Default or any other Event of Default then existing. The Credit Parties shall have no obligation whatsoever to extend the maturity of the Credit Agreement, waive any Events of Default, defer any payments, or, following the Forbearance Termination Date, further forbear from exercising their rights and remedies. The Debtors, in their capacity as such, acknowledge and agree and shall not dispute that after the commencement of the Chapter 11 Cases, the termination of this Agreement and the giving of any notice hereunder shall not be a violation of the automatic stay of section 362 of the Bankruptcy Code (and the Debtors hereby waive, to the fullest extent permitted by law, the applicability of the automatic stay to the taking of such action and, to the extent the Bankruptcy Court determines that automatic stay applies to taking such action, the Debtors consent to any relief that the Credit Parties requires to taking such action).</w:t>
      </w:r>
    </w:p>
    <w:p>
      <w:pPr>
        <w:spacing w:after="0" w:line="18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AGREEMENTS</w:t>
      </w:r>
      <w:r>
        <w:rPr>
          <w:rFonts w:ascii="Arial" w:cs="Arial" w:eastAsia="Arial" w:hAnsi="Arial"/>
          <w:sz w:val="16"/>
          <w:szCs w:val="16"/>
          <w:color w:val="auto"/>
        </w:rPr>
        <w:t>. To induce the Credit Parties to enter into this Agreement, the Borrowers agree as follows:</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 of Fees</w:t>
      </w:r>
      <w:r>
        <w:rPr>
          <w:rFonts w:ascii="Arial" w:cs="Arial" w:eastAsia="Arial" w:hAnsi="Arial"/>
          <w:sz w:val="18"/>
          <w:szCs w:val="18"/>
          <w:color w:val="auto"/>
        </w:rPr>
        <w:t>. The Obligors hereby agree to pay to the Administrative Agent for the ratable account of the Lenders parties hereto, a fee equal to 0.25% on the outstanding principal amount of Loans and Total LC Exposure, paid on the Forbearance Effective Date. The Obligors hereby also agree to pay to the Administrative Agent for the ratable account of the Lenders parties hereto a fee, on the outstanding Loans and LC Exposure, in equal percentage to the percentage paid to the parties under the RSA in connection with any extension of the date set forth in Section 11 of the RSA (as in effect on the date hereof).</w:t>
      </w:r>
    </w:p>
    <w:p>
      <w:pPr>
        <w:spacing w:after="0" w:line="188" w:lineRule="exact"/>
        <w:rPr>
          <w:sz w:val="20"/>
          <w:szCs w:val="20"/>
          <w:color w:val="auto"/>
        </w:rPr>
      </w:pPr>
    </w:p>
    <w:p>
      <w:pPr>
        <w:ind w:right="100" w:firstLine="1297"/>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Payment of Fees and Expenses</w:t>
      </w:r>
      <w:r>
        <w:rPr>
          <w:rFonts w:ascii="Arial" w:cs="Arial" w:eastAsia="Arial" w:hAnsi="Arial"/>
          <w:sz w:val="18"/>
          <w:szCs w:val="18"/>
          <w:color w:val="auto"/>
        </w:rPr>
        <w:t>. The Obligors hereby agree to pay (a) (i) on the Forbearance Effective Date to the extent invoiced to the Borrowers at least two (2) Business Days prior thereto and (ii) thereafter within ten (10) days after the receipt by the Borrowers of an invoice, the reasonable and documented out-of-pocket accrued expenses of the Administrative Agent, including, without limitation, the reasonable and documented fees, charges and disbursements of Simpson Thacher &amp; Bartlett LLP, one counsel in each applicable jurisdiction and FTI Consulting, in each case, to the extent such fees, charges and disbursements are related to this Agreement, the Loan Documents or as otherwise provided in Section 11.03 of the Credit Agreement and (b) on the Forbearance Effective Date, a retainer to Simpson Thacher &amp; Bartlett LLP, in an amount set forth in its invoice referenced in the foregoing clause (a)(i)), to reimburse the reasonable and documented fees, costs and expenses of Simpson Thacher &amp; Bartlett LLP as and when due under this Agreement and the Credit Agreement.</w:t>
      </w:r>
    </w:p>
    <w:p>
      <w:pPr>
        <w:spacing w:after="0" w:line="192"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The Obligors shall provide (either directly or through their advisors) updates and reasonably detailed information regarding the RSA and the Plan and information regarding the operations, business affairs and financial condition of any Obligor as reasonably requested by the Administrative Agent or its advisors;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Obligors and their advisors will not be required to disclose, or permit the inspection or discussion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8" w:name="page119"/>
    <w:bookmarkEnd w:id="118"/>
    <w:p>
      <w:pPr>
        <w:spacing w:after="0" w:line="257" w:lineRule="auto"/>
        <w:rPr>
          <w:sz w:val="20"/>
          <w:szCs w:val="20"/>
          <w:color w:val="auto"/>
        </w:rPr>
      </w:pPr>
      <w:r>
        <w:rPr>
          <w:rFonts w:ascii="Arial" w:cs="Arial" w:eastAsia="Arial" w:hAnsi="Arial"/>
          <w:sz w:val="18"/>
          <w:szCs w:val="18"/>
          <w:color w:val="auto"/>
        </w:rPr>
        <w:t xml:space="preserve">of, any document, information or other matter (i) that in their good faith judgment constitutes non-financial trade secrets or non-financial proprietary information, (ii) in respect of which in their good faith judgment disclosure is prohibited by applicable law or any binding agreement or (iii) that in their good faith judgment is subject to attorney client or similar privilege or constitutes attorney work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Obligors are restricted from sharing documents or information as a result of existing confidentiality agreements, the Obligors shall use good faith efforts to get the consent of the applicable parties to share such documents or information with the Administrative Agent and its advisors.</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Payment of Interest and LC Fees</w:t>
      </w:r>
      <w:r>
        <w:rPr>
          <w:rFonts w:ascii="Arial" w:cs="Arial" w:eastAsia="Arial" w:hAnsi="Arial"/>
          <w:sz w:val="16"/>
          <w:szCs w:val="16"/>
          <w:color w:val="auto"/>
        </w:rPr>
        <w:t>. Each of the Obligors hereby agrees that on and after the date hereof until Payment in Full</w:t>
      </w:r>
    </w:p>
    <w:p>
      <w:pPr>
        <w:spacing w:after="0" w:line="23" w:lineRule="exact"/>
        <w:rPr>
          <w:sz w:val="20"/>
          <w:szCs w:val="20"/>
          <w:color w:val="auto"/>
        </w:rPr>
      </w:pPr>
    </w:p>
    <w:p>
      <w:pPr>
        <w:ind w:firstLine="8"/>
        <w:spacing w:after="0" w:line="290" w:lineRule="auto"/>
        <w:tabs>
          <w:tab w:leader="none" w:pos="24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interest on the outstanding Obligations shall accrue at the default rate provided under Section 2.10(d) of the Credit Agreement at the Alternate Base Rate or the Adjusted LIBO Rate, as applicable, and (b) participation fees and fronting fees in respect of the outstanding Letters of Credit shall accrue at the rate provided under Section 2.09(b) of the Credit Agreement, plus 2.00% and, in the case of each of the foregoing clauses (a) and (b), shall be paid on the DIP Funding Date and, thereafter, on the last Business Day of each month. The parties hereto hereby agree that, notwithstanding anything to the contrary set forth in Section 2.05(e) of the Credit Agreement or otherwise, during the Forbearance Period the Borrower may elect for outstanding Eurodollar Borrowings on the date hereof to be continued as Eurodollar Borrowings with one month Interest Periods that end on or prior to December 31, 2019.</w:t>
      </w:r>
    </w:p>
    <w:p>
      <w:pPr>
        <w:spacing w:after="0" w:line="16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Obligation to Extend Credit</w:t>
      </w:r>
      <w:r>
        <w:rPr>
          <w:rFonts w:ascii="Arial" w:cs="Arial" w:eastAsia="Arial" w:hAnsi="Arial"/>
          <w:sz w:val="18"/>
          <w:szCs w:val="18"/>
          <w:color w:val="auto"/>
        </w:rPr>
        <w:t xml:space="preserve">. On and after the date hereof, the Credit Parties have no obligation to make Loans or issue, amend or extend any Letter of Credit under the Loan Documents and the Commitments are hereby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Issuing Banks shall be permitted to reduce the face amount or shorten the expiry date of any outstanding Letter of Credit without the consent of any Lender or any other Person. On and after the date hereof, any amounts repaid may not be reborrowed.</w:t>
      </w:r>
    </w:p>
    <w:p>
      <w:pPr>
        <w:spacing w:after="0" w:line="187" w:lineRule="exact"/>
        <w:rPr>
          <w:sz w:val="20"/>
          <w:szCs w:val="20"/>
          <w:color w:val="auto"/>
        </w:rPr>
      </w:pPr>
    </w:p>
    <w:p>
      <w:pPr>
        <w:ind w:right="380" w:firstLine="1297"/>
        <w:spacing w:after="0" w:line="30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Reporting; Notices</w:t>
      </w:r>
      <w:r>
        <w:rPr>
          <w:rFonts w:ascii="Arial" w:cs="Arial" w:eastAsia="Arial" w:hAnsi="Arial"/>
          <w:sz w:val="17"/>
          <w:szCs w:val="17"/>
          <w:color w:val="auto"/>
        </w:rPr>
        <w:t>. In addition to the requirements set forth in the Credit Agreement, the Obligors shall provide all reporting required under the DIP Financing as and when delivered thereunder, and the following reporting and notices to the Administrative Agent:</w:t>
      </w:r>
    </w:p>
    <w:p>
      <w:pPr>
        <w:spacing w:after="0" w:line="147" w:lineRule="exact"/>
        <w:rPr>
          <w:sz w:val="20"/>
          <w:szCs w:val="20"/>
          <w:color w:val="auto"/>
        </w:rPr>
      </w:pPr>
    </w:p>
    <w:p>
      <w:pPr>
        <w:ind w:left="660" w:right="80" w:firstLine="645"/>
        <w:spacing w:after="0" w:line="274" w:lineRule="auto"/>
        <w:tabs>
          <w:tab w:leader="none" w:pos="195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on or before the day falling on a Friday following the end of every 2-week period, commencing with the 2-week period ending July 12, 2019, a variance and reconciliation report for the prior 2-week period included in the latest DIP Budget delivered pursuant to</w:t>
      </w:r>
    </w:p>
    <w:p>
      <w:pPr>
        <w:ind w:left="660" w:right="460"/>
        <w:spacing w:after="0" w:line="261" w:lineRule="auto"/>
        <w:rPr>
          <w:rFonts w:ascii="Arial" w:cs="Arial" w:eastAsia="Arial" w:hAnsi="Arial"/>
          <w:sz w:val="17"/>
          <w:szCs w:val="17"/>
          <w:color w:val="auto"/>
        </w:rPr>
      </w:pPr>
      <w:r>
        <w:rPr>
          <w:rFonts w:ascii="Arial" w:cs="Arial" w:eastAsia="Arial" w:hAnsi="Arial"/>
          <w:sz w:val="18"/>
          <w:szCs w:val="18"/>
          <w:color w:val="auto"/>
        </w:rPr>
        <w:t>Section 5.1(b) or Section 4.6(a)(ii) and (ii) on or before the last Business Day at the end of every 4-week period, commencing with the 4-week period ending July 26, 2019, a DIP Budget;</w:t>
      </w:r>
    </w:p>
    <w:p>
      <w:pPr>
        <w:spacing w:after="0" w:line="183" w:lineRule="exact"/>
        <w:rPr>
          <w:rFonts w:ascii="Arial" w:cs="Arial" w:eastAsia="Arial" w:hAnsi="Arial"/>
          <w:sz w:val="17"/>
          <w:szCs w:val="17"/>
          <w:color w:val="auto"/>
        </w:rPr>
      </w:pPr>
    </w:p>
    <w:p>
      <w:pPr>
        <w:ind w:left="660" w:right="100" w:firstLine="645"/>
        <w:spacing w:after="0" w:line="286" w:lineRule="auto"/>
        <w:tabs>
          <w:tab w:leader="none" w:pos="196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prompt written notice of the commencement of, or the receipt by any Borrower or Obligor of a threat in writing of, in each case after the Forbearance Effective Date, any action, suit, proceeding, exercise of remedies or notice of acceleration commenced against any Obligor or any of its officers or directors in their capacities as such that involves a claim in excess of $10,000,000;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9" w:name="page120"/>
    <w:bookmarkEnd w:id="119"/>
    <w:p>
      <w:pPr>
        <w:ind w:left="660" w:right="100" w:firstLine="645"/>
        <w:spacing w:after="0" w:line="277" w:lineRule="auto"/>
        <w:tabs>
          <w:tab w:leader="none" w:pos="196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 written notice upon the occurrence of (i) a Termination Event under, or any amendment, supplement or other modification of or waiver with respect to, the RSA or (ii) an Event of Default under the DIP Financing; and</w:t>
      </w:r>
    </w:p>
    <w:p>
      <w:pPr>
        <w:spacing w:after="0" w:line="170" w:lineRule="exact"/>
        <w:rPr>
          <w:rFonts w:ascii="Arial" w:cs="Arial" w:eastAsia="Arial" w:hAnsi="Arial"/>
          <w:sz w:val="18"/>
          <w:szCs w:val="18"/>
          <w:color w:val="auto"/>
        </w:rPr>
      </w:pPr>
    </w:p>
    <w:p>
      <w:pPr>
        <w:jc w:val="both"/>
        <w:ind w:left="660" w:right="20" w:firstLine="645"/>
        <w:spacing w:after="0" w:line="312" w:lineRule="auto"/>
        <w:tabs>
          <w:tab w:leader="none" w:pos="196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prompt written notice upon receipt by any Obligor or any Obligor’s Restricted Subsidiaries of a demand by any creditor, guarantor, vendor, operator, surety provider or supplier (including any oil and gas gathering, processing and transportation provider) to post additional collateral or provide additional credit support, in each case in excess of $10,000,000, with respect to such entities’ services, goods or obligations.</w:t>
      </w:r>
    </w:p>
    <w:p>
      <w:pPr>
        <w:spacing w:after="0" w:line="147"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Cash Collateralization of LCs</w:t>
      </w:r>
      <w:r>
        <w:rPr>
          <w:rFonts w:ascii="Arial" w:cs="Arial" w:eastAsia="Arial" w:hAnsi="Arial"/>
          <w:sz w:val="16"/>
          <w:szCs w:val="16"/>
          <w:color w:val="auto"/>
        </w:rPr>
        <w:t>. The Obligors hereby agree to cash collateralize all outstanding Letters of Credit pursuant to Section 3.01(j) of the Credit Agreement (the “</w:t>
      </w:r>
      <w:r>
        <w:rPr>
          <w:rFonts w:ascii="Arial" w:cs="Arial" w:eastAsia="Arial" w:hAnsi="Arial"/>
          <w:sz w:val="16"/>
          <w:szCs w:val="16"/>
          <w:u w:val="single" w:color="auto"/>
          <w:color w:val="auto"/>
        </w:rPr>
        <w:t>Cash Collateral</w:t>
      </w:r>
      <w:r>
        <w:rPr>
          <w:rFonts w:ascii="Arial" w:cs="Arial" w:eastAsia="Arial" w:hAnsi="Arial"/>
          <w:sz w:val="16"/>
          <w:szCs w:val="16"/>
          <w:color w:val="auto"/>
        </w:rPr>
        <w:t>”) on the DIP Funding Date and no later than within five (5) Business Days after the commencement of the Chapter 11 Cases. All such Cash Collateral shall be applied by the Administrative Agent to reimburse the Issuing Banks for LC Disbursements made by the Issuing Banks; provided, that notwithstanding anything to the contrary set forth in Section 3.01(j) of the Credit Agreement, to the extent that any Letter of Credit is returned undrawn or expires without being drawn or the face amount of any Letter of Credit is reduced, the Administrative Agent shall, at the request of the Obligors and so long as a Forbearance Termination Event has not occurred and is continuing, promptly return any such associated Cash Collateral to the Obligors. Any action taken by the Administrative Agent or any other Lender or Issuing Bank under Section 3.01(j) of the Credit Agreement with respect to such Cash Collateral that is inconsistent with this Section 4.7 shall constitute an Enforcement Action.</w:t>
      </w:r>
    </w:p>
    <w:p>
      <w:pPr>
        <w:spacing w:after="0" w:line="16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CONDITIONS PRECEDENT</w:t>
      </w:r>
      <w:r>
        <w:rPr>
          <w:rFonts w:ascii="Arial" w:cs="Arial" w:eastAsia="Arial" w:hAnsi="Arial"/>
          <w:sz w:val="17"/>
          <w:szCs w:val="17"/>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This Agreement shall become effective (the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on the first date on which all of the following conditions have been satisfied or waived by the Administrative Agent and the Required Lenders:</w:t>
      </w:r>
    </w:p>
    <w:p>
      <w:pPr>
        <w:spacing w:after="0" w:line="170" w:lineRule="exact"/>
        <w:rPr>
          <w:sz w:val="20"/>
          <w:szCs w:val="20"/>
          <w:color w:val="auto"/>
        </w:rPr>
      </w:pPr>
    </w:p>
    <w:p>
      <w:pPr>
        <w:ind w:left="660" w:right="240" w:firstLine="645"/>
        <w:spacing w:after="0" w:line="277" w:lineRule="auto"/>
        <w:tabs>
          <w:tab w:leader="none" w:pos="195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Administrative Agent shall have received counterparts of this Agreement duly executed by (a) the Borrowers, WIL-Ireland and the other Guarantors and (b) the Required Lenders.</w:t>
      </w:r>
    </w:p>
    <w:p>
      <w:pPr>
        <w:spacing w:after="0" w:line="170" w:lineRule="exact"/>
        <w:rPr>
          <w:rFonts w:ascii="Arial" w:cs="Arial" w:eastAsia="Arial" w:hAnsi="Arial"/>
          <w:sz w:val="18"/>
          <w:szCs w:val="18"/>
          <w:color w:val="auto"/>
        </w:rPr>
      </w:pPr>
    </w:p>
    <w:p>
      <w:pPr>
        <w:ind w:left="660" w:right="140" w:firstLine="645"/>
        <w:spacing w:after="0" w:line="342" w:lineRule="auto"/>
        <w:tabs>
          <w:tab w:leader="none" w:pos="1964"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DIP Budget</w:t>
      </w:r>
      <w:r>
        <w:rPr>
          <w:rFonts w:ascii="Arial" w:cs="Arial" w:eastAsia="Arial" w:hAnsi="Arial"/>
          <w:sz w:val="16"/>
          <w:szCs w:val="16"/>
          <w:color w:val="auto"/>
        </w:rPr>
        <w:t>. The Administrative Agent shall have received a projected statement of sources and uses of cash for the Debtors and the North American DIP Guarantors on a consolidated basis, broken down by weeks, for the succeeding 13 calendar weeks (a “</w:t>
      </w:r>
      <w:r>
        <w:rPr>
          <w:rFonts w:ascii="Arial" w:cs="Arial" w:eastAsia="Arial" w:hAnsi="Arial"/>
          <w:sz w:val="16"/>
          <w:szCs w:val="16"/>
          <w:u w:val="single" w:color="auto"/>
          <w:color w:val="auto"/>
        </w:rPr>
        <w:t>DIP Budget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Upon giving effect to this Agreement, there shall be no Default or Event of Default (other than the Specified Events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Default).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RSA Effectiveness</w:t>
      </w:r>
      <w:r>
        <w:rPr>
          <w:rFonts w:ascii="Arial" w:cs="Arial" w:eastAsia="Arial" w:hAnsi="Arial"/>
          <w:sz w:val="16"/>
          <w:szCs w:val="16"/>
          <w:color w:val="auto"/>
        </w:rPr>
        <w:t>. The RSA shall be in full force and effect, and at least 66 and 2/3% of the Noteholders shall be bound thereby.</w:t>
      </w:r>
    </w:p>
    <w:p>
      <w:pPr>
        <w:spacing w:after="0" w:line="248" w:lineRule="exact"/>
        <w:rPr>
          <w:rFonts w:ascii="Arial" w:cs="Arial" w:eastAsia="Arial" w:hAnsi="Arial"/>
          <w:sz w:val="16"/>
          <w:szCs w:val="16"/>
          <w:color w:val="auto"/>
        </w:rPr>
      </w:pPr>
    </w:p>
    <w:p>
      <w:pPr>
        <w:ind w:left="660" w:firstLine="645"/>
        <w:spacing w:after="0" w:line="342" w:lineRule="auto"/>
        <w:tabs>
          <w:tab w:leader="none" w:pos="1967"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Execution of Tranche A Notes Backstop Commitment.</w:t>
      </w:r>
      <w:r>
        <w:rPr>
          <w:rFonts w:ascii="Arial" w:cs="Arial" w:eastAsia="Arial" w:hAnsi="Arial"/>
          <w:sz w:val="16"/>
          <w:szCs w:val="16"/>
          <w:color w:val="auto"/>
        </w:rPr>
        <w:t xml:space="preserve"> The Debtors have executed a backstop commitment agreement in respect of the Tranche A Exit Senior Unsecured Notes (as defined in the RSA as in effect on the date hereof), in form and substance, and from 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ind w:left="660"/>
        <w:spacing w:after="0"/>
        <w:rPr>
          <w:sz w:val="20"/>
          <w:szCs w:val="20"/>
          <w:color w:val="auto"/>
        </w:rPr>
      </w:pPr>
      <w:r>
        <w:rPr>
          <w:rFonts w:ascii="Arial" w:cs="Arial" w:eastAsia="Arial" w:hAnsi="Arial"/>
          <w:sz w:val="18"/>
          <w:szCs w:val="18"/>
          <w:color w:val="auto"/>
        </w:rPr>
        <w:t>lender or lenders, reasonably satisfactory to the Required Lenders (the “</w:t>
      </w:r>
      <w:r>
        <w:rPr>
          <w:rFonts w:ascii="Arial" w:cs="Arial" w:eastAsia="Arial" w:hAnsi="Arial"/>
          <w:sz w:val="18"/>
          <w:szCs w:val="18"/>
          <w:u w:val="single" w:color="auto"/>
          <w:color w:val="auto"/>
        </w:rPr>
        <w:t>Notes Exit Commitment</w:t>
      </w:r>
      <w:r>
        <w:rPr>
          <w:rFonts w:ascii="Arial" w:cs="Arial" w:eastAsia="Arial" w:hAnsi="Arial"/>
          <w:sz w:val="18"/>
          <w:szCs w:val="18"/>
          <w:color w:val="auto"/>
        </w:rPr>
        <w:t>”).</w:t>
      </w:r>
    </w:p>
    <w:p>
      <w:pPr>
        <w:spacing w:after="0" w:line="225" w:lineRule="exact"/>
        <w:rPr>
          <w:sz w:val="20"/>
          <w:szCs w:val="20"/>
          <w:color w:val="auto"/>
        </w:rPr>
      </w:pPr>
    </w:p>
    <w:p>
      <w:pPr>
        <w:ind w:left="660" w:right="600" w:firstLine="645"/>
        <w:spacing w:after="0" w:line="277" w:lineRule="auto"/>
        <w:tabs>
          <w:tab w:leader="none" w:pos="196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Repayment at Par</w:t>
      </w:r>
      <w:r>
        <w:rPr>
          <w:rFonts w:ascii="Arial" w:cs="Arial" w:eastAsia="Arial" w:hAnsi="Arial"/>
          <w:sz w:val="18"/>
          <w:szCs w:val="18"/>
          <w:color w:val="auto"/>
        </w:rPr>
        <w:t>. The terms of the RSA and the Plan (and any related disclosure statement) shall provide for, and the Exit Commitment shall not be inconsistent with, the consummation of an Acceptable Plan.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The Obligors shall have paid such amounts required under Sections 4.1 and 4.2.</w:t>
      </w:r>
    </w:p>
    <w:p>
      <w:pPr>
        <w:spacing w:after="0" w:line="225" w:lineRule="exact"/>
        <w:rPr>
          <w:rFonts w:ascii="Arial" w:cs="Arial" w:eastAsia="Arial" w:hAnsi="Arial"/>
          <w:sz w:val="18"/>
          <w:szCs w:val="18"/>
          <w:color w:val="auto"/>
        </w:rPr>
      </w:pPr>
    </w:p>
    <w:p>
      <w:pPr>
        <w:ind w:left="660" w:firstLine="645"/>
        <w:spacing w:after="0" w:line="273" w:lineRule="auto"/>
        <w:tabs>
          <w:tab w:leader="none" w:pos="1964"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As of the Forbearance Effective Date, the representations and warranties contained in this Agreement, the Credit Agreement and in each other Loan Document (other than with respect to Specified Events of Default) shall be true and correct in all material respects (or in any respect to the extent such representation or warranty is qualified by materiality) on and as of the Forbearance Effective Date as if made on and as of the Forbearance Effective Date, except to the extent such representations and warranties specifically relate to an earlier date, in which case such representations and warranties shall have been true and correct in all material respects (or in any respect to the extent such representation or warranty is qualified by materiality) on and as of such earlier date.</w:t>
      </w:r>
    </w:p>
    <w:p>
      <w:pPr>
        <w:spacing w:after="0" w:line="17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 order to induce the Credit Parties party hereto to enter into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the Obligors hereby represent and warrant to the Credit Parties that:</w:t>
      </w:r>
    </w:p>
    <w:p>
      <w:pPr>
        <w:spacing w:after="0" w:line="211" w:lineRule="exact"/>
        <w:rPr>
          <w:sz w:val="20"/>
          <w:szCs w:val="20"/>
          <w:color w:val="auto"/>
        </w:rPr>
      </w:pPr>
    </w:p>
    <w:p>
      <w:pPr>
        <w:ind w:left="660" w:right="80" w:firstLine="645"/>
        <w:spacing w:after="0" w:line="277" w:lineRule="auto"/>
        <w:tabs>
          <w:tab w:leader="none" w:pos="19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Obligor is duly organized, validly existing and in good standing under the laws of the jurisdiction of its organization, and has all requisite power and authority to execute, deliver and perform its obligations under this Agreement;</w:t>
      </w:r>
    </w:p>
    <w:p>
      <w:pPr>
        <w:spacing w:after="0" w:line="170" w:lineRule="exact"/>
        <w:rPr>
          <w:rFonts w:ascii="Arial" w:cs="Arial" w:eastAsia="Arial" w:hAnsi="Arial"/>
          <w:sz w:val="18"/>
          <w:szCs w:val="18"/>
          <w:color w:val="auto"/>
        </w:rPr>
      </w:pPr>
    </w:p>
    <w:p>
      <w:pPr>
        <w:ind w:left="660" w:right="20" w:firstLine="645"/>
        <w:spacing w:after="0" w:line="279" w:lineRule="auto"/>
        <w:tabs>
          <w:tab w:leader="none" w:pos="196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contained in the Credit Agreement and the other Loan Documents are true and correct in all material respects on and as of the Forbearance Effective Date (except with respect to the Specified Events of Default) as if made on and as of the Forbearance Effective Date, except where such representations and warranties expressly relate to an earlier date in which case such representations and warranties were true and correct in all material respects as of such earlier date;</w:t>
      </w:r>
    </w:p>
    <w:p>
      <w:pPr>
        <w:spacing w:after="0" w:line="171" w:lineRule="exact"/>
        <w:rPr>
          <w:rFonts w:ascii="Arial" w:cs="Arial" w:eastAsia="Arial" w:hAnsi="Arial"/>
          <w:sz w:val="17"/>
          <w:szCs w:val="17"/>
          <w:color w:val="auto"/>
        </w:rPr>
      </w:pPr>
    </w:p>
    <w:p>
      <w:pPr>
        <w:ind w:left="660" w:right="20" w:firstLine="645"/>
        <w:spacing w:after="0" w:line="276" w:lineRule="auto"/>
        <w:tabs>
          <w:tab w:leader="none" w:pos="196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execution, delivery, and performance by each Obligor of this Agreement, (i) have been duly authorized by all necessary corporate, partnership or other proceedings on its part or on its behalf, (ii) does not and will not violate any applicable law or regulation applicable to such Obligor or the charter, limited liability company agreement, by-laws or other organizational documents of such Obligor or any order of any Governmental Authority, (iii) does not require any consent or approval of, registration or filing with (other than any disclosure filing), or any other action by, any Governmental Authority, except as have been made or obtained or made and are in full force;</w:t>
      </w:r>
    </w:p>
    <w:p>
      <w:pPr>
        <w:spacing w:after="0" w:line="172" w:lineRule="exact"/>
        <w:rPr>
          <w:rFonts w:ascii="Arial" w:cs="Arial" w:eastAsia="Arial" w:hAnsi="Arial"/>
          <w:sz w:val="17"/>
          <w:szCs w:val="17"/>
          <w:color w:val="auto"/>
        </w:rPr>
      </w:pPr>
    </w:p>
    <w:p>
      <w:pPr>
        <w:ind w:left="660" w:right="60" w:firstLine="645"/>
        <w:spacing w:after="0" w:line="277"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each Obligor, enforceable against such Obligor in accordance with its terms,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1" w:name="page122"/>
    <w:bookmarkEnd w:id="121"/>
    <w:p>
      <w:pPr>
        <w:ind w:left="660" w:right="140"/>
        <w:spacing w:after="0" w:line="277" w:lineRule="auto"/>
        <w:rPr>
          <w:sz w:val="20"/>
          <w:szCs w:val="20"/>
          <w:color w:val="auto"/>
        </w:rPr>
      </w:pPr>
      <w:r>
        <w:rPr>
          <w:rFonts w:ascii="Arial" w:cs="Arial" w:eastAsia="Arial" w:hAnsi="Arial"/>
          <w:sz w:val="18"/>
          <w:szCs w:val="18"/>
          <w:color w:val="auto"/>
        </w:rPr>
        <w:t>applicable bankruptcy, insolvency, reorganization, moratorium, or similar laws affecting creditors’ rights generally and subject to general principles of equity, regardless of whether considered in a proceeding in equity or at law; and</w:t>
      </w:r>
    </w:p>
    <w:p>
      <w:pPr>
        <w:spacing w:after="0" w:line="170" w:lineRule="exact"/>
        <w:rPr>
          <w:sz w:val="20"/>
          <w:szCs w:val="20"/>
          <w:color w:val="auto"/>
        </w:rPr>
      </w:pPr>
    </w:p>
    <w:p>
      <w:pPr>
        <w:ind w:left="1960" w:hanging="655"/>
        <w:spacing w:after="0"/>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Obligors have not agreed to pay any fees to any Lender other than as set forth in Section 4.1 above.</w:t>
      </w:r>
    </w:p>
    <w:p>
      <w:pPr>
        <w:spacing w:after="0" w:line="22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CONTINUING EFFECT</w:t>
      </w:r>
      <w:r>
        <w:rPr>
          <w:rFonts w:ascii="Arial" w:cs="Arial" w:eastAsia="Arial" w:hAnsi="Arial"/>
          <w:sz w:val="17"/>
          <w:szCs w:val="17"/>
          <w:color w:val="auto"/>
        </w:rPr>
        <w:t>. The Credit Agreement shall continue to be and shall remain in full force and effect in accordance with its terms. Except as expressly provided herein, this Agreement (i) shall not constitute an amendment, waiver or modification of any provision of the Credit Agreement and (ii) shall not be construed as an amendment, waiver or modification of any action on the part of the Borrowers or the other Obligors that would require an amendment, waiver or consent of the Credit Parties. This Agreement is a Loan Document.</w:t>
      </w:r>
    </w:p>
    <w:p>
      <w:pPr>
        <w:spacing w:after="0" w:line="17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CONSENT OF GUARANTORS</w:t>
      </w:r>
      <w:r>
        <w:rPr>
          <w:rFonts w:ascii="Arial" w:cs="Arial" w:eastAsia="Arial" w:hAnsi="Arial"/>
          <w:sz w:val="16"/>
          <w:szCs w:val="16"/>
          <w:color w:val="auto"/>
        </w:rPr>
        <w:t>. Each of the Guarantors hereby consents to this Agreement.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RELEASE</w:t>
      </w:r>
      <w:r>
        <w:rPr>
          <w:rFonts w:ascii="Arial" w:cs="Arial" w:eastAsia="Arial" w:hAnsi="Arial"/>
          <w:sz w:val="16"/>
          <w:szCs w:val="16"/>
          <w:color w:val="auto"/>
        </w:rPr>
        <w:t>. On and as of the Forbearance Effective Date, each of the Obligors (on behalf of itself and its Affiliates) and its successors-in-title, legal representatives and assignees and, to the extent the same is claimed by right of, through or under any of the Obligors, for its past, present and future employees, agents, representatives, officers, directors, shareholders, and trustees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Releasing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does hereby release and discharge, and shall be deemed to have forever released and discharged, the Credit Parties, and the Credit Parties’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Arial" w:cs="Arial" w:eastAsia="Arial" w:hAnsi="Arial"/>
          <w:sz w:val="16"/>
          <w:szCs w:val="16"/>
          <w:u w:val="single" w:color="auto"/>
          <w:color w:val="auto"/>
        </w:rPr>
        <w:t>Lender Parties</w:t>
      </w:r>
      <w:r>
        <w:rPr>
          <w:rFonts w:ascii="Arial" w:cs="Arial" w:eastAsia="Arial" w:hAnsi="Arial"/>
          <w:sz w:val="16"/>
          <w:szCs w:val="16"/>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Lender Parties in their capacities as such under any of the Loan Documents, whether held in a personal or representative capacity, solely to the extent based on any act, fact, event or omission or other matter, cause or thing occurring at or from any time prior to and including (but not after) the date hereof in any way, directly or indirectly arising out of, connected with or relating to any of this Agreement, the Loan Documents and the transactions contemplated hereby or thereby, or any other agreements, certificates, instruments and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ind w:right="120"/>
        <w:spacing w:after="0" w:line="259" w:lineRule="auto"/>
        <w:rPr>
          <w:sz w:val="20"/>
          <w:szCs w:val="20"/>
          <w:color w:val="auto"/>
        </w:rPr>
      </w:pPr>
      <w:r>
        <w:rPr>
          <w:rFonts w:ascii="Arial" w:cs="Arial" w:eastAsia="Arial" w:hAnsi="Arial"/>
          <w:sz w:val="18"/>
          <w:szCs w:val="18"/>
          <w:color w:val="auto"/>
        </w:rPr>
        <w:t>documents and statements (whether written or oral) related to any of the foregoing (each, a “</w:t>
      </w:r>
      <w:r>
        <w:rPr>
          <w:rFonts w:ascii="Arial" w:cs="Arial" w:eastAsia="Arial" w:hAnsi="Arial"/>
          <w:sz w:val="18"/>
          <w:szCs w:val="18"/>
          <w:u w:val="single" w:color="auto"/>
          <w:color w:val="auto"/>
        </w:rPr>
        <w:t>Claim</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Claims</w:t>
      </w:r>
      <w:r>
        <w:rPr>
          <w:rFonts w:ascii="Arial" w:cs="Arial" w:eastAsia="Arial" w:hAnsi="Arial"/>
          <w:sz w:val="18"/>
          <w:szCs w:val="18"/>
          <w:color w:val="auto"/>
        </w:rPr>
        <w:t>”).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9.</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HERETO, SHALL BE GOVERNED BY, AND SHALL BE CONSTRUED AND INTERPRETED IN ACCORDANCE WITH, THE LAWS OF THE STATE OF NEW YORK.</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AND UNCONDITIONALLY WAIVES TRIAL BY JURY IN ANY LEGAL ACTION OR PROCEEDING RELATING TO THIS AGREEMENT OR ANY OTHER LOAN DOCUMENT AND FOR ANY COUNTERCLAIM THEREIN.</w:t>
      </w:r>
    </w:p>
    <w:p>
      <w:pPr>
        <w:spacing w:after="0" w:line="181" w:lineRule="exact"/>
        <w:rPr>
          <w:sz w:val="20"/>
          <w:szCs w:val="20"/>
          <w:color w:val="auto"/>
        </w:rPr>
      </w:pPr>
    </w:p>
    <w:p>
      <w:pPr>
        <w:jc w:val="both"/>
        <w:ind w:right="100" w:firstLine="1297"/>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Borrowers, the Guarantors, and the Credit Parties, and each of their respective successors and assigns, and shall not inure to the benefit of any third parties. The execution and delivery of this Agreement by any Lender prior to the Forbearance Effective Date shall be binding upon its successors and assigns and shall be effective as to any Loans or Commitments assigned to it after such execution and delivery.</w:t>
      </w:r>
    </w:p>
    <w:p>
      <w:pPr>
        <w:spacing w:after="0" w:line="18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made and entered into for the sole protection and benefit of the parties hereto and no other person or entity shall have any right of action hereon, right to claim any right or benefit from the terms contained herein, or be deemed a third party beneficiary hereunder.</w:t>
      </w:r>
    </w:p>
    <w:p>
      <w:pPr>
        <w:spacing w:after="0" w:line="18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REVIEW AND CONSTRUCTION OF DOCUMENTS</w:t>
      </w:r>
      <w:r>
        <w:rPr>
          <w:rFonts w:ascii="Arial" w:cs="Arial" w:eastAsia="Arial" w:hAnsi="Arial"/>
          <w:sz w:val="18"/>
          <w:szCs w:val="18"/>
          <w:color w:val="auto"/>
        </w:rPr>
        <w:t>. Each party hereto hereby acknowledges, and represents and warrants to the other parties hereto, that:</w:t>
      </w:r>
    </w:p>
    <w:p>
      <w:pPr>
        <w:spacing w:after="0" w:line="170" w:lineRule="exact"/>
        <w:rPr>
          <w:sz w:val="20"/>
          <w:szCs w:val="20"/>
          <w:color w:val="auto"/>
        </w:rPr>
      </w:pPr>
    </w:p>
    <w:p>
      <w:pPr>
        <w:ind w:left="660" w:right="440" w:firstLine="645"/>
        <w:spacing w:after="0" w:line="277" w:lineRule="auto"/>
        <w:tabs>
          <w:tab w:leader="none" w:pos="19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had the opportunity to consult with legal counsel of its own choice and has been afforded an opportunity to review this Agreement with legal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carefully reviewed this Agreement and fully understands all terms and provisions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freely, voluntarily, knowingly, and intelligently entered into this Agreement of its own free will and volition;</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none of the Credit Parties have a fiduciary relationship with any of the Obligors and the Obligors do not have a fiduciary relationship with the Credit Parties, and the relationship between the Credit Parties, on the one hand, and the Obligors, on the other hand, is solely that of creditor and debtor;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joint venture exists among the Obligors and the Credit Parties.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3" w:name="page124"/>
    <w:bookmarkEnd w:id="123"/>
    <w:p>
      <w:pPr>
        <w:ind w:firstLine="1297"/>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requests in connection with this Agreement shall be given in accordance with Section 11.02 of the Credit Agreement.</w:t>
      </w:r>
    </w:p>
    <w:p>
      <w:pPr>
        <w:spacing w:after="0" w:line="170"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EMBODIES THE FINAL, ENTIRE AGREEMENT AMONG THE PARTIES HERETO REGARDING THE CREDIT PARTIES’ FORBEARANCE WITH RESPECT TO THEIR RIGHTS AND REMEDIES WHICH MAY ARISE AS A RESULT OF THE SPECIFIED EVENTS OF DEFAULT AND SUPERSEDES ANY AND ALL PRIOR COMMITMENTS, AGREEMENTS, REPRESENTATIONS, AND UNDERSTANDINGS, WHETHER WRITTEN OR ORAL, RELATING TO THE SUBJECT MATTER HEREOF AND MAY NOT BE CONTRADICTED OR VARIED BY EVIDENCE OF PRIOR, CONTEMPORANEOUS OR SUBSEQUENT ORAL AGREEMENTS OR DISCUSSION OF THE PARTIES HERETO. THERE ARE NO ORAL AGREEMENTS AMONG THE PARTIES HERETO. The provisions of this Agreement may be amended or waived only by an instrument in writing signed by the Borrowers, the Lenders constituting the Required Lenders and, to the extent required under Section 11.01 of the Credit Agreement, the Issuing Bank and the Administrative Agent.</w:t>
      </w:r>
    </w:p>
    <w:p>
      <w:pPr>
        <w:spacing w:after="0" w:line="179"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any number of separate counterparts and all of said counterparts taken together shall be deemed to constitute one and the same instrument. An executed signature page of this Agreement may be delivered by facsimile transmission or electronic PDF of the relevant signature page hereof.</w:t>
      </w:r>
    </w:p>
    <w:p>
      <w:pPr>
        <w:spacing w:after="0" w:line="181"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Obligors agree to execute, acknowledge, deliver, file and record such further certificates, instruments and documents, and to do all other acts and things, as may be reasonably requested by the Administrative Agent and necessary or reasonably advisable to carry out the intents and purposes of this Agreement. The Administrative Agent and the Lenders party to this Agreement agree to negotiate in good faith an intercreditor agreement as described in Section 3.1(a)(xxv) of this Agreement.</w:t>
      </w:r>
    </w:p>
    <w:p>
      <w:pPr>
        <w:spacing w:after="0" w:line="171"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in this Agreement are for convenience of reference only, are not part of this Agreement and are not to affect the construction of, or to be taken into consideration in interpreting, this Agreement.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124" w:name="page125"/>
    <w:bookmarkEnd w:id="124"/>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and delivered by their duly authorized officers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25" w:name="page126"/>
    <w:bookmarkEnd w:id="125"/>
    <w:p>
      <w:pPr>
        <w:ind w:left="4520"/>
        <w:spacing w:after="0"/>
        <w:rPr>
          <w:sz w:val="20"/>
          <w:szCs w:val="20"/>
          <w:color w:val="auto"/>
        </w:rPr>
      </w:pPr>
      <w:r>
        <w:rPr>
          <w:rFonts w:ascii="Arial" w:cs="Arial" w:eastAsia="Arial" w:hAnsi="Arial"/>
          <w:sz w:val="18"/>
          <w:szCs w:val="18"/>
          <w:color w:val="auto"/>
        </w:rPr>
        <w:t>AUSTRALIA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AUSTRALIA PTY LIMITED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Antonino Gullotti</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Antonino Gullotti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Robert De Gasperis</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Robert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6" w:name="page127"/>
    <w:bookmarkEnd w:id="126"/>
    <w:p>
      <w:pPr>
        <w:ind w:left="4520"/>
        <w:spacing w:after="0"/>
        <w:rPr>
          <w:sz w:val="20"/>
          <w:szCs w:val="20"/>
          <w:color w:val="auto"/>
        </w:rPr>
      </w:pPr>
      <w:r>
        <w:rPr>
          <w:rFonts w:ascii="Arial" w:cs="Arial" w:eastAsia="Arial" w:hAnsi="Arial"/>
          <w:sz w:val="18"/>
          <w:szCs w:val="18"/>
          <w:color w:val="auto"/>
        </w:rPr>
        <w:t>BERMUDA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Andrew Gold</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Andrew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SABRE DRILLING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INTERNATIONAL HOLDING (BERMUDA) LTD.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PANGAEA HOLDINGS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center"/>
        <w:ind w:left="3200"/>
        <w:spacing w:after="0"/>
        <w:tabs>
          <w:tab w:leader="none" w:pos="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440" w:top="341" w:right="759" w:bottom="1440" w:gutter="0" w:footer="0" w:header="0"/>
        </w:sectPr>
      </w:pPr>
    </w:p>
    <w:bookmarkStart w:id="127" w:name="page128"/>
    <w:bookmarkEnd w:id="127"/>
    <w:p>
      <w:pPr>
        <w:ind w:left="4520"/>
        <w:spacing w:after="0"/>
        <w:rPr>
          <w:sz w:val="20"/>
          <w:szCs w:val="20"/>
          <w:color w:val="auto"/>
        </w:rPr>
      </w:pPr>
      <w:r>
        <w:rPr>
          <w:rFonts w:ascii="Arial" w:cs="Arial" w:eastAsia="Arial" w:hAnsi="Arial"/>
          <w:sz w:val="18"/>
          <w:szCs w:val="18"/>
          <w:color w:val="auto"/>
        </w:rPr>
        <w:t>BVI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 (BVI)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HOLDINGS (BVI) LTD.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MIDDLE EAST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28" w:name="page129"/>
    <w:bookmarkEnd w:id="128"/>
    <w:p>
      <w:pPr>
        <w:ind w:left="5720"/>
        <w:spacing w:after="0"/>
        <w:rPr>
          <w:sz w:val="20"/>
          <w:szCs w:val="20"/>
          <w:color w:val="auto"/>
        </w:rPr>
      </w:pPr>
      <w:r>
        <w:rPr>
          <w:rFonts w:ascii="Arial" w:cs="Arial" w:eastAsia="Arial" w:hAnsi="Arial"/>
          <w:sz w:val="18"/>
          <w:szCs w:val="18"/>
          <w:color w:val="auto"/>
        </w:rPr>
        <w:t>CANADA 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CANADA LTD.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 David Reed</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 &amp;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(NOVA SCOTIA) ULC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 David Reed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 &amp; Vice President</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9" w:name="page130"/>
    <w:bookmarkEnd w:id="129"/>
    <w:p>
      <w:pPr>
        <w:ind w:left="4520"/>
        <w:spacing w:after="0"/>
        <w:rPr>
          <w:sz w:val="20"/>
          <w:szCs w:val="20"/>
          <w:color w:val="auto"/>
        </w:rPr>
      </w:pPr>
      <w:r>
        <w:rPr>
          <w:rFonts w:ascii="Arial" w:cs="Arial" w:eastAsia="Arial" w:hAnsi="Arial"/>
          <w:sz w:val="18"/>
          <w:szCs w:val="18"/>
          <w:color w:val="auto"/>
        </w:rPr>
        <w:t>ENGLAND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EURASIA LIMITED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Strachan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Strachan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0" w:name="page131"/>
    <w:bookmarkEnd w:id="130"/>
    <w:p>
      <w:pPr>
        <w:ind w:left="4520"/>
        <w:spacing w:after="0"/>
        <w:rPr>
          <w:sz w:val="20"/>
          <w:szCs w:val="20"/>
          <w:color w:val="auto"/>
        </w:rPr>
      </w:pPr>
      <w:r>
        <w:rPr>
          <w:rFonts w:ascii="Arial" w:cs="Arial" w:eastAsia="Arial" w:hAnsi="Arial"/>
          <w:sz w:val="18"/>
          <w:szCs w:val="18"/>
          <w:color w:val="auto"/>
        </w:rPr>
        <w:t>LUXEMBOURG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EUROPEAN HOLDINGS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S.À 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Mathias Neuenschwander</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Name:</w:t>
        <w:tab/>
        <w:t>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 A</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HOLDINGS S.À 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Mathisas Neuenschwander</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7"/>
          <w:szCs w:val="17"/>
          <w:color w:val="auto"/>
        </w:rPr>
        <w:t>Name:</w:t>
        <w:tab/>
        <w:t>Mathisas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-123190</wp:posOffset>
            </wp:positionV>
            <wp:extent cx="3319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1" w:name="page132"/>
    <w:bookmarkEnd w:id="131"/>
    <w:p>
      <w:pPr>
        <w:ind w:left="4520"/>
        <w:spacing w:after="0"/>
        <w:rPr>
          <w:sz w:val="20"/>
          <w:szCs w:val="20"/>
          <w:color w:val="auto"/>
        </w:rPr>
      </w:pPr>
      <w:r>
        <w:rPr>
          <w:rFonts w:ascii="Arial" w:cs="Arial" w:eastAsia="Arial" w:hAnsi="Arial"/>
          <w:sz w:val="18"/>
          <w:szCs w:val="18"/>
          <w:color w:val="auto"/>
        </w:rPr>
        <w:t>NETHERLANDS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NETHERLANDS B.V.</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August Willem Versteeg</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7"/>
          <w:szCs w:val="17"/>
          <w:color w:val="auto"/>
        </w:rPr>
        <w:t>Name:</w:t>
        <w:tab/>
        <w:t>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2" w:name="page133"/>
    <w:bookmarkEnd w:id="132"/>
    <w:p>
      <w:pPr>
        <w:ind w:left="4520"/>
        <w:spacing w:after="0"/>
        <w:rPr>
          <w:sz w:val="20"/>
          <w:szCs w:val="20"/>
          <w:color w:val="auto"/>
        </w:rPr>
      </w:pPr>
      <w:r>
        <w:rPr>
          <w:rFonts w:ascii="Arial" w:cs="Arial" w:eastAsia="Arial" w:hAnsi="Arial"/>
          <w:sz w:val="18"/>
          <w:szCs w:val="18"/>
          <w:color w:val="auto"/>
        </w:rPr>
        <w:t>NORWAY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NORGE AS</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Geir Egil Moller Olsen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7"/>
          <w:szCs w:val="17"/>
          <w:color w:val="auto"/>
        </w:rPr>
        <w:t>Name:</w:t>
        <w:tab/>
        <w:t>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3" w:name="page134"/>
    <w:bookmarkEnd w:id="133"/>
    <w:p>
      <w:pPr>
        <w:ind w:left="4520"/>
        <w:spacing w:after="0"/>
        <w:rPr>
          <w:sz w:val="20"/>
          <w:szCs w:val="20"/>
          <w:color w:val="auto"/>
        </w:rPr>
      </w:pPr>
      <w:r>
        <w:rPr>
          <w:rFonts w:ascii="Arial" w:cs="Arial" w:eastAsia="Arial" w:hAnsi="Arial"/>
          <w:sz w:val="18"/>
          <w:szCs w:val="18"/>
          <w:color w:val="auto"/>
        </w:rPr>
        <w:t>PANAMA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WEATHERFORD SERVICES S. DE R.L.</w:t>
      </w:r>
    </w:p>
    <w:p>
      <w:pPr>
        <w:spacing w:after="0" w:line="24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4" w:name="page135"/>
    <w:bookmarkEnd w:id="134"/>
    <w:p>
      <w:pPr>
        <w:ind w:left="4520"/>
        <w:spacing w:after="0"/>
        <w:rPr>
          <w:sz w:val="20"/>
          <w:szCs w:val="20"/>
          <w:color w:val="auto"/>
        </w:rPr>
      </w:pPr>
      <w:r>
        <w:rPr>
          <w:rFonts w:ascii="Arial" w:cs="Arial" w:eastAsia="Arial" w:hAnsi="Arial"/>
          <w:sz w:val="18"/>
          <w:szCs w:val="18"/>
          <w:color w:val="auto"/>
        </w:rPr>
        <w:t>SWITZERLAND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SARL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Andrzej Puchala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170"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Phillip Andermatt</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Phillip Andermatt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Andrzej Puchala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SWISS FINANCE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Ariana Cabariu-Truong</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Ariana Cabariu-Truong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(SWITZERLAND)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60"/>
          </w:cols>
          <w:pgMar w:left="1440" w:top="341" w:right="599" w:bottom="1440" w:gutter="0" w:footer="0" w:header="0"/>
        </w:sectPr>
      </w:pPr>
    </w:p>
    <w:bookmarkStart w:id="135" w:name="page136"/>
    <w:bookmarkEnd w:id="135"/>
    <w:p>
      <w:pPr>
        <w:ind w:left="5720"/>
        <w:spacing w:after="0"/>
        <w:rPr>
          <w:sz w:val="20"/>
          <w:szCs w:val="20"/>
          <w:color w:val="auto"/>
        </w:rPr>
      </w:pPr>
      <w:r>
        <w:rPr>
          <w:rFonts w:ascii="Arial" w:cs="Arial" w:eastAsia="Arial" w:hAnsi="Arial"/>
          <w:sz w:val="18"/>
          <w:szCs w:val="18"/>
          <w:color w:val="auto"/>
        </w:rPr>
        <w:t>LOUISIANA GUARANTOR: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U.S., L.P.</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&amp; Secretary</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6" w:name="page137"/>
    <w:bookmarkEnd w:id="136"/>
    <w:p>
      <w:pPr>
        <w:ind w:left="5720"/>
        <w:spacing w:after="0"/>
        <w:rPr>
          <w:sz w:val="20"/>
          <w:szCs w:val="20"/>
          <w:color w:val="auto"/>
        </w:rPr>
      </w:pPr>
      <w:r>
        <w:rPr>
          <w:rFonts w:ascii="Arial" w:cs="Arial" w:eastAsia="Arial" w:hAnsi="Arial"/>
          <w:sz w:val="18"/>
          <w:szCs w:val="18"/>
          <w:color w:val="auto"/>
        </w:rPr>
        <w:t>DELAWARE 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PD HOLDINGS (USA),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WEUS HOLDING, LLC</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 &amp; Secretary</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7" w:name="page138"/>
    <w:bookmarkEnd w:id="137"/>
    <w:p>
      <w:pPr>
        <w:ind w:left="4520"/>
        <w:spacing w:after="0"/>
        <w:rPr>
          <w:sz w:val="20"/>
          <w:szCs w:val="20"/>
          <w:color w:val="auto"/>
        </w:rPr>
      </w:pPr>
      <w:r>
        <w:rPr>
          <w:rFonts w:ascii="Arial" w:cs="Arial" w:eastAsia="Arial" w:hAnsi="Arial"/>
          <w:sz w:val="18"/>
          <w:szCs w:val="18"/>
          <w:color w:val="auto"/>
        </w:rPr>
        <w:t>CALIFORNIA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tabs>
          <w:tab w:leader="none" w:pos="5660" w:val="left"/>
        </w:tabs>
        <w:rPr>
          <w:sz w:val="20"/>
          <w:szCs w:val="20"/>
          <w:color w:val="auto"/>
        </w:rPr>
      </w:pPr>
      <w:r>
        <w:rPr>
          <w:rFonts w:ascii="Arial" w:cs="Arial" w:eastAsia="Arial" w:hAnsi="Arial"/>
          <w:sz w:val="17"/>
          <w:szCs w:val="17"/>
          <w:color w:val="auto"/>
        </w:rPr>
        <w:t>Name:</w:t>
        <w:tab/>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6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8" w:name="page139"/>
    <w:bookmarkEnd w:id="138"/>
    <w:p>
      <w:pPr>
        <w:ind w:left="4520"/>
        <w:spacing w:after="0"/>
        <w:rPr>
          <w:sz w:val="20"/>
          <w:szCs w:val="20"/>
          <w:color w:val="auto"/>
        </w:rPr>
      </w:pPr>
      <w:r>
        <w:rPr>
          <w:rFonts w:ascii="Arial" w:cs="Arial" w:eastAsia="Arial" w:hAnsi="Arial"/>
          <w:sz w:val="18"/>
          <w:szCs w:val="18"/>
          <w:color w:val="auto"/>
        </w:rPr>
        <w:t>TEXAS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PRECISION OILFIELD SERVICES, LLP,</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9" w:name="page140"/>
    <w:bookmarkEnd w:id="139"/>
    <w:p>
      <w:pPr>
        <w:ind w:left="4520"/>
        <w:spacing w:after="0"/>
        <w:rPr>
          <w:sz w:val="20"/>
          <w:szCs w:val="20"/>
          <w:color w:val="auto"/>
        </w:rPr>
      </w:pPr>
      <w:r>
        <w:rPr>
          <w:rFonts w:ascii="Arial" w:cs="Arial" w:eastAsia="Arial" w:hAnsi="Arial"/>
          <w:sz w:val="16"/>
          <w:szCs w:val="16"/>
          <w:color w:val="auto"/>
        </w:rPr>
        <w:t>[Lender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u w:val="single" w:color="auto"/>
          <w:color w:val="auto"/>
        </w:rPr>
        <w:t>Schedule 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SPECIFIED EVENTS OF DEFAULT</w:t>
      </w: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41" w:name="page142"/>
    <w:bookmarkEnd w:id="141"/>
    <w:p>
      <w:pPr>
        <w:jc w:val="center"/>
        <w:ind w:right="-11"/>
        <w:spacing w:after="0"/>
        <w:rPr>
          <w:sz w:val="20"/>
          <w:szCs w:val="20"/>
          <w:color w:val="auto"/>
        </w:rPr>
      </w:pPr>
      <w:r>
        <w:rPr>
          <w:rFonts w:ascii="Arial" w:cs="Arial" w:eastAsia="Arial" w:hAnsi="Arial"/>
          <w:sz w:val="18"/>
          <w:szCs w:val="18"/>
          <w:u w:val="single" w:color="auto"/>
          <w:color w:val="auto"/>
        </w:rPr>
        <w:t>SPECIFIED EVENTS OF DEFAULT</w:t>
      </w:r>
    </w:p>
    <w:p>
      <w:pPr>
        <w:spacing w:after="0" w:line="225" w:lineRule="exact"/>
        <w:rPr>
          <w:sz w:val="20"/>
          <w:szCs w:val="20"/>
          <w:color w:val="auto"/>
        </w:rPr>
      </w:pPr>
    </w:p>
    <w:p>
      <w:pPr>
        <w:ind w:left="652" w:right="160" w:hanging="652"/>
        <w:spacing w:after="0" w:line="277" w:lineRule="auto"/>
        <w:tabs>
          <w:tab w:leader="none" w:pos="6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requirements of Sections 4.4 and 4.7, Events of Default under Section 9.01(a) of the Credit Agreement due to the failure to repay the Obligations upon the acceleration thereof as a result of the commencement of the Chapter 11 Case.</w:t>
      </w:r>
    </w:p>
    <w:p>
      <w:pPr>
        <w:spacing w:after="0" w:line="170" w:lineRule="exact"/>
        <w:rPr>
          <w:rFonts w:ascii="Arial" w:cs="Arial" w:eastAsia="Arial" w:hAnsi="Arial"/>
          <w:sz w:val="18"/>
          <w:szCs w:val="18"/>
          <w:color w:val="auto"/>
        </w:rPr>
      </w:pPr>
    </w:p>
    <w:p>
      <w:pPr>
        <w:ind w:left="652" w:right="160" w:hanging="652"/>
        <w:spacing w:after="0" w:line="264" w:lineRule="auto"/>
        <w:tabs>
          <w:tab w:leader="none" w:pos="65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Events of Default under Section 9.01(b) of the Credit Agreement on or before the date hereof and during the Forbearance Period due to a representation and warranty under the following Sections of the Credit Agreement being incorrect in any material respect when made or deemed to have been made:</w:t>
      </w:r>
    </w:p>
    <w:p>
      <w:pPr>
        <w:spacing w:after="0" w:line="181" w:lineRule="exact"/>
        <w:rPr>
          <w:rFonts w:ascii="Arial" w:cs="Arial" w:eastAsia="Arial" w:hAnsi="Arial"/>
          <w:sz w:val="18"/>
          <w:szCs w:val="18"/>
          <w:color w:val="auto"/>
        </w:rPr>
      </w:pPr>
    </w:p>
    <w:p>
      <w:pPr>
        <w:ind w:left="1292" w:right="140" w:hanging="644"/>
        <w:spacing w:after="0" w:line="259" w:lineRule="auto"/>
        <w:tabs>
          <w:tab w:leader="none" w:pos="131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Section 6.01 (to the extent the commencement of the Chapter 11 Cases, Irish examinership proceeding, and/or Bermudian provisional liquidation proceeding (collectively, the “</w:t>
      </w:r>
      <w:r>
        <w:rPr>
          <w:rFonts w:ascii="Arial" w:cs="Arial" w:eastAsia="Arial" w:hAnsi="Arial"/>
          <w:sz w:val="18"/>
          <w:szCs w:val="18"/>
          <w:u w:val="single" w:color="auto"/>
          <w:color w:val="auto"/>
        </w:rPr>
        <w:t>Cases</w:t>
      </w:r>
      <w:r>
        <w:rPr>
          <w:rFonts w:ascii="Arial" w:cs="Arial" w:eastAsia="Arial" w:hAnsi="Arial"/>
          <w:sz w:val="18"/>
          <w:szCs w:val="18"/>
          <w:color w:val="auto"/>
        </w:rPr>
        <w:t>”) causes the failure of any Debtor to be in good standing under the laws of the jurisdiction of its incorporation or formation or in a jurisdiction in which it is duly qualified as a foreign corporation or other foreign entity to do business);</w:t>
      </w:r>
    </w:p>
    <w:p>
      <w:pPr>
        <w:spacing w:after="0" w:line="186" w:lineRule="exact"/>
        <w:rPr>
          <w:rFonts w:ascii="Arial" w:cs="Arial" w:eastAsia="Arial" w:hAnsi="Arial"/>
          <w:sz w:val="18"/>
          <w:szCs w:val="18"/>
          <w:color w:val="auto"/>
        </w:rPr>
      </w:pPr>
    </w:p>
    <w:p>
      <w:pPr>
        <w:ind w:left="1292" w:hanging="644"/>
        <w:spacing w:after="0" w:line="264" w:lineRule="auto"/>
        <w:tabs>
          <w:tab w:leader="none" w:pos="132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Section 6.03 (to the extent any Debtor requires the authorization, consent, approval, license or exemption of, or filing or registration with, the Bankruptcy Court or any other Governmental Authority (to the extent excused as a result of the Cases) to have been made or obtained in connection with any actions or requirements under the Loan Documents);</w:t>
      </w:r>
    </w:p>
    <w:p>
      <w:pPr>
        <w:spacing w:after="0" w:line="181" w:lineRule="exact"/>
        <w:rPr>
          <w:rFonts w:ascii="Arial" w:cs="Arial" w:eastAsia="Arial" w:hAnsi="Arial"/>
          <w:sz w:val="18"/>
          <w:szCs w:val="18"/>
          <w:color w:val="auto"/>
        </w:rPr>
      </w:pPr>
    </w:p>
    <w:p>
      <w:pPr>
        <w:ind w:left="1292" w:right="320" w:hanging="644"/>
        <w:spacing w:after="0" w:line="312" w:lineRule="auto"/>
        <w:tabs>
          <w:tab w:leader="none" w:pos="133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Section 6.05 (to the extent such actions or proceedings (A) arise from the commencement or existence of the Cases or (B) arise from compliance with and pursuit of the transactions contemplated by the RSA before the end of the Forbearance Period) to the extent, in the case of any Obligor that is not a Debtor, such action or proceeding does not give rise to an event described in Section 3.1(a)(xxii);</w:t>
      </w:r>
    </w:p>
    <w:p>
      <w:pPr>
        <w:spacing w:after="0" w:line="146" w:lineRule="exact"/>
        <w:rPr>
          <w:rFonts w:ascii="Arial" w:cs="Arial" w:eastAsia="Arial" w:hAnsi="Arial"/>
          <w:sz w:val="16"/>
          <w:szCs w:val="16"/>
          <w:color w:val="auto"/>
        </w:rPr>
      </w:pPr>
    </w:p>
    <w:p>
      <w:pPr>
        <w:ind w:left="1292" w:right="60" w:hanging="644"/>
        <w:spacing w:after="0" w:line="277" w:lineRule="auto"/>
        <w:tabs>
          <w:tab w:leader="none" w:pos="130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Section 6.06(c) (to the extent there has been a material adverse change since December 31, 2015 in the financial condition, business, assets or operations of WIL-Ireland and its Restricted Subsidiaries, taken as a whole);</w:t>
      </w:r>
    </w:p>
    <w:p>
      <w:pPr>
        <w:spacing w:after="0" w:line="170" w:lineRule="exact"/>
        <w:rPr>
          <w:rFonts w:ascii="Arial" w:cs="Arial" w:eastAsia="Arial" w:hAnsi="Arial"/>
          <w:sz w:val="18"/>
          <w:szCs w:val="18"/>
          <w:color w:val="auto"/>
        </w:rPr>
      </w:pPr>
    </w:p>
    <w:p>
      <w:pPr>
        <w:ind w:left="1312" w:hanging="664"/>
        <w:spacing w:after="0"/>
        <w:tabs>
          <w:tab w:leader="none" w:pos="13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Section 6.11 (to the extent any Specified Event of Default has occurred and is continuing); and</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Section 6.15 (in respect of WIL-Ireland, WIL-Bermuda or any of their Subsidiaries).</w:t>
      </w:r>
    </w:p>
    <w:p>
      <w:pPr>
        <w:spacing w:after="0" w:line="225" w:lineRule="exact"/>
        <w:rPr>
          <w:rFonts w:ascii="Arial" w:cs="Arial" w:eastAsia="Arial" w:hAnsi="Arial"/>
          <w:sz w:val="18"/>
          <w:szCs w:val="18"/>
          <w:color w:val="auto"/>
        </w:rPr>
      </w:pPr>
    </w:p>
    <w:p>
      <w:pPr>
        <w:ind w:left="652" w:right="80" w:hanging="652"/>
        <w:spacing w:after="0" w:line="264" w:lineRule="auto"/>
        <w:tabs>
          <w:tab w:leader="none" w:pos="6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Events of Default under Section 9.01(d) of the Credit Agreement on or before the date hereof and during the Forbearance Period due to any Obligor Party failing to give any notice required by Section 7.01(c), 7.01(d)(i) (with respect to the Specified Events of Default or any transactions contemplated by the RSA) or 7.01(d)(iii) (pursuant to an Acceptable Plan)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42" w:name="page143"/>
    <w:bookmarkEnd w:id="142"/>
    <w:p>
      <w:pPr>
        <w:ind w:left="652" w:right="60" w:hanging="652"/>
        <w:spacing w:after="0" w:line="277" w:lineRule="auto"/>
        <w:tabs>
          <w:tab w:leader="none" w:pos="65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Events of Default under Sections 9.01(c) and 9.01(e) of the Credit Agreement due to the failure to comply with the following Sections of the Credit Agreement, in each case, on or before the date hereof and during the Forbearance Period:</w:t>
      </w:r>
    </w:p>
    <w:p>
      <w:pPr>
        <w:spacing w:after="0" w:line="170" w:lineRule="exact"/>
        <w:rPr>
          <w:rFonts w:ascii="Arial" w:cs="Arial" w:eastAsia="Arial" w:hAnsi="Arial"/>
          <w:sz w:val="18"/>
          <w:szCs w:val="18"/>
          <w:color w:val="auto"/>
        </w:rPr>
      </w:pPr>
    </w:p>
    <w:p>
      <w:pPr>
        <w:ind w:left="1292" w:right="200" w:hanging="644"/>
        <w:spacing w:after="0" w:line="277" w:lineRule="auto"/>
        <w:tabs>
          <w:tab w:leader="none" w:pos="131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7.01(b) (with respect to the delivery of such financial statements without qualification to the extent of a going concern or similar such qualification);</w:t>
      </w:r>
    </w:p>
    <w:p>
      <w:pPr>
        <w:spacing w:after="0" w:line="170" w:lineRule="exact"/>
        <w:rPr>
          <w:rFonts w:ascii="Arial" w:cs="Arial" w:eastAsia="Arial" w:hAnsi="Arial"/>
          <w:sz w:val="18"/>
          <w:szCs w:val="18"/>
          <w:color w:val="auto"/>
        </w:rPr>
      </w:pPr>
    </w:p>
    <w:p>
      <w:pPr>
        <w:ind w:left="1292" w:right="420" w:hanging="644"/>
        <w:spacing w:after="0" w:line="277" w:lineRule="auto"/>
        <w:tabs>
          <w:tab w:leader="none" w:pos="132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7.01(d)(ii) (with respect to not providing notice of any Default or Event of Default in connection with any Specified Event of Default);</w:t>
      </w:r>
    </w:p>
    <w:p>
      <w:pPr>
        <w:spacing w:after="0" w:line="170" w:lineRule="exact"/>
        <w:rPr>
          <w:rFonts w:ascii="Arial" w:cs="Arial" w:eastAsia="Arial" w:hAnsi="Arial"/>
          <w:sz w:val="18"/>
          <w:szCs w:val="18"/>
          <w:color w:val="auto"/>
        </w:rPr>
      </w:pPr>
    </w:p>
    <w:p>
      <w:pPr>
        <w:ind w:left="1292" w:right="20" w:hanging="644"/>
        <w:spacing w:after="0" w:line="264" w:lineRule="auto"/>
        <w:tabs>
          <w:tab w:leader="none" w:pos="133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7.04 (with respect to payment or discharge of Taxes by any Debtor to the extent excused under the Bankruptcy Code and/or other applicable law governing the Cases or may require approval by the Bankruptcy Court and/or other Governmental Authorities in connection with the Cases).</w:t>
      </w:r>
    </w:p>
    <w:p>
      <w:pPr>
        <w:spacing w:after="0" w:line="181" w:lineRule="exact"/>
        <w:rPr>
          <w:rFonts w:ascii="Arial" w:cs="Arial" w:eastAsia="Arial" w:hAnsi="Arial"/>
          <w:sz w:val="18"/>
          <w:szCs w:val="18"/>
          <w:color w:val="auto"/>
        </w:rPr>
      </w:pPr>
    </w:p>
    <w:p>
      <w:pPr>
        <w:ind w:left="1292" w:hanging="644"/>
        <w:spacing w:after="0" w:line="277" w:lineRule="auto"/>
        <w:tabs>
          <w:tab w:leader="none" w:pos="130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7.07(ii) (with respect to performing in all material respects any obligations under material agreements of the Debtors and otherwise under or in respect of the 364-Day Revolving Credit Agreement or the Term Loan Agreement);</w:t>
      </w:r>
    </w:p>
    <w:p>
      <w:pPr>
        <w:spacing w:after="0" w:line="170" w:lineRule="exact"/>
        <w:rPr>
          <w:rFonts w:ascii="Arial" w:cs="Arial" w:eastAsia="Arial" w:hAnsi="Arial"/>
          <w:sz w:val="18"/>
          <w:szCs w:val="18"/>
          <w:color w:val="auto"/>
        </w:rPr>
      </w:pPr>
    </w:p>
    <w:p>
      <w:pPr>
        <w:ind w:left="1312" w:hanging="664"/>
        <w:spacing w:after="0"/>
        <w:tabs>
          <w:tab w:leader="none" w:pos="13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8.01 (with respect to Indebtedness in respect of the DIP Financing);</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8.04 (with respect to the Liens securing the DIP Financing);</w:t>
      </w:r>
    </w:p>
    <w:p>
      <w:pPr>
        <w:spacing w:after="0" w:line="225" w:lineRule="exact"/>
        <w:rPr>
          <w:rFonts w:ascii="Arial" w:cs="Arial" w:eastAsia="Arial" w:hAnsi="Arial"/>
          <w:sz w:val="18"/>
          <w:szCs w:val="18"/>
          <w:color w:val="auto"/>
        </w:rPr>
      </w:pPr>
    </w:p>
    <w:p>
      <w:pPr>
        <w:ind w:left="1292" w:right="500" w:hanging="644"/>
        <w:spacing w:after="0" w:line="308" w:lineRule="auto"/>
        <w:tabs>
          <w:tab w:leader="none" w:pos="131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Section 8.05 (with respect to the Specified Divestitures defined and identified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of this Agreement, so long as they are permitted by Section 8.05 without giving effect to Section 8.05(j)(iv), and otherwise subject to Section 3.1(b));</w:t>
      </w:r>
    </w:p>
    <w:p>
      <w:pPr>
        <w:spacing w:after="0" w:line="146" w:lineRule="exact"/>
        <w:rPr>
          <w:rFonts w:ascii="Arial" w:cs="Arial" w:eastAsia="Arial" w:hAnsi="Arial"/>
          <w:sz w:val="17"/>
          <w:szCs w:val="17"/>
          <w:color w:val="auto"/>
        </w:rPr>
      </w:pPr>
    </w:p>
    <w:p>
      <w:pPr>
        <w:ind w:left="1292" w:hanging="644"/>
        <w:spacing w:after="0" w:line="257" w:lineRule="auto"/>
        <w:tabs>
          <w:tab w:leader="none" w:pos="13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8.05 (as it pertains to any Disposition requiring a Commitment reduction under Section 2.06(c) or a prepayment requirement under Section 2.08(d), which, for the avoidance of doubt, shall not be required (x) to the extent such amounts are required under the DIP Agreement to repay the DIP loans or are permitted to be reinvested by the Debtors or (y) in the case of the requirements of Section 2.08(d), to the extent the Net Cash Proceeds with respect to Permitted Factoring Transactions are less than $75,000,000 during any calendar quarter);</w:t>
      </w:r>
    </w:p>
    <w:p>
      <w:pPr>
        <w:spacing w:after="0" w:line="188" w:lineRule="exact"/>
        <w:rPr>
          <w:rFonts w:ascii="Arial" w:cs="Arial" w:eastAsia="Arial" w:hAnsi="Arial"/>
          <w:sz w:val="18"/>
          <w:szCs w:val="18"/>
          <w:color w:val="auto"/>
        </w:rPr>
      </w:pPr>
    </w:p>
    <w:p>
      <w:pPr>
        <w:ind w:left="1312" w:hanging="664"/>
        <w:spacing w:after="0"/>
        <w:tabs>
          <w:tab w:leader="none" w:pos="13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8.08 (with respect to prepayments of overdraft facilities);</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8.09 (with respect to the failure to comply with the financial covenants during the Forbearance Period);</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8.11 (to the extent that the DIP Agreement and related loan documents are Restrictive Agreements); and</w:t>
      </w:r>
    </w:p>
    <w:p>
      <w:pPr>
        <w:spacing w:after="0" w:line="225" w:lineRule="exact"/>
        <w:rPr>
          <w:rFonts w:ascii="Arial" w:cs="Arial" w:eastAsia="Arial" w:hAnsi="Arial"/>
          <w:sz w:val="18"/>
          <w:szCs w:val="18"/>
          <w:color w:val="auto"/>
        </w:rPr>
      </w:pPr>
    </w:p>
    <w:p>
      <w:pPr>
        <w:jc w:val="both"/>
        <w:ind w:left="1292" w:right="40" w:hanging="644"/>
        <w:spacing w:after="0" w:line="264" w:lineRule="auto"/>
        <w:tabs>
          <w:tab w:leader="none" w:pos="131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Section 8.15 (to the extent the aggregate amount of all obligations (contingent or otherwise) of WIL-Ireland and its Restricted Subsidiaries with respect to letters of credit, bank guarantees, bid bonds, surety bonds, performance bonds, customs bonds, advance payment bonds and similar instruments (including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143" w:name="page144"/>
    <w:bookmarkEnd w:id="143"/>
    <w:p>
      <w:pPr>
        <w:ind w:left="1292" w:right="40"/>
        <w:spacing w:after="0" w:line="277" w:lineRule="auto"/>
        <w:rPr>
          <w:sz w:val="20"/>
          <w:szCs w:val="20"/>
          <w:color w:val="auto"/>
        </w:rPr>
      </w:pPr>
      <w:r>
        <w:rPr>
          <w:rFonts w:ascii="Arial" w:cs="Arial" w:eastAsia="Arial" w:hAnsi="Arial"/>
          <w:sz w:val="18"/>
          <w:szCs w:val="18"/>
          <w:color w:val="auto"/>
        </w:rPr>
        <w:t xml:space="preserve">issued pursuant to this Agreement and the DIP Financing) exceeds $1,000,000,000,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exceed, during the Forbearance Period, the lesser of $1,250,000,000 and the amount permitted under the DIP Agreement.</w:t>
      </w:r>
    </w:p>
    <w:p>
      <w:pPr>
        <w:spacing w:after="0" w:line="170" w:lineRule="exact"/>
        <w:rPr>
          <w:sz w:val="20"/>
          <w:szCs w:val="20"/>
          <w:color w:val="auto"/>
        </w:rPr>
      </w:pPr>
    </w:p>
    <w:p>
      <w:pPr>
        <w:ind w:left="652" w:right="100" w:hanging="652"/>
        <w:spacing w:after="0" w:line="302" w:lineRule="auto"/>
        <w:tabs>
          <w:tab w:leader="none" w:pos="66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Events of Default due to the actions taken in connection with the redomestication of WIL-Ireland as a resident of Ireland for tax purposes following confirmation of, and pursuant to, an Acceptable Plan, together with any changes thereto that are not materially adverse to the Lenders, in each case during the Forbearance Period so long as no assets of WIL-Ireland or any of its Subsidiaries shall be transferred in connection therewith except for transfers between North American DIP Guarantors or between Obligors that are not North American DIP Guarantors.</w:t>
      </w:r>
    </w:p>
    <w:p>
      <w:pPr>
        <w:spacing w:after="0" w:line="154" w:lineRule="exact"/>
        <w:rPr>
          <w:rFonts w:ascii="Arial" w:cs="Arial" w:eastAsia="Arial" w:hAnsi="Arial"/>
          <w:sz w:val="16"/>
          <w:szCs w:val="16"/>
          <w:color w:val="auto"/>
        </w:rPr>
      </w:pPr>
    </w:p>
    <w:p>
      <w:pPr>
        <w:ind w:left="652" w:right="40" w:hanging="652"/>
        <w:spacing w:after="0" w:line="302" w:lineRule="auto"/>
        <w:tabs>
          <w:tab w:leader="none" w:pos="65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Events of Default under Sections 9.01(c) and 9.01(e) of the Credit Agreement due to the cash collateralization of any LC Equivalent under any existing Indebtedness on or before the date hereof and during the Forbearance Period, including with respect to the Letters of Credit, so long as the aggregate amount of such cash provided in respect of such cash collateralization shall not exceed $500,000,000. For the purposes of this Agreement, “LC </w:t>
      </w:r>
      <w:r>
        <w:rPr>
          <w:rFonts w:ascii="Arial" w:cs="Arial" w:eastAsia="Arial" w:hAnsi="Arial"/>
          <w:sz w:val="16"/>
          <w:szCs w:val="16"/>
          <w:u w:val="single" w:color="auto"/>
          <w:color w:val="auto"/>
        </w:rPr>
        <w:t>Equivalent</w:t>
      </w:r>
      <w:r>
        <w:rPr>
          <w:rFonts w:ascii="Arial" w:cs="Arial" w:eastAsia="Arial" w:hAnsi="Arial"/>
          <w:sz w:val="16"/>
          <w:szCs w:val="16"/>
          <w:color w:val="auto"/>
        </w:rPr>
        <w:t>” means letters of credit, letter of credit facilities, bank guaranties, bank guarantee facilities or similar instruments or facilities.</w:t>
      </w:r>
    </w:p>
    <w:p>
      <w:pPr>
        <w:spacing w:after="0" w:line="154" w:lineRule="exact"/>
        <w:rPr>
          <w:rFonts w:ascii="Arial" w:cs="Arial" w:eastAsia="Arial" w:hAnsi="Arial"/>
          <w:sz w:val="16"/>
          <w:szCs w:val="16"/>
          <w:color w:val="auto"/>
        </w:rPr>
      </w:pPr>
    </w:p>
    <w:p>
      <w:pPr>
        <w:ind w:left="652" w:hanging="652"/>
        <w:spacing w:after="0" w:line="289" w:lineRule="auto"/>
        <w:tabs>
          <w:tab w:leader="none" w:pos="67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Events of Default under Section 9.01(f) of the Credit Agreement due to the failure of WIL-Ireland or any of its Restricted Subsidiaries to make any required payments of principal or interest or premium in respect of (i) the Existing Senior Notes, the 364-Day Revolving Credit Agreement or the Term Loan Agreement on or before the date of commencement of the Chapter 11 Cases, (ii) Material Indebtedness not permitted to be paid under the Bankruptcy Code and/or other applicable law governing the Cases, (iii) obligations of any Debtor with respect to LC Equivalents under Prepetition Indebtedness which are not cash collateralized as described in clause (f) above or (iv) capital lease obligations of any Debtor), in the case of clauses (ii) through (iv), as such payments become due on or before the date hereof or prior to the end of the Forbearance Period. For the purposes of this Agreement, “</w:t>
      </w:r>
      <w:r>
        <w:rPr>
          <w:rFonts w:ascii="Arial" w:cs="Arial" w:eastAsia="Arial" w:hAnsi="Arial"/>
          <w:sz w:val="16"/>
          <w:szCs w:val="16"/>
          <w:u w:val="single" w:color="auto"/>
          <w:color w:val="auto"/>
        </w:rPr>
        <w:t>Prepetition Indebtedness</w:t>
      </w:r>
      <w:r>
        <w:rPr>
          <w:rFonts w:ascii="Arial" w:cs="Arial" w:eastAsia="Arial" w:hAnsi="Arial"/>
          <w:sz w:val="16"/>
          <w:szCs w:val="16"/>
          <w:color w:val="auto"/>
        </w:rPr>
        <w:t>” means Indebtedness of the Debtors outstanding immediately prior to the commencement of the Chapter 11 Cases including Indebtedness under the Term Loan Facility, the 364-Day Revolving Credit Facility, the Existing Senior Notes and the bilateral credit facilities or other agreements through which any Debtor has the ability to obtain LC Equivalents that are in existence on the date hereof.</w:t>
      </w:r>
    </w:p>
    <w:p>
      <w:pPr>
        <w:spacing w:after="0" w:line="166" w:lineRule="exact"/>
        <w:rPr>
          <w:rFonts w:ascii="Arial" w:cs="Arial" w:eastAsia="Arial" w:hAnsi="Arial"/>
          <w:sz w:val="16"/>
          <w:szCs w:val="16"/>
          <w:color w:val="auto"/>
        </w:rPr>
      </w:pPr>
    </w:p>
    <w:p>
      <w:pPr>
        <w:ind w:left="652" w:right="40" w:hanging="652"/>
        <w:spacing w:after="0" w:line="293" w:lineRule="auto"/>
        <w:tabs>
          <w:tab w:leader="none" w:pos="65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Events of Default under Section 9.01(g) of the Credit Agreement with respect to (a) any Material Indebtedness that is Prepetition Indebtedness becoming due prior to its scheduled maturity, (b) events or conditions that enable or permit the holder or holders of any Material Indebtedness that is Prepetition Indebtedness or any trustee or agent on its or their behalf to cause any Material Indebtedness that is Prepetition Indebtedness to become due, or to require the prepayment, repurchase, redemption or defeasance thereof, prior to its scheduled maturity, in each case, on or before the date hereof and during the Forbearance Period or (c) events, conditions or defaults occurring under any Swap Agreement that constitutes Material Indebtedness that is Prepetition Indebtedness which could enable the other counterparty to terminate such Swap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44" w:name="page145"/>
    <w:bookmarkEnd w:id="144"/>
    <w:p>
      <w:pPr>
        <w:ind w:left="652" w:right="60" w:hanging="652"/>
        <w:spacing w:after="0" w:line="264" w:lineRule="auto"/>
        <w:tabs>
          <w:tab w:leader="none" w:pos="6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Events of Default under Section 9.01(h) of the Credit Agreement with respect to any of the Obligors or their Material Subsidiaries becoming unable to, or admitting in writing, its inability or failure generally to pay its debts as they become due, in each case because of debts that are subject to compromise or other treatment in the Cases.</w:t>
      </w:r>
    </w:p>
    <w:p>
      <w:pPr>
        <w:spacing w:after="0" w:line="181" w:lineRule="exact"/>
        <w:rPr>
          <w:rFonts w:ascii="Arial" w:cs="Arial" w:eastAsia="Arial" w:hAnsi="Arial"/>
          <w:sz w:val="18"/>
          <w:szCs w:val="18"/>
          <w:color w:val="auto"/>
        </w:rPr>
      </w:pPr>
    </w:p>
    <w:p>
      <w:pPr>
        <w:ind w:left="652" w:hanging="652"/>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Events of Default under Section 9.01(i) of the Credit Agreement with respect to any decrees or orders of a court in respect of the Debtors under or in connection with the Cases.</w:t>
      </w:r>
    </w:p>
    <w:p>
      <w:pPr>
        <w:spacing w:after="0" w:line="170" w:lineRule="exact"/>
        <w:rPr>
          <w:rFonts w:ascii="Arial" w:cs="Arial" w:eastAsia="Arial" w:hAnsi="Arial"/>
          <w:sz w:val="18"/>
          <w:szCs w:val="18"/>
          <w:color w:val="auto"/>
        </w:rPr>
      </w:pPr>
    </w:p>
    <w:p>
      <w:pPr>
        <w:ind w:left="652" w:right="120" w:hanging="652"/>
        <w:spacing w:after="0" w:line="277" w:lineRule="auto"/>
        <w:tabs>
          <w:tab w:leader="none" w:pos="6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Events of Default under Section 9.01(j) of the Credit Agreement with respect to the Cases and other proceeding or actions in respect of the Debtors in connection with or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u w:val="single" w:color="auto"/>
          <w:color w:val="auto"/>
        </w:rPr>
        <w:t>Schedule II</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AMOUNT OF SECURED OBLIGATIONS</w:t>
            </w: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140" w:type="dxa"/>
            <w:vAlign w:val="bottom"/>
          </w:tcPr>
          <w:p>
            <w:pPr>
              <w:spacing w:after="0"/>
              <w:rPr>
                <w:sz w:val="20"/>
                <w:szCs w:val="20"/>
                <w:color w:val="auto"/>
              </w:rPr>
            </w:pPr>
          </w:p>
        </w:tc>
        <w:tc>
          <w:tcPr>
            <w:tcW w:w="316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Accrued and Unpaid Interest on Loans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1,136,926.57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and Unpaid Fees and Commissions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1,068,294.99</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LC Exposure</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166,305,922.62</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860"/>
              <w:spacing w:after="0"/>
              <w:rPr>
                <w:sz w:val="20"/>
                <w:szCs w:val="20"/>
                <w:color w:val="auto"/>
              </w:rPr>
            </w:pPr>
            <w:r>
              <w:rPr>
                <w:rFonts w:ascii="Arial" w:cs="Arial" w:eastAsia="Arial" w:hAnsi="Arial"/>
                <w:sz w:val="18"/>
                <w:szCs w:val="18"/>
                <w:b w:val="1"/>
                <w:bCs w:val="1"/>
                <w:color w:val="auto"/>
                <w:w w:val="99"/>
              </w:rPr>
              <w:t>Total Amount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473,511,144.18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Approximate, subject to confirmation.</w:t>
      </w:r>
    </w:p>
    <w:p>
      <w:pPr>
        <w:spacing w:after="0"/>
        <w:rPr>
          <w:sz w:val="20"/>
          <w:szCs w:val="20"/>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Subject to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u w:val="single" w:color="auto"/>
          <w:color w:val="auto"/>
        </w:rPr>
        <w:t>SPECIFIED DIVESTITURES</w:t>
      </w: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355600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Specified Divestitures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Business</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Name</w:t>
            </w:r>
          </w:p>
        </w:tc>
        <w:tc>
          <w:tcPr>
            <w:tcW w:w="4560" w:type="dxa"/>
            <w:vAlign w:val="bottom"/>
          </w:tcPr>
          <w:p>
            <w:pPr>
              <w:ind w:left="1560"/>
              <w:spacing w:after="0"/>
              <w:rPr>
                <w:sz w:val="20"/>
                <w:szCs w:val="20"/>
                <w:color w:val="auto"/>
              </w:rPr>
            </w:pPr>
            <w:r>
              <w:rPr>
                <w:rFonts w:ascii="Arial" w:cs="Arial" w:eastAsia="Arial" w:hAnsi="Arial"/>
                <w:sz w:val="14"/>
                <w:szCs w:val="14"/>
                <w:b w:val="1"/>
                <w:bCs w:val="1"/>
                <w:color w:val="auto"/>
              </w:rPr>
              <w:t>Additional Information</w:t>
            </w:r>
          </w:p>
        </w:tc>
      </w:tr>
      <w:tr>
        <w:trPr>
          <w:trHeight w:val="195"/>
        </w:trPr>
        <w:tc>
          <w:tcPr>
            <w:tcW w:w="4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Remaining Land Drilling</w:t>
            </w:r>
          </w:p>
        </w:tc>
        <w:tc>
          <w:tcPr>
            <w:tcW w:w="2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Project Lynx</w:t>
            </w:r>
          </w:p>
        </w:tc>
        <w:tc>
          <w:tcPr>
            <w:tcW w:w="220" w:type="dxa"/>
            <w:vAlign w:val="bottom"/>
            <w:tcBorders>
              <w:top w:val="single" w:sz="8" w:color="CCEEFF"/>
            </w:tcBorders>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As per detailed list provided to Administrative Agent and the</w:t>
            </w:r>
          </w:p>
        </w:tc>
      </w:tr>
      <w:tr>
        <w:trPr>
          <w:trHeight w:val="230"/>
        </w:trPr>
        <w:tc>
          <w:tcPr>
            <w:tcW w:w="4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Lenders</w:t>
            </w: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Specifed Sale Described to Administrative Agent</w:t>
            </w: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Project Starfish</w:t>
            </w: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2"/>
              </w:rPr>
              <w:t>In Q3 as per detailed list provided to Administrative Agent and</w:t>
            </w:r>
          </w:p>
        </w:tc>
      </w:t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 Lenders</w:t>
            </w:r>
          </w:p>
        </w:tc>
      </w:tr>
      <w:tr>
        <w:trPr>
          <w:trHeight w:val="202"/>
        </w:trPr>
        <w:tc>
          <w:tcPr>
            <w:tcW w:w="4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Finalize transactions related to Laboratories sale to CSL</w:t>
            </w:r>
          </w:p>
        </w:tc>
        <w:tc>
          <w:tcPr>
            <w:tcW w:w="1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Project Lima</w:t>
            </w: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Several countries as per detailed list provided to</w:t>
            </w:r>
          </w:p>
        </w:tc>
      </w:tr>
      <w:tr>
        <w:trPr>
          <w:trHeight w:val="230"/>
        </w:trPr>
        <w:tc>
          <w:tcPr>
            <w:tcW w:w="4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Agent and the Lenders</w:t>
            </w: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Finalize transactions related to Surface Logging Business to</w:t>
            </w: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Project Sierra</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Several countries as per detailed list provided to</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Exlog</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Administrative Agent and the Lenders</w:t>
            </w:r>
          </w:p>
        </w:tc>
      </w:tr>
    </w:tbl>
    <w:p>
      <w:pPr>
        <w:spacing w:after="0" w:line="202" w:lineRule="exact"/>
        <w:rPr>
          <w:sz w:val="20"/>
          <w:szCs w:val="20"/>
          <w:color w:val="auto"/>
        </w:rPr>
      </w:pPr>
    </w:p>
    <w:p>
      <w:pPr>
        <w:ind w:right="5620"/>
        <w:spacing w:after="0" w:line="277" w:lineRule="auto"/>
        <w:rPr>
          <w:sz w:val="20"/>
          <w:szCs w:val="20"/>
          <w:color w:val="auto"/>
        </w:rPr>
      </w:pPr>
      <w:r>
        <w:rPr>
          <w:rFonts w:ascii="Arial" w:cs="Arial" w:eastAsia="Arial" w:hAnsi="Arial"/>
          <w:sz w:val="18"/>
          <w:szCs w:val="18"/>
          <w:color w:val="auto"/>
        </w:rPr>
        <w:t>Total asset net book value asset value to be divested approximately $160 million Total expected net proceeds between $140 - $150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This TERM LOAN FORBEARANCE AGREEMENT (as may be amended, supplemented or otherwise modified,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 2019, is by and among WEATHERFORD INTERNATIONAL LTD., a Bermuda exempted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the other subsidiaries of WIL-Ireland party hereto (collectively with the Borrower and WIL-Ireland, the “</w:t>
      </w:r>
      <w:r>
        <w:rPr>
          <w:rFonts w:ascii="Arial" w:cs="Arial" w:eastAsia="Arial" w:hAnsi="Arial"/>
          <w:sz w:val="18"/>
          <w:szCs w:val="18"/>
          <w:u w:val="single" w:color="auto"/>
          <w:color w:val="auto"/>
        </w:rPr>
        <w:t>Obligors</w:t>
      </w:r>
      <w:r>
        <w:rPr>
          <w:rFonts w:ascii="Arial" w:cs="Arial" w:eastAsia="Arial" w:hAnsi="Arial"/>
          <w:sz w:val="18"/>
          <w:szCs w:val="18"/>
          <w:color w:val="auto"/>
        </w:rPr>
        <w:t>”), the Lenders (as defined below) party hereto and JPMORGAN CHASE BANK, N.A.,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WHEREAS, the Borrower, WIL-Ireland, the lending and other financial institutions from time to time party thereto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are parties to the Term Loan Agreement dated as of May 4, 2016 (as amended by that certain Amendment No. 1 to Term Loan Agreement dated as of July 19, 2016, by that certain Amendment No. 2 to Term Loan Agreement dated as of April 17, 2017, by that certain Amendment No. 3 to Term Loan Agreement dated as of August 16, 2018, and as further amended,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the Credit Agreement the Lenders have made certain loans to the Borrower.</w:t>
      </w:r>
    </w:p>
    <w:p>
      <w:pPr>
        <w:spacing w:after="0" w:line="22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WHEREAS, each of the Obligors hereby acknowledges and agrees that as of the date hereof certain Defaults and Events of Default have occurred under the Credit Agreement and that after the date hereof certain Defaults and Events of Default may occur under the Credit Agreement (such Defaults and Events of Default, the “</w:t>
      </w:r>
      <w:r>
        <w:rPr>
          <w:rFonts w:ascii="Arial" w:cs="Arial" w:eastAsia="Arial" w:hAnsi="Arial"/>
          <w:sz w:val="18"/>
          <w:szCs w:val="18"/>
          <w:u w:val="single" w:color="auto"/>
          <w:color w:val="auto"/>
        </w:rPr>
        <w:t>Specified Events of Default</w:t>
      </w:r>
      <w:r>
        <w:rPr>
          <w:rFonts w:ascii="Arial" w:cs="Arial" w:eastAsia="Arial" w:hAnsi="Arial"/>
          <w:sz w:val="18"/>
          <w:szCs w:val="18"/>
          <w:color w:val="auto"/>
        </w:rPr>
        <w:t>”).</w:t>
      </w:r>
    </w:p>
    <w:p>
      <w:pPr>
        <w:spacing w:after="0" w:line="181"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7"/>
          <w:szCs w:val="17"/>
          <w:color w:val="auto"/>
        </w:rPr>
        <w:t>WHEREAS, (i) as a result of the occurrence of the Specified Events of Default under the Credit Agreement, the Administrative Agent and the Lenders are entitled to exercise at any time their rights and remedies and to commence enforcement, litigation and collection actions under the Credit Agreement, the other Loan Documents and applicable law, including without limitation, to set off funds, foreclose on liens, and to declare to be immediately due and payable the principal amount of the Loans now outstanding, all accrued interest, fees and the other obligations of the Obligors accrued under the Credit Agreement and the other Loan Documents (such rights, remedies and actions, other than as described in the following clause (ii), collectively, the “</w:t>
      </w:r>
      <w:r>
        <w:rPr>
          <w:rFonts w:ascii="Arial" w:cs="Arial" w:eastAsia="Arial" w:hAnsi="Arial"/>
          <w:sz w:val="17"/>
          <w:szCs w:val="17"/>
          <w:u w:val="single" w:color="auto"/>
          <w:color w:val="auto"/>
        </w:rPr>
        <w:t>Enforcement Actions</w:t>
      </w:r>
      <w:r>
        <w:rPr>
          <w:rFonts w:ascii="Arial" w:cs="Arial" w:eastAsia="Arial" w:hAnsi="Arial"/>
          <w:sz w:val="17"/>
          <w:szCs w:val="17"/>
          <w:color w:val="auto"/>
        </w:rPr>
        <w:t>”), in each case in accordance with the Loan Documents and applicable law and (ii) as a result of one or more Specified Events of Default, the Loans and other Obligations then outstanding shall automatically become due and payable.</w:t>
      </w:r>
    </w:p>
    <w:p>
      <w:pPr>
        <w:spacing w:after="0" w:line="178"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WHEREAS, the Borrower has requested that the Administrative Agent and the Lenders agree to forbear from taking any Enforcement Actions to afford the Borrower and WIL-Ireland (WIL-Ireland, together with the Borrower and Weatherford International, LLC, a Delaware limited liability company, the “</w:t>
      </w:r>
      <w:r>
        <w:rPr>
          <w:rFonts w:ascii="Arial" w:cs="Arial" w:eastAsia="Arial" w:hAnsi="Arial"/>
          <w:sz w:val="18"/>
          <w:szCs w:val="18"/>
          <w:u w:val="single" w:color="auto"/>
          <w:color w:val="auto"/>
        </w:rPr>
        <w:t>Debtors</w:t>
      </w:r>
      <w:r>
        <w:rPr>
          <w:rFonts w:ascii="Arial" w:cs="Arial" w:eastAsia="Arial" w:hAnsi="Arial"/>
          <w:sz w:val="18"/>
          <w:szCs w:val="18"/>
          <w:color w:val="auto"/>
        </w:rPr>
        <w:t>”) an opportunity to pursue a financial restructuring in accordance with the restructuring support agreement, dated as of May 10, 2019 (as amended, supplemented or otherwise modified from time to time, subject to the terms hereof, the “</w:t>
      </w:r>
      <w:r>
        <w:rPr>
          <w:rFonts w:ascii="Arial" w:cs="Arial" w:eastAsia="Arial" w:hAnsi="Arial"/>
          <w:sz w:val="18"/>
          <w:szCs w:val="18"/>
          <w:u w:val="single" w:color="auto"/>
          <w:color w:val="auto"/>
        </w:rPr>
        <w:t>RSA</w:t>
      </w:r>
      <w:r>
        <w:rPr>
          <w:rFonts w:ascii="Arial" w:cs="Arial" w:eastAsia="Arial" w:hAnsi="Arial"/>
          <w:sz w:val="18"/>
          <w:szCs w:val="18"/>
          <w:color w:val="auto"/>
        </w:rPr>
        <w:t>”), with the holders of Existing Senior Notes (the “</w:t>
      </w:r>
      <w:r>
        <w:rPr>
          <w:rFonts w:ascii="Arial" w:cs="Arial" w:eastAsia="Arial" w:hAnsi="Arial"/>
          <w:sz w:val="18"/>
          <w:szCs w:val="18"/>
          <w:u w:val="single" w:color="auto"/>
          <w:color w:val="auto"/>
        </w:rPr>
        <w:t>Noteholders</w:t>
      </w:r>
      <w:r>
        <w:rPr>
          <w:rFonts w:ascii="Arial" w:cs="Arial" w:eastAsia="Arial" w:hAnsi="Arial"/>
          <w:sz w:val="18"/>
          <w:szCs w:val="18"/>
          <w:color w:val="auto"/>
        </w:rPr>
        <w:t>”) issued pursuant to the Existing Senior Notes Indentures.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Lenders hereto have agreed to such request, subject to the terms and provisions set forth in this Agreement.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NOW, THEREFORE, in consideration of the premises herein contained and for other good and valuable consideration, the receipt of which is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ind w:right="20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capitalized terms are used herein as defined in the Credit Agreement and the following terms shall have the following meanings:</w:t>
      </w:r>
    </w:p>
    <w:p>
      <w:pPr>
        <w:spacing w:after="0" w:line="170" w:lineRule="exact"/>
        <w:rPr>
          <w:sz w:val="20"/>
          <w:szCs w:val="20"/>
          <w:color w:val="auto"/>
        </w:rPr>
      </w:pPr>
    </w:p>
    <w:p>
      <w:pPr>
        <w:ind w:left="1940" w:hanging="635"/>
        <w:spacing w:after="0"/>
        <w:tabs>
          <w:tab w:leader="none" w:pos="1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Unites Sates Code, 11 U.S.C. § § 101-1532 (as amended).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Southern District of Texas.</w:t>
      </w:r>
    </w:p>
    <w:p>
      <w:pPr>
        <w:spacing w:after="0" w:line="225" w:lineRule="exact"/>
        <w:rPr>
          <w:rFonts w:ascii="Arial" w:cs="Arial" w:eastAsia="Arial" w:hAnsi="Arial"/>
          <w:sz w:val="18"/>
          <w:szCs w:val="18"/>
          <w:color w:val="auto"/>
        </w:rPr>
      </w:pPr>
    </w:p>
    <w:p>
      <w:pPr>
        <w:ind w:left="660" w:right="420" w:firstLine="645"/>
        <w:spacing w:after="0" w:line="277" w:lineRule="auto"/>
        <w:tabs>
          <w:tab w:leader="none" w:pos="196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means the jointly-administered voluntary cases to be commenced by the Debtors under chapter 11 of the Bankruptcy Code in the Bankruptcy Court.</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w:t>
      </w:r>
      <w:r>
        <w:rPr>
          <w:rFonts w:ascii="Arial" w:cs="Arial" w:eastAsia="Arial" w:hAnsi="Arial"/>
          <w:sz w:val="18"/>
          <w:szCs w:val="18"/>
          <w:color w:val="auto"/>
        </w:rPr>
        <w:t>” has the meaning specified in the RSA as in effect on the date hereof, which shall not exceed $1.75 billion in aggregate principal amount.</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ACKNOWLEDGEMENTS.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Amount of Obligations</w:t>
      </w:r>
      <w:r>
        <w:rPr>
          <w:rFonts w:ascii="Arial" w:cs="Arial" w:eastAsia="Arial" w:hAnsi="Arial"/>
          <w:sz w:val="16"/>
          <w:szCs w:val="16"/>
          <w:color w:val="auto"/>
        </w:rPr>
        <w:t>.</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Each Obligor acknowledges and agrees that (i) as of July 1, 2019, the Secured Obligations included, without limitation, the amounts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on account of (A) the outstanding unpaid amount of principal of, accrued and unpaid interest on, and fees and commissions related to, the Loans, (B) the aggregate unpaid Banking Services Obligations, and (C) the aggregate unpaid Swap Obligations (if any), and (ii) such Obligor is indebted to the Credit Parties (or, to the extent applicable with respect to the Swap Obligations and Banking Services Obligations, their Affiliates), to the extent provided in the Collateral Documents, for such Secured Obligations and all other Secured Obligations, without defense, counterclaim or offset of any kind (other than the defense that Payment in Full has occurred), and such Obligor ratifies and reaffirms the validity, enforceability and binding nature of all such Secured Obligations to the extent provided in the Collateral Documents.</w:t>
      </w:r>
    </w:p>
    <w:p>
      <w:pPr>
        <w:spacing w:after="0" w:line="17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Obligor acknowledges and agrees that (a)(i) Specified Events of Default exist, and will continue to exist, after the Forbearance Effective Date (as defined below) and (b) absent the agreement of the Credit Parties to forbear from taking Enforcement Actions as provided in this Agreement, the occurrence of the Specified Events of Default entitles one or more Credit Parties at any time to take one or more Enforcement Actions.</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Guarantee and Collateral</w:t>
      </w:r>
      <w:r>
        <w:rPr>
          <w:rFonts w:ascii="Arial" w:cs="Arial" w:eastAsia="Arial" w:hAnsi="Arial"/>
          <w:sz w:val="18"/>
          <w:szCs w:val="18"/>
          <w:color w:val="auto"/>
        </w:rPr>
        <w:t>. Each Obligor ratifies and reaffirms the validity and enforceability (without defense, counterclaim or offset of any kind (other than the defense that Payment in Full has occurred)) of the Guarantees and Collateral granted in support of the Secured Obligations by such Obligor to the Administrative Agent, for the benefit of the Lenders, pursuant to the Guaranty Agreements and Collateral Documents to which such Obligor is a party. Each Obligor acknowledges and agrees that all such Guarantees and Collateral provided by such Obligor continue to guarantee and support the Secured Obligations to the extent provided in the Guaranty Agreements and Collateral Documents notwithstanding the occurrence of the Forbearance Effective Date.</w:t>
      </w:r>
    </w:p>
    <w:p>
      <w:pPr>
        <w:spacing w:after="0" w:line="19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FORBEARANCE</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Forbearance Period</w:t>
      </w:r>
      <w:r>
        <w:rPr>
          <w:rFonts w:ascii="Arial" w:cs="Arial" w:eastAsia="Arial" w:hAnsi="Arial"/>
          <w:sz w:val="16"/>
          <w:szCs w:val="16"/>
          <w:color w:val="auto"/>
        </w:rPr>
        <w:t>.</w:t>
      </w:r>
    </w:p>
    <w:p>
      <w:pPr>
        <w:spacing w:after="0" w:line="225" w:lineRule="exact"/>
        <w:rPr>
          <w:sz w:val="20"/>
          <w:szCs w:val="20"/>
          <w:color w:val="auto"/>
        </w:rPr>
      </w:pPr>
    </w:p>
    <w:p>
      <w:pPr>
        <w:ind w:left="660" w:right="180" w:firstLine="645"/>
        <w:spacing w:after="0" w:line="277" w:lineRule="auto"/>
        <w:tabs>
          <w:tab w:leader="none" w:pos="195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Credit Parties shall forbear from taking any Enforcement Actions as a result of the occurrence of the Specified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0" w:name="page151"/>
    <w:bookmarkEnd w:id="150"/>
    <w:p>
      <w:pPr>
        <w:ind w:right="20"/>
        <w:spacing w:after="0" w:line="259" w:lineRule="auto"/>
        <w:rPr>
          <w:sz w:val="20"/>
          <w:szCs w:val="20"/>
          <w:color w:val="auto"/>
        </w:rPr>
      </w:pPr>
      <w:r>
        <w:rPr>
          <w:rFonts w:ascii="Arial" w:cs="Arial" w:eastAsia="Arial" w:hAnsi="Arial"/>
          <w:sz w:val="18"/>
          <w:szCs w:val="18"/>
          <w:color w:val="auto"/>
        </w:rPr>
        <w:t>of Default during the period from and including the Forbearance Effective Date until, the Administrative Agent, on behalf of the Credit Parties, or at the request of the Required Lenders provides a notice of termination to the Borrower or any other Obligor after the earliest to occur of any of the following events (each such event, a “</w:t>
      </w:r>
      <w:r>
        <w:rPr>
          <w:rFonts w:ascii="Arial" w:cs="Arial" w:eastAsia="Arial" w:hAnsi="Arial"/>
          <w:sz w:val="18"/>
          <w:szCs w:val="18"/>
          <w:u w:val="single" w:color="auto"/>
          <w:color w:val="auto"/>
        </w:rPr>
        <w:t>Forbearance Termination Event</w:t>
      </w:r>
      <w:r>
        <w:rPr>
          <w:rFonts w:ascii="Arial" w:cs="Arial" w:eastAsia="Arial" w:hAnsi="Arial"/>
          <w:sz w:val="18"/>
          <w:szCs w:val="18"/>
          <w:color w:val="auto"/>
        </w:rPr>
        <w:t>”; the date of delivery of such notice, the “</w:t>
      </w:r>
      <w:r>
        <w:rPr>
          <w:rFonts w:ascii="Arial" w:cs="Arial" w:eastAsia="Arial" w:hAnsi="Arial"/>
          <w:sz w:val="18"/>
          <w:szCs w:val="18"/>
          <w:u w:val="single" w:color="auto"/>
          <w:color w:val="auto"/>
        </w:rPr>
        <w:t>Forbearance Termination Date</w:t>
      </w:r>
      <w:r>
        <w:rPr>
          <w:rFonts w:ascii="Arial" w:cs="Arial" w:eastAsia="Arial" w:hAnsi="Arial"/>
          <w:sz w:val="18"/>
          <w:szCs w:val="18"/>
          <w:color w:val="auto"/>
        </w:rPr>
        <w:t>”; and such period, the “</w:t>
      </w:r>
      <w:r>
        <w:rPr>
          <w:rFonts w:ascii="Arial" w:cs="Arial" w:eastAsia="Arial" w:hAnsi="Arial"/>
          <w:sz w:val="18"/>
          <w:szCs w:val="18"/>
          <w:u w:val="single" w:color="auto"/>
          <w:color w:val="auto"/>
        </w:rPr>
        <w:t>Forbearance Period</w:t>
      </w:r>
      <w:r>
        <w:rPr>
          <w:rFonts w:ascii="Arial" w:cs="Arial" w:eastAsia="Arial" w:hAnsi="Arial"/>
          <w:sz w:val="18"/>
          <w:szCs w:val="18"/>
          <w:color w:val="auto"/>
        </w:rPr>
        <w:t>”):</w:t>
      </w:r>
    </w:p>
    <w:p>
      <w:pPr>
        <w:spacing w:after="0" w:line="187" w:lineRule="exact"/>
        <w:rPr>
          <w:sz w:val="20"/>
          <w:szCs w:val="20"/>
          <w:color w:val="auto"/>
        </w:rPr>
      </w:pPr>
    </w:p>
    <w:p>
      <w:pPr>
        <w:ind w:left="1960" w:hanging="667"/>
        <w:spacing w:after="0"/>
        <w:tabs>
          <w:tab w:leader="none" w:pos="19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11:59 p.m. (New York City time) on the date that is five Business Days after the commencement of the Chapter 11 Cases;</w:t>
      </w:r>
    </w:p>
    <w:p>
      <w:pPr>
        <w:spacing w:after="0" w:line="248" w:lineRule="exact"/>
        <w:rPr>
          <w:rFonts w:ascii="Arial" w:cs="Arial" w:eastAsia="Arial" w:hAnsi="Arial"/>
          <w:sz w:val="16"/>
          <w:szCs w:val="16"/>
          <w:color w:val="auto"/>
        </w:rPr>
      </w:pPr>
    </w:p>
    <w:p>
      <w:pPr>
        <w:ind w:left="1980" w:hanging="687"/>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11:59 p.m. (New York City time) on July 15, 2019 if the Debtors have not commenced the Chapter 11 Cases;</w:t>
      </w:r>
    </w:p>
    <w:p>
      <w:pPr>
        <w:spacing w:after="0" w:line="225" w:lineRule="exact"/>
        <w:rPr>
          <w:rFonts w:ascii="Arial" w:cs="Arial" w:eastAsia="Arial" w:hAnsi="Arial"/>
          <w:sz w:val="18"/>
          <w:szCs w:val="18"/>
          <w:color w:val="auto"/>
        </w:rPr>
      </w:pPr>
    </w:p>
    <w:p>
      <w:pPr>
        <w:jc w:val="both"/>
        <w:ind w:left="1940" w:right="720" w:hanging="647"/>
        <w:spacing w:after="0" w:line="342" w:lineRule="auto"/>
        <w:tabs>
          <w:tab w:leader="none" w:pos="1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occurrence of a Default or Event of Default under Section 9.01(a) of the Credit Agreement, whether or not constituting a Specified Event of Default, if at that time the Debtors have not commenced the Chapter 11 Cases;</w:t>
      </w:r>
    </w:p>
    <w:p>
      <w:pPr>
        <w:spacing w:after="0" w:line="123" w:lineRule="exact"/>
        <w:rPr>
          <w:rFonts w:ascii="Arial" w:cs="Arial" w:eastAsia="Arial" w:hAnsi="Arial"/>
          <w:sz w:val="16"/>
          <w:szCs w:val="16"/>
          <w:color w:val="auto"/>
        </w:rPr>
      </w:pPr>
    </w:p>
    <w:p>
      <w:pPr>
        <w:ind w:left="1960" w:hanging="667"/>
        <w:spacing w:after="0"/>
        <w:tabs>
          <w:tab w:leader="none" w:pos="19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RSA (as in effect on the date hereof) is either terminated or modified in a manner that is adverse to the Lenders;</w:t>
      </w:r>
    </w:p>
    <w:p>
      <w:pPr>
        <w:spacing w:after="0" w:line="236" w:lineRule="exact"/>
        <w:rPr>
          <w:rFonts w:ascii="Arial" w:cs="Arial" w:eastAsia="Arial" w:hAnsi="Arial"/>
          <w:sz w:val="17"/>
          <w:szCs w:val="17"/>
          <w:color w:val="auto"/>
        </w:rPr>
      </w:pPr>
    </w:p>
    <w:p>
      <w:pPr>
        <w:ind w:left="1940" w:hanging="647"/>
        <w:spacing w:after="0" w:line="279" w:lineRule="auto"/>
        <w:tabs>
          <w:tab w:leader="none" w:pos="19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The interim order approving the DIP Financing does not provide for authority to repay in full the Secured Obligations as set forth in (iv) below or (B) the interim order of the Bankruptcy Court approving the credit agreement governing the DIP Financing (the “</w:t>
      </w:r>
      <w:r>
        <w:rPr>
          <w:rFonts w:ascii="Arial" w:cs="Arial" w:eastAsia="Arial" w:hAnsi="Arial"/>
          <w:sz w:val="17"/>
          <w:szCs w:val="17"/>
          <w:u w:val="single" w:color="auto"/>
          <w:color w:val="auto"/>
        </w:rPr>
        <w:t>DIP Agreement</w:t>
      </w:r>
      <w:r>
        <w:rPr>
          <w:rFonts w:ascii="Arial" w:cs="Arial" w:eastAsia="Arial" w:hAnsi="Arial"/>
          <w:sz w:val="17"/>
          <w:szCs w:val="17"/>
          <w:color w:val="auto"/>
        </w:rPr>
        <w:t>”) is not reasonably satisfactory to the Required Lenders as to the matters addressed in this Agreement or has been modified in a manner that is materially adverse to the Lenders;</w:t>
      </w:r>
    </w:p>
    <w:p>
      <w:pPr>
        <w:spacing w:after="0" w:line="171" w:lineRule="exact"/>
        <w:rPr>
          <w:rFonts w:ascii="Arial" w:cs="Arial" w:eastAsia="Arial" w:hAnsi="Arial"/>
          <w:sz w:val="17"/>
          <w:szCs w:val="17"/>
          <w:color w:val="auto"/>
        </w:rPr>
      </w:pPr>
    </w:p>
    <w:p>
      <w:pPr>
        <w:ind w:left="1940" w:right="160" w:hanging="647"/>
        <w:spacing w:after="0" w:line="277" w:lineRule="auto"/>
        <w:tabs>
          <w:tab w:leader="none" w:pos="195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Secured Obligations are not repaid substantially concurrently with the date of the closing of the DIP Financing and the initial draw thereunder;</w:t>
      </w:r>
    </w:p>
    <w:p>
      <w:pPr>
        <w:spacing w:after="0" w:line="170" w:lineRule="exact"/>
        <w:rPr>
          <w:rFonts w:ascii="Arial" w:cs="Arial" w:eastAsia="Arial" w:hAnsi="Arial"/>
          <w:sz w:val="18"/>
          <w:szCs w:val="18"/>
          <w:color w:val="auto"/>
        </w:rPr>
      </w:pPr>
    </w:p>
    <w:p>
      <w:pPr>
        <w:ind w:left="1940" w:right="240" w:hanging="647"/>
        <w:spacing w:after="0" w:line="277" w:lineRule="auto"/>
        <w:tabs>
          <w:tab w:leader="none" w:pos="19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Bankruptcy Court enters an order converting one or more of the Chapter 11 Cases to a case under chapter 7 of the Bankruptcy Code or dismissing any of the Chapter 11 Cases;</w:t>
      </w:r>
    </w:p>
    <w:p>
      <w:pPr>
        <w:spacing w:after="0" w:line="170" w:lineRule="exact"/>
        <w:rPr>
          <w:rFonts w:ascii="Arial" w:cs="Arial" w:eastAsia="Arial" w:hAnsi="Arial"/>
          <w:sz w:val="18"/>
          <w:szCs w:val="18"/>
          <w:color w:val="auto"/>
        </w:rPr>
      </w:pPr>
    </w:p>
    <w:p>
      <w:pPr>
        <w:ind w:left="1940" w:right="20" w:hanging="647"/>
        <w:spacing w:after="0" w:line="308" w:lineRule="auto"/>
        <w:tabs>
          <w:tab w:leader="none" w:pos="197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Bankruptcy Court enters an order appointing a trustee, receiver, or examiner with expanded powers beyond those set forth in section 1106(a)(3) and (4) of the Bankruptcy Code in one or more of the Chapter 11 Cases;</w:t>
      </w:r>
    </w:p>
    <w:p>
      <w:pPr>
        <w:spacing w:after="0" w:line="146" w:lineRule="exact"/>
        <w:rPr>
          <w:rFonts w:ascii="Arial" w:cs="Arial" w:eastAsia="Arial" w:hAnsi="Arial"/>
          <w:sz w:val="17"/>
          <w:szCs w:val="17"/>
          <w:color w:val="auto"/>
        </w:rPr>
      </w:pPr>
    </w:p>
    <w:p>
      <w:pPr>
        <w:ind w:left="1940" w:right="120" w:hanging="647"/>
        <w:spacing w:after="0" w:line="297" w:lineRule="auto"/>
        <w:tabs>
          <w:tab w:leader="none" w:pos="195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Either (i) any Debtor files with the Bankruptcy Court a motion, application, or adversary proceeding (or any Debtor supports any such motion, application, or adversary proceeding filed or commenced by any third party) (A) challenging the validity, enforceability, scope or priority of, or seeking avoidance or subordination of, the claims of any Credit Party or (B) asserting any other cause of action against any Credit Party or (ii) the Bankruptcy Court enters an order providing relief against any Credit Party with respect to any of the foregoing causes of action or proceedings filed by any Debtor;</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151" w:name="page152"/>
    <w:bookmarkEnd w:id="151"/>
    <w:p>
      <w:pPr>
        <w:ind w:left="2600" w:hanging="647"/>
        <w:spacing w:after="0"/>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insolvency proceeding against or in respect of any Obligor that is not a Debtor;</w:t>
      </w:r>
    </w:p>
    <w:p>
      <w:pPr>
        <w:spacing w:after="0" w:line="225" w:lineRule="exact"/>
        <w:rPr>
          <w:rFonts w:ascii="Arial" w:cs="Arial" w:eastAsia="Arial" w:hAnsi="Arial"/>
          <w:sz w:val="18"/>
          <w:szCs w:val="18"/>
          <w:color w:val="auto"/>
        </w:rPr>
      </w:pPr>
    </w:p>
    <w:p>
      <w:pPr>
        <w:ind w:left="2600" w:right="40" w:hanging="647"/>
        <w:spacing w:after="0" w:line="273" w:lineRule="auto"/>
        <w:tabs>
          <w:tab w:leader="none" w:pos="261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Any representation or warranty made by any Obligor in this Agreement proving to have been untrue or inaccurate in any material respect (except to the extent qualified by materiality, in which case such representation shall have been untrue or inaccurate in any respect) on or as of the date made or deemed made, except where such representation or warranty expressly relates to an earlier date, in which case such representation or warranty shall have been untrue or inaccurate in any material respect (except to the extent qualified by materiality, in which case such representation shall have been untrue or inaccurate in any respect) as of such earlier date;</w:t>
      </w:r>
    </w:p>
    <w:p>
      <w:pPr>
        <w:spacing w:after="0" w:line="178" w:lineRule="exact"/>
        <w:rPr>
          <w:rFonts w:ascii="Arial" w:cs="Arial" w:eastAsia="Arial" w:hAnsi="Arial"/>
          <w:sz w:val="17"/>
          <w:szCs w:val="17"/>
          <w:color w:val="auto"/>
        </w:rPr>
      </w:pPr>
    </w:p>
    <w:p>
      <w:pPr>
        <w:ind w:left="2620" w:hanging="667"/>
        <w:spacing w:after="0"/>
        <w:tabs>
          <w:tab w:leader="none" w:pos="2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failure of any Obligor to (A) pay any amount required by Section 4.1 in accordance with such Section or</w:t>
      </w:r>
    </w:p>
    <w:p>
      <w:pPr>
        <w:spacing w:after="0" w:line="23" w:lineRule="exact"/>
        <w:rPr>
          <w:rFonts w:ascii="Arial" w:cs="Arial" w:eastAsia="Arial" w:hAnsi="Arial"/>
          <w:sz w:val="18"/>
          <w:szCs w:val="18"/>
          <w:color w:val="auto"/>
        </w:rPr>
      </w:pPr>
    </w:p>
    <w:p>
      <w:pPr>
        <w:ind w:left="2600" w:firstLine="1"/>
        <w:spacing w:after="0" w:line="252" w:lineRule="auto"/>
        <w:tabs>
          <w:tab w:leader="none" w:pos="2885" w:val="left"/>
        </w:tabs>
        <w:numPr>
          <w:ilvl w:val="2"/>
          <w:numId w:val="117"/>
        </w:numPr>
        <w:rPr>
          <w:rFonts w:ascii="Arial" w:cs="Arial" w:eastAsia="Arial" w:hAnsi="Arial"/>
          <w:sz w:val="18"/>
          <w:szCs w:val="18"/>
          <w:color w:val="auto"/>
        </w:rPr>
      </w:pPr>
      <w:r>
        <w:rPr>
          <w:rFonts w:ascii="Arial" w:cs="Arial" w:eastAsia="Arial" w:hAnsi="Arial"/>
          <w:sz w:val="18"/>
          <w:szCs w:val="18"/>
          <w:color w:val="auto"/>
        </w:rPr>
        <w:t>perform, as and when required, any of its respective covenants or other obligations set forth in this Agreement (it being understood that time is of the essence for each such covenant and obligation), including without limitation, any provision of Section 4 below and, in the case of clause (B), such failure shall remain unremedied for 5 calendar days after the earlier to occur of (i) receipt by a Principal Financial Officer of any Obligor of written notice of such failure (given by the Administrative Agent or any Lender) and (ii) a Principal Financial Officer of any Obligor otherwise becoming aware of such failure.</w:t>
      </w:r>
    </w:p>
    <w:p>
      <w:pPr>
        <w:spacing w:after="0" w:line="194" w:lineRule="exact"/>
        <w:rPr>
          <w:rFonts w:ascii="Arial" w:cs="Arial" w:eastAsia="Arial" w:hAnsi="Arial"/>
          <w:sz w:val="18"/>
          <w:szCs w:val="18"/>
          <w:color w:val="auto"/>
        </w:rPr>
      </w:pPr>
    </w:p>
    <w:p>
      <w:pPr>
        <w:ind w:left="660" w:firstLine="645"/>
        <w:spacing w:after="0" w:line="268" w:lineRule="auto"/>
        <w:tabs>
          <w:tab w:leader="none" w:pos="196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Loan Document, the Specified Events of Default constitute actionable Defaults and Events of Default for the purpose of triggering any and all limitations, restrictions or prohibitions on certain actions that may be taken or omitted or otherwise acquiesced to by or on behalf of any Obligor pursuant to the Credit Agreement or any other Loan Document, including, without limitation, any and all limitations, restrictions or prohibitions with respect to any distribution, advance or other payment directly or indirectly from or for the benefit of any Obligor to any other Obligor, any direct or indirect owner of an equity interest in any Obligor or any Affiliate of any of the foregoing and any actions or inactions taken or omitted or otherwise acquiesced to, by or on behalf of any Obligor in violation of such provisions, in each case while any Default or Event of Default (including the Specified Events of Default) exists, will constitute additional Events of Default under the Credit Agreement and the other Loan Documents under this Agreement; provided, however, prior to and only until the occurrence of a Forbearance Termination Event (i) a Specified Event of Default shall not constitute an Event of Default for the purposes of Section 2.05(e) of the Credit Agreement, and (ii) a Specified Event of Default shall not constitute a Default or Event of Default for the purposes of Sections 7.09(d), 8.02(a) (without giving effect to clause (D)(2) thereof), 8.02(c)(i), 8.05(d), 8.05(j), 8.06(f)(ii) and 8.08(k) of the Credit Agreement so long as (x) any transaction sought to be consummated by the Obligors under such Sections shall be permitted by the DIP Agreement (as amended, supplemented or otherwise modified from time to time) and the Obligors shall otherwise comply with the terms of the Credit Agreement in respect of such transactions.</w:t>
      </w:r>
    </w:p>
    <w:p>
      <w:pPr>
        <w:spacing w:after="0" w:line="18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Limitation on Forbearance</w:t>
      </w:r>
      <w:r>
        <w:rPr>
          <w:rFonts w:ascii="Arial" w:cs="Arial" w:eastAsia="Arial" w:hAnsi="Arial"/>
          <w:sz w:val="18"/>
          <w:szCs w:val="18"/>
          <w:color w:val="auto"/>
        </w:rPr>
        <w:t>. Each Obligor acknowledges and agrees that, notwithstanding the agreement of the Credit Parties to forbear from taking any Enforcement Actions during the Forbearance Period in respect of the Specified Events of Default, (i) such forbearance shall not constitute a waiver of the occurrence or the continuance of any Event of Default (including the Specified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2" w:name="page153"/>
    <w:bookmarkEnd w:id="152"/>
    <w:p>
      <w:pPr>
        <w:spacing w:after="0" w:line="255" w:lineRule="auto"/>
        <w:rPr>
          <w:sz w:val="20"/>
          <w:szCs w:val="20"/>
          <w:color w:val="auto"/>
        </w:rPr>
      </w:pPr>
      <w:r>
        <w:rPr>
          <w:rFonts w:ascii="Arial" w:cs="Arial" w:eastAsia="Arial" w:hAnsi="Arial"/>
          <w:sz w:val="18"/>
          <w:szCs w:val="18"/>
          <w:color w:val="auto"/>
        </w:rPr>
        <w:t>Events of Default), and each such Event of Default which has occurred and is otherwise still continuing shall continue to exist during and after the Forbearance Effective Date, (ii) nothing contained in this Agreement shall be construed to limit or affect the right of the Credit Parties to bring or maintain during the Forbearance Period any action to enforce or interpret any term or provision of this Agreement and (iii) nothing contained in this Agreement shall be construed to limit or affect the right of the Credit Parties to take protective actions in the Chapter 11 Cases, including to enforce the terms of this Agreement and filing (x) responsive pleadings in respect of actions taken or relief sought in the Chapter 11 Cases that is adverse to the Credit Parties and (y) a proof of claim in the Chapter 11 Cases.</w:t>
      </w:r>
    </w:p>
    <w:p>
      <w:pPr>
        <w:spacing w:after="0" w:line="193"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Enforcement Actions After Forbearance Period</w:t>
      </w:r>
      <w:r>
        <w:rPr>
          <w:rFonts w:ascii="Arial" w:cs="Arial" w:eastAsia="Arial" w:hAnsi="Arial"/>
          <w:sz w:val="17"/>
          <w:szCs w:val="17"/>
          <w:color w:val="auto"/>
        </w:rPr>
        <w:t>. Each Obligor acknowledges and agrees that, on the Forbearance Termination Date, the Forbearance Period shall automatically terminate and the agreement of the Credit Parties to forbear from taking any Enforcement Actions in respect of the Specified Events of Default shall immediately and automatically cease and be of no further force or effect, and the Credit Parties shall be entitled to immediately take any or all Enforcement Actions under (and in accordance with) the Credit Agreement, the other Loan Documents and applicable law, all without further notice or demand, in respect of the Specified Events of Default or any other Event of Default then existing. The Credit Parties shall have no obligation whatsoever to extend the maturity of the Credit Agreement, waive any Events of Default, defer any payments, or, following the Forbearance Termination Date, further forbear from exercising their rights and remedies. The Debtors, in their capacity as such, acknowledge and agree and shall not dispute that after the commencement of the Chapter 11 Cases, the termination of this Agreement and the giving of any notice hereunder shall not be a violation of the automatic stay of section 362 of the Bankruptcy Code (and the Debtors hereby waive, to the fullest extent permitted by law, the applicability of the automatic stay to the taking of such action and, to the extent the Bankruptcy Court determines that automatic stay applies to taking such action, the Debtors consent to any relief that the Credit Parties requires to taking such action).</w:t>
      </w:r>
    </w:p>
    <w:p>
      <w:pPr>
        <w:spacing w:after="0" w:line="18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AGREEMENTS</w:t>
      </w:r>
      <w:r>
        <w:rPr>
          <w:rFonts w:ascii="Arial" w:cs="Arial" w:eastAsia="Arial" w:hAnsi="Arial"/>
          <w:sz w:val="16"/>
          <w:szCs w:val="16"/>
          <w:color w:val="auto"/>
        </w:rPr>
        <w:t>. To induce the Credit Parties to enter into this Agreement, the Borrower agrees as follows:</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 of Fees and Expenses</w:t>
      </w:r>
      <w:r>
        <w:rPr>
          <w:rFonts w:ascii="Arial" w:cs="Arial" w:eastAsia="Arial" w:hAnsi="Arial"/>
          <w:sz w:val="18"/>
          <w:szCs w:val="18"/>
          <w:color w:val="auto"/>
        </w:rPr>
        <w:t>. The Obligors hereby agree to pay on the Forbearance Effective Date to the extent invoiced to the Borrower at least two (2) Business Days prior thereto the reasonable and documented out-of-pocket accrued expenses of the Administrative Agent, including, without limitation, the reasonable and documented fees, charges and disbursements of Simpson Thacher &amp; Bartlett LLP, Sidley Austin LLP, one counsel in each applicable jurisdiction and FTI Consulting, in each case, to the extent such fees, charges and disbursements are related to this Agreement, the Loan Documents or as otherwise provided in Section 11.03 of the Credit Agreement.</w:t>
      </w:r>
    </w:p>
    <w:p>
      <w:pPr>
        <w:spacing w:after="0" w:line="18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Default Interest</w:t>
      </w:r>
      <w:r>
        <w:rPr>
          <w:rFonts w:ascii="Arial" w:cs="Arial" w:eastAsia="Arial" w:hAnsi="Arial"/>
          <w:sz w:val="18"/>
          <w:szCs w:val="18"/>
          <w:color w:val="auto"/>
        </w:rPr>
        <w:t>. Each of the Obligors hereby agrees that on and after the Forbearance Termination Date until Payment in Full interest on the outstanding Obligations shall accrue at the default rate provided under Section 2.10(d) of the Credit Agreement at the Alternate Base Rate or the Adjusted LIBO Rate, as applicable.</w:t>
      </w:r>
    </w:p>
    <w:p>
      <w:pPr>
        <w:spacing w:after="0" w:line="18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Obligation to Extend Credit</w:t>
      </w:r>
      <w:r>
        <w:rPr>
          <w:rFonts w:ascii="Arial" w:cs="Arial" w:eastAsia="Arial" w:hAnsi="Arial"/>
          <w:sz w:val="18"/>
          <w:szCs w:val="18"/>
          <w:color w:val="auto"/>
        </w:rPr>
        <w:t>. On and after the date hereof, the Credit Parties have no obligation to make Loans. On and after the date hereof, any amounts repaid may not be reborrowed.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3" w:name="page154"/>
    <w:bookmarkEnd w:id="153"/>
    <w:p>
      <w:pPr>
        <w:ind w:left="1300"/>
        <w:spacing w:after="0"/>
        <w:tabs>
          <w:tab w:leader="none" w:pos="2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CONDITIONS PRECEDENT</w:t>
      </w:r>
      <w:r>
        <w:rPr>
          <w:rFonts w:ascii="Arial" w:cs="Arial" w:eastAsia="Arial" w:hAnsi="Arial"/>
          <w:sz w:val="17"/>
          <w:szCs w:val="17"/>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This Agreement shall become effective (the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on the first date on which all of the following conditions have been satisfied or waived by the Administrative Agent and the Required Lenders:</w:t>
      </w:r>
    </w:p>
    <w:p>
      <w:pPr>
        <w:spacing w:after="0" w:line="170" w:lineRule="exact"/>
        <w:rPr>
          <w:sz w:val="20"/>
          <w:szCs w:val="20"/>
          <w:color w:val="auto"/>
        </w:rPr>
      </w:pPr>
    </w:p>
    <w:p>
      <w:pPr>
        <w:ind w:left="660" w:right="220" w:firstLine="645"/>
        <w:spacing w:after="0" w:line="277" w:lineRule="auto"/>
        <w:tabs>
          <w:tab w:leader="none" w:pos="195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Administrative Agent shall have received counterparts of this Agreement duly executed by (a) the Borrower, WIL-Ireland and the other Guarantors and (b) the Required Lenders.</w:t>
      </w:r>
    </w:p>
    <w:p>
      <w:pPr>
        <w:spacing w:after="0" w:line="170" w:lineRule="exact"/>
        <w:rPr>
          <w:rFonts w:ascii="Arial" w:cs="Arial" w:eastAsia="Arial" w:hAnsi="Arial"/>
          <w:sz w:val="18"/>
          <w:szCs w:val="18"/>
          <w:color w:val="auto"/>
        </w:rPr>
      </w:pPr>
    </w:p>
    <w:p>
      <w:pPr>
        <w:ind w:left="660" w:right="120" w:firstLine="645"/>
        <w:spacing w:after="0" w:line="308" w:lineRule="auto"/>
        <w:tabs>
          <w:tab w:leader="none" w:pos="1964"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DIP Budget</w:t>
      </w:r>
      <w:r>
        <w:rPr>
          <w:rFonts w:ascii="Arial" w:cs="Arial" w:eastAsia="Arial" w:hAnsi="Arial"/>
          <w:sz w:val="17"/>
          <w:szCs w:val="17"/>
          <w:color w:val="auto"/>
        </w:rPr>
        <w:t>. The Administrative Agent shall have received a projected statement of sources and uses of cash for the Debtors and the North American DIP Guarantors on a consolidated basis, broken down by weeks, for the succeeding 13 calendar weeks.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Upon giving effect to this Agreement, there shall be no Default or Event of Default (other than the Specified Events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Default).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RSA Effectiveness</w:t>
      </w:r>
      <w:r>
        <w:rPr>
          <w:rFonts w:ascii="Arial" w:cs="Arial" w:eastAsia="Arial" w:hAnsi="Arial"/>
          <w:sz w:val="16"/>
          <w:szCs w:val="16"/>
          <w:color w:val="auto"/>
        </w:rPr>
        <w:t>. The RSA shall be in full force and effect, and at least 66 and 2/3% of the Noteholders shall be bound thereby.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The Obligors shall have paid such amounts required under Section 4.1.</w:t>
      </w:r>
    </w:p>
    <w:p>
      <w:pPr>
        <w:spacing w:after="0" w:line="225" w:lineRule="exact"/>
        <w:rPr>
          <w:rFonts w:ascii="Arial" w:cs="Arial" w:eastAsia="Arial" w:hAnsi="Arial"/>
          <w:sz w:val="18"/>
          <w:szCs w:val="18"/>
          <w:color w:val="auto"/>
        </w:rPr>
      </w:pPr>
    </w:p>
    <w:p>
      <w:pPr>
        <w:ind w:left="660" w:firstLine="645"/>
        <w:spacing w:after="0" w:line="273" w:lineRule="auto"/>
        <w:tabs>
          <w:tab w:leader="none" w:pos="1961"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As of the Forbearance Effective Date, the representations and warranties contained in this Agreement, the Credit Agreement and in each other Loan Document (other than with respect to Specified Events of Default) shall be true and correct in all material respects (or in any respect to the extent such representation or warranty is qualified by materiality) on and as of the Forbearance Effective Date as if made on and as of the Forbearance Effective Date, except to the extent such representations and warranties specifically relate to an earlier date, in which case such representations and warranties shall have been true and correct in all material respects (or in any respect to the extent such representation or warranty is qualified by materiality) on and as of such earlier date.</w:t>
      </w:r>
    </w:p>
    <w:p>
      <w:pPr>
        <w:spacing w:after="0" w:line="17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 order to induce the Credit Parties party hereto to enter into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the Obligors hereby represent and warrant to the Credit Parties that:</w:t>
      </w:r>
    </w:p>
    <w:p>
      <w:pPr>
        <w:spacing w:after="0" w:line="211" w:lineRule="exact"/>
        <w:rPr>
          <w:sz w:val="20"/>
          <w:szCs w:val="20"/>
          <w:color w:val="auto"/>
        </w:rPr>
      </w:pPr>
    </w:p>
    <w:p>
      <w:pPr>
        <w:ind w:left="660" w:right="80" w:firstLine="645"/>
        <w:spacing w:after="0" w:line="277" w:lineRule="auto"/>
        <w:tabs>
          <w:tab w:leader="none" w:pos="19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Obligor is duly organized, validly existing and in good standing under the laws of the jurisdiction of its organization, and has all requisite power and authority to execute, deliver and perform its obligations under this Agreement;</w:t>
      </w:r>
    </w:p>
    <w:p>
      <w:pPr>
        <w:spacing w:after="0" w:line="170" w:lineRule="exact"/>
        <w:rPr>
          <w:rFonts w:ascii="Arial" w:cs="Arial" w:eastAsia="Arial" w:hAnsi="Arial"/>
          <w:sz w:val="18"/>
          <w:szCs w:val="18"/>
          <w:color w:val="auto"/>
        </w:rPr>
      </w:pPr>
    </w:p>
    <w:p>
      <w:pPr>
        <w:ind w:left="660" w:right="20" w:firstLine="645"/>
        <w:spacing w:after="0" w:line="279" w:lineRule="auto"/>
        <w:tabs>
          <w:tab w:leader="none" w:pos="196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contained in the Credit Agreement and the other Loan Documents are true and correct in all material respects on and as of the Forbearance Effective Date (except with respect to the Specified Events of Default) as if made on and as of the Forbearance Effective Date, except where such representations and warranties expressly relate to an earlier date in which case such representations and warranties were true and correct in all material respects as of such earlier date;</w:t>
      </w:r>
    </w:p>
    <w:p>
      <w:pPr>
        <w:spacing w:after="0" w:line="171" w:lineRule="exact"/>
        <w:rPr>
          <w:rFonts w:ascii="Arial" w:cs="Arial" w:eastAsia="Arial" w:hAnsi="Arial"/>
          <w:sz w:val="17"/>
          <w:szCs w:val="17"/>
          <w:color w:val="auto"/>
        </w:rPr>
      </w:pPr>
    </w:p>
    <w:p>
      <w:pPr>
        <w:ind w:left="660" w:right="20" w:firstLine="645"/>
        <w:spacing w:after="0" w:line="264" w:lineRule="auto"/>
        <w:tabs>
          <w:tab w:leader="none" w:pos="196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execution, delivery, and performance by each Obligor of this Agreement, (i) have been duly authorized by all necessary corporate, partnership or other proceedings on its part or on its behalf, (ii) does not and will not violate any applicable law or regulation applicable to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4" w:name="page155"/>
    <w:bookmarkEnd w:id="154"/>
    <w:p>
      <w:pPr>
        <w:ind w:left="660" w:right="200"/>
        <w:spacing w:after="0" w:line="264" w:lineRule="auto"/>
        <w:rPr>
          <w:sz w:val="20"/>
          <w:szCs w:val="20"/>
          <w:color w:val="auto"/>
        </w:rPr>
      </w:pPr>
      <w:r>
        <w:rPr>
          <w:rFonts w:ascii="Arial" w:cs="Arial" w:eastAsia="Arial" w:hAnsi="Arial"/>
          <w:sz w:val="18"/>
          <w:szCs w:val="18"/>
          <w:color w:val="auto"/>
        </w:rPr>
        <w:t>Obligor or the charter, limited liability company agreement, by-laws or other organizational documents of such Obligor or any order of any Governmental Authority, (iii) does not require any consent or approval of, registration or filing with (other than any disclosure filing), or any other action by, any Governmental Authority, except as have been made or obtained or made and are in full force; and</w:t>
      </w:r>
    </w:p>
    <w:p>
      <w:pPr>
        <w:spacing w:after="0" w:line="181" w:lineRule="exact"/>
        <w:rPr>
          <w:sz w:val="20"/>
          <w:szCs w:val="20"/>
          <w:color w:val="auto"/>
        </w:rPr>
      </w:pPr>
    </w:p>
    <w:p>
      <w:pPr>
        <w:ind w:left="660" w:right="80" w:firstLine="645"/>
        <w:spacing w:after="0" w:line="264" w:lineRule="auto"/>
        <w:tabs>
          <w:tab w:leader="none" w:pos="1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each Obligor, enforceable against such Obligor in accordance with its terms, subject to applicable bankruptcy, insolvency, reorganization, moratorium, or similar laws affecting creditors’ rights generally and subject to general principles of equity, regardless of whether considered in a proceeding in equity or at law.</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CONTINUING EFFECT</w:t>
      </w:r>
      <w:r>
        <w:rPr>
          <w:rFonts w:ascii="Arial" w:cs="Arial" w:eastAsia="Arial" w:hAnsi="Arial"/>
          <w:sz w:val="18"/>
          <w:szCs w:val="18"/>
          <w:color w:val="auto"/>
        </w:rPr>
        <w:t>. The Credit Agreement shall continue to be and shall remain in full force and effect in accordance with its terms. Except as expressly provided herein, this Agreement (i) shall not constitute an amendment, waiver or modification of any provision of the Credit Agreement and (ii) shall not be construed as an amendment, waiver or modification of any action on the part of the Borrower or the other Obligors that would require an amendment, waiver or consent of the Credit Parties. This Agreement is a Loan Document.</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CONSENT OF GUARANTORS</w:t>
      </w:r>
      <w:r>
        <w:rPr>
          <w:rFonts w:ascii="Arial" w:cs="Arial" w:eastAsia="Arial" w:hAnsi="Arial"/>
          <w:sz w:val="16"/>
          <w:szCs w:val="16"/>
          <w:color w:val="auto"/>
        </w:rPr>
        <w:t>. Each of the Guarantors hereby consents to this Agreement.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RELEASE</w:t>
      </w:r>
      <w:r>
        <w:rPr>
          <w:rFonts w:ascii="Arial" w:cs="Arial" w:eastAsia="Arial" w:hAnsi="Arial"/>
          <w:sz w:val="16"/>
          <w:szCs w:val="16"/>
          <w:color w:val="auto"/>
        </w:rPr>
        <w:t>. On and as of the Forbearance Effective Date, each of the Obligors (on behalf of itself and its Affiliates) and its successors-in-title, legal representatives and assignees and, to the extent the same is claimed by right of, through or under any of the Obligors, for its past, present and future employees, agents, representatives, officers, directors, shareholders, and trustees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Releasing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does hereby release and discharge, and shall be deemed to have forever released and discharged, the Credit Parties, and the Credit Parties’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Arial" w:cs="Arial" w:eastAsia="Arial" w:hAnsi="Arial"/>
          <w:sz w:val="16"/>
          <w:szCs w:val="16"/>
          <w:u w:val="single" w:color="auto"/>
          <w:color w:val="auto"/>
        </w:rPr>
        <w:t>Lender Parties</w:t>
      </w:r>
      <w:r>
        <w:rPr>
          <w:rFonts w:ascii="Arial" w:cs="Arial" w:eastAsia="Arial" w:hAnsi="Arial"/>
          <w:sz w:val="16"/>
          <w:szCs w:val="16"/>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Lender Parties in their capacities as such under any of the Loan Documents, whether held in a personal or representative capacity, solely to the extent based on any act, fact, event or omission or other matter, cause or thing occurring at or from any time prior to and including (but not after) the date hereof in any way, directly or indirectly arising out of, connected with or relating to any of this Agreement, the Loan Documents and the transactions contemplated hereby or thereby, or any other agreements, certificates, instruments and other documents and statements (whether written or oral) related to any of the foregoing (each, a “</w:t>
      </w:r>
      <w:r>
        <w:rPr>
          <w:rFonts w:ascii="Arial" w:cs="Arial" w:eastAsia="Arial" w:hAnsi="Arial"/>
          <w:sz w:val="16"/>
          <w:szCs w:val="16"/>
          <w:u w:val="single" w:color="auto"/>
          <w:color w:val="auto"/>
        </w:rPr>
        <w:t>Claim</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Each Releasing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5" w:name="page156"/>
    <w:bookmarkEnd w:id="155"/>
    <w:p>
      <w:pPr>
        <w:jc w:val="both"/>
        <w:ind w:right="120"/>
        <w:spacing w:after="0" w:line="264" w:lineRule="auto"/>
        <w:rPr>
          <w:sz w:val="20"/>
          <w:szCs w:val="20"/>
          <w:color w:val="auto"/>
        </w:rPr>
      </w:pPr>
      <w:r>
        <w:rPr>
          <w:rFonts w:ascii="Arial" w:cs="Arial" w:eastAsia="Arial" w:hAnsi="Arial"/>
          <w:sz w:val="18"/>
          <w:szCs w:val="18"/>
          <w:color w:val="auto"/>
        </w:rPr>
        <w:t>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9.</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HERETO, SHALL BE GOVERNED BY, AND SHALL BE CONSTRUED AND INTERPRETED IN ACCORDANCE WITH, THE LAWS OF THE STATE OF NEW YORK.</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AND UNCONDITIONALLY WAIVES TRIAL BY JURY IN ANY LEGAL ACTION OR PROCEEDING RELATING TO THIS AGREEMENT OR ANY OTHER LOAN DOCUMENT AND FOR ANY COUNTERCLAIM THEREIN.</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Borrower, the Guarantors, and the Credit Parties, and each of their respective successors and assigns, and shall not inure to the benefit of any third parties. The execution and delivery of this Agreement by any Lender prior to the Forbearance Effective Date shall be binding upon its successors and assigns and shall be effective as to any Loans or Commitments assigned to it after such execution and delivery.</w:t>
      </w:r>
    </w:p>
    <w:p>
      <w:pPr>
        <w:spacing w:after="0" w:line="18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made and entered into for the sole protection and benefit of the parties hereto and no other person or entity shall have any right of action hereon, right to claim any right or benefit from the terms contained herein, or be deemed a third party beneficiary hereunder.</w:t>
      </w:r>
    </w:p>
    <w:p>
      <w:pPr>
        <w:spacing w:after="0" w:line="18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REVIEW AND CONSTRUCTION OF DOCUMENTS</w:t>
      </w:r>
      <w:r>
        <w:rPr>
          <w:rFonts w:ascii="Arial" w:cs="Arial" w:eastAsia="Arial" w:hAnsi="Arial"/>
          <w:sz w:val="18"/>
          <w:szCs w:val="18"/>
          <w:color w:val="auto"/>
        </w:rPr>
        <w:t>. Each party hereto hereby acknowledges, and represents and warrants to the other parties hereto, that:</w:t>
      </w:r>
    </w:p>
    <w:p>
      <w:pPr>
        <w:spacing w:after="0" w:line="170" w:lineRule="exact"/>
        <w:rPr>
          <w:sz w:val="20"/>
          <w:szCs w:val="20"/>
          <w:color w:val="auto"/>
        </w:rPr>
      </w:pPr>
    </w:p>
    <w:p>
      <w:pPr>
        <w:ind w:left="660" w:right="440" w:firstLine="645"/>
        <w:spacing w:after="0" w:line="277" w:lineRule="auto"/>
        <w:tabs>
          <w:tab w:leader="none" w:pos="195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had the opportunity to consult with legal counsel of its own choice and has been afforded an opportunity to review this Agreement with legal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carefully reviewed this Agreement and fully understands all terms and provisions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freely, voluntarily, knowingly, and intelligently entered into this Agreement of its own free will and volition;</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none of the Credit Parties have a fiduciary relationship with any of the Obligors and the Obligors do not have a fiduciary relationship with the Credit Parties, and the relationship between the Credit Parties, on the one hand, and the Obligors, on the other hand, is solely that of creditor and debtor;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joint venture exists among the Obligors and the Credit Parties.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ind w:left="1300"/>
              <w:spacing w:after="0"/>
              <w:rPr>
                <w:sz w:val="20"/>
                <w:szCs w:val="20"/>
                <w:color w:val="auto"/>
              </w:rPr>
            </w:pPr>
            <w:r>
              <w:rPr>
                <w:rFonts w:ascii="Arial" w:cs="Arial" w:eastAsia="Arial" w:hAnsi="Arial"/>
                <w:sz w:val="18"/>
                <w:szCs w:val="18"/>
                <w:color w:val="auto"/>
              </w:rPr>
              <w:t>SECTION 15.</w:t>
            </w:r>
          </w:p>
        </w:tc>
        <w:tc>
          <w:tcPr>
            <w:tcW w:w="8660" w:type="dxa"/>
            <w:vAlign w:val="bottom"/>
            <w:gridSpan w:val="2"/>
          </w:tcPr>
          <w:p>
            <w:pPr>
              <w:spacing w:after="0"/>
              <w:rPr>
                <w:sz w:val="20"/>
                <w:szCs w:val="20"/>
                <w:color w:val="auto"/>
              </w:rPr>
            </w:pPr>
            <w:r>
              <w:rPr>
                <w:rFonts w:ascii="Arial" w:cs="Arial" w:eastAsia="Arial" w:hAnsi="Arial"/>
                <w:sz w:val="18"/>
                <w:szCs w:val="18"/>
                <w:color w:val="auto"/>
                <w:w w:val="91"/>
              </w:rPr>
              <w:t>Notices. All notices and requests in connection with this Agreement shall be given in accordance with Section 11.02 of</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the Credit Agreement.</w:t>
            </w:r>
          </w:p>
        </w:tc>
        <w:tc>
          <w:tcPr>
            <w:tcW w:w="540" w:type="dxa"/>
            <w:vAlign w:val="bottom"/>
            <w:tcBorders>
              <w:top w:val="single" w:sz="8" w:color="auto"/>
            </w:tcBorders>
          </w:tcPr>
          <w:p>
            <w:pPr>
              <w:spacing w:after="0"/>
              <w:rPr>
                <w:sz w:val="20"/>
                <w:szCs w:val="20"/>
                <w:color w:val="auto"/>
              </w:rPr>
            </w:pPr>
          </w:p>
        </w:tc>
        <w:tc>
          <w:tcPr>
            <w:tcW w:w="8120" w:type="dxa"/>
            <w:vAlign w:val="bottom"/>
          </w:tcPr>
          <w:p>
            <w:pPr>
              <w:spacing w:after="0"/>
              <w:rPr>
                <w:sz w:val="20"/>
                <w:szCs w:val="20"/>
                <w:color w:val="auto"/>
              </w:rPr>
            </w:pPr>
          </w:p>
        </w:tc>
      </w:tr>
    </w:tbl>
    <w:p>
      <w:pPr>
        <w:spacing w:after="0" w:line="202"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EMBODIES THE FINAL, ENTIRE AGREEMENT AMONG THE PARTIES HERETO REGARDING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6" w:name="page157"/>
    <w:bookmarkEnd w:id="156"/>
    <w:p>
      <w:pPr>
        <w:spacing w:after="0" w:line="255" w:lineRule="auto"/>
        <w:rPr>
          <w:sz w:val="20"/>
          <w:szCs w:val="20"/>
          <w:color w:val="auto"/>
        </w:rPr>
      </w:pPr>
      <w:r>
        <w:rPr>
          <w:rFonts w:ascii="Arial" w:cs="Arial" w:eastAsia="Arial" w:hAnsi="Arial"/>
          <w:sz w:val="18"/>
          <w:szCs w:val="18"/>
          <w:color w:val="auto"/>
        </w:rPr>
        <w:t>THE CREDIT PARTIES’ FORBEARANCE WITH RESPECT TO THEIR RIGHTS AND REMEDIES WHICH MAY ARISE AS A RESULT OF THE SPECIFIED EVENTS OF DEFAULT AND SUPERSEDES ANY AND ALL PRIOR COMMITMENTS, AGREEMENTS, REPRESENTATIONS, AND UNDERSTANDINGS, WHETHER WRITTEN OR ORAL, RELATING TO THE SUBJECT MATTER HEREOF AND MAY NOT BE CONTRADICTED OR VARIED BY EVIDENCE OF PRIOR, CONTEMPORANEOUS OR SUBSEQUENT ORAL AGREEMENTS OR DISCUSSION OF THE PARTIES HERETO. THERE ARE NO ORAL AGREEMENTS AMONG THE PARTIES HERETO. The provisions of this Agreement may be amended or waived only by an instrument in writing signed by the Borrower, the Lenders constituting the Required Lenders and, to the extent required under Section 11.01 of the Credit Agreement, and the Administrative Agent.</w:t>
      </w:r>
    </w:p>
    <w:p>
      <w:pPr>
        <w:spacing w:after="0" w:line="189"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any number of separate counterparts and all of said counterparts taken together shall be deemed to constitute one and the same instrument. An executed signature page of this Agreement may be delivered by facsimile transmission or electronic PDF of the relevant signature page hereof.</w:t>
      </w:r>
    </w:p>
    <w:p>
      <w:pPr>
        <w:spacing w:after="0" w:line="181"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Obligors agree to execute, acknowledge, deliver, file and record such further certificates, instruments and documents, and to do all other acts and things, as may be reasonably requested by the Administrative Agent and necessary or reasonably advisable to carry out the intents and purposes of this Agreement.</w:t>
      </w:r>
    </w:p>
    <w:p>
      <w:pPr>
        <w:spacing w:after="0" w:line="181"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in this Agreement are for convenience of reference only, are not part of this Agreement and are not to affect the construction of, or to be taken into consideration in interpreting,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and delivered by their duly authorized officers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58" w:name="page159"/>
    <w:bookmarkEnd w:id="158"/>
    <w:p>
      <w:pPr>
        <w:ind w:left="4520"/>
        <w:spacing w:after="0"/>
        <w:rPr>
          <w:sz w:val="20"/>
          <w:szCs w:val="20"/>
          <w:color w:val="auto"/>
        </w:rPr>
      </w:pPr>
      <w:r>
        <w:rPr>
          <w:rFonts w:ascii="Arial" w:cs="Arial" w:eastAsia="Arial" w:hAnsi="Arial"/>
          <w:sz w:val="18"/>
          <w:szCs w:val="18"/>
          <w:color w:val="auto"/>
        </w:rPr>
        <w:t>AUSTRALIA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AUSTRALIA PTY LIMITED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Antonino Gullotti</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Antonino Gullotti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Robert De Gasperis</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Robert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59" w:name="page160"/>
    <w:bookmarkEnd w:id="159"/>
    <w:p>
      <w:pPr>
        <w:ind w:left="4520"/>
        <w:spacing w:after="0"/>
        <w:rPr>
          <w:sz w:val="20"/>
          <w:szCs w:val="20"/>
          <w:color w:val="auto"/>
        </w:rPr>
      </w:pPr>
      <w:r>
        <w:rPr>
          <w:rFonts w:ascii="Arial" w:cs="Arial" w:eastAsia="Arial" w:hAnsi="Arial"/>
          <w:sz w:val="18"/>
          <w:szCs w:val="18"/>
          <w:color w:val="auto"/>
        </w:rPr>
        <w:t>BERMUDA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Andrew Gold</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Andrew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SABRE DRILLING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INTERNATIONAL HOLDING (BERMUDA) LTD.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PANGAEA HOLDINGS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center"/>
        <w:ind w:left="3200"/>
        <w:spacing w:after="0"/>
        <w:tabs>
          <w:tab w:leader="none" w:pos="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440" w:top="341" w:right="759" w:bottom="1440" w:gutter="0" w:footer="0" w:header="0"/>
        </w:sectPr>
      </w:pPr>
    </w:p>
    <w:bookmarkStart w:id="160" w:name="page161"/>
    <w:bookmarkEnd w:id="160"/>
    <w:p>
      <w:pPr>
        <w:ind w:left="4520"/>
        <w:spacing w:after="0"/>
        <w:rPr>
          <w:sz w:val="20"/>
          <w:szCs w:val="20"/>
          <w:color w:val="auto"/>
        </w:rPr>
      </w:pPr>
      <w:r>
        <w:rPr>
          <w:rFonts w:ascii="Arial" w:cs="Arial" w:eastAsia="Arial" w:hAnsi="Arial"/>
          <w:sz w:val="18"/>
          <w:szCs w:val="18"/>
          <w:color w:val="auto"/>
        </w:rPr>
        <w:t>BVI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 (BVI)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HOLDINGS (BVI) LTD.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MIDDLE EAST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61" w:name="page162"/>
    <w:bookmarkEnd w:id="161"/>
    <w:p>
      <w:pPr>
        <w:ind w:left="5720"/>
        <w:spacing w:after="0"/>
        <w:rPr>
          <w:sz w:val="20"/>
          <w:szCs w:val="20"/>
          <w:color w:val="auto"/>
        </w:rPr>
      </w:pPr>
      <w:r>
        <w:rPr>
          <w:rFonts w:ascii="Arial" w:cs="Arial" w:eastAsia="Arial" w:hAnsi="Arial"/>
          <w:sz w:val="18"/>
          <w:szCs w:val="18"/>
          <w:color w:val="auto"/>
        </w:rPr>
        <w:t>CANADA 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CANADA LTD.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 David Reed</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 &amp;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(NOVA SCOTIA) ULC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 David Reed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 &amp; Vice President</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2" w:name="page163"/>
    <w:bookmarkEnd w:id="162"/>
    <w:p>
      <w:pPr>
        <w:ind w:left="4520"/>
        <w:spacing w:after="0"/>
        <w:rPr>
          <w:sz w:val="20"/>
          <w:szCs w:val="20"/>
          <w:color w:val="auto"/>
        </w:rPr>
      </w:pPr>
      <w:r>
        <w:rPr>
          <w:rFonts w:ascii="Arial" w:cs="Arial" w:eastAsia="Arial" w:hAnsi="Arial"/>
          <w:sz w:val="18"/>
          <w:szCs w:val="18"/>
          <w:color w:val="auto"/>
        </w:rPr>
        <w:t>ENGLAND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EURASIA LIMITED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Strachan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Strachan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3" w:name="page164"/>
    <w:bookmarkEnd w:id="163"/>
    <w:p>
      <w:pPr>
        <w:ind w:left="4520"/>
        <w:spacing w:after="0"/>
        <w:rPr>
          <w:sz w:val="20"/>
          <w:szCs w:val="20"/>
          <w:color w:val="auto"/>
        </w:rPr>
      </w:pPr>
      <w:r>
        <w:rPr>
          <w:rFonts w:ascii="Arial" w:cs="Arial" w:eastAsia="Arial" w:hAnsi="Arial"/>
          <w:sz w:val="18"/>
          <w:szCs w:val="18"/>
          <w:color w:val="auto"/>
        </w:rPr>
        <w:t>LUXEMBOURG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EUROPEAN HOLDINGS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S.À 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Mathias Neuenschwander</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Name:</w:t>
        <w:tab/>
        <w:t>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 A</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HOLDINGS S.À 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Mathisas Neuenschwander</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7"/>
          <w:szCs w:val="17"/>
          <w:color w:val="auto"/>
        </w:rPr>
        <w:t>Name:</w:t>
        <w:tab/>
        <w:t>Mathisas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-123190</wp:posOffset>
            </wp:positionV>
            <wp:extent cx="33191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64" w:name="page165"/>
    <w:bookmarkEnd w:id="164"/>
    <w:p>
      <w:pPr>
        <w:ind w:left="4520"/>
        <w:spacing w:after="0"/>
        <w:rPr>
          <w:sz w:val="20"/>
          <w:szCs w:val="20"/>
          <w:color w:val="auto"/>
        </w:rPr>
      </w:pPr>
      <w:r>
        <w:rPr>
          <w:rFonts w:ascii="Arial" w:cs="Arial" w:eastAsia="Arial" w:hAnsi="Arial"/>
          <w:sz w:val="18"/>
          <w:szCs w:val="18"/>
          <w:color w:val="auto"/>
        </w:rPr>
        <w:t>NETHERLANDS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NETHERLANDS B.V.</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August Willem Versteeg</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7"/>
          <w:szCs w:val="17"/>
          <w:color w:val="auto"/>
        </w:rPr>
        <w:t>Name:</w:t>
        <w:tab/>
        <w:t>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5" w:name="page166"/>
    <w:bookmarkEnd w:id="165"/>
    <w:p>
      <w:pPr>
        <w:ind w:left="4520"/>
        <w:spacing w:after="0"/>
        <w:rPr>
          <w:sz w:val="20"/>
          <w:szCs w:val="20"/>
          <w:color w:val="auto"/>
        </w:rPr>
      </w:pPr>
      <w:r>
        <w:rPr>
          <w:rFonts w:ascii="Arial" w:cs="Arial" w:eastAsia="Arial" w:hAnsi="Arial"/>
          <w:sz w:val="18"/>
          <w:szCs w:val="18"/>
          <w:color w:val="auto"/>
        </w:rPr>
        <w:t>NORWAY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NORGE AS</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Geir Egil Moller Olsen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7"/>
          <w:szCs w:val="17"/>
          <w:color w:val="auto"/>
        </w:rPr>
        <w:t>Name:</w:t>
        <w:tab/>
        <w:t>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6" w:name="page167"/>
    <w:bookmarkEnd w:id="166"/>
    <w:p>
      <w:pPr>
        <w:ind w:left="4520"/>
        <w:spacing w:after="0"/>
        <w:rPr>
          <w:sz w:val="20"/>
          <w:szCs w:val="20"/>
          <w:color w:val="auto"/>
        </w:rPr>
      </w:pPr>
      <w:r>
        <w:rPr>
          <w:rFonts w:ascii="Arial" w:cs="Arial" w:eastAsia="Arial" w:hAnsi="Arial"/>
          <w:sz w:val="18"/>
          <w:szCs w:val="18"/>
          <w:color w:val="auto"/>
        </w:rPr>
        <w:t>PANAMA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WEATHERFORD SERVICES S. DE R.L.</w:t>
      </w:r>
    </w:p>
    <w:p>
      <w:pPr>
        <w:spacing w:after="0" w:line="24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67" w:name="page168"/>
    <w:bookmarkEnd w:id="167"/>
    <w:p>
      <w:pPr>
        <w:ind w:left="4520"/>
        <w:spacing w:after="0"/>
        <w:rPr>
          <w:sz w:val="20"/>
          <w:szCs w:val="20"/>
          <w:color w:val="auto"/>
        </w:rPr>
      </w:pPr>
      <w:r>
        <w:rPr>
          <w:rFonts w:ascii="Arial" w:cs="Arial" w:eastAsia="Arial" w:hAnsi="Arial"/>
          <w:sz w:val="18"/>
          <w:szCs w:val="18"/>
          <w:color w:val="auto"/>
        </w:rPr>
        <w:t>SWITZERLAND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SARL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Andrzej Puchala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170"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Phillip Andermatt</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Phillip Andermatt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Andrzej Puchala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SWISS FINANCE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Ariana Cabariu-Truong</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Ariana Cabariu-Truong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(SWITZERLAND)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60"/>
          </w:cols>
          <w:pgMar w:left="1440" w:top="342" w:right="599" w:bottom="1440" w:gutter="0" w:footer="0" w:header="0"/>
        </w:sectPr>
      </w:pPr>
    </w:p>
    <w:bookmarkStart w:id="168" w:name="page169"/>
    <w:bookmarkEnd w:id="168"/>
    <w:p>
      <w:pPr>
        <w:ind w:left="5720"/>
        <w:spacing w:after="0"/>
        <w:rPr>
          <w:sz w:val="20"/>
          <w:szCs w:val="20"/>
          <w:color w:val="auto"/>
        </w:rPr>
      </w:pPr>
      <w:r>
        <w:rPr>
          <w:rFonts w:ascii="Arial" w:cs="Arial" w:eastAsia="Arial" w:hAnsi="Arial"/>
          <w:sz w:val="18"/>
          <w:szCs w:val="18"/>
          <w:color w:val="auto"/>
        </w:rPr>
        <w:t>LOUISIANA GUARANTOR: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U.S., L.P.</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Vice President &amp; Secretary</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9" w:name="page170"/>
    <w:bookmarkEnd w:id="169"/>
    <w:p>
      <w:pPr>
        <w:ind w:left="5720"/>
        <w:spacing w:after="0"/>
        <w:rPr>
          <w:sz w:val="20"/>
          <w:szCs w:val="20"/>
          <w:color w:val="auto"/>
        </w:rPr>
      </w:pPr>
      <w:r>
        <w:rPr>
          <w:rFonts w:ascii="Arial" w:cs="Arial" w:eastAsia="Arial" w:hAnsi="Arial"/>
          <w:sz w:val="18"/>
          <w:szCs w:val="18"/>
          <w:color w:val="auto"/>
        </w:rPr>
        <w:t>DELAWARE 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PD HOLDINGS (USA),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WEUS HOLDING, LLC</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 &amp; Secretary</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0" w:name="page171"/>
    <w:bookmarkEnd w:id="170"/>
    <w:p>
      <w:pPr>
        <w:ind w:left="4520"/>
        <w:spacing w:after="0"/>
        <w:rPr>
          <w:sz w:val="20"/>
          <w:szCs w:val="20"/>
          <w:color w:val="auto"/>
        </w:rPr>
      </w:pPr>
      <w:r>
        <w:rPr>
          <w:rFonts w:ascii="Arial" w:cs="Arial" w:eastAsia="Arial" w:hAnsi="Arial"/>
          <w:sz w:val="18"/>
          <w:szCs w:val="18"/>
          <w:color w:val="auto"/>
        </w:rPr>
        <w:t>CALIFORNIA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tabs>
          <w:tab w:leader="none" w:pos="5660" w:val="left"/>
        </w:tabs>
        <w:rPr>
          <w:sz w:val="20"/>
          <w:szCs w:val="20"/>
          <w:color w:val="auto"/>
        </w:rPr>
      </w:pPr>
      <w:r>
        <w:rPr>
          <w:rFonts w:ascii="Arial" w:cs="Arial" w:eastAsia="Arial" w:hAnsi="Arial"/>
          <w:sz w:val="17"/>
          <w:szCs w:val="17"/>
          <w:color w:val="auto"/>
        </w:rPr>
        <w:t>Name:</w:t>
        <w:tab/>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6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1" w:name="page172"/>
    <w:bookmarkEnd w:id="171"/>
    <w:p>
      <w:pPr>
        <w:ind w:left="4520"/>
        <w:spacing w:after="0"/>
        <w:rPr>
          <w:sz w:val="20"/>
          <w:szCs w:val="20"/>
          <w:color w:val="auto"/>
        </w:rPr>
      </w:pPr>
      <w:r>
        <w:rPr>
          <w:rFonts w:ascii="Arial" w:cs="Arial" w:eastAsia="Arial" w:hAnsi="Arial"/>
          <w:sz w:val="18"/>
          <w:szCs w:val="18"/>
          <w:color w:val="auto"/>
        </w:rPr>
        <w:t>TEXAS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PRECISION OILFIELD SERVICES, LLP,</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2" w:name="page173"/>
    <w:bookmarkEnd w:id="172"/>
    <w:p>
      <w:pPr>
        <w:ind w:left="4520"/>
        <w:spacing w:after="0"/>
        <w:rPr>
          <w:sz w:val="20"/>
          <w:szCs w:val="20"/>
          <w:color w:val="auto"/>
        </w:rPr>
      </w:pPr>
      <w:r>
        <w:rPr>
          <w:rFonts w:ascii="Arial" w:cs="Arial" w:eastAsia="Arial" w:hAnsi="Arial"/>
          <w:sz w:val="16"/>
          <w:szCs w:val="16"/>
          <w:color w:val="auto"/>
        </w:rPr>
        <w:t>[Lender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AMOUNT OF SECURED OBLIGATIONS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20" w:type="dxa"/>
            <w:vAlign w:val="bottom"/>
          </w:tcPr>
          <w:p>
            <w:pPr>
              <w:spacing w:after="0"/>
              <w:rPr>
                <w:sz w:val="20"/>
                <w:szCs w:val="20"/>
                <w:color w:val="auto"/>
              </w:rPr>
            </w:pPr>
          </w:p>
        </w:tc>
        <w:tc>
          <w:tcPr>
            <w:tcW w:w="3160" w:type="dxa"/>
            <w:vAlign w:val="bottom"/>
            <w:tcBorders>
              <w:top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Principal</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Loans- Interest</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38,922.92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Amount</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297,538,922.92</w:t>
            </w: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Plus potential Banking Services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7"/>
          <w:szCs w:val="17"/>
          <w:color w:val="auto"/>
        </w:rPr>
        <w:t>This 364-DAY REVOLVING CREDIT FORBEARANCE AGREEMENT (as may be amended, supplemented or otherwise modified,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 2019, is by and among WEATHERFORD INTERNATIONAL LTD., a Bermuda exempted company (“</w:t>
      </w:r>
      <w:r>
        <w:rPr>
          <w:rFonts w:ascii="Arial" w:cs="Arial" w:eastAsia="Arial" w:hAnsi="Arial"/>
          <w:sz w:val="17"/>
          <w:szCs w:val="17"/>
          <w:u w:val="single" w:color="auto"/>
          <w:color w:val="auto"/>
        </w:rPr>
        <w:t>WIL-Bermuda</w:t>
      </w:r>
      <w:r>
        <w:rPr>
          <w:rFonts w:ascii="Arial" w:cs="Arial" w:eastAsia="Arial" w:hAnsi="Arial"/>
          <w:sz w:val="17"/>
          <w:szCs w:val="17"/>
          <w:color w:val="auto"/>
        </w:rPr>
        <w:t>”), WEATHERFORD INTERNATIONAL PLC, an Irish public limited company (“</w:t>
      </w:r>
      <w:r>
        <w:rPr>
          <w:rFonts w:ascii="Arial" w:cs="Arial" w:eastAsia="Arial" w:hAnsi="Arial"/>
          <w:sz w:val="17"/>
          <w:szCs w:val="17"/>
          <w:u w:val="single" w:color="auto"/>
          <w:color w:val="auto"/>
        </w:rPr>
        <w:t>WIL-Ireland</w:t>
      </w:r>
      <w:r>
        <w:rPr>
          <w:rFonts w:ascii="Arial" w:cs="Arial" w:eastAsia="Arial" w:hAnsi="Arial"/>
          <w:sz w:val="17"/>
          <w:szCs w:val="17"/>
          <w:color w:val="auto"/>
        </w:rPr>
        <w:t>”), the other subsidiaries of WIL-Ireland party hereto (collectively with WIL-Bermuda, the “</w:t>
      </w:r>
      <w:r>
        <w:rPr>
          <w:rFonts w:ascii="Arial" w:cs="Arial" w:eastAsia="Arial" w:hAnsi="Arial"/>
          <w:sz w:val="17"/>
          <w:szCs w:val="17"/>
          <w:u w:val="single" w:color="auto"/>
          <w:color w:val="auto"/>
        </w:rPr>
        <w:t>Borrowers</w:t>
      </w:r>
      <w:r>
        <w:rPr>
          <w:rFonts w:ascii="Arial" w:cs="Arial" w:eastAsia="Arial" w:hAnsi="Arial"/>
          <w:sz w:val="17"/>
          <w:szCs w:val="17"/>
          <w:color w:val="auto"/>
        </w:rPr>
        <w:t>” and the Borrowers collectively with WIL-Ireland, the “</w:t>
      </w:r>
      <w:r>
        <w:rPr>
          <w:rFonts w:ascii="Arial" w:cs="Arial" w:eastAsia="Arial" w:hAnsi="Arial"/>
          <w:sz w:val="17"/>
          <w:szCs w:val="17"/>
          <w:u w:val="single" w:color="auto"/>
          <w:color w:val="auto"/>
        </w:rPr>
        <w:t>Obligors</w:t>
      </w:r>
      <w:r>
        <w:rPr>
          <w:rFonts w:ascii="Arial" w:cs="Arial" w:eastAsia="Arial" w:hAnsi="Arial"/>
          <w:sz w:val="17"/>
          <w:szCs w:val="17"/>
          <w:color w:val="auto"/>
        </w:rPr>
        <w:t>”), the Lenders (as defined below) party hereto and JPMORGAN CHASE BANK, N.A.,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MORGAN STANLEY SENIOR FUNDING, INC., as collateral agent for the Lenders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right="800" w:firstLine="1297"/>
        <w:spacing w:after="0" w:line="312" w:lineRule="auto"/>
        <w:rPr>
          <w:sz w:val="20"/>
          <w:szCs w:val="20"/>
          <w:color w:val="auto"/>
        </w:rPr>
      </w:pPr>
      <w:r>
        <w:rPr>
          <w:rFonts w:ascii="Arial" w:cs="Arial" w:eastAsia="Arial" w:hAnsi="Arial"/>
          <w:sz w:val="16"/>
          <w:szCs w:val="16"/>
          <w:color w:val="auto"/>
        </w:rPr>
        <w:t>WHEREAS, the Borrowers, WIL-Ireland, the lending and other financial institutions from time to time party thereto as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the Administrative Agent, the Swingline Lender and the Collateral Agent are parties to the 364-Day Revolving Credit Agreement dated as of August 16, 2018 (as heretofore amended, restated, supplemented or otherwise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the Credit Agreement the Lenders have made certain loans to the Borrowers.</w:t>
      </w:r>
    </w:p>
    <w:p>
      <w:pPr>
        <w:spacing w:after="0" w:line="22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WHEREAS, each of the Obligors hereby acknowledges and agrees that as of the date hereof certain Defaults and Events of Default have occurred under the Credit Agreement and that after the date hereof certain Defaults and Events of Default may occur under the Credit Agreement (such Defaults and Events of Default, the “</w:t>
      </w:r>
      <w:r>
        <w:rPr>
          <w:rFonts w:ascii="Arial" w:cs="Arial" w:eastAsia="Arial" w:hAnsi="Arial"/>
          <w:sz w:val="18"/>
          <w:szCs w:val="18"/>
          <w:u w:val="single" w:color="auto"/>
          <w:color w:val="auto"/>
        </w:rPr>
        <w:t>Specified Events of Default</w:t>
      </w:r>
      <w:r>
        <w:rPr>
          <w:rFonts w:ascii="Arial" w:cs="Arial" w:eastAsia="Arial" w:hAnsi="Arial"/>
          <w:sz w:val="18"/>
          <w:szCs w:val="18"/>
          <w:color w:val="auto"/>
        </w:rPr>
        <w:t>”).</w:t>
      </w:r>
    </w:p>
    <w:p>
      <w:pPr>
        <w:spacing w:after="0" w:line="18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WHEREAS, (i) as a result of the occurrence of the Specified Events of Default under the Credit Agreement, the Administrative Agent and the Lenders are entitled to exercise at any time their rights and remedies and to commence enforcement, litigation and collection actions under the Credit Agreement, the other Loan Documents and applicable law, including without limitation, to terminate the Commitments, to set off funds, foreclose on liens and to declare to be immediately due and payable the principal amount of the Loans now outstanding, all accrued interest, fees and the other obligations of the Obligors accrued under the Credit Agreement and the other Loan Documents (such rights, remedies and actions, other than as described in the following clause (ii), collectively, the “</w:t>
      </w:r>
      <w:r>
        <w:rPr>
          <w:rFonts w:ascii="Arial" w:cs="Arial" w:eastAsia="Arial" w:hAnsi="Arial"/>
          <w:sz w:val="18"/>
          <w:szCs w:val="18"/>
          <w:u w:val="single" w:color="auto"/>
          <w:color w:val="auto"/>
        </w:rPr>
        <w:t>Enforcement Actions</w:t>
      </w:r>
      <w:r>
        <w:rPr>
          <w:rFonts w:ascii="Arial" w:cs="Arial" w:eastAsia="Arial" w:hAnsi="Arial"/>
          <w:sz w:val="18"/>
          <w:szCs w:val="18"/>
          <w:color w:val="auto"/>
        </w:rPr>
        <w:t>”), in each case in accordance with the Loan Documents and applicable law and (ii) as a result of one or more Specified Events of Default, the Commitments shall automatically terminate and the Loans and other Obligations then outstanding shall automatically become due and payable.</w:t>
      </w:r>
    </w:p>
    <w:p>
      <w:pPr>
        <w:spacing w:after="0" w:line="192"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WHEREAS, the Borrowers have requested that the Administrative Agent and the Lenders agree to forbear from taking any Enforcement Actions to afford the Borrowers and WIL-Ireland (WIL-Ireland, together with WIL-Bermuda and Weatherford International, LLC, a Delaware limited liability company, the “</w:t>
      </w:r>
      <w:r>
        <w:rPr>
          <w:rFonts w:ascii="Arial" w:cs="Arial" w:eastAsia="Arial" w:hAnsi="Arial"/>
          <w:sz w:val="18"/>
          <w:szCs w:val="18"/>
          <w:u w:val="single" w:color="auto"/>
          <w:color w:val="auto"/>
        </w:rPr>
        <w:t>Debtors</w:t>
      </w:r>
      <w:r>
        <w:rPr>
          <w:rFonts w:ascii="Arial" w:cs="Arial" w:eastAsia="Arial" w:hAnsi="Arial"/>
          <w:sz w:val="18"/>
          <w:szCs w:val="18"/>
          <w:color w:val="auto"/>
        </w:rPr>
        <w:t>”) an opportunity to pursue a financial restructuring in accordance with the restructuring support agreement, dated as of May 10, 2019 (as amended, supplemented or otherwise modified from time to time, subject to the terms hereof, the “</w:t>
      </w:r>
      <w:r>
        <w:rPr>
          <w:rFonts w:ascii="Arial" w:cs="Arial" w:eastAsia="Arial" w:hAnsi="Arial"/>
          <w:sz w:val="18"/>
          <w:szCs w:val="18"/>
          <w:u w:val="single" w:color="auto"/>
          <w:color w:val="auto"/>
        </w:rPr>
        <w:t>RSA</w:t>
      </w:r>
      <w:r>
        <w:rPr>
          <w:rFonts w:ascii="Arial" w:cs="Arial" w:eastAsia="Arial" w:hAnsi="Arial"/>
          <w:sz w:val="18"/>
          <w:szCs w:val="18"/>
          <w:color w:val="auto"/>
        </w:rPr>
        <w:t>”), with the holders of Existing Senior Notes (the “</w:t>
      </w:r>
      <w:r>
        <w:rPr>
          <w:rFonts w:ascii="Arial" w:cs="Arial" w:eastAsia="Arial" w:hAnsi="Arial"/>
          <w:sz w:val="18"/>
          <w:szCs w:val="18"/>
          <w:u w:val="single" w:color="auto"/>
          <w:color w:val="auto"/>
        </w:rPr>
        <w:t>Noteholders</w:t>
      </w:r>
      <w:r>
        <w:rPr>
          <w:rFonts w:ascii="Arial" w:cs="Arial" w:eastAsia="Arial" w:hAnsi="Arial"/>
          <w:sz w:val="18"/>
          <w:szCs w:val="18"/>
          <w:color w:val="auto"/>
        </w:rPr>
        <w:t>”) issued pursuant to the Existing Senior Notes Indentures.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Lenders hereto have agreed to such request, subject to the terms and provisions set forth in this Agreement.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NOW, THEREFORE, in consideration of the premises herein contained and for other good and valuable consideration, the receipt of which is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ind w:right="20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capitalized terms are used herein as defined in the Credit Agreement and the following terms shall have the following meanings:</w:t>
      </w:r>
    </w:p>
    <w:p>
      <w:pPr>
        <w:spacing w:after="0" w:line="170" w:lineRule="exact"/>
        <w:rPr>
          <w:sz w:val="20"/>
          <w:szCs w:val="20"/>
          <w:color w:val="auto"/>
        </w:rPr>
      </w:pPr>
    </w:p>
    <w:p>
      <w:pPr>
        <w:ind w:left="1940" w:hanging="635"/>
        <w:spacing w:after="0"/>
        <w:tabs>
          <w:tab w:leader="none" w:pos="19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Unites Sates Code, 11 U.S.C. § § 101-1532 (as amended).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Southern District of Texas.</w:t>
      </w:r>
    </w:p>
    <w:p>
      <w:pPr>
        <w:spacing w:after="0" w:line="225" w:lineRule="exact"/>
        <w:rPr>
          <w:rFonts w:ascii="Arial" w:cs="Arial" w:eastAsia="Arial" w:hAnsi="Arial"/>
          <w:sz w:val="18"/>
          <w:szCs w:val="18"/>
          <w:color w:val="auto"/>
        </w:rPr>
      </w:pPr>
    </w:p>
    <w:p>
      <w:pPr>
        <w:ind w:left="660" w:right="420" w:firstLine="645"/>
        <w:spacing w:after="0" w:line="277" w:lineRule="auto"/>
        <w:tabs>
          <w:tab w:leader="none" w:pos="19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means the jointly-administered voluntary cases to be commenced by the Debtors under chapter 11 of the Bankruptcy Code in the Bankruptcy Court.</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Financing</w:t>
      </w:r>
      <w:r>
        <w:rPr>
          <w:rFonts w:ascii="Arial" w:cs="Arial" w:eastAsia="Arial" w:hAnsi="Arial"/>
          <w:sz w:val="18"/>
          <w:szCs w:val="18"/>
          <w:color w:val="auto"/>
        </w:rPr>
        <w:t>” has the meaning specified in the RSA as in effect on the date hereof, which shall not exceed $1.75 billion in aggregate principal amount.</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ACKNOWLEDGEMENTS.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Amount of Obligations</w:t>
      </w:r>
      <w:r>
        <w:rPr>
          <w:rFonts w:ascii="Arial" w:cs="Arial" w:eastAsia="Arial" w:hAnsi="Arial"/>
          <w:sz w:val="16"/>
          <w:szCs w:val="16"/>
          <w:color w:val="auto"/>
        </w:rPr>
        <w:t>.</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Each Obligor acknowledges and agrees that (i) as of July 1, 2019, the Secured Obligations included, without limitation, the amounts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on account of (A) the outstanding unpaid amount of principal of, accrued and unpaid interest on, and fees and commissions related to, the Loans, (B) the aggregate unpaid Banking Services Obligations, and (C) the aggregate unpaid Swap Obligations (if any), and (ii) such Obligor is indebted to the Credit Parties (or, to the extent applicable with respect to the Swap Obligations and Banking Services Obligations, their Affiliates), to the extent provided in the Collateral Documents and Guaranty Agreements, as applicable, for such Secured Obligations and all other Secured Obligations, in each case, only to the extent required by such Collateral Documents to which it is a party, without defense, counterclaim or offset of any kind (other than the defense that Payment in Full has occurred), and such Obligor ratifies and reaffirms the validity, enforceability and binding nature of all such Secured Obligations to the extent provided in such Collateral Documents and Guaranty Agreements.</w:t>
      </w:r>
    </w:p>
    <w:p>
      <w:pPr>
        <w:spacing w:after="0" w:line="17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Obligor acknowledges and agrees that (a) Specified Events of Default exist, and will continue to exist, after the Forbearance Effective Date (as defined below) and (b) absent the agreement of the Credit Parties to forbear from taking Enforcement Actions as provided in this Agreement, the occurrence of the Specified Events of Default entitles one or more Credit Parties at any time to take one or more Enforcement Actions.</w:t>
      </w:r>
    </w:p>
    <w:p>
      <w:pPr>
        <w:spacing w:after="0" w:line="187" w:lineRule="exact"/>
        <w:rPr>
          <w:sz w:val="20"/>
          <w:szCs w:val="20"/>
          <w:color w:val="auto"/>
        </w:rPr>
      </w:pPr>
    </w:p>
    <w:p>
      <w:pPr>
        <w:ind w:right="320" w:firstLine="1297"/>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Guarantee and Collateral</w:t>
      </w:r>
      <w:r>
        <w:rPr>
          <w:rFonts w:ascii="Arial" w:cs="Arial" w:eastAsia="Arial" w:hAnsi="Arial"/>
          <w:sz w:val="17"/>
          <w:szCs w:val="17"/>
          <w:color w:val="auto"/>
        </w:rPr>
        <w:t>. Each Obligor ratifies and reaffirms the validity and enforceability (without defense, counterclaim or offset of any kind (other than the defense that Payment in Full has occurred)) of the Guarantees and, if applicable with respect to such Obligor, Collateral granted in support of the Secured Obligations by such Obligor to the Administrative Agent, for the benefit of the Lenders, pursuant to the Guaranty Agreements and Collateral Documents (if any) to which such Obligor is a party. Each Obligor acknowledges and agrees that all such Guarantees and, if applicable, Collateral provided by such Obligor continue to guarantee and support the Secured Obligations to the extent provided in such Guaranty Agreements and Collateral Documents notwithstanding the occurrence of the Forbearance Effective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6" w:name="page177"/>
    <w:bookmarkEnd w:id="176"/>
    <w:p>
      <w:pPr>
        <w:ind w:left="100"/>
        <w:spacing w:after="0"/>
        <w:tabs>
          <w:tab w:leader="none" w:pos="14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FORBEARANCE</w:t>
      </w:r>
      <w:r>
        <w:rPr>
          <w:rFonts w:ascii="Arial" w:cs="Arial" w:eastAsia="Arial" w:hAnsi="Arial"/>
          <w:sz w:val="17"/>
          <w:szCs w:val="17"/>
          <w:color w:val="auto"/>
        </w:rPr>
        <w:t>.</w:t>
      </w:r>
    </w:p>
    <w:p>
      <w:pPr>
        <w:spacing w:after="0" w:line="22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Forbearance Period</w:t>
      </w:r>
      <w:r>
        <w:rPr>
          <w:rFonts w:ascii="Arial" w:cs="Arial" w:eastAsia="Arial" w:hAnsi="Arial"/>
          <w:sz w:val="16"/>
          <w:szCs w:val="16"/>
          <w:color w:val="auto"/>
        </w:rPr>
        <w:t>.</w:t>
      </w:r>
    </w:p>
    <w:p>
      <w:pPr>
        <w:spacing w:after="0" w:line="225" w:lineRule="exact"/>
        <w:rPr>
          <w:sz w:val="20"/>
          <w:szCs w:val="20"/>
          <w:color w:val="auto"/>
        </w:rPr>
      </w:pPr>
    </w:p>
    <w:p>
      <w:pPr>
        <w:ind w:left="-540" w:right="20" w:firstLine="645"/>
        <w:spacing w:after="0" w:line="276" w:lineRule="auto"/>
        <w:tabs>
          <w:tab w:leader="none" w:pos="75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Credit Parties shall forbear from taking any Enforcement Actions as a result of the occurrence of the Specified Events of Default during the period from and including the Forbearance Effective Date until, the Administrative Agent, on behalf of the Credit Parties, or at the request of the Required Lenders provides a notice of termination to the Borrowers or any other Obligor after the earliest to occur of any of the following events (each such event, a “</w:t>
      </w:r>
      <w:r>
        <w:rPr>
          <w:rFonts w:ascii="Arial" w:cs="Arial" w:eastAsia="Arial" w:hAnsi="Arial"/>
          <w:sz w:val="17"/>
          <w:szCs w:val="17"/>
          <w:u w:val="single" w:color="auto"/>
          <w:color w:val="auto"/>
        </w:rPr>
        <w:t>Forbearance Termination Event</w:t>
      </w:r>
      <w:r>
        <w:rPr>
          <w:rFonts w:ascii="Arial" w:cs="Arial" w:eastAsia="Arial" w:hAnsi="Arial"/>
          <w:sz w:val="17"/>
          <w:szCs w:val="17"/>
          <w:color w:val="auto"/>
        </w:rPr>
        <w:t>”; the date of delivery of such notice, the “</w:t>
      </w:r>
      <w:r>
        <w:rPr>
          <w:rFonts w:ascii="Arial" w:cs="Arial" w:eastAsia="Arial" w:hAnsi="Arial"/>
          <w:sz w:val="17"/>
          <w:szCs w:val="17"/>
          <w:u w:val="single" w:color="auto"/>
          <w:color w:val="auto"/>
        </w:rPr>
        <w:t>Forbearance Termination Date</w:t>
      </w:r>
      <w:r>
        <w:rPr>
          <w:rFonts w:ascii="Arial" w:cs="Arial" w:eastAsia="Arial" w:hAnsi="Arial"/>
          <w:sz w:val="17"/>
          <w:szCs w:val="17"/>
          <w:color w:val="auto"/>
        </w:rPr>
        <w:t>”; and such period, the “</w:t>
      </w:r>
      <w:r>
        <w:rPr>
          <w:rFonts w:ascii="Arial" w:cs="Arial" w:eastAsia="Arial" w:hAnsi="Arial"/>
          <w:sz w:val="17"/>
          <w:szCs w:val="17"/>
          <w:u w:val="single" w:color="auto"/>
          <w:color w:val="auto"/>
        </w:rPr>
        <w:t>Forbearance Period</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420" w:hanging="667"/>
        <w:spacing w:after="0"/>
        <w:tabs>
          <w:tab w:leader="none" w:pos="14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11:59 p.m. (New York City time) on the date that is five Business Days after the commencement of the Chapter 11 Cases;</w:t>
      </w:r>
    </w:p>
    <w:p>
      <w:pPr>
        <w:spacing w:after="0" w:line="248" w:lineRule="exact"/>
        <w:rPr>
          <w:rFonts w:ascii="Arial" w:cs="Arial" w:eastAsia="Arial" w:hAnsi="Arial"/>
          <w:sz w:val="16"/>
          <w:szCs w:val="16"/>
          <w:color w:val="auto"/>
        </w:rPr>
      </w:pPr>
    </w:p>
    <w:p>
      <w:pPr>
        <w:ind w:left="1440" w:hanging="687"/>
        <w:spacing w:after="0"/>
        <w:tabs>
          <w:tab w:leader="none" w:pos="14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11:59 p.m. (New York City time) on July 15, 2019 if the Debtors have not commenced the Chapter 11 Cases;</w:t>
      </w:r>
    </w:p>
    <w:p>
      <w:pPr>
        <w:spacing w:after="0" w:line="225" w:lineRule="exact"/>
        <w:rPr>
          <w:rFonts w:ascii="Arial" w:cs="Arial" w:eastAsia="Arial" w:hAnsi="Arial"/>
          <w:sz w:val="18"/>
          <w:szCs w:val="18"/>
          <w:color w:val="auto"/>
        </w:rPr>
      </w:pPr>
    </w:p>
    <w:p>
      <w:pPr>
        <w:ind w:left="1400" w:right="520" w:hanging="647"/>
        <w:spacing w:after="0" w:line="342" w:lineRule="auto"/>
        <w:tabs>
          <w:tab w:leader="none" w:pos="14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occurrence of a Default or an Event of Default under Section 9.01(a) of the Credit Agreement, whether or not constituting a Specified Event of Default, if at that time the Debtors have not commenced the Chapter 11 Cases;</w:t>
      </w:r>
    </w:p>
    <w:p>
      <w:pPr>
        <w:spacing w:after="0" w:line="123" w:lineRule="exact"/>
        <w:rPr>
          <w:rFonts w:ascii="Arial" w:cs="Arial" w:eastAsia="Arial" w:hAnsi="Arial"/>
          <w:sz w:val="16"/>
          <w:szCs w:val="16"/>
          <w:color w:val="auto"/>
        </w:rPr>
      </w:pPr>
    </w:p>
    <w:p>
      <w:pPr>
        <w:ind w:left="1420" w:hanging="667"/>
        <w:spacing w:after="0"/>
        <w:tabs>
          <w:tab w:leader="none" w:pos="14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RSA (as in effect on the date hereof) is either terminated or modified in a manner that is adverse to the Lenders;</w:t>
      </w:r>
    </w:p>
    <w:p>
      <w:pPr>
        <w:spacing w:after="0" w:line="236" w:lineRule="exact"/>
        <w:rPr>
          <w:rFonts w:ascii="Arial" w:cs="Arial" w:eastAsia="Arial" w:hAnsi="Arial"/>
          <w:sz w:val="17"/>
          <w:szCs w:val="17"/>
          <w:color w:val="auto"/>
        </w:rPr>
      </w:pPr>
    </w:p>
    <w:p>
      <w:pPr>
        <w:ind w:left="1400" w:hanging="647"/>
        <w:spacing w:after="0" w:line="279" w:lineRule="auto"/>
        <w:tabs>
          <w:tab w:leader="none" w:pos="1407"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 The interim order approving the DIP Financing does not provide for authority to repay in full the Secured Obligations as set forth in (iv) below or (B) the interim order of the Bankruptcy Court approving the credit agreement governing the DIP Financing (the “</w:t>
      </w:r>
      <w:r>
        <w:rPr>
          <w:rFonts w:ascii="Arial" w:cs="Arial" w:eastAsia="Arial" w:hAnsi="Arial"/>
          <w:sz w:val="17"/>
          <w:szCs w:val="17"/>
          <w:u w:val="single" w:color="auto"/>
          <w:color w:val="auto"/>
        </w:rPr>
        <w:t>DIP Agreement</w:t>
      </w:r>
      <w:r>
        <w:rPr>
          <w:rFonts w:ascii="Arial" w:cs="Arial" w:eastAsia="Arial" w:hAnsi="Arial"/>
          <w:sz w:val="17"/>
          <w:szCs w:val="17"/>
          <w:color w:val="auto"/>
        </w:rPr>
        <w:t>”) is not reasonably satisfactory to the Required Lenders as to the matters addressed in this Agreement or has been modified in a manner that is materially adverse to the Lenders;</w:t>
      </w:r>
    </w:p>
    <w:p>
      <w:pPr>
        <w:spacing w:after="0" w:line="171" w:lineRule="exact"/>
        <w:rPr>
          <w:rFonts w:ascii="Arial" w:cs="Arial" w:eastAsia="Arial" w:hAnsi="Arial"/>
          <w:sz w:val="17"/>
          <w:szCs w:val="17"/>
          <w:color w:val="auto"/>
        </w:rPr>
      </w:pPr>
    </w:p>
    <w:p>
      <w:pPr>
        <w:ind w:left="1400" w:right="160" w:hanging="647"/>
        <w:spacing w:after="0" w:line="277" w:lineRule="auto"/>
        <w:tabs>
          <w:tab w:leader="none" w:pos="141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Secured Obligations are not repaid substantially concurrently with the date of the closing of the DIP Financing and the initial draw thereunder;</w:t>
      </w:r>
    </w:p>
    <w:p>
      <w:pPr>
        <w:spacing w:after="0" w:line="170" w:lineRule="exact"/>
        <w:rPr>
          <w:rFonts w:ascii="Arial" w:cs="Arial" w:eastAsia="Arial" w:hAnsi="Arial"/>
          <w:sz w:val="18"/>
          <w:szCs w:val="18"/>
          <w:color w:val="auto"/>
        </w:rPr>
      </w:pPr>
    </w:p>
    <w:p>
      <w:pPr>
        <w:ind w:left="1400" w:right="240" w:hanging="647"/>
        <w:spacing w:after="0" w:line="277" w:lineRule="auto"/>
        <w:tabs>
          <w:tab w:leader="none" w:pos="142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Bankruptcy Court enters an order converting one or more of the Chapter 11 Cases to a case under chapter 7 of the Bankruptcy Code or dismissing any of the Chapter 11 Cases;</w:t>
      </w:r>
    </w:p>
    <w:p>
      <w:pPr>
        <w:spacing w:after="0" w:line="170" w:lineRule="exact"/>
        <w:rPr>
          <w:rFonts w:ascii="Arial" w:cs="Arial" w:eastAsia="Arial" w:hAnsi="Arial"/>
          <w:sz w:val="18"/>
          <w:szCs w:val="18"/>
          <w:color w:val="auto"/>
        </w:rPr>
      </w:pPr>
    </w:p>
    <w:p>
      <w:pPr>
        <w:ind w:left="1400" w:right="20" w:hanging="647"/>
        <w:spacing w:after="0" w:line="308" w:lineRule="auto"/>
        <w:tabs>
          <w:tab w:leader="none" w:pos="143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Bankruptcy Court enters an order appointing a trustee, receiver, or examiner with expanded powers beyond those set forth in section 1106(a)(3) and (4) of the Bankruptcy Code in one or more of the Chapter 11 Cases;</w:t>
      </w:r>
    </w:p>
    <w:p>
      <w:pPr>
        <w:spacing w:after="0" w:line="146" w:lineRule="exact"/>
        <w:rPr>
          <w:rFonts w:ascii="Arial" w:cs="Arial" w:eastAsia="Arial" w:hAnsi="Arial"/>
          <w:sz w:val="17"/>
          <w:szCs w:val="17"/>
          <w:color w:val="auto"/>
        </w:rPr>
      </w:pPr>
    </w:p>
    <w:p>
      <w:pPr>
        <w:ind w:left="1400" w:right="160" w:hanging="647"/>
        <w:spacing w:after="0" w:line="264" w:lineRule="auto"/>
        <w:tabs>
          <w:tab w:leader="none" w:pos="141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Either (i) any Debtor files with the Bankruptcy Court a motion, application, or adversary proceeding (or any Debtor supports any such motion, application, or adversary proceeding filed or commenced by any third party) (A) challenging the validity, enforceability, scope or priority</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77" w:name="page178"/>
    <w:bookmarkEnd w:id="177"/>
    <w:p>
      <w:pPr>
        <w:ind w:left="1400"/>
        <w:spacing w:after="0" w:line="264" w:lineRule="auto"/>
        <w:rPr>
          <w:sz w:val="20"/>
          <w:szCs w:val="20"/>
          <w:color w:val="auto"/>
        </w:rPr>
      </w:pPr>
      <w:r>
        <w:rPr>
          <w:rFonts w:ascii="Arial" w:cs="Arial" w:eastAsia="Arial" w:hAnsi="Arial"/>
          <w:sz w:val="18"/>
          <w:szCs w:val="18"/>
          <w:color w:val="auto"/>
        </w:rPr>
        <w:t>of, or seeking avoidance or subordination of, the claims of any Credit Party or (B) asserting any other cause of action against any Credit Party or (ii) the Bankruptcy Court enters an order providing relief against any Credit Party with respect to any of the foregoing causes of action or proceedings filed by any Debtor;</w:t>
      </w:r>
    </w:p>
    <w:p>
      <w:pPr>
        <w:spacing w:after="0" w:line="181" w:lineRule="exact"/>
        <w:rPr>
          <w:sz w:val="20"/>
          <w:szCs w:val="20"/>
          <w:color w:val="auto"/>
        </w:rPr>
      </w:pPr>
    </w:p>
    <w:p>
      <w:pPr>
        <w:ind w:left="1400" w:hanging="647"/>
        <w:spacing w:after="0"/>
        <w:tabs>
          <w:tab w:leader="none" w:pos="14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insolvency proceeding against or in respect of any Obligor that is not a Debtor;</w:t>
      </w:r>
    </w:p>
    <w:p>
      <w:pPr>
        <w:spacing w:after="0" w:line="225" w:lineRule="exact"/>
        <w:rPr>
          <w:rFonts w:ascii="Arial" w:cs="Arial" w:eastAsia="Arial" w:hAnsi="Arial"/>
          <w:sz w:val="18"/>
          <w:szCs w:val="18"/>
          <w:color w:val="auto"/>
        </w:rPr>
      </w:pPr>
    </w:p>
    <w:p>
      <w:pPr>
        <w:ind w:left="1400" w:right="40" w:hanging="647"/>
        <w:spacing w:after="0" w:line="273" w:lineRule="auto"/>
        <w:tabs>
          <w:tab w:leader="none" w:pos="1417"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representation or warranty made by any Obligor in this Agreement proving to have been untrue or inaccurate in any material respect (except to the extent qualified by materiality, in which case such representation shall have been untrue or inaccurate in any respect) on or as of the date made or deemed made, except where such representation or warranty expressly relates to an earlier date, in which case such representation or warranty shall have been untrue or inaccurate in any material respect (except to the extent qualified by materiality, in which case such representation shall have been untrue or inaccurate in any respect) as of such earlier date;</w:t>
      </w:r>
    </w:p>
    <w:p>
      <w:pPr>
        <w:spacing w:after="0" w:line="178" w:lineRule="exact"/>
        <w:rPr>
          <w:rFonts w:ascii="Arial" w:cs="Arial" w:eastAsia="Arial" w:hAnsi="Arial"/>
          <w:sz w:val="17"/>
          <w:szCs w:val="17"/>
          <w:color w:val="auto"/>
        </w:rPr>
      </w:pPr>
    </w:p>
    <w:p>
      <w:pPr>
        <w:ind w:left="1420" w:hanging="667"/>
        <w:spacing w:after="0"/>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failure of any Obligor to (A) pay any amount required by Section 4.1 in accordance with such Section or</w:t>
      </w:r>
    </w:p>
    <w:p>
      <w:pPr>
        <w:spacing w:after="0" w:line="23" w:lineRule="exact"/>
        <w:rPr>
          <w:rFonts w:ascii="Arial" w:cs="Arial" w:eastAsia="Arial" w:hAnsi="Arial"/>
          <w:sz w:val="18"/>
          <w:szCs w:val="18"/>
          <w:color w:val="auto"/>
        </w:rPr>
      </w:pPr>
    </w:p>
    <w:p>
      <w:pPr>
        <w:ind w:left="1400" w:firstLine="1"/>
        <w:spacing w:after="0" w:line="252" w:lineRule="auto"/>
        <w:tabs>
          <w:tab w:leader="none" w:pos="168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perform, as and when required, any of its respective covenants or other obligations set forth in this Agreement (it being understood that time is of the essence for each such covenant and obligation), including without limitation, any provision of Section 4 below and, in the case of clause (B), such failure shall remain unremedied for 5 calendar days after the earlier to occur of (i) receipt by a Principal Financial Officer of any Obligor of written notice of such failure (given by the Administrative Agent or any Lender) and (ii) a Principal Financial Officer of any Obligor otherwise becoming aware of such failure.</w:t>
      </w:r>
    </w:p>
    <w:p>
      <w:pPr>
        <w:spacing w:after="0" w:line="194" w:lineRule="exact"/>
        <w:rPr>
          <w:rFonts w:ascii="Arial" w:cs="Arial" w:eastAsia="Arial" w:hAnsi="Arial"/>
          <w:sz w:val="18"/>
          <w:szCs w:val="18"/>
          <w:color w:val="auto"/>
        </w:rPr>
      </w:pPr>
    </w:p>
    <w:p>
      <w:pPr>
        <w:ind w:left="-540" w:firstLine="645"/>
        <w:spacing w:after="0" w:line="268" w:lineRule="auto"/>
        <w:tabs>
          <w:tab w:leader="none" w:pos="76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Loan Document, the Specified Events of Default constitute actionable Defaults and Events of Default for the purpose of triggering any and all limitations, restrictions or prohibitions on certain actions that may be taken or omitted or otherwise acquiesced to by or on behalf of any Obligor pursuant to the Credit Agreement or any other Loan Document, including, without limitation, any and all limitations, restrictions or prohibitions with respect to any distribution, advance or other payment directly or indirectly from or for the benefit of any Obligor to any other Obligor, any direct or indirect owner of an equity interest in any Obligor or any Affiliate of any of the foregoing and any actions or inactions taken or omitted or otherwise acquiesced to, by or on behalf of any Obligor in violation of such provisions, in each case while any Default or Event of Default (including the Specified Events of Default) exists, will constitute additional Events of Default under the Credit Agreement and the other Loan Documents under this Agreement; provided, however, prior to and only until the occurrence of a Forbearance Termination Event (i) a Specified Event of Default shall not constitute an Event of Default for the purposes of Section 2.05(e) of the Credit Agreement, and (ii) a Specified Event of Default shall not constitute a Default or Event of Default for the purposes of Sections 7.09(d), 8.02(a) (without giving effect to clause (D)(2) thereof), 8.02(c)(i), 8.05(d), 8.05(j), 8.06(f)(ii) and 8.08(k) of the Credit Agreement so long as (x) any transaction sought to be consummated by the Obligors under such Sections shall be permitted by the DIP Agreement (as amended, supplemented or otherwise</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2" w:right="27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18"/>
          <w:szCs w:val="18"/>
          <w:color w:val="auto"/>
        </w:rPr>
        <w:t>modified from time to time) and the Obligors shall otherwise comply with the terms of the Credit Agreement in respect of such transactions.</w:t>
      </w:r>
    </w:p>
    <w:p>
      <w:pPr>
        <w:spacing w:after="0" w:line="225" w:lineRule="exact"/>
        <w:rPr>
          <w:sz w:val="20"/>
          <w:szCs w:val="20"/>
          <w:color w:val="auto"/>
        </w:rPr>
      </w:pPr>
    </w:p>
    <w:p>
      <w:pPr>
        <w:ind w:right="80" w:firstLine="1297"/>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Limitation on Forbearance</w:t>
      </w:r>
      <w:r>
        <w:rPr>
          <w:rFonts w:ascii="Arial" w:cs="Arial" w:eastAsia="Arial" w:hAnsi="Arial"/>
          <w:sz w:val="16"/>
          <w:szCs w:val="16"/>
          <w:color w:val="auto"/>
        </w:rPr>
        <w:t>. Each Obligor acknowledges and agrees that, notwithstanding the agreement of the Credit Parties to forbear from taking any Enforcement Actions during the Forbearance Period in respect of the Specified Events of Default, (i) such forbearance shall not constitute a waiver of the occurrence or the continuance of any Event of Default (including the Specified Events of Default), and each such Event of Default which has occurred and is otherwise still continuing shall continue to exist during and after the Forbearance Effective Date, (ii) nothing contained in this Agreement shall be construed to limit or affect the right of the Credit Parties to bring or maintain during the Forbearance Period any action to enforce or interpret any term or provision of this Agreement and (iii) nothing contained in this Agreement shall be construed to limit or affect the right of the Credit Parties to take protective actions in the Chapter 11 Cases, including to enforce the terms of this Agreement and filing (x) responsive pleadings in respect of actions taken or relief sought in the Chapter 11 Cases that is adverse to the Credit Parties and (y) a proof of claim in the Chapter 11 Cases.</w:t>
      </w:r>
    </w:p>
    <w:p>
      <w:pPr>
        <w:spacing w:after="0" w:line="166"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Enforcement Actions After Forbearance Period</w:t>
      </w:r>
      <w:r>
        <w:rPr>
          <w:rFonts w:ascii="Arial" w:cs="Arial" w:eastAsia="Arial" w:hAnsi="Arial"/>
          <w:sz w:val="17"/>
          <w:szCs w:val="17"/>
          <w:color w:val="auto"/>
        </w:rPr>
        <w:t>. Each Obligor acknowledges and agrees that, on the Forbearance Termination Date, the Forbearance Period shall automatically terminate and the agreement of the Credit Parties to forbear from taking any Enforcement Actions in respect of the Specified Events of Default shall immediately and automatically cease and be of no further force or effect, and the Credit Parties shall be entitled to immediately take any or all Enforcement Actions under (and in accordance with) the Credit Agreement, the other Loan Documents and applicable law, all without further notice or demand, in respect of the Specified Events of Default or any other Event of Default then existing. The Credit Parties shall have no obligation whatsoever to extend the maturity of the Credit Agreement, waive any Events of Default, defer any payments, or, following the Forbearance Termination Date, further forbear from exercising their rights and remedies. The Debtors, in their capacity as such, acknowledge and agree and shall not dispute that after the commencement of the Chapter 11 Cases, the termination of this Agreement and the giving of any notice hereunder shall not be a violation of the automatic stay of section 362 of the Bankruptcy Code (and the Debtors hereby waive, to the fullest extent permitted by law, the applicability of the automatic stay to the taking of such action and, to the extent the Bankruptcy Court determines that automatic stay applies to taking such action, the Debtors consent to any relief that the Credit Parties requires to taking such action).</w:t>
      </w:r>
    </w:p>
    <w:p>
      <w:pPr>
        <w:spacing w:after="0" w:line="18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AGREEMENTS</w:t>
      </w:r>
      <w:r>
        <w:rPr>
          <w:rFonts w:ascii="Arial" w:cs="Arial" w:eastAsia="Arial" w:hAnsi="Arial"/>
          <w:sz w:val="16"/>
          <w:szCs w:val="16"/>
          <w:color w:val="auto"/>
        </w:rPr>
        <w:t>. To induce the Credit Parties to enter into this Agreement, the Borrowers agree as follows:</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 of Fees and Expenses</w:t>
      </w:r>
      <w:r>
        <w:rPr>
          <w:rFonts w:ascii="Arial" w:cs="Arial" w:eastAsia="Arial" w:hAnsi="Arial"/>
          <w:sz w:val="18"/>
          <w:szCs w:val="18"/>
          <w:color w:val="auto"/>
        </w:rPr>
        <w:t>. The Obligors hereby agree to pay on the Forbearance Effective Date to the extent invoiced to the Borrowers at least two (2) Business Days prior thereto the reasonable and documented out-of-pocket accrued expenses of the Administrative Agent, including, without limitation, the reasonable and documented fees, charges and disbursements of Simpson Thacher &amp; Bartlett LLP, Sidley Austin LLP, one counsel in each applicable jurisdiction and FTI Consulting, in each case, to the extent such fees, charges and disbursements are related to this Agreement, the Loan Documents or as otherwise provided in Section 11.03 of the Credit Agreement.</w:t>
      </w:r>
    </w:p>
    <w:p>
      <w:pPr>
        <w:spacing w:after="0" w:line="18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Default Interest</w:t>
      </w:r>
      <w:r>
        <w:rPr>
          <w:rFonts w:ascii="Arial" w:cs="Arial" w:eastAsia="Arial" w:hAnsi="Arial"/>
          <w:sz w:val="18"/>
          <w:szCs w:val="18"/>
          <w:color w:val="auto"/>
        </w:rPr>
        <w:t>. Each of the Obligors hereby agrees that on and after the Forbearance Termination Date until Payment in Full interest on the outstanding Obligations shall accrue at the default rate provided under Section 2.10(d) of the Credit Agreement at the Alternate Base Rate or the Adjusted LIBO Rate, as applicable.</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Obligation to Extend Credit</w:t>
      </w:r>
      <w:r>
        <w:rPr>
          <w:rFonts w:ascii="Arial" w:cs="Arial" w:eastAsia="Arial" w:hAnsi="Arial"/>
          <w:sz w:val="18"/>
          <w:szCs w:val="18"/>
          <w:color w:val="auto"/>
        </w:rPr>
        <w:t>. On and after the date hereof, the Credit Parties have no obligation to make Loans. On and after the date hereof, any amounts repaid may not be reborrowed.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79" w:name="page180"/>
    <w:bookmarkEnd w:id="179"/>
    <w:p>
      <w:pPr>
        <w:ind w:left="1300"/>
        <w:spacing w:after="0"/>
        <w:tabs>
          <w:tab w:leader="none" w:pos="26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CONDITIONS PRECEDENT</w:t>
      </w:r>
      <w:r>
        <w:rPr>
          <w:rFonts w:ascii="Arial" w:cs="Arial" w:eastAsia="Arial" w:hAnsi="Arial"/>
          <w:sz w:val="17"/>
          <w:szCs w:val="17"/>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This Agreement shall become effective (the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on the first date on which all of the following conditions have been satisfied or waived by the Administrative Agent and the Required Lenders:</w:t>
      </w:r>
    </w:p>
    <w:p>
      <w:pPr>
        <w:spacing w:after="0" w:line="170" w:lineRule="exact"/>
        <w:rPr>
          <w:sz w:val="20"/>
          <w:szCs w:val="20"/>
          <w:color w:val="auto"/>
        </w:rPr>
      </w:pPr>
    </w:p>
    <w:p>
      <w:pPr>
        <w:ind w:left="660" w:right="220" w:firstLine="645"/>
        <w:spacing w:after="0" w:line="277" w:lineRule="auto"/>
        <w:tabs>
          <w:tab w:leader="none" w:pos="1954"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Administrative Agent shall have received counterparts of this Agreement duly executed by (a) the Borrowers, WIL-Ireland and the other Guarantors and (b) the Required Lenders.</w:t>
      </w:r>
    </w:p>
    <w:p>
      <w:pPr>
        <w:spacing w:after="0" w:line="170" w:lineRule="exact"/>
        <w:rPr>
          <w:rFonts w:ascii="Arial" w:cs="Arial" w:eastAsia="Arial" w:hAnsi="Arial"/>
          <w:sz w:val="18"/>
          <w:szCs w:val="18"/>
          <w:color w:val="auto"/>
        </w:rPr>
      </w:pPr>
    </w:p>
    <w:p>
      <w:pPr>
        <w:ind w:left="660" w:right="120" w:firstLine="645"/>
        <w:spacing w:after="0" w:line="308" w:lineRule="auto"/>
        <w:tabs>
          <w:tab w:leader="none" w:pos="1964"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DIP Budget</w:t>
      </w:r>
      <w:r>
        <w:rPr>
          <w:rFonts w:ascii="Arial" w:cs="Arial" w:eastAsia="Arial" w:hAnsi="Arial"/>
          <w:sz w:val="17"/>
          <w:szCs w:val="17"/>
          <w:color w:val="auto"/>
        </w:rPr>
        <w:t>. The Administrative Agent shall have received a projected statement of sources and uses of cash for the Debtors and the North American DIP Guarantors on a consolidated basis, broken down by weeks, for the succeeding 13 calendar weeks.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No Default</w:t>
      </w:r>
      <w:r>
        <w:rPr>
          <w:rFonts w:ascii="Arial" w:cs="Arial" w:eastAsia="Arial" w:hAnsi="Arial"/>
          <w:sz w:val="16"/>
          <w:szCs w:val="16"/>
          <w:color w:val="auto"/>
        </w:rPr>
        <w:t>. Upon giving effect to this Agreement, there shall be no Default or Event of Default (other than the Specified Events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Default).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RSA Effectiveness</w:t>
      </w:r>
      <w:r>
        <w:rPr>
          <w:rFonts w:ascii="Arial" w:cs="Arial" w:eastAsia="Arial" w:hAnsi="Arial"/>
          <w:sz w:val="16"/>
          <w:szCs w:val="16"/>
          <w:color w:val="auto"/>
        </w:rPr>
        <w:t>. The RSA shall be in full force and effect, and at least 66 and 2/3% of the Noteholders shall be bound thereby.</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The Obligors shall have paid such amounts required under Section 4.1.</w:t>
      </w:r>
    </w:p>
    <w:p>
      <w:pPr>
        <w:spacing w:after="0" w:line="225" w:lineRule="exact"/>
        <w:rPr>
          <w:rFonts w:ascii="Arial" w:cs="Arial" w:eastAsia="Arial" w:hAnsi="Arial"/>
          <w:sz w:val="18"/>
          <w:szCs w:val="18"/>
          <w:color w:val="auto"/>
        </w:rPr>
      </w:pPr>
    </w:p>
    <w:p>
      <w:pPr>
        <w:ind w:left="660" w:firstLine="645"/>
        <w:spacing w:after="0" w:line="273" w:lineRule="auto"/>
        <w:tabs>
          <w:tab w:leader="none" w:pos="1961"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As of the Forbearance Effective Date, the representations and warranties contained in this Agreement, the Credit Agreement and in each other Loan Document (other than with respect to Specified Events of Default) shall be true and correct in all material respects (or in any respect to the extent such representation or warranty is qualified by materiality) on and as of the Forbearance Effective Date as if made on and as of the Forbearance Effective Date, except to the extent such representations and warranties specifically relate to an earlier date, in which case such representations and warranties shall have been true and correct in all material respects (or in any respect to the extent such representation or warranty is qualified by materiality) on and as of such earlier date.</w:t>
      </w:r>
    </w:p>
    <w:p>
      <w:pPr>
        <w:spacing w:after="0" w:line="17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 order to induce the Credit Parties party hereto to enter into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the Obligors hereby represent and warrant to the Credit Parties that:</w:t>
      </w:r>
    </w:p>
    <w:p>
      <w:pPr>
        <w:spacing w:after="0" w:line="211" w:lineRule="exact"/>
        <w:rPr>
          <w:sz w:val="20"/>
          <w:szCs w:val="20"/>
          <w:color w:val="auto"/>
        </w:rPr>
      </w:pPr>
    </w:p>
    <w:p>
      <w:pPr>
        <w:ind w:left="660" w:right="80" w:firstLine="645"/>
        <w:spacing w:after="0" w:line="277" w:lineRule="auto"/>
        <w:tabs>
          <w:tab w:leader="none" w:pos="19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Obligor is duly organized, validly existing and in good standing under the laws of the jurisdiction of its organization, and has all requisite power and authority to execute, deliver and perform its obligations under this Agreement;</w:t>
      </w:r>
    </w:p>
    <w:p>
      <w:pPr>
        <w:spacing w:after="0" w:line="170" w:lineRule="exact"/>
        <w:rPr>
          <w:rFonts w:ascii="Arial" w:cs="Arial" w:eastAsia="Arial" w:hAnsi="Arial"/>
          <w:sz w:val="18"/>
          <w:szCs w:val="18"/>
          <w:color w:val="auto"/>
        </w:rPr>
      </w:pPr>
    </w:p>
    <w:p>
      <w:pPr>
        <w:ind w:left="660" w:right="20" w:firstLine="645"/>
        <w:spacing w:after="0" w:line="279" w:lineRule="auto"/>
        <w:tabs>
          <w:tab w:leader="none" w:pos="196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contained in the Credit Agreement and the other Loan Documents are true and correct in all material respects on and as of the Forbearance Effective Date (except with respect to the Specified Events of Default) as if made on and as of the Forbearance Effective Date, except where such representations and warranties expressly relate to an earlier date in which case such representations and warranties were true and correct in all material respects as of such earlier date;</w:t>
      </w:r>
    </w:p>
    <w:p>
      <w:pPr>
        <w:spacing w:after="0" w:line="171" w:lineRule="exact"/>
        <w:rPr>
          <w:rFonts w:ascii="Arial" w:cs="Arial" w:eastAsia="Arial" w:hAnsi="Arial"/>
          <w:sz w:val="17"/>
          <w:szCs w:val="17"/>
          <w:color w:val="auto"/>
        </w:rPr>
      </w:pPr>
    </w:p>
    <w:p>
      <w:pPr>
        <w:ind w:left="660" w:right="20" w:firstLine="645"/>
        <w:spacing w:after="0" w:line="264" w:lineRule="auto"/>
        <w:tabs>
          <w:tab w:leader="none" w:pos="196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execution, delivery, and performance by each Obligor of this Agreement, (i) have been duly authorized by all necessary corporate, partnership or other proceedings on its part or on its behalf, (ii) does not and will not violate any applicable law or regulation applicable to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0" w:name="page181"/>
    <w:bookmarkEnd w:id="180"/>
    <w:p>
      <w:pPr>
        <w:ind w:left="660" w:right="200"/>
        <w:spacing w:after="0" w:line="264" w:lineRule="auto"/>
        <w:rPr>
          <w:sz w:val="20"/>
          <w:szCs w:val="20"/>
          <w:color w:val="auto"/>
        </w:rPr>
      </w:pPr>
      <w:r>
        <w:rPr>
          <w:rFonts w:ascii="Arial" w:cs="Arial" w:eastAsia="Arial" w:hAnsi="Arial"/>
          <w:sz w:val="18"/>
          <w:szCs w:val="18"/>
          <w:color w:val="auto"/>
        </w:rPr>
        <w:t>Obligor or the charter, limited liability company agreement, by-laws or other organizational documents of such Obligor or any order of any Governmental Authority, (iii) does not require any consent or approval of, registration or filing with (other than any disclosure filing), or any other action by, any Governmental Authority, except as have been made or obtained or made and are in full force; and</w:t>
      </w:r>
    </w:p>
    <w:p>
      <w:pPr>
        <w:spacing w:after="0" w:line="181" w:lineRule="exact"/>
        <w:rPr>
          <w:sz w:val="20"/>
          <w:szCs w:val="20"/>
          <w:color w:val="auto"/>
        </w:rPr>
      </w:pPr>
    </w:p>
    <w:p>
      <w:pPr>
        <w:ind w:left="660" w:right="80" w:firstLine="645"/>
        <w:spacing w:after="0" w:line="264" w:lineRule="auto"/>
        <w:tabs>
          <w:tab w:leader="none" w:pos="19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each Obligor, enforceable against such Obligor in accordance with its terms, subject to applicable bankruptcy, insolvency, reorganization, moratorium, or similar laws affecting creditors’ rights generally and subject to general principles of equity, regardless of whether considered in a proceeding in equity or at law.</w:t>
      </w:r>
    </w:p>
    <w:p>
      <w:pPr>
        <w:spacing w:after="0" w:line="181"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CONTINUING EFFECT</w:t>
      </w:r>
      <w:r>
        <w:rPr>
          <w:rFonts w:ascii="Arial" w:cs="Arial" w:eastAsia="Arial" w:hAnsi="Arial"/>
          <w:sz w:val="17"/>
          <w:szCs w:val="17"/>
          <w:color w:val="auto"/>
        </w:rPr>
        <w:t>. The Credit Agreement shall continue to be and shall remain in full force and effect in accordance with its terms. Except as expressly provided herein, this Agreement (i) shall not constitute an amendment, waiver or modification of any provision of the Credit Agreement and (ii) shall not be construed as an amendment, waiver or modification of any action on the part of the Borrowers or the other Obligors that would require an amendment, waiver or consent of the Credit Parties. This Agreement is a Loan Document.</w:t>
      </w:r>
    </w:p>
    <w:p>
      <w:pPr>
        <w:spacing w:after="0" w:line="17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CONSENT OF GUARANTORS</w:t>
      </w:r>
      <w:r>
        <w:rPr>
          <w:rFonts w:ascii="Arial" w:cs="Arial" w:eastAsia="Arial" w:hAnsi="Arial"/>
          <w:sz w:val="16"/>
          <w:szCs w:val="16"/>
          <w:color w:val="auto"/>
        </w:rPr>
        <w:t>. Each of the Guarantors hereby consents to this Agreement.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RELEASE</w:t>
      </w:r>
      <w:r>
        <w:rPr>
          <w:rFonts w:ascii="Arial" w:cs="Arial" w:eastAsia="Arial" w:hAnsi="Arial"/>
          <w:sz w:val="16"/>
          <w:szCs w:val="16"/>
          <w:color w:val="auto"/>
        </w:rPr>
        <w:t>. On and as of the Forbearance Effective Date, each of the Obligors (on behalf of itself and its Affiliates) and its successors-in-title, legal representatives and assignees and, to the extent the same is claimed by right of, through or under any of the Obligors, for its past, present and future employees, agents, representatives, officers, directors, shareholders, and trustees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Releasing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does hereby release and discharge, and shall be deemed to have forever released and discharged, the Credit Parties, and the Credit Parties’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Arial" w:cs="Arial" w:eastAsia="Arial" w:hAnsi="Arial"/>
          <w:sz w:val="16"/>
          <w:szCs w:val="16"/>
          <w:u w:val="single" w:color="auto"/>
          <w:color w:val="auto"/>
        </w:rPr>
        <w:t>Lender Parties</w:t>
      </w:r>
      <w:r>
        <w:rPr>
          <w:rFonts w:ascii="Arial" w:cs="Arial" w:eastAsia="Arial" w:hAnsi="Arial"/>
          <w:sz w:val="16"/>
          <w:szCs w:val="16"/>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Lender Parties in their capacities as such under any of the Loan Documents, whether held in a personal or representative capacity, solely to the extent based on any act, fact, event or omission or other matter, cause or thing occurring at or from any time prior to and including (but not after) the date hereof in any way, directly or indirectly arising out of, connected with or relating to any of this Agreement, the Loan Documents and the transactions contemplated hereby or thereby, or any other agreements, certificates, instruments and other documents and statements (whether written or oral) related to any of the foregoing (each, a “</w:t>
      </w:r>
      <w:r>
        <w:rPr>
          <w:rFonts w:ascii="Arial" w:cs="Arial" w:eastAsia="Arial" w:hAnsi="Arial"/>
          <w:sz w:val="16"/>
          <w:szCs w:val="16"/>
          <w:u w:val="single" w:color="auto"/>
          <w:color w:val="auto"/>
        </w:rPr>
        <w:t>Claim</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Each Releasing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1" w:name="page182"/>
    <w:bookmarkEnd w:id="181"/>
    <w:p>
      <w:pPr>
        <w:jc w:val="both"/>
        <w:ind w:right="120"/>
        <w:spacing w:after="0" w:line="264" w:lineRule="auto"/>
        <w:rPr>
          <w:sz w:val="20"/>
          <w:szCs w:val="20"/>
          <w:color w:val="auto"/>
        </w:rPr>
      </w:pPr>
      <w:r>
        <w:rPr>
          <w:rFonts w:ascii="Arial" w:cs="Arial" w:eastAsia="Arial" w:hAnsi="Arial"/>
          <w:sz w:val="18"/>
          <w:szCs w:val="18"/>
          <w:color w:val="auto"/>
        </w:rPr>
        <w:t>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9.</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HERETO, SHALL BE GOVERNED BY, AND SHALL BE CONSTRUED AND INTERPRETED IN ACCORDANCE WITH, THE LAWS OF THE STATE OF NEW YORK.</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AND UNCONDITIONALLY WAIVES TRIAL BY JURY IN ANY LEGAL ACTION OR PROCEEDING RELATING TO THIS AGREEMENT OR ANY OTHER LOAN DOCUMENT AND FOR ANY COUNTERCLAIM THEREIN.</w:t>
      </w:r>
    </w:p>
    <w:p>
      <w:pPr>
        <w:spacing w:after="0" w:line="181" w:lineRule="exact"/>
        <w:rPr>
          <w:sz w:val="20"/>
          <w:szCs w:val="20"/>
          <w:color w:val="auto"/>
        </w:rPr>
      </w:pPr>
    </w:p>
    <w:p>
      <w:pPr>
        <w:jc w:val="both"/>
        <w:ind w:right="100" w:firstLine="1297"/>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Borrowers, the Guarantors, and the Credit Parties, and each of their respective successors and assigns, and shall not inure to the benefit of any third parties. The execution and delivery of this Agreement by any Lender prior to the Forbearance Effective Date shall be binding upon its successors and assigns and shall be effective as to any Loans or Commitments assigned to it after such execution and delivery.</w:t>
      </w:r>
    </w:p>
    <w:p>
      <w:pPr>
        <w:spacing w:after="0" w:line="18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made and entered into for the sole protection and benefit of the parties hereto and no other person or entity shall have any right of action hereon, right to claim any right or benefit from the terms contained herein, or be deemed a third party beneficiary hereunder.</w:t>
      </w:r>
    </w:p>
    <w:p>
      <w:pPr>
        <w:spacing w:after="0" w:line="18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REVIEW AND CONSTRUCTION OF DOCUMENTS</w:t>
      </w:r>
      <w:r>
        <w:rPr>
          <w:rFonts w:ascii="Arial" w:cs="Arial" w:eastAsia="Arial" w:hAnsi="Arial"/>
          <w:sz w:val="18"/>
          <w:szCs w:val="18"/>
          <w:color w:val="auto"/>
        </w:rPr>
        <w:t>. Each party hereto hereby acknowledges, and represents and warrants to the other parties hereto, that:</w:t>
      </w:r>
    </w:p>
    <w:p>
      <w:pPr>
        <w:spacing w:after="0" w:line="170" w:lineRule="exact"/>
        <w:rPr>
          <w:sz w:val="20"/>
          <w:szCs w:val="20"/>
          <w:color w:val="auto"/>
        </w:rPr>
      </w:pPr>
    </w:p>
    <w:p>
      <w:pPr>
        <w:ind w:left="660" w:right="440" w:firstLine="645"/>
        <w:spacing w:after="0" w:line="277" w:lineRule="auto"/>
        <w:tabs>
          <w:tab w:leader="none" w:pos="19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had the opportunity to consult with legal counsel of its own choice and has been afforded an opportunity to review this Agreement with legal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carefully reviewed this Agreement and fully understands all terms and provisions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freely, voluntarily, knowingly, and intelligently entered into this Agreement of its own free will and volition;</w:t>
      </w:r>
    </w:p>
    <w:p>
      <w:pPr>
        <w:spacing w:after="0" w:line="225" w:lineRule="exact"/>
        <w:rPr>
          <w:rFonts w:ascii="Arial" w:cs="Arial" w:eastAsia="Arial" w:hAnsi="Arial"/>
          <w:sz w:val="18"/>
          <w:szCs w:val="18"/>
          <w:color w:val="auto"/>
        </w:rPr>
      </w:pPr>
    </w:p>
    <w:p>
      <w:pPr>
        <w:ind w:left="660" w:right="200" w:firstLine="645"/>
        <w:spacing w:after="0" w:line="264" w:lineRule="auto"/>
        <w:tabs>
          <w:tab w:leader="none" w:pos="1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none of the Credit Parties have a fiduciary relationship with any of the Obligors and the Obligors do not have a fiduciary relationship with the Credit Parties, and the relationship between the Credit Parties, on the one hand, and the Obligors, on the other hand, is solely that of creditor and debtor;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joint venture exists among the Obligors and the Credit Parties.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ind w:left="1300"/>
              <w:spacing w:after="0"/>
              <w:rPr>
                <w:sz w:val="20"/>
                <w:szCs w:val="20"/>
                <w:color w:val="auto"/>
              </w:rPr>
            </w:pPr>
            <w:r>
              <w:rPr>
                <w:rFonts w:ascii="Arial" w:cs="Arial" w:eastAsia="Arial" w:hAnsi="Arial"/>
                <w:sz w:val="18"/>
                <w:szCs w:val="18"/>
                <w:color w:val="auto"/>
              </w:rPr>
              <w:t>SECTION 15.</w:t>
            </w:r>
          </w:p>
        </w:tc>
        <w:tc>
          <w:tcPr>
            <w:tcW w:w="8660" w:type="dxa"/>
            <w:vAlign w:val="bottom"/>
            <w:gridSpan w:val="2"/>
          </w:tcPr>
          <w:p>
            <w:pPr>
              <w:spacing w:after="0"/>
              <w:rPr>
                <w:sz w:val="20"/>
                <w:szCs w:val="20"/>
                <w:color w:val="auto"/>
              </w:rPr>
            </w:pPr>
            <w:r>
              <w:rPr>
                <w:rFonts w:ascii="Arial" w:cs="Arial" w:eastAsia="Arial" w:hAnsi="Arial"/>
                <w:sz w:val="18"/>
                <w:szCs w:val="18"/>
                <w:color w:val="auto"/>
                <w:w w:val="91"/>
              </w:rPr>
              <w:t>Notices. All notices and requests in connection with this Agreement shall be given in accordance with Section 11.02 of</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the Credit Agreement.</w:t>
            </w:r>
          </w:p>
        </w:tc>
        <w:tc>
          <w:tcPr>
            <w:tcW w:w="540" w:type="dxa"/>
            <w:vAlign w:val="bottom"/>
            <w:tcBorders>
              <w:top w:val="single" w:sz="8" w:color="auto"/>
            </w:tcBorders>
          </w:tcPr>
          <w:p>
            <w:pPr>
              <w:spacing w:after="0"/>
              <w:rPr>
                <w:sz w:val="20"/>
                <w:szCs w:val="20"/>
                <w:color w:val="auto"/>
              </w:rPr>
            </w:pPr>
          </w:p>
        </w:tc>
        <w:tc>
          <w:tcPr>
            <w:tcW w:w="8120" w:type="dxa"/>
            <w:vAlign w:val="bottom"/>
          </w:tcPr>
          <w:p>
            <w:pPr>
              <w:spacing w:after="0"/>
              <w:rPr>
                <w:sz w:val="20"/>
                <w:szCs w:val="20"/>
                <w:color w:val="auto"/>
              </w:rPr>
            </w:pPr>
          </w:p>
        </w:tc>
      </w:tr>
    </w:tbl>
    <w:p>
      <w:pPr>
        <w:spacing w:after="0" w:line="202"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EMBODIES THE FINAL, ENTIRE AGREEMENT AMONG THE PARTIES HERETO REGARDING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2" w:name="page183"/>
    <w:bookmarkEnd w:id="182"/>
    <w:p>
      <w:pPr>
        <w:spacing w:after="0" w:line="255" w:lineRule="auto"/>
        <w:rPr>
          <w:sz w:val="20"/>
          <w:szCs w:val="20"/>
          <w:color w:val="auto"/>
        </w:rPr>
      </w:pPr>
      <w:r>
        <w:rPr>
          <w:rFonts w:ascii="Arial" w:cs="Arial" w:eastAsia="Arial" w:hAnsi="Arial"/>
          <w:sz w:val="18"/>
          <w:szCs w:val="18"/>
          <w:color w:val="auto"/>
        </w:rPr>
        <w:t>THE CREDIT PARTIES’ FORBEARANCE WITH RESPECT TO THEIR RIGHTS AND REMEDIES WHICH MAY ARISE AS A RESULT OF THE SPECIFIED EVENTS OF DEFAULT AND SUPERSEDES ANY AND ALL PRIOR COMMITMENTS, AGREEMENTS, REPRESENTATIONS, AND UNDERSTANDINGS, WHETHER WRITTEN OR ORAL, RELATING TO THE SUBJECT MATTER HEREOF AND MAY NOT BE CONTRADICTED OR VARIED BY EVIDENCE OF PRIOR, CONTEMPORANEOUS OR SUBSEQUENT ORAL AGREEMENTS OR DISCUSSION OF THE PARTIES HERETO. THERE ARE NO ORAL AGREEMENTS AMONG THE PARTIES HERETO. The provisions of this Agreement may be amended or waived only by an instrument in writing signed by the Borrowers, the Lenders constituting the Required Lenders and, to the extent required under Section 11.01 of the Credit Agreement, and the Administrative Agent.</w:t>
      </w:r>
    </w:p>
    <w:p>
      <w:pPr>
        <w:spacing w:after="0" w:line="189"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any number of separate counterparts and all of said counterparts taken together shall be deemed to constitute one and the same instrument. An executed signature page of this Agreement may be delivered by facsimile transmission or electronic PDF of the relevant signature page hereof.</w:t>
      </w:r>
    </w:p>
    <w:p>
      <w:pPr>
        <w:spacing w:after="0" w:line="181"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Obligors agree to execute, acknowledge, deliver, file and record such further certificates, instruments and documents, and to do all other acts and things, as may be reasonably requested by the Administrative Agent and necessary or reasonably advisable to carry out the intents and purposes of this Agreement.</w:t>
      </w:r>
    </w:p>
    <w:p>
      <w:pPr>
        <w:spacing w:after="0" w:line="181"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in this Agreement are for convenience of reference only, are not part of this Agreement and are not to affect the construction of, or to be taken into consideration in interpreting,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3" w:name="page184"/>
    <w:bookmarkEnd w:id="183"/>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and delivered by their duly authorized officers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84" w:name="page185"/>
    <w:bookmarkEnd w:id="184"/>
    <w:p>
      <w:pPr>
        <w:ind w:left="4520"/>
        <w:spacing w:after="0"/>
        <w:rPr>
          <w:sz w:val="20"/>
          <w:szCs w:val="20"/>
          <w:color w:val="auto"/>
        </w:rPr>
      </w:pPr>
      <w:r>
        <w:rPr>
          <w:rFonts w:ascii="Arial" w:cs="Arial" w:eastAsia="Arial" w:hAnsi="Arial"/>
          <w:sz w:val="18"/>
          <w:szCs w:val="18"/>
          <w:color w:val="auto"/>
        </w:rPr>
        <w:t>AUSTRALIA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AUSTRALIA PTY LIMITED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Antonino Gullotti</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Antonino Gullotti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Robert De Gasperis</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Robert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5" w:name="page186"/>
    <w:bookmarkEnd w:id="185"/>
    <w:p>
      <w:pPr>
        <w:ind w:left="4520"/>
        <w:spacing w:after="0"/>
        <w:rPr>
          <w:sz w:val="20"/>
          <w:szCs w:val="20"/>
          <w:color w:val="auto"/>
        </w:rPr>
      </w:pPr>
      <w:r>
        <w:rPr>
          <w:rFonts w:ascii="Arial" w:cs="Arial" w:eastAsia="Arial" w:hAnsi="Arial"/>
          <w:sz w:val="18"/>
          <w:szCs w:val="18"/>
          <w:color w:val="auto"/>
        </w:rPr>
        <w:t>BERMUDA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Andrew Gold</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Andrew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SABRE DRILLING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INTERNATIONAL HOLDING (BERMUDA) LTD.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PANGAEA HOLDINGS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center"/>
        <w:ind w:left="3200"/>
        <w:spacing w:after="0"/>
        <w:tabs>
          <w:tab w:leader="none" w:pos="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440" w:top="341" w:right="759" w:bottom="1440" w:gutter="0" w:footer="0" w:header="0"/>
        </w:sectPr>
      </w:pPr>
    </w:p>
    <w:bookmarkStart w:id="186" w:name="page187"/>
    <w:bookmarkEnd w:id="186"/>
    <w:p>
      <w:pPr>
        <w:ind w:left="4520"/>
        <w:spacing w:after="0"/>
        <w:rPr>
          <w:sz w:val="20"/>
          <w:szCs w:val="20"/>
          <w:color w:val="auto"/>
        </w:rPr>
      </w:pPr>
      <w:r>
        <w:rPr>
          <w:rFonts w:ascii="Arial" w:cs="Arial" w:eastAsia="Arial" w:hAnsi="Arial"/>
          <w:sz w:val="18"/>
          <w:szCs w:val="18"/>
          <w:color w:val="auto"/>
        </w:rPr>
        <w:t>BVI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 (BVI)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DRILLING INTERNATIONAL HOLDINGS (BVI) LTD.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MIDDLE EAST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Tan Kah Huan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Name:</w:t>
        <w:tab/>
        <w:t>Tan Kah 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87" w:name="page188"/>
    <w:bookmarkEnd w:id="187"/>
    <w:p>
      <w:pPr>
        <w:ind w:left="5720"/>
        <w:spacing w:after="0"/>
        <w:rPr>
          <w:sz w:val="20"/>
          <w:szCs w:val="20"/>
          <w:color w:val="auto"/>
        </w:rPr>
      </w:pPr>
      <w:r>
        <w:rPr>
          <w:rFonts w:ascii="Arial" w:cs="Arial" w:eastAsia="Arial" w:hAnsi="Arial"/>
          <w:sz w:val="18"/>
          <w:szCs w:val="18"/>
          <w:color w:val="auto"/>
        </w:rPr>
        <w:t>CANADA GUARANTORS: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CANADA LTD.</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 David Reed</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 &amp;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(NOVA SCOTIA) ULC</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 David Reed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c>
          <w:tcPr>
            <w:tcW w:w="4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 &amp; Vice President</w:t>
            </w:r>
          </w:p>
        </w:tc>
        <w:tc>
          <w:tcPr>
            <w:tcW w:w="4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8" w:name="page189"/>
    <w:bookmarkEnd w:id="188"/>
    <w:p>
      <w:pPr>
        <w:ind w:left="4520"/>
        <w:spacing w:after="0"/>
        <w:rPr>
          <w:sz w:val="20"/>
          <w:szCs w:val="20"/>
          <w:color w:val="auto"/>
        </w:rPr>
      </w:pPr>
      <w:r>
        <w:rPr>
          <w:rFonts w:ascii="Arial" w:cs="Arial" w:eastAsia="Arial" w:hAnsi="Arial"/>
          <w:sz w:val="18"/>
          <w:szCs w:val="18"/>
          <w:color w:val="auto"/>
        </w:rPr>
        <w:t>ENGLAND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EURASIA LIMITED</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Strachan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Richard Strachan</w:t>
      </w:r>
    </w:p>
    <w:p>
      <w:pPr>
        <w:spacing w:after="0" w:line="2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Name:</w:t>
        <w:tab/>
        <w:t>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89" w:name="page190"/>
    <w:bookmarkEnd w:id="189"/>
    <w:p>
      <w:pPr>
        <w:ind w:left="4520"/>
        <w:spacing w:after="0"/>
        <w:rPr>
          <w:sz w:val="20"/>
          <w:szCs w:val="20"/>
          <w:color w:val="auto"/>
        </w:rPr>
      </w:pPr>
      <w:r>
        <w:rPr>
          <w:rFonts w:ascii="Arial" w:cs="Arial" w:eastAsia="Arial" w:hAnsi="Arial"/>
          <w:sz w:val="18"/>
          <w:szCs w:val="18"/>
          <w:color w:val="auto"/>
        </w:rPr>
        <w:t>LUXEMBOURG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EUROPEAN HOLDINGS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S.À 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Mathias Neuenschwander</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Name:</w:t>
        <w:tab/>
        <w:t>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 A</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(LUXEMBOURG) HOLDINGS S.À 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Mathisas Neuenschwander</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7"/>
          <w:szCs w:val="17"/>
          <w:color w:val="auto"/>
        </w:rPr>
        <w:t>Name:</w:t>
        <w:tab/>
        <w:t>Mathisas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-123190</wp:posOffset>
            </wp:positionV>
            <wp:extent cx="33191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0" w:name="page191"/>
    <w:bookmarkEnd w:id="190"/>
    <w:p>
      <w:pPr>
        <w:ind w:left="4520"/>
        <w:spacing w:after="0"/>
        <w:rPr>
          <w:sz w:val="20"/>
          <w:szCs w:val="20"/>
          <w:color w:val="auto"/>
        </w:rPr>
      </w:pPr>
      <w:r>
        <w:rPr>
          <w:rFonts w:ascii="Arial" w:cs="Arial" w:eastAsia="Arial" w:hAnsi="Arial"/>
          <w:sz w:val="18"/>
          <w:szCs w:val="18"/>
          <w:color w:val="auto"/>
        </w:rPr>
        <w:t>NETHERLANDS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NETHERLANDS B.V.</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August Willem Versteeg</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7"/>
          <w:szCs w:val="17"/>
          <w:color w:val="auto"/>
        </w:rPr>
        <w:t>Name:</w:t>
        <w:tab/>
        <w:t>August Willem Versteeg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1" w:name="page192"/>
    <w:bookmarkEnd w:id="191"/>
    <w:p>
      <w:pPr>
        <w:ind w:left="4520"/>
        <w:spacing w:after="0"/>
        <w:rPr>
          <w:sz w:val="20"/>
          <w:szCs w:val="20"/>
          <w:color w:val="auto"/>
        </w:rPr>
      </w:pPr>
      <w:r>
        <w:rPr>
          <w:rFonts w:ascii="Arial" w:cs="Arial" w:eastAsia="Arial" w:hAnsi="Arial"/>
          <w:sz w:val="18"/>
          <w:szCs w:val="18"/>
          <w:color w:val="auto"/>
        </w:rPr>
        <w:t>NORWAY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NORGE AS</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Geir Egil Moller Olsen</w:t>
      </w:r>
    </w:p>
    <w:p>
      <w:pPr>
        <w:spacing w:after="0" w:line="23"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7"/>
          <w:szCs w:val="17"/>
          <w:color w:val="auto"/>
        </w:rPr>
        <w:t>Name:</w:t>
        <w:tab/>
        <w:t>Geir Egil Moller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2" w:name="page193"/>
    <w:bookmarkEnd w:id="192"/>
    <w:p>
      <w:pPr>
        <w:ind w:left="4520"/>
        <w:spacing w:after="0"/>
        <w:rPr>
          <w:sz w:val="20"/>
          <w:szCs w:val="20"/>
          <w:color w:val="auto"/>
        </w:rPr>
      </w:pPr>
      <w:r>
        <w:rPr>
          <w:rFonts w:ascii="Arial" w:cs="Arial" w:eastAsia="Arial" w:hAnsi="Arial"/>
          <w:sz w:val="18"/>
          <w:szCs w:val="18"/>
          <w:color w:val="auto"/>
        </w:rPr>
        <w:t>PANAMA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WEATHERFORD SERVICES S. DE R.L.</w:t>
      </w:r>
    </w:p>
    <w:p>
      <w:pPr>
        <w:spacing w:after="0" w:line="24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Mohammed Dadhiwala</w:t>
      </w:r>
    </w:p>
    <w:p>
      <w:pPr>
        <w:spacing w:after="0" w:line="2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Name:</w:t>
        <w:tab/>
        <w:t>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3" w:name="page194"/>
    <w:bookmarkEnd w:id="193"/>
    <w:p>
      <w:pPr>
        <w:ind w:left="4520"/>
        <w:spacing w:after="0"/>
        <w:rPr>
          <w:sz w:val="20"/>
          <w:szCs w:val="20"/>
          <w:color w:val="auto"/>
        </w:rPr>
      </w:pPr>
      <w:r>
        <w:rPr>
          <w:rFonts w:ascii="Arial" w:cs="Arial" w:eastAsia="Arial" w:hAnsi="Arial"/>
          <w:sz w:val="18"/>
          <w:szCs w:val="18"/>
          <w:color w:val="auto"/>
        </w:rPr>
        <w:t>SWITZERLAND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SARL</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jc w:val="center"/>
        <w:ind w:left="3380"/>
        <w:spacing w:after="0"/>
        <w:tabs>
          <w:tab w:leader="none" w:pos="22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Andrzej Puchala</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WEATHERFORD SWITZERLAND TRADING AND DEVELOPMENT GMBH</w:t>
      </w:r>
    </w:p>
    <w:p>
      <w:pPr>
        <w:spacing w:after="0" w:line="170"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Phillip Andermatt</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Phillip Andermatt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WORLDWIDE HOLDINGS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Andrzej Puchala</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Andrzej Puchala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SWISS FINANCE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Ariana Cabariu-Truong</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Ariana Cabariu-Truong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(SWITZERLAND) GMBH</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Valentin Mueller</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60"/>
          </w:cols>
          <w:pgMar w:left="1440" w:top="342" w:right="599" w:bottom="1440" w:gutter="0" w:footer="0" w:header="0"/>
        </w:sectPr>
      </w:pPr>
    </w:p>
    <w:bookmarkStart w:id="194" w:name="page195"/>
    <w:bookmarkEnd w:id="194"/>
    <w:p>
      <w:pPr>
        <w:ind w:left="4520"/>
        <w:spacing w:after="0"/>
        <w:rPr>
          <w:sz w:val="20"/>
          <w:szCs w:val="20"/>
          <w:color w:val="auto"/>
        </w:rPr>
      </w:pPr>
      <w:r>
        <w:rPr>
          <w:rFonts w:ascii="Arial" w:cs="Arial" w:eastAsia="Arial" w:hAnsi="Arial"/>
          <w:sz w:val="18"/>
          <w:szCs w:val="18"/>
          <w:color w:val="auto"/>
        </w:rPr>
        <w:t>LOUISIANA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U.S., L.P.</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6"/>
          <w:szCs w:val="16"/>
          <w:color w:val="auto"/>
        </w:rPr>
        <w:t>Title:</w:t>
        <w:tab/>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5" w:name="page196"/>
    <w:bookmarkEnd w:id="195"/>
    <w:p>
      <w:pPr>
        <w:ind w:left="4520"/>
        <w:spacing w:after="0"/>
        <w:rPr>
          <w:sz w:val="20"/>
          <w:szCs w:val="20"/>
          <w:color w:val="auto"/>
        </w:rPr>
      </w:pPr>
      <w:r>
        <w:rPr>
          <w:rFonts w:ascii="Arial" w:cs="Arial" w:eastAsia="Arial" w:hAnsi="Arial"/>
          <w:sz w:val="18"/>
          <w:szCs w:val="18"/>
          <w:color w:val="auto"/>
        </w:rPr>
        <w:t>DELAWARE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PD HOLDINGS (USA),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ARTIFICIAL LIFT SYSTEMS,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U.S.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HOLDING, LLC</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6" w:name="page197"/>
    <w:bookmarkEnd w:id="196"/>
    <w:p>
      <w:pPr>
        <w:ind w:left="4520"/>
        <w:spacing w:after="0"/>
        <w:rPr>
          <w:sz w:val="20"/>
          <w:szCs w:val="20"/>
          <w:color w:val="auto"/>
        </w:rPr>
      </w:pPr>
      <w:r>
        <w:rPr>
          <w:rFonts w:ascii="Arial" w:cs="Arial" w:eastAsia="Arial" w:hAnsi="Arial"/>
          <w:sz w:val="18"/>
          <w:szCs w:val="18"/>
          <w:color w:val="auto"/>
        </w:rPr>
        <w:t>CALIFORNIA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-123190</wp:posOffset>
            </wp:positionV>
            <wp:extent cx="3310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7" w:name="page198"/>
    <w:bookmarkEnd w:id="197"/>
    <w:p>
      <w:pPr>
        <w:ind w:left="4520"/>
        <w:spacing w:after="0"/>
        <w:rPr>
          <w:sz w:val="20"/>
          <w:szCs w:val="20"/>
          <w:color w:val="auto"/>
        </w:rPr>
      </w:pPr>
      <w:r>
        <w:rPr>
          <w:rFonts w:ascii="Arial" w:cs="Arial" w:eastAsia="Arial" w:hAnsi="Arial"/>
          <w:sz w:val="18"/>
          <w:szCs w:val="18"/>
          <w:color w:val="auto"/>
        </w:rPr>
        <w:t>TEXAS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PRECISION OILFIELD SERVICES, LLP,</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Christine M. Morrison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6"/>
          <w:szCs w:val="16"/>
          <w:color w:val="auto"/>
        </w:rPr>
        <w:t>Title:</w:t>
        <w:tab/>
        <w:t>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224155</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8" w:name="page199"/>
    <w:bookmarkEnd w:id="198"/>
    <w:p>
      <w:pPr>
        <w:ind w:left="4520"/>
        <w:spacing w:after="0"/>
        <w:rPr>
          <w:sz w:val="20"/>
          <w:szCs w:val="20"/>
          <w:color w:val="auto"/>
        </w:rPr>
      </w:pPr>
      <w:r>
        <w:rPr>
          <w:rFonts w:ascii="Arial" w:cs="Arial" w:eastAsia="Arial" w:hAnsi="Arial"/>
          <w:sz w:val="16"/>
          <w:szCs w:val="16"/>
          <w:color w:val="auto"/>
        </w:rPr>
        <w:t>[Lender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9" w:name="page200"/>
    <w:bookmarkEnd w:id="199"/>
    <w:p>
      <w:pPr>
        <w:ind w:left="10660"/>
        <w:spacing w:after="0"/>
        <w:rPr>
          <w:sz w:val="20"/>
          <w:szCs w:val="20"/>
          <w:color w:val="auto"/>
        </w:rPr>
      </w:pPr>
      <w:r>
        <w:rPr>
          <w:rFonts w:ascii="Arial" w:cs="Arial" w:eastAsia="Arial" w:hAnsi="Arial"/>
          <w:sz w:val="16"/>
          <w:szCs w:val="16"/>
          <w:u w:val="single" w:color="auto"/>
          <w:color w:val="auto"/>
        </w:rPr>
        <w:t>Schedule I</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AMOUNT OF SECURED OBLIGATIONS</w:t>
      </w:r>
    </w:p>
    <w:p>
      <w:pPr>
        <w:spacing w:after="0" w:line="22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Unused Commitment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8960" w:type="dxa"/>
            <w:vAlign w:val="bottom"/>
          </w:tcPr>
          <w:p>
            <w:pPr>
              <w:ind w:left="260"/>
              <w:spacing w:after="0"/>
              <w:rPr>
                <w:sz w:val="20"/>
                <w:szCs w:val="20"/>
                <w:color w:val="auto"/>
              </w:rPr>
            </w:pPr>
            <w:r>
              <w:rPr>
                <w:rFonts w:ascii="Arial" w:cs="Arial" w:eastAsia="Arial" w:hAnsi="Arial"/>
                <w:sz w:val="18"/>
                <w:szCs w:val="18"/>
                <w:color w:val="auto"/>
              </w:rPr>
              <w:t>Revolving Credit Loans — Principal</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316,742,581.42</w:t>
            </w:r>
          </w:p>
        </w:tc>
        <w:tc>
          <w:tcPr>
            <w:tcW w:w="4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Revolving Credit Loans — Interest</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1,207,581.09</w:t>
            </w:r>
          </w:p>
        </w:tc>
        <w:tc>
          <w:tcPr>
            <w:tcW w:w="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8960" w:type="dxa"/>
            <w:vAlign w:val="bottom"/>
          </w:tcPr>
          <w:p>
            <w:pPr>
              <w:ind w:left="260"/>
              <w:spacing w:after="0"/>
              <w:rPr>
                <w:sz w:val="20"/>
                <w:szCs w:val="20"/>
                <w:color w:val="auto"/>
              </w:rPr>
            </w:pPr>
            <w:r>
              <w:rPr>
                <w:rFonts w:ascii="Arial" w:cs="Arial" w:eastAsia="Arial" w:hAnsi="Arial"/>
                <w:sz w:val="18"/>
                <w:szCs w:val="18"/>
                <w:color w:val="auto"/>
              </w:rPr>
              <w:t>Accrued and unpaid Facility Fees</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r>
      <w:tr>
        <w:trPr>
          <w:trHeight w:val="210"/>
        </w:trPr>
        <w:tc>
          <w:tcPr>
            <w:tcW w:w="40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CCEEFF"/>
            </w:tcBorders>
            <w:shd w:val="clear" w:color="auto" w:fill="CCEEFF"/>
          </w:tcPr>
          <w:p>
            <w:pPr>
              <w:ind w:left="7760"/>
              <w:spacing w:after="0"/>
              <w:rPr>
                <w:sz w:val="20"/>
                <w:szCs w:val="20"/>
                <w:color w:val="auto"/>
              </w:rPr>
            </w:pPr>
            <w:r>
              <w:rPr>
                <w:rFonts w:ascii="Arial" w:cs="Arial" w:eastAsia="Arial" w:hAnsi="Arial"/>
                <w:sz w:val="18"/>
                <w:szCs w:val="18"/>
                <w:b w:val="1"/>
                <w:bCs w:val="1"/>
                <w:color w:val="auto"/>
              </w:rPr>
              <w:t>Total Amount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317,950,162.51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400" w:type="dxa"/>
            <w:vAlign w:val="bottom"/>
            <w:tcBorders>
              <w:bottom w:val="single" w:sz="8" w:color="808080"/>
            </w:tcBorders>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SWAP AGREEMENT TERMINATION FORBEARANCE</w:t>
      </w:r>
    </w:p>
    <w:p>
      <w:pPr>
        <w:spacing w:after="0" w:line="229" w:lineRule="exact"/>
        <w:rPr>
          <w:sz w:val="20"/>
          <w:szCs w:val="20"/>
          <w:color w:val="auto"/>
        </w:rPr>
      </w:pPr>
    </w:p>
    <w:p>
      <w:pPr>
        <w:ind w:right="220" w:firstLine="1297"/>
        <w:spacing w:after="0" w:line="279" w:lineRule="auto"/>
        <w:rPr>
          <w:sz w:val="20"/>
          <w:szCs w:val="20"/>
          <w:color w:val="auto"/>
        </w:rPr>
      </w:pPr>
      <w:r>
        <w:rPr>
          <w:rFonts w:ascii="Arial" w:cs="Arial" w:eastAsia="Arial" w:hAnsi="Arial"/>
          <w:sz w:val="17"/>
          <w:szCs w:val="17"/>
          <w:color w:val="auto"/>
        </w:rPr>
        <w:t>This CONSENT TO SWAP AGREEMENT TERMINATION FORBEARANCE, dated as of July 1, 2019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by and among Weatherford International Ltd., an exempted company duly formed and existing under the laws of Bermuda (“</w:t>
      </w:r>
      <w:r>
        <w:rPr>
          <w:rFonts w:ascii="Arial" w:cs="Arial" w:eastAsia="Arial" w:hAnsi="Arial"/>
          <w:sz w:val="17"/>
          <w:szCs w:val="17"/>
          <w:u w:val="single" w:color="auto"/>
          <w:color w:val="auto"/>
        </w:rPr>
        <w:t>WIL-Bermuda</w:t>
      </w:r>
      <w:r>
        <w:rPr>
          <w:rFonts w:ascii="Arial" w:cs="Arial" w:eastAsia="Arial" w:hAnsi="Arial"/>
          <w:sz w:val="17"/>
          <w:szCs w:val="17"/>
          <w:color w:val="auto"/>
        </w:rPr>
        <w:t>”), and each of the undersigned swap agreement counterparties (the “</w:t>
      </w:r>
      <w:r>
        <w:rPr>
          <w:rFonts w:ascii="Arial" w:cs="Arial" w:eastAsia="Arial" w:hAnsi="Arial"/>
          <w:sz w:val="17"/>
          <w:szCs w:val="17"/>
          <w:u w:val="single" w:color="auto"/>
          <w:color w:val="auto"/>
        </w:rPr>
        <w:t>Consenting Swap Counterparties</w:t>
      </w:r>
      <w:r>
        <w:rPr>
          <w:rFonts w:ascii="Arial" w:cs="Arial" w:eastAsia="Arial" w:hAnsi="Arial"/>
          <w:sz w:val="17"/>
          <w:szCs w:val="17"/>
          <w:color w:val="auto"/>
        </w:rPr>
        <w:t>”). Capitalized terms used herein but not defined herein shall have the meanings ascribed to them in the Subject Swap Agreements or DIP Credit Agreement referenced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STATEMENTS</w:t>
      </w:r>
    </w:p>
    <w:p>
      <w:pPr>
        <w:spacing w:after="0" w:line="229" w:lineRule="exact"/>
        <w:rPr>
          <w:sz w:val="20"/>
          <w:szCs w:val="20"/>
          <w:color w:val="auto"/>
        </w:rPr>
      </w:pPr>
    </w:p>
    <w:p>
      <w:pPr>
        <w:ind w:right="60" w:firstLine="1305"/>
        <w:spacing w:after="0" w:line="293" w:lineRule="auto"/>
        <w:tabs>
          <w:tab w:leader="none" w:pos="195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Reference is made to that certain 364-day revolving credit agreement dated as of August 16, 2018, among, </w:t>
      </w:r>
      <w:r>
        <w:rPr>
          <w:rFonts w:ascii="Arial" w:cs="Arial" w:eastAsia="Arial" w:hAnsi="Arial"/>
          <w:sz w:val="16"/>
          <w:szCs w:val="16"/>
          <w:i w:val="1"/>
          <w:iCs w:val="1"/>
          <w:color w:val="auto"/>
        </w:rPr>
        <w:t>inter alios</w:t>
      </w:r>
      <w:r>
        <w:rPr>
          <w:rFonts w:ascii="Arial" w:cs="Arial" w:eastAsia="Arial" w:hAnsi="Arial"/>
          <w:sz w:val="16"/>
          <w:szCs w:val="16"/>
          <w:color w:val="auto"/>
        </w:rPr>
        <w:t>, WIL-Bermuda, the other borrowers party thereto, Weatherford International plc, a public limited company duly formed and existing under the laws of Ireland (“</w:t>
      </w:r>
      <w:r>
        <w:rPr>
          <w:rFonts w:ascii="Arial" w:cs="Arial" w:eastAsia="Arial" w:hAnsi="Arial"/>
          <w:sz w:val="16"/>
          <w:szCs w:val="16"/>
          <w:u w:val="single" w:color="auto"/>
          <w:color w:val="auto"/>
        </w:rPr>
        <w:t>WIL-Ireland</w:t>
      </w:r>
      <w:r>
        <w:rPr>
          <w:rFonts w:ascii="Arial" w:cs="Arial" w:eastAsia="Arial" w:hAnsi="Arial"/>
          <w:sz w:val="16"/>
          <w:szCs w:val="16"/>
          <w:color w:val="auto"/>
        </w:rPr>
        <w:t xml:space="preserve">”), the lenders party thereto, JPMorgan Chase Bank, N.A., as administrative agent, and Morgan Stanley Senior Funding, Inc., as collateral agent, as amended, amended and restated or otherwise modified from time to time prior to the date hereof, and to that certain term loan agreement dated as of May 4, 2016, among, </w:t>
      </w:r>
      <w:r>
        <w:rPr>
          <w:rFonts w:ascii="Arial" w:cs="Arial" w:eastAsia="Arial" w:hAnsi="Arial"/>
          <w:sz w:val="16"/>
          <w:szCs w:val="16"/>
          <w:i w:val="1"/>
          <w:iCs w:val="1"/>
          <w:color w:val="auto"/>
        </w:rPr>
        <w:t>inter alios</w:t>
      </w:r>
      <w:r>
        <w:rPr>
          <w:rFonts w:ascii="Arial" w:cs="Arial" w:eastAsia="Arial" w:hAnsi="Arial"/>
          <w:sz w:val="16"/>
          <w:szCs w:val="16"/>
          <w:color w:val="auto"/>
        </w:rPr>
        <w:t>, WIL-Bermuda, WIL-Ireland, the lenders party thereto and JPMorgan Chase Bank, N.A., as administrative agent, as amended, amended and restated or otherwise modified from time to time prior to the date hereof (collectively, the “</w:t>
      </w:r>
      <w:r>
        <w:rPr>
          <w:rFonts w:ascii="Arial" w:cs="Arial" w:eastAsia="Arial" w:hAnsi="Arial"/>
          <w:sz w:val="16"/>
          <w:szCs w:val="16"/>
          <w:u w:val="single" w:color="auto"/>
          <w:color w:val="auto"/>
        </w:rPr>
        <w:t>Prepetition Secured Facilities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1305"/>
        <w:spacing w:after="0" w:line="273" w:lineRule="auto"/>
        <w:tabs>
          <w:tab w:leader="none" w:pos="194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WIL-Bermuda, WIL-Ireland and Weatherford International, LLC, a Delaware limited liability company (“</w:t>
      </w:r>
      <w:r>
        <w:rPr>
          <w:rFonts w:ascii="Arial" w:cs="Arial" w:eastAsia="Arial" w:hAnsi="Arial"/>
          <w:sz w:val="17"/>
          <w:szCs w:val="17"/>
          <w:u w:val="single" w:color="auto"/>
          <w:color w:val="auto"/>
        </w:rPr>
        <w:t>WIL-Delaware”</w:t>
      </w:r>
      <w:r>
        <w:rPr>
          <w:rFonts w:ascii="Arial" w:cs="Arial" w:eastAsia="Arial" w:hAnsi="Arial"/>
          <w:sz w:val="17"/>
          <w:szCs w:val="17"/>
          <w:color w:val="auto"/>
        </w:rPr>
        <w:t>, and together with WIL-Bermuda and WIL-Ireland, the “</w:t>
      </w:r>
      <w:r>
        <w:rPr>
          <w:rFonts w:ascii="Arial" w:cs="Arial" w:eastAsia="Arial" w:hAnsi="Arial"/>
          <w:sz w:val="17"/>
          <w:szCs w:val="17"/>
          <w:u w:val="single" w:color="auto"/>
          <w:color w:val="auto"/>
        </w:rPr>
        <w:t>Borrowers</w:t>
      </w:r>
      <w:r>
        <w:rPr>
          <w:rFonts w:ascii="Arial" w:cs="Arial" w:eastAsia="Arial" w:hAnsi="Arial"/>
          <w:sz w:val="17"/>
          <w:szCs w:val="17"/>
          <w:color w:val="auto"/>
        </w:rPr>
        <w:t>”) and certain lenders have entered into that certain Commitment Letter (the “</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to enter into that certain Senior Secured Superpriority Debtor-in-Possession Credit Agreement, dated as of July 1, 2019, among WIL-Bermuda, WIL-Ireland and WIL-Delaware, as revolving credit borrowers and as debtors and debtors-in-possession under Chapter 11 of the Bankruptcy Code, WIL-Bermuda, as Term Loan Borrower and as a debtor and debtor-in-possession under Chapter 11 of the Bankruptcy Code, the lenders party thereto, Citibank, N.A., as issuing bank, and as administrative agents, and as collateral agent (the “</w:t>
      </w:r>
      <w:r>
        <w:rPr>
          <w:rFonts w:ascii="Arial" w:cs="Arial" w:eastAsia="Arial" w:hAnsi="Arial"/>
          <w:sz w:val="17"/>
          <w:szCs w:val="17"/>
          <w:u w:val="single" w:color="auto"/>
          <w:color w:val="auto"/>
        </w:rPr>
        <w:t>DIP Credit Agreement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1305"/>
        <w:spacing w:after="0" w:line="255" w:lineRule="auto"/>
        <w:tabs>
          <w:tab w:leader="none" w:pos="19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Borrowers are party to the Restructuring Support Agreement, dated as of May 10, 2019 (as amended, modified and/or supplemented from time to time, the “</w:t>
      </w:r>
      <w:r>
        <w:rPr>
          <w:rFonts w:ascii="Arial" w:cs="Arial" w:eastAsia="Arial" w:hAnsi="Arial"/>
          <w:sz w:val="18"/>
          <w:szCs w:val="18"/>
          <w:u w:val="single" w:color="auto"/>
          <w:color w:val="auto"/>
        </w:rPr>
        <w:t>RSA</w:t>
      </w:r>
      <w:r>
        <w:rPr>
          <w:rFonts w:ascii="Arial" w:cs="Arial" w:eastAsia="Arial" w:hAnsi="Arial"/>
          <w:sz w:val="18"/>
          <w:szCs w:val="18"/>
          <w:color w:val="auto"/>
        </w:rPr>
        <w:t>”), pursuant to which the Borrowers may commence cases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 under Title 11 of the United States Code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in the United States Bankruptcy Court for the Southern District of Texas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to restructure certain of their outstanding debt and other obligations in accordance with the terms and conditions set forth therein (such a restructuring, the “</w:t>
      </w:r>
      <w:r>
        <w:rPr>
          <w:rFonts w:ascii="Arial" w:cs="Arial" w:eastAsia="Arial" w:hAnsi="Arial"/>
          <w:sz w:val="18"/>
          <w:szCs w:val="18"/>
          <w:u w:val="single" w:color="auto"/>
          <w:color w:val="auto"/>
        </w:rPr>
        <w:t>Restructuring</w:t>
      </w:r>
      <w:r>
        <w:rPr>
          <w:rFonts w:ascii="Arial" w:cs="Arial" w:eastAsia="Arial" w:hAnsi="Arial"/>
          <w:sz w:val="18"/>
          <w:szCs w:val="18"/>
          <w:color w:val="auto"/>
        </w:rPr>
        <w:t>,” and the date on which such Restructuring commences by filing voluntary petitions for relief under the Bankruptcy Code and any and all other documents necessary to commence the Chapter 11 Cases, the “</w:t>
      </w:r>
      <w:r>
        <w:rPr>
          <w:rFonts w:ascii="Arial" w:cs="Arial" w:eastAsia="Arial" w:hAnsi="Arial"/>
          <w:sz w:val="18"/>
          <w:szCs w:val="18"/>
          <w:u w:val="single" w:color="auto"/>
          <w:color w:val="auto"/>
        </w:rPr>
        <w:t>Petition Date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Borrowers anticipate commencing the Chapter 11 Cases on or before July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1" w:name="page202"/>
    <w:bookmarkEnd w:id="201"/>
    <w:p>
      <w:pPr>
        <w:ind w:firstLine="1305"/>
        <w:spacing w:after="0" w:line="255" w:lineRule="auto"/>
        <w:tabs>
          <w:tab w:leader="none" w:pos="19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WIL-Bermuda has requested that the Consenting Swap Counterparties party to any swap agreement with WIL-Bermuda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such swap agreement, together with any transactions thereunder, the “</w:t>
      </w:r>
      <w:r>
        <w:rPr>
          <w:rFonts w:ascii="Arial" w:cs="Arial" w:eastAsia="Arial" w:hAnsi="Arial"/>
          <w:sz w:val="18"/>
          <w:szCs w:val="18"/>
          <w:u w:val="single" w:color="auto"/>
          <w:color w:val="auto"/>
        </w:rPr>
        <w:t>Subject Swap Agreements</w:t>
      </w:r>
      <w:r>
        <w:rPr>
          <w:rFonts w:ascii="Arial" w:cs="Arial" w:eastAsia="Arial" w:hAnsi="Arial"/>
          <w:sz w:val="18"/>
          <w:szCs w:val="18"/>
          <w:color w:val="auto"/>
        </w:rPr>
        <w:t>”), refrain from exercising any right to declare an Early Termination Date (as defined in the Subject Swap Agreements) pursuant to a “Termination Event” or “Additional Termination Event” (each as defined in the Subject Swap Agreements) as set forth in Section 5(b) of the Subject Swap Agreements, or any “Event of Default” (as defined in the Subject Swap Agreement) as set forth in Section 5(a) of the Subject Swap Agreements, in each case arising from the filing of the chapter 11 petitions, until the occurrence of a Forbearance Termination Event (as defined below), subject to the terms and conditions herein (the “</w:t>
      </w:r>
      <w:r>
        <w:rPr>
          <w:rFonts w:ascii="Arial" w:cs="Arial" w:eastAsia="Arial" w:hAnsi="Arial"/>
          <w:sz w:val="18"/>
          <w:szCs w:val="18"/>
          <w:u w:val="single" w:color="auto"/>
          <w:color w:val="auto"/>
        </w:rPr>
        <w:t>Swap Agreement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Forbearance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440" w:firstLine="1305"/>
        <w:spacing w:after="0" w:line="277" w:lineRule="auto"/>
        <w:tabs>
          <w:tab w:leader="none" w:pos="19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Consenting Swap Counterparty party hereto has agreed to the Swap Agreement Termination Forbearance, in each case subject to the terms and conditions 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consideration of the premises and agreements, provisions and covenants herein contained, the parties hereto hereby agree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Forbearance</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77" w:lineRule="auto"/>
        <w:tabs>
          <w:tab w:leader="none" w:pos="12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Consenting Swap Counterparty signatory hereto hereby agrees to the Swap Agreement Termination Forbearance until the occurrence of a Forbearance Termination Event.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Forbearance Termination Event</w:t>
      </w:r>
      <w:r>
        <w:rPr>
          <w:rFonts w:ascii="Arial" w:cs="Arial" w:eastAsia="Arial" w:hAnsi="Arial"/>
          <w:sz w:val="18"/>
          <w:szCs w:val="18"/>
          <w:color w:val="auto"/>
        </w:rPr>
        <w:t>” means the earliest to occur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July 8, 2019;</w:t>
      </w:r>
    </w:p>
    <w:p>
      <w:pPr>
        <w:spacing w:after="0" w:line="225" w:lineRule="exact"/>
        <w:rPr>
          <w:rFonts w:ascii="Arial" w:cs="Arial" w:eastAsia="Arial" w:hAnsi="Arial"/>
          <w:sz w:val="18"/>
          <w:szCs w:val="18"/>
          <w:color w:val="auto"/>
        </w:rPr>
      </w:pPr>
    </w:p>
    <w:p>
      <w:pPr>
        <w:jc w:val="both"/>
        <w:ind w:right="40" w:firstLine="1305"/>
        <w:spacing w:after="0" w:line="259" w:lineRule="auto"/>
        <w:tabs>
          <w:tab w:leader="none" w:pos="196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failure of WIL-Bermuda to amend or amend and restate the respective Subject Swap Agreement with each Consenting Swap Counterparty, in a form acceptable to the applicable Consenting Swap Counterparty, within one (1) Business Day following the Effective Date, as defined in the DIP Credit Agreement, pursuant to authorization by the Bankruptcy Court under an order in form and substance acceptable to the Consenting Swap Counterparties (the “</w:t>
      </w:r>
      <w:r>
        <w:rPr>
          <w:rFonts w:ascii="Arial" w:cs="Arial" w:eastAsia="Arial" w:hAnsi="Arial"/>
          <w:sz w:val="18"/>
          <w:szCs w:val="18"/>
          <w:u w:val="single" w:color="auto"/>
          <w:color w:val="auto"/>
        </w:rPr>
        <w:t>Hedge Order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80" w:firstLine="1305"/>
        <w:spacing w:after="0" w:line="277" w:lineRule="auto"/>
        <w:tabs>
          <w:tab w:leader="none" w:pos="197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failure of the Borrowers to file a motion seeking approval of the Hedge Order within two (2) Business Days of the Petition Date (the “</w:t>
      </w:r>
      <w:r>
        <w:rPr>
          <w:rFonts w:ascii="Arial" w:cs="Arial" w:eastAsia="Arial" w:hAnsi="Arial"/>
          <w:sz w:val="18"/>
          <w:szCs w:val="18"/>
          <w:u w:val="single" w:color="auto"/>
          <w:color w:val="auto"/>
        </w:rPr>
        <w:t>Hedge Motion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termination of the RSA or the Commitment Letter;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entry of an order by the Bankruptcy Court denying the relief sought in the Hedge Motion;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date that is one (1) Business Day after entry of the Interim Order, as defined in the DIP Credit Agreement; or</w:t>
      </w:r>
    </w:p>
    <w:p>
      <w:pPr>
        <w:spacing w:after="0" w:line="225" w:lineRule="exact"/>
        <w:rPr>
          <w:rFonts w:ascii="Arial" w:cs="Arial" w:eastAsia="Arial" w:hAnsi="Arial"/>
          <w:sz w:val="18"/>
          <w:szCs w:val="18"/>
          <w:color w:val="auto"/>
        </w:rPr>
      </w:pPr>
    </w:p>
    <w:p>
      <w:pPr>
        <w:ind w:right="380" w:firstLine="1305"/>
        <w:spacing w:after="0" w:line="277" w:lineRule="auto"/>
        <w:tabs>
          <w:tab w:leader="none" w:pos="1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date that is five (5) Business Days following the Petition Date, unless prior to such date the Bankruptcy Court enters the Interim Order and the Hedge Order.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02" w:name="page203"/>
    <w:bookmarkEnd w:id="202"/>
    <w:p>
      <w:pPr>
        <w:ind w:left="1320" w:hanging="664"/>
        <w:spacing w:after="0"/>
        <w:tabs>
          <w:tab w:leader="none" w:pos="1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54" w:lineRule="auto"/>
        <w:tabs>
          <w:tab w:leader="none" w:pos="130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Forbearance Termination Event</w:t>
      </w:r>
      <w:r>
        <w:rPr>
          <w:rFonts w:ascii="Arial" w:cs="Arial" w:eastAsia="Arial" w:hAnsi="Arial"/>
          <w:sz w:val="18"/>
          <w:szCs w:val="18"/>
          <w:color w:val="auto"/>
        </w:rPr>
        <w:t>. WIL-Bermuda acknowledges and agrees that, upon the occurrence of a Forbearance Termination Event, the Consenting Swap Counterparties’ forbearance under Section 1(a) above shall automatically cease and be of no further force or effect (without the need for notice or any other action on the part of any Consenting Swap Counterparty) and the forbearance granted thereunder shall no longer be effective. WIL-Bermuda expressly acknowledges and agrees that, following the occurrence of any Forbearance Termination Event, each of the Consenting Swap Counterparties, subject to the terms of, and to the extent then permitted under the applicable Subject Swap Agreement, may exercise all rights and remedies available under the applicable Subject Swap Agreement to the extent any Event of Default (as defined in any Subject Swap Agreement), Potential Event of Default (as defined in any Subject Swap Agreement), or Termination Event (as defined in any Subject Swap Agreement) has occurred (notwithstanding this Agreement).</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to Forbearance Effective Date</w:t>
      </w:r>
      <w:r>
        <w:rPr>
          <w:rFonts w:ascii="Arial" w:cs="Arial" w:eastAsia="Arial" w:hAnsi="Arial"/>
          <w:sz w:val="18"/>
          <w:szCs w:val="18"/>
          <w:color w:val="auto"/>
        </w:rPr>
        <w:t>. This Agreement shall not become effective until the date of satisfaction or waiver of the following conditions (the “</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w:t>
      </w:r>
    </w:p>
    <w:p>
      <w:pPr>
        <w:spacing w:after="0" w:line="170"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execution of this Agreement by WIL-Bermuda and the Consenting Swap Counterparties.</w:t>
      </w:r>
    </w:p>
    <w:p>
      <w:pPr>
        <w:spacing w:after="0" w:line="225" w:lineRule="exact"/>
        <w:rPr>
          <w:rFonts w:ascii="Arial" w:cs="Arial" w:eastAsia="Arial" w:hAnsi="Arial"/>
          <w:sz w:val="18"/>
          <w:szCs w:val="18"/>
          <w:color w:val="auto"/>
        </w:rPr>
      </w:pPr>
    </w:p>
    <w:p>
      <w:pPr>
        <w:ind w:right="200" w:firstLine="656"/>
        <w:spacing w:after="0" w:line="286" w:lineRule="auto"/>
        <w:tabs>
          <w:tab w:leader="none" w:pos="130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After giving effect to this Agreement, all representations and warranties of the Borrowers contained herein shall be true and correct in all material respects as of the Forbearance Effective Date (except for those representations and warranties expressly relating to an earlier date, in which case, such representations and warranties shall be true and correct in all material respects on and as of such earlier date).</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Commitment Letter and the RSA shall be in full force and effect.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and Warranties; No Event of Default</w:t>
      </w:r>
      <w:r>
        <w:rPr>
          <w:rFonts w:ascii="Arial" w:cs="Arial" w:eastAsia="Arial" w:hAnsi="Arial"/>
          <w:sz w:val="17"/>
          <w:szCs w:val="17"/>
          <w:color w:val="auto"/>
        </w:rPr>
        <w:t>. WIL-Bermuda represents and warrants to each Consenting Swap Counterparty signatory hereto that on and as of the Forbearance Effective Date, after giving effect to this Agreement, (a) all of the representations and warranties of WIL-Bermuda in each Subject Swap Agreement are true and correct in all material respects, except to the extent such representations and warranties expressly relate to (i) the Swap Agreement Termination Forbearance or (ii) an earlier date, in which case they shall be true and correct in all material respects as of such earlier date, (b) there exist no Other Violations (as defined below) and (c) neither the execution, delivery or performance by WIL-Bermuda of this Agreement, nor compliance by it with the terms and provisions hereof (i) will contravene in any material respect any provision of any law, statute, rule or regulation or any order, writ, injunction or decree of any court or Governmental Authority, (ii) will conflict with or result in any breach of any of the terms, covenants, conditions or provisions of, or constitute a default under, or result in the creation or imposition of (or the obligation to create or impose) any Lien upon any of the property or assets of WIL-Bermuda or any of its Subsidiaries pursuant to the terms of any indenture, mortgage, deed of trust, credit agreement or loan agreement, or any other material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03" w:name="page204"/>
    <w:bookmarkEnd w:id="203"/>
    <w:p>
      <w:pPr>
        <w:ind w:right="220"/>
        <w:spacing w:after="0" w:line="259" w:lineRule="auto"/>
        <w:rPr>
          <w:sz w:val="20"/>
          <w:szCs w:val="20"/>
          <w:color w:val="auto"/>
        </w:rPr>
      </w:pPr>
      <w:r>
        <w:rPr>
          <w:rFonts w:ascii="Arial" w:cs="Arial" w:eastAsia="Arial" w:hAnsi="Arial"/>
          <w:sz w:val="18"/>
          <w:szCs w:val="18"/>
          <w:color w:val="auto"/>
        </w:rPr>
        <w:t>agreement, contract or instrument, in each case to which WIL-Bermuda or any of its Subsidiaries is a party or by which it or any its property or assets is bound or to which it may be subject, or (iii) will violate any provision of the certificate or articles of incorporation, certificate of formation, limited liability company agreement or by-laws (or equivalent constitutional, organizational and/or formation documents), as applicable, of WIL-Bermuda or any of its Subsidiaries.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Reaffirmation</w:t>
      </w:r>
      <w:r>
        <w:rPr>
          <w:rFonts w:ascii="Arial" w:cs="Arial" w:eastAsia="Arial" w:hAnsi="Arial"/>
          <w:sz w:val="18"/>
          <w:szCs w:val="18"/>
          <w:color w:val="auto"/>
        </w:rPr>
        <w:t>. WIL-Bermuda confirms and agrees that each Subject Swap Agreement to which WIL-Bermuda is a party is, and the obligations of such Borrower contained in this Agreement and the Subject Swap Agreement are, and shall continue to be, in full force and effect and are hereby ratified and confirmed in all respects, in each case as modified by this Agreement, and each of WIL-Bermuda, WIL-Delaware and WIL-Ireland confirms and agrees that (i) each Subject Swap Agreement to which WIL-Bermuda is a party is, and the obligations of WIL-Bermuda contained in the Subject Swap Agreement are, and shall continue to be, secured (and guaranteed) obligations under the Prepetition Secured Facilities and, (ii) subject to the Bankruptcy Court’s entry of the Hedge Order and the order authorizing entry into the DIP Credit Agreement, will be secured (and guaranteed) obligations under the DIP Credit Agreement and related Loan Documents.</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any applicable Subject Swap Agreement between WIL-Bermuda and a Consenting Swap Counterparty signatory hereto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Agreement shall not by implication or otherwise limit, impair, constitute a consent or waiver of, or otherwise affect the rights and remedies of any party under, any Subject Swap Agreement nor alter, modify, amend, or in any way affect any of the terms, conditions, obligations, covenants or agreements contained in any Subject Swap Agreement all of which are ratified and affirmed in all respects and shall continue in full force and effect.</w:t>
      </w:r>
    </w:p>
    <w:p>
      <w:pPr>
        <w:spacing w:after="0" w:line="16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Limitation of Waivers</w:t>
      </w:r>
      <w:r>
        <w:rPr>
          <w:rFonts w:ascii="Arial" w:cs="Arial" w:eastAsia="Arial" w:hAnsi="Arial"/>
          <w:sz w:val="16"/>
          <w:szCs w:val="16"/>
          <w:color w:val="auto"/>
        </w:rPr>
        <w:t>. The forbearance agreement contained herein, shall not be a consent, waiver or agreement by the Consenting Swap Counterparties party to a Swap Agreement in relation to any Defaults, Events of Default, “Potential Events of Default” (as defined in the applicable Swap Agreement), or “Termination Events” (as defined in the applicable Swap Agreement) or “Events of Default” (as defined in the applicable Swap Agreement), as applicable, which may exist or which may occur in the future under any Swap Agreement, or any future defaults of the same provision subject to forbearance hereunder (collectively, “</w:t>
      </w:r>
      <w:r>
        <w:rPr>
          <w:rFonts w:ascii="Arial" w:cs="Arial" w:eastAsia="Arial" w:hAnsi="Arial"/>
          <w:sz w:val="16"/>
          <w:szCs w:val="16"/>
          <w:u w:val="single" w:color="auto"/>
          <w:color w:val="auto"/>
        </w:rPr>
        <w:t>Other Violations</w:t>
      </w:r>
      <w:r>
        <w:rPr>
          <w:rFonts w:ascii="Arial" w:cs="Arial" w:eastAsia="Arial" w:hAnsi="Arial"/>
          <w:sz w:val="16"/>
          <w:szCs w:val="16"/>
          <w:color w:val="auto"/>
        </w:rPr>
        <w:t>”). Similarly, nothing contained in this Agreement shall directly or indirectly in any way whatsoever:</w:t>
      </w:r>
    </w:p>
    <w:p>
      <w:pPr>
        <w:spacing w:after="0" w:line="2" w:lineRule="exact"/>
        <w:rPr>
          <w:sz w:val="20"/>
          <w:szCs w:val="20"/>
          <w:color w:val="auto"/>
        </w:rPr>
      </w:pPr>
    </w:p>
    <w:p>
      <w:pPr>
        <w:ind w:left="220" w:hanging="212"/>
        <w:spacing w:after="0"/>
        <w:tabs>
          <w:tab w:leader="none" w:pos="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impair, prejudice or otherwise adversely affect the Consenting Swap Counterparties’ party to a Swap Agreement right at any time to exercise any right,</w:t>
      </w:r>
    </w:p>
    <w:p>
      <w:pPr>
        <w:spacing w:after="0" w:line="32"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privilege or remedy in connection with any Swap Agreement, after a Forbearance Termination Event or with respect to any Other Violations, as the case may be, (ii) amend or alter any provision of the Subject Swap Agreements, or (iii) constitute any course of dealing or other basis for altering any obligation of the Borrowers or any right, privilege or remedy of the Consenting Swap Counterparties under the Swap Agreements. Nothing in this letter shall be construed to be a consent by the Consenting Swap Counterparties to any Other Violations or a waiver of the right to declare defaults and exercise all termination rights and remedies after a Forbearance Termination Event. Further, nothing herein, including the forbearance by any Consenting Swap Counterparty of any of its rights under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4" w:name="page205"/>
    <w:bookmarkEnd w:id="204"/>
    <w:p>
      <w:pPr>
        <w:ind w:right="20"/>
        <w:spacing w:after="0" w:line="257" w:lineRule="auto"/>
        <w:rPr>
          <w:sz w:val="20"/>
          <w:szCs w:val="20"/>
          <w:color w:val="auto"/>
        </w:rPr>
      </w:pPr>
      <w:r>
        <w:rPr>
          <w:rFonts w:ascii="Arial" w:cs="Arial" w:eastAsia="Arial" w:hAnsi="Arial"/>
          <w:sz w:val="18"/>
          <w:szCs w:val="18"/>
          <w:color w:val="auto"/>
        </w:rPr>
        <w:t>Subject Swap Agreements in connection with the Swap Agreement Termination Forbearance, shall be used as a basis by any Borrower to argue that, upon the occurrence of a Forbearance Termination Event, any Consenting Swap Counterparty has waived, modified, limited or otherwise released its rights under any of the Bankruptcy Code’s “safe harbors” for financial contracts (including, without limitation, 11 U.S.C. Sections 362(b)(6), (17), (27), 556, 560, and/or 561) in connection with any Subject Swap Agreement, including any right to terminate any Subject Swap Agreement on the basis of the commencement of the Chapter 11 Cases or the exercise of remedies with respect thereto.</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IN ACCORDANCE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WITH, THE LAW OF THE STATE OF NEW YORK. </w:t>
      </w:r>
      <w:r>
        <w:rPr>
          <w:rFonts w:ascii="Arial" w:cs="Arial" w:eastAsia="Arial" w:hAnsi="Arial"/>
          <w:sz w:val="18"/>
          <w:szCs w:val="18"/>
          <w:b w:val="1"/>
          <w:bCs w:val="1"/>
          <w:u w:val="single" w:color="auto"/>
          <w:color w:val="auto"/>
        </w:rPr>
        <w:t>SECTION 11.15</w:t>
      </w:r>
      <w:r>
        <w:rPr>
          <w:rFonts w:ascii="Arial" w:cs="Arial" w:eastAsia="Arial" w:hAnsi="Arial"/>
          <w:sz w:val="18"/>
          <w:szCs w:val="18"/>
          <w:b w:val="1"/>
          <w:bCs w:val="1"/>
          <w:color w:val="auto"/>
        </w:rPr>
        <w:t xml:space="preserve"> OF THE DIP CREDIT AGREEMENT IS HEREBY INCORPORATED BY REFERENCE INTO THIS AGREEMENT MUTATIS MUTANDIS AND SHALL APPLY HERETO.</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contained in this Agreement should be held invalid, illegal, or unenforceable in any respect, the validity, legality and enforceability of the remaining provisions contained herein and therein, to the full extent permitted by applicable law,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transmission or other means of electronic transmission (e.g., “pdf”) shall be as effective as delivery of a manually signed counterpart of this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BEGIN NEXT PAGE]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5" w:name="page206"/>
    <w:bookmarkEnd w:id="205"/>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has caused its duly authorized officer to execute and deliver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BORROWERS:</w:t>
            </w:r>
          </w:p>
        </w:tc>
        <w:tc>
          <w:tcPr>
            <w:tcW w:w="7940" w:type="dxa"/>
            <w:vAlign w:val="bottom"/>
            <w:gridSpan w:val="3"/>
          </w:tcPr>
          <w:p>
            <w:pPr>
              <w:ind w:left="2240"/>
              <w:spacing w:after="0"/>
              <w:rPr>
                <w:sz w:val="20"/>
                <w:szCs w:val="20"/>
                <w:color w:val="auto"/>
              </w:rPr>
            </w:pPr>
            <w:r>
              <w:rPr>
                <w:rFonts w:ascii="Arial" w:cs="Arial" w:eastAsia="Arial" w:hAnsi="Arial"/>
                <w:sz w:val="18"/>
                <w:szCs w:val="18"/>
                <w:b w:val="1"/>
                <w:bCs w:val="1"/>
                <w:color w:val="auto"/>
              </w:rPr>
              <w:t>WEATHERFORD INTERNATIONAL LTD.</w:t>
            </w:r>
          </w:p>
        </w:tc>
      </w:tr>
      <w:tr>
        <w:trPr>
          <w:trHeight w:val="432"/>
        </w:trPr>
        <w:tc>
          <w:tcPr>
            <w:tcW w:w="3400" w:type="dxa"/>
            <w:vAlign w:val="bottom"/>
          </w:tcPr>
          <w:p>
            <w:pPr>
              <w:spacing w:after="0"/>
              <w:rPr>
                <w:sz w:val="24"/>
                <w:szCs w:val="24"/>
                <w:color w:val="auto"/>
              </w:rPr>
            </w:pPr>
          </w:p>
        </w:tc>
        <w:tc>
          <w:tcPr>
            <w:tcW w:w="2740" w:type="dxa"/>
            <w:vAlign w:val="bottom"/>
          </w:tcPr>
          <w:p>
            <w:pPr>
              <w:ind w:left="22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3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Christoph Bausch</w:t>
            </w:r>
          </w:p>
        </w:tc>
      </w:t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418"/>
        </w:trPr>
        <w:tc>
          <w:tcPr>
            <w:tcW w:w="3400" w:type="dxa"/>
            <w:vAlign w:val="bottom"/>
          </w:tcPr>
          <w:p>
            <w:pPr>
              <w:spacing w:after="0"/>
              <w:rPr>
                <w:sz w:val="20"/>
                <w:szCs w:val="20"/>
                <w:color w:val="auto"/>
              </w:rPr>
            </w:pPr>
            <w:r>
              <w:rPr>
                <w:rFonts w:ascii="Arial" w:cs="Arial" w:eastAsia="Arial" w:hAnsi="Arial"/>
                <w:sz w:val="18"/>
                <w:szCs w:val="18"/>
                <w:color w:val="auto"/>
              </w:rPr>
              <w:t>BORROWERS:</w:t>
            </w:r>
          </w:p>
        </w:tc>
        <w:tc>
          <w:tcPr>
            <w:tcW w:w="7940" w:type="dxa"/>
            <w:vAlign w:val="bottom"/>
            <w:gridSpan w:val="3"/>
          </w:tcPr>
          <w:p>
            <w:pPr>
              <w:ind w:left="2240"/>
              <w:spacing w:after="0"/>
              <w:rPr>
                <w:sz w:val="20"/>
                <w:szCs w:val="20"/>
                <w:color w:val="auto"/>
              </w:rPr>
            </w:pPr>
            <w:r>
              <w:rPr>
                <w:rFonts w:ascii="Arial" w:cs="Arial" w:eastAsia="Arial" w:hAnsi="Arial"/>
                <w:sz w:val="18"/>
                <w:szCs w:val="18"/>
                <w:b w:val="1"/>
                <w:bCs w:val="1"/>
                <w:color w:val="auto"/>
              </w:rPr>
              <w:t>WEATHERFORD INTERNATIONAL PLC</w:t>
            </w:r>
            <w:r>
              <w:rPr>
                <w:rFonts w:ascii="Arial" w:cs="Arial" w:eastAsia="Arial" w:hAnsi="Arial"/>
                <w:sz w:val="18"/>
                <w:szCs w:val="18"/>
                <w:color w:val="auto"/>
              </w:rPr>
              <w:t>,</w:t>
            </w:r>
          </w:p>
        </w:tc>
      </w:tr>
      <w:tr>
        <w:trPr>
          <w:trHeight w:val="230"/>
        </w:trPr>
        <w:tc>
          <w:tcPr>
            <w:tcW w:w="3400" w:type="dxa"/>
            <w:vAlign w:val="bottom"/>
          </w:tcPr>
          <w:p>
            <w:pPr>
              <w:spacing w:after="0"/>
              <w:rPr>
                <w:sz w:val="20"/>
                <w:szCs w:val="20"/>
                <w:color w:val="auto"/>
              </w:rPr>
            </w:pPr>
          </w:p>
        </w:tc>
        <w:tc>
          <w:tcPr>
            <w:tcW w:w="7940" w:type="dxa"/>
            <w:vAlign w:val="bottom"/>
            <w:gridSpan w:val="3"/>
          </w:tcPr>
          <w:p>
            <w:pPr>
              <w:ind w:left="2240"/>
              <w:spacing w:after="0"/>
              <w:rPr>
                <w:sz w:val="20"/>
                <w:szCs w:val="20"/>
                <w:color w:val="auto"/>
              </w:rPr>
            </w:pPr>
            <w:r>
              <w:rPr>
                <w:rFonts w:ascii="Arial" w:cs="Arial" w:eastAsia="Arial" w:hAnsi="Arial"/>
                <w:sz w:val="18"/>
                <w:szCs w:val="18"/>
                <w:color w:val="auto"/>
              </w:rPr>
              <w:t>solely in respect of Section 5 (</w:t>
            </w:r>
            <w:r>
              <w:rPr>
                <w:rFonts w:ascii="Arial" w:cs="Arial" w:eastAsia="Arial" w:hAnsi="Arial"/>
                <w:sz w:val="18"/>
                <w:szCs w:val="18"/>
                <w:i w:val="1"/>
                <w:iCs w:val="1"/>
                <w:color w:val="auto"/>
              </w:rPr>
              <w:t>Reaffirmation</w:t>
            </w:r>
            <w:r>
              <w:rPr>
                <w:rFonts w:ascii="Arial" w:cs="Arial" w:eastAsia="Arial" w:hAnsi="Arial"/>
                <w:sz w:val="18"/>
                <w:szCs w:val="18"/>
                <w:color w:val="auto"/>
              </w:rPr>
              <w:t>) of this Agreement</w:t>
            </w:r>
          </w:p>
        </w:tc>
      </w:tr>
      <w:tr>
        <w:trPr>
          <w:trHeight w:val="432"/>
        </w:trPr>
        <w:tc>
          <w:tcPr>
            <w:tcW w:w="3400" w:type="dxa"/>
            <w:vAlign w:val="bottom"/>
          </w:tcPr>
          <w:p>
            <w:pPr>
              <w:spacing w:after="0"/>
              <w:rPr>
                <w:sz w:val="24"/>
                <w:szCs w:val="24"/>
                <w:color w:val="auto"/>
              </w:rPr>
            </w:pPr>
          </w:p>
        </w:tc>
        <w:tc>
          <w:tcPr>
            <w:tcW w:w="2740" w:type="dxa"/>
            <w:vAlign w:val="bottom"/>
          </w:tcPr>
          <w:p>
            <w:pPr>
              <w:ind w:left="22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3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Christoph Bausch</w:t>
            </w:r>
          </w:p>
        </w:tc>
      </w:t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 and CFO</w:t>
            </w:r>
          </w:p>
        </w:tc>
      </w:tr>
      <w:tr>
        <w:trPr>
          <w:trHeight w:val="418"/>
        </w:trPr>
        <w:tc>
          <w:tcPr>
            <w:tcW w:w="3400" w:type="dxa"/>
            <w:vAlign w:val="bottom"/>
          </w:tcPr>
          <w:p>
            <w:pPr>
              <w:spacing w:after="0"/>
              <w:rPr>
                <w:sz w:val="20"/>
                <w:szCs w:val="20"/>
                <w:color w:val="auto"/>
              </w:rPr>
            </w:pPr>
            <w:r>
              <w:rPr>
                <w:rFonts w:ascii="Arial" w:cs="Arial" w:eastAsia="Arial" w:hAnsi="Arial"/>
                <w:sz w:val="18"/>
                <w:szCs w:val="18"/>
                <w:color w:val="auto"/>
              </w:rPr>
              <w:t>BORROWERS:</w:t>
            </w:r>
          </w:p>
        </w:tc>
        <w:tc>
          <w:tcPr>
            <w:tcW w:w="7940" w:type="dxa"/>
            <w:vAlign w:val="bottom"/>
            <w:gridSpan w:val="3"/>
          </w:tcPr>
          <w:p>
            <w:pPr>
              <w:ind w:left="2240"/>
              <w:spacing w:after="0"/>
              <w:rPr>
                <w:sz w:val="20"/>
                <w:szCs w:val="20"/>
                <w:color w:val="auto"/>
              </w:rPr>
            </w:pPr>
            <w:r>
              <w:rPr>
                <w:rFonts w:ascii="Arial" w:cs="Arial" w:eastAsia="Arial" w:hAnsi="Arial"/>
                <w:sz w:val="18"/>
                <w:szCs w:val="18"/>
                <w:b w:val="1"/>
                <w:bCs w:val="1"/>
                <w:color w:val="auto"/>
              </w:rPr>
              <w:t>WEATHERFORD INTERNATIONAL LLC</w:t>
            </w:r>
            <w:r>
              <w:rPr>
                <w:rFonts w:ascii="Arial" w:cs="Arial" w:eastAsia="Arial" w:hAnsi="Arial"/>
                <w:sz w:val="18"/>
                <w:szCs w:val="18"/>
                <w:color w:val="auto"/>
              </w:rPr>
              <w:t>,</w:t>
            </w:r>
          </w:p>
        </w:tc>
      </w:tr>
      <w:tr>
        <w:trPr>
          <w:trHeight w:val="230"/>
        </w:trPr>
        <w:tc>
          <w:tcPr>
            <w:tcW w:w="3400" w:type="dxa"/>
            <w:vAlign w:val="bottom"/>
          </w:tcPr>
          <w:p>
            <w:pPr>
              <w:spacing w:after="0"/>
              <w:rPr>
                <w:sz w:val="20"/>
                <w:szCs w:val="20"/>
                <w:color w:val="auto"/>
              </w:rPr>
            </w:pPr>
          </w:p>
        </w:tc>
        <w:tc>
          <w:tcPr>
            <w:tcW w:w="7940" w:type="dxa"/>
            <w:vAlign w:val="bottom"/>
            <w:gridSpan w:val="3"/>
          </w:tcPr>
          <w:p>
            <w:pPr>
              <w:ind w:left="2240"/>
              <w:spacing w:after="0"/>
              <w:rPr>
                <w:sz w:val="20"/>
                <w:szCs w:val="20"/>
                <w:color w:val="auto"/>
              </w:rPr>
            </w:pPr>
            <w:r>
              <w:rPr>
                <w:rFonts w:ascii="Arial" w:cs="Arial" w:eastAsia="Arial" w:hAnsi="Arial"/>
                <w:sz w:val="18"/>
                <w:szCs w:val="18"/>
                <w:color w:val="auto"/>
              </w:rPr>
              <w:t>solely in respect of Section 5 (</w:t>
            </w:r>
            <w:r>
              <w:rPr>
                <w:rFonts w:ascii="Arial" w:cs="Arial" w:eastAsia="Arial" w:hAnsi="Arial"/>
                <w:sz w:val="18"/>
                <w:szCs w:val="18"/>
                <w:i w:val="1"/>
                <w:iCs w:val="1"/>
                <w:color w:val="auto"/>
              </w:rPr>
              <w:t>Reaffirmation</w:t>
            </w:r>
            <w:r>
              <w:rPr>
                <w:rFonts w:ascii="Arial" w:cs="Arial" w:eastAsia="Arial" w:hAnsi="Arial"/>
                <w:sz w:val="18"/>
                <w:szCs w:val="18"/>
                <w:color w:val="auto"/>
              </w:rPr>
              <w:t>) of this Agreement</w:t>
            </w:r>
          </w:p>
        </w:tc>
      </w:tr>
      <w:tr>
        <w:trPr>
          <w:trHeight w:val="432"/>
        </w:trPr>
        <w:tc>
          <w:tcPr>
            <w:tcW w:w="3400" w:type="dxa"/>
            <w:vAlign w:val="bottom"/>
          </w:tcPr>
          <w:p>
            <w:pPr>
              <w:spacing w:after="0"/>
              <w:rPr>
                <w:sz w:val="24"/>
                <w:szCs w:val="24"/>
                <w:color w:val="auto"/>
              </w:rPr>
            </w:pPr>
          </w:p>
        </w:tc>
        <w:tc>
          <w:tcPr>
            <w:tcW w:w="2740" w:type="dxa"/>
            <w:vAlign w:val="bottom"/>
          </w:tcPr>
          <w:p>
            <w:pPr>
              <w:ind w:left="22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3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Christoph Bausch</w:t>
            </w:r>
          </w:p>
        </w:tc>
      </w:t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Governing Person</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to the Consent to Swap Agreement Termination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6" w:name="page207"/>
    <w:bookmarkEnd w:id="206"/>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SWAP 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Swap Counterparty</w:t>
      </w:r>
    </w:p>
    <w:p>
      <w:pPr>
        <w:spacing w:after="0" w:line="200" w:lineRule="exact"/>
        <w:rPr>
          <w:sz w:val="20"/>
          <w:szCs w:val="20"/>
          <w:color w:val="auto"/>
        </w:rPr>
      </w:pPr>
    </w:p>
    <w:p>
      <w:pPr>
        <w:sectPr>
          <w:pgSz w:w="11900" w:h="16838" w:orient="portrait"/>
          <w:cols w:equalWidth="0" w:num="2">
            <w:col w:w="4920" w:space="720"/>
            <w:col w:w="4499"/>
          </w:cols>
          <w:pgMar w:left="320" w:top="337" w:right="1440" w:bottom="1440" w:gutter="0" w:footer="0" w:header="0"/>
        </w:sectPr>
      </w:pPr>
    </w:p>
    <w:p>
      <w:pPr>
        <w:spacing w:after="0" w:line="34" w:lineRule="exact"/>
        <w:rPr>
          <w:sz w:val="20"/>
          <w:szCs w:val="20"/>
          <w:color w:val="auto"/>
        </w:rPr>
      </w:pPr>
    </w:p>
    <w:p>
      <w:pPr>
        <w:ind w:left="5640"/>
        <w:spacing w:after="0"/>
        <w:tabs>
          <w:tab w:leader="none" w:pos="6120" w:val="left"/>
        </w:tabs>
        <w:rPr>
          <w:sz w:val="20"/>
          <w:szCs w:val="20"/>
          <w:color w:val="auto"/>
        </w:rPr>
      </w:pPr>
      <w:r>
        <w:rPr>
          <w:rFonts w:ascii="Arial" w:cs="Arial" w:eastAsia="Arial" w:hAnsi="Arial"/>
          <w:sz w:val="16"/>
          <w:szCs w:val="16"/>
          <w:color w:val="auto"/>
        </w:rPr>
        <w:t>By:</w:t>
        <w:tab/>
        <w:t>/s/ Candice Somerville</w:t>
      </w:r>
    </w:p>
    <w:p>
      <w:pPr>
        <w:sectPr>
          <w:pgSz w:w="11900" w:h="16838" w:orient="portrait"/>
          <w:cols w:equalWidth="0" w:num="1">
            <w:col w:w="10139"/>
          </w:cols>
          <w:pgMar w:left="320" w:top="337" w:right="1440" w:bottom="1440" w:gutter="0" w:footer="0" w:header="0"/>
          <w:type w:val="continuous"/>
        </w:sectPr>
      </w:pPr>
    </w:p>
    <w:p>
      <w:pPr>
        <w:spacing w:after="0" w:line="46" w:lineRule="exact"/>
        <w:rPr>
          <w:sz w:val="20"/>
          <w:szCs w:val="20"/>
          <w:color w:val="auto"/>
        </w:rPr>
      </w:pPr>
    </w:p>
    <w:p>
      <w:pPr>
        <w:ind w:left="6140"/>
        <w:spacing w:after="0"/>
        <w:tabs>
          <w:tab w:leader="none" w:pos="6840" w:val="left"/>
        </w:tabs>
        <w:rPr>
          <w:sz w:val="20"/>
          <w:szCs w:val="20"/>
          <w:color w:val="auto"/>
        </w:rPr>
      </w:pPr>
      <w:r>
        <w:rPr>
          <w:rFonts w:ascii="Arial" w:cs="Arial" w:eastAsia="Arial" w:hAnsi="Arial"/>
          <w:sz w:val="18"/>
          <w:szCs w:val="18"/>
          <w:color w:val="auto"/>
        </w:rPr>
        <w:t>Name:</w:t>
        <w:tab/>
        <w:t>Candice Somerville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020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40"/>
        <w:spacing w:after="0"/>
        <w:tabs>
          <w:tab w:leader="none" w:pos="68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Authorized signatory</w:t>
      </w:r>
    </w:p>
    <w:p>
      <w:pPr>
        <w:spacing w:after="0" w:line="222" w:lineRule="exact"/>
        <w:rPr>
          <w:sz w:val="20"/>
          <w:szCs w:val="20"/>
          <w:color w:val="auto"/>
        </w:rPr>
      </w:pPr>
    </w:p>
    <w:p>
      <w:pPr>
        <w:jc w:val="right"/>
        <w:ind w:right="1639"/>
        <w:spacing w:after="0"/>
        <w:rPr>
          <w:sz w:val="20"/>
          <w:szCs w:val="20"/>
          <w:color w:val="auto"/>
        </w:rPr>
      </w:pPr>
      <w:r>
        <w:rPr>
          <w:rFonts w:ascii="Arial" w:cs="Arial" w:eastAsia="Arial" w:hAnsi="Arial"/>
          <w:sz w:val="16"/>
          <w:szCs w:val="16"/>
          <w:i w:val="1"/>
          <w:iCs w:val="1"/>
          <w:color w:val="auto"/>
        </w:rPr>
        <w:t>[Signature Pages to the Consent to Swap Agreement Termination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233045</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207" w:name="page208"/>
    <w:bookmarkEnd w:id="207"/>
    <w:tbl>
      <w:tblPr>
        <w:tblLayout w:type="fixed"/>
        <w:tblInd w:w="0" w:type="dxa"/>
        <w:tblCellMar>
          <w:top w:w="0" w:type="dxa"/>
          <w:left w:w="0" w:type="dxa"/>
          <w:bottom w:w="0" w:type="dxa"/>
          <w:right w:w="0" w:type="dxa"/>
        </w:tblCellMar>
      </w:tblPr>
      <w:tr>
        <w:trPr>
          <w:trHeight w:val="220"/>
        </w:trPr>
        <w:tc>
          <w:tcPr>
            <w:tcW w:w="3800" w:type="dxa"/>
            <w:vAlign w:val="bottom"/>
          </w:tcPr>
          <w:p>
            <w:pPr>
              <w:spacing w:after="0"/>
              <w:rPr>
                <w:sz w:val="20"/>
                <w:szCs w:val="20"/>
                <w:color w:val="auto"/>
              </w:rPr>
            </w:pPr>
            <w:r>
              <w:rPr>
                <w:rFonts w:ascii="Arial" w:cs="Arial" w:eastAsia="Arial" w:hAnsi="Arial"/>
                <w:sz w:val="18"/>
                <w:szCs w:val="18"/>
                <w:color w:val="auto"/>
              </w:rPr>
              <w:t>SWAP COUNTERPARTY:</w:t>
            </w:r>
          </w:p>
        </w:tc>
        <w:tc>
          <w:tcPr>
            <w:tcW w:w="7540" w:type="dxa"/>
            <w:vAlign w:val="bottom"/>
            <w:gridSpan w:val="3"/>
          </w:tcPr>
          <w:p>
            <w:pPr>
              <w:ind w:left="1840"/>
              <w:spacing w:after="0"/>
              <w:rPr>
                <w:sz w:val="20"/>
                <w:szCs w:val="20"/>
                <w:color w:val="auto"/>
              </w:rPr>
            </w:pPr>
            <w:r>
              <w:rPr>
                <w:rFonts w:ascii="Arial" w:cs="Arial" w:eastAsia="Arial" w:hAnsi="Arial"/>
                <w:sz w:val="18"/>
                <w:szCs w:val="18"/>
                <w:b w:val="1"/>
                <w:bCs w:val="1"/>
                <w:color w:val="auto"/>
              </w:rPr>
              <w:t>DEUTSCHE BANK AG</w:t>
            </w: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p>
        </w:tc>
        <w:tc>
          <w:tcPr>
            <w:tcW w:w="7540" w:type="dxa"/>
            <w:vAlign w:val="bottom"/>
            <w:gridSpan w:val="3"/>
          </w:tcPr>
          <w:p>
            <w:pPr>
              <w:ind w:left="1840"/>
              <w:spacing w:after="0"/>
              <w:rPr>
                <w:sz w:val="20"/>
                <w:szCs w:val="20"/>
                <w:color w:val="auto"/>
              </w:rPr>
            </w:pPr>
            <w:r>
              <w:rPr>
                <w:rFonts w:ascii="Arial" w:cs="Arial" w:eastAsia="Arial" w:hAnsi="Arial"/>
                <w:sz w:val="18"/>
                <w:szCs w:val="18"/>
                <w:color w:val="auto"/>
              </w:rPr>
              <w:t>as Swap Counterparty</w:t>
            </w:r>
          </w:p>
        </w:tc>
      </w:tr>
      <w:tr>
        <w:trPr>
          <w:trHeight w:val="432"/>
        </w:trPr>
        <w:tc>
          <w:tcPr>
            <w:tcW w:w="3800" w:type="dxa"/>
            <w:vAlign w:val="bottom"/>
          </w:tcPr>
          <w:p>
            <w:pPr>
              <w:spacing w:after="0"/>
              <w:rPr>
                <w:sz w:val="24"/>
                <w:szCs w:val="24"/>
                <w:color w:val="auto"/>
              </w:rPr>
            </w:pPr>
          </w:p>
        </w:tc>
        <w:tc>
          <w:tcPr>
            <w:tcW w:w="2340" w:type="dxa"/>
            <w:vAlign w:val="bottom"/>
          </w:tcPr>
          <w:p>
            <w:pPr>
              <w:ind w:left="18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Nivraan Joshi</w:t>
            </w:r>
          </w:p>
        </w:tc>
      </w:tr>
      <w:tr>
        <w:trPr>
          <w:trHeight w:val="195"/>
        </w:trPr>
        <w:tc>
          <w:tcPr>
            <w:tcW w:w="38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00"/>
              <w:spacing w:after="0" w:line="195" w:lineRule="exact"/>
              <w:rPr>
                <w:sz w:val="20"/>
                <w:szCs w:val="20"/>
                <w:color w:val="auto"/>
              </w:rPr>
            </w:pPr>
            <w:r>
              <w:rPr>
                <w:rFonts w:ascii="Arial" w:cs="Arial" w:eastAsia="Arial" w:hAnsi="Arial"/>
                <w:sz w:val="18"/>
                <w:szCs w:val="18"/>
                <w:color w:val="auto"/>
              </w:rPr>
              <w:t>Nivraan Joshi</w:t>
            </w:r>
          </w:p>
        </w:tc>
      </w:tr>
      <w:tr>
        <w:trPr>
          <w:trHeight w:val="230"/>
        </w:trPr>
        <w:tc>
          <w:tcPr>
            <w:tcW w:w="38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18"/>
        </w:trPr>
        <w:tc>
          <w:tcPr>
            <w:tcW w:w="3800" w:type="dxa"/>
            <w:vAlign w:val="bottom"/>
          </w:tcPr>
          <w:p>
            <w:pPr>
              <w:spacing w:after="0"/>
              <w:rPr>
                <w:sz w:val="24"/>
                <w:szCs w:val="24"/>
                <w:color w:val="auto"/>
              </w:rPr>
            </w:pPr>
          </w:p>
        </w:tc>
        <w:tc>
          <w:tcPr>
            <w:tcW w:w="7540" w:type="dxa"/>
            <w:vAlign w:val="bottom"/>
            <w:gridSpan w:val="3"/>
          </w:tcPr>
          <w:p>
            <w:pPr>
              <w:ind w:left="1840"/>
              <w:spacing w:after="0"/>
              <w:rPr>
                <w:sz w:val="20"/>
                <w:szCs w:val="20"/>
                <w:color w:val="auto"/>
              </w:rPr>
            </w:pPr>
            <w:r>
              <w:rPr>
                <w:rFonts w:ascii="Arial" w:cs="Arial" w:eastAsia="Arial" w:hAnsi="Arial"/>
                <w:sz w:val="18"/>
                <w:szCs w:val="18"/>
                <w:b w:val="1"/>
                <w:bCs w:val="1"/>
                <w:color w:val="auto"/>
              </w:rPr>
              <w:t>DEUTSCHE BANK AG</w:t>
            </w: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p>
        </w:tc>
        <w:tc>
          <w:tcPr>
            <w:tcW w:w="7540" w:type="dxa"/>
            <w:vAlign w:val="bottom"/>
            <w:gridSpan w:val="3"/>
          </w:tcPr>
          <w:p>
            <w:pPr>
              <w:ind w:left="1840"/>
              <w:spacing w:after="0"/>
              <w:rPr>
                <w:sz w:val="20"/>
                <w:szCs w:val="20"/>
                <w:color w:val="auto"/>
              </w:rPr>
            </w:pPr>
            <w:r>
              <w:rPr>
                <w:rFonts w:ascii="Arial" w:cs="Arial" w:eastAsia="Arial" w:hAnsi="Arial"/>
                <w:sz w:val="18"/>
                <w:szCs w:val="18"/>
                <w:color w:val="auto"/>
              </w:rPr>
              <w:t>as Swap Counterparty</w:t>
            </w:r>
          </w:p>
        </w:tc>
      </w:tr>
      <w:tr>
        <w:trPr>
          <w:trHeight w:val="432"/>
        </w:trPr>
        <w:tc>
          <w:tcPr>
            <w:tcW w:w="3800" w:type="dxa"/>
            <w:vAlign w:val="bottom"/>
          </w:tcPr>
          <w:p>
            <w:pPr>
              <w:spacing w:after="0"/>
              <w:rPr>
                <w:sz w:val="24"/>
                <w:szCs w:val="24"/>
                <w:color w:val="auto"/>
              </w:rPr>
            </w:pPr>
          </w:p>
        </w:tc>
        <w:tc>
          <w:tcPr>
            <w:tcW w:w="2340" w:type="dxa"/>
            <w:vAlign w:val="bottom"/>
          </w:tcPr>
          <w:p>
            <w:pPr>
              <w:ind w:left="184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Rupesh Patel</w:t>
            </w:r>
          </w:p>
        </w:tc>
      </w:tr>
      <w:tr>
        <w:trPr>
          <w:trHeight w:val="195"/>
        </w:trPr>
        <w:tc>
          <w:tcPr>
            <w:tcW w:w="38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00"/>
              <w:spacing w:after="0" w:line="195" w:lineRule="exact"/>
              <w:rPr>
                <w:sz w:val="20"/>
                <w:szCs w:val="20"/>
                <w:color w:val="auto"/>
              </w:rPr>
            </w:pPr>
            <w:r>
              <w:rPr>
                <w:rFonts w:ascii="Arial" w:cs="Arial" w:eastAsia="Arial" w:hAnsi="Arial"/>
                <w:sz w:val="18"/>
                <w:szCs w:val="18"/>
                <w:color w:val="auto"/>
              </w:rPr>
              <w:t>Rupesh Patel</w:t>
            </w:r>
          </w:p>
        </w:tc>
      </w:tr>
      <w:tr>
        <w:trPr>
          <w:trHeight w:val="230"/>
        </w:trPr>
        <w:tc>
          <w:tcPr>
            <w:tcW w:w="38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[Signature Pages to the Consent to Swap Agreement Termination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218440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320" w:top="338" w:right="239" w:bottom="1440" w:gutter="0" w:footer="0" w:header="0"/>
        </w:sectPr>
      </w:pPr>
    </w:p>
    <w:bookmarkStart w:id="208" w:name="page209"/>
    <w:bookmarkEnd w:id="208"/>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SWAP 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 Swap Counterparty</w:t>
      </w:r>
    </w:p>
    <w:p>
      <w:pPr>
        <w:spacing w:after="0" w:line="200" w:lineRule="exact"/>
        <w:rPr>
          <w:sz w:val="20"/>
          <w:szCs w:val="20"/>
          <w:color w:val="auto"/>
        </w:rPr>
      </w:pPr>
    </w:p>
    <w:p>
      <w:pPr>
        <w:sectPr>
          <w:pgSz w:w="11900" w:h="16838" w:orient="portrait"/>
          <w:cols w:equalWidth="0" w:num="2">
            <w:col w:w="4920" w:space="720"/>
            <w:col w:w="4499"/>
          </w:cols>
          <w:pgMar w:left="320" w:top="337" w:right="1440" w:bottom="1440" w:gutter="0" w:footer="0" w:header="0"/>
        </w:sectPr>
      </w:pPr>
    </w:p>
    <w:p>
      <w:pPr>
        <w:spacing w:after="0" w:line="11" w:lineRule="exact"/>
        <w:rPr>
          <w:sz w:val="20"/>
          <w:szCs w:val="20"/>
          <w:color w:val="auto"/>
        </w:rPr>
      </w:pPr>
    </w:p>
    <w:p>
      <w:pPr>
        <w:ind w:left="5640"/>
        <w:spacing w:after="0"/>
        <w:tabs>
          <w:tab w:leader="none" w:pos="6120" w:val="left"/>
        </w:tabs>
        <w:rPr>
          <w:sz w:val="20"/>
          <w:szCs w:val="20"/>
          <w:color w:val="auto"/>
        </w:rPr>
      </w:pPr>
      <w:r>
        <w:rPr>
          <w:rFonts w:ascii="Arial" w:cs="Arial" w:eastAsia="Arial" w:hAnsi="Arial"/>
          <w:sz w:val="16"/>
          <w:szCs w:val="16"/>
          <w:color w:val="auto"/>
        </w:rPr>
        <w:t>By:</w:t>
        <w:tab/>
        <w:t>/s/ Chris DeCotiis</w:t>
      </w:r>
    </w:p>
    <w:p>
      <w:pPr>
        <w:sectPr>
          <w:pgSz w:w="11900" w:h="16838" w:orient="portrait"/>
          <w:cols w:equalWidth="0" w:num="1">
            <w:col w:w="10139"/>
          </w:cols>
          <w:pgMar w:left="320" w:top="337" w:right="1440" w:bottom="1440" w:gutter="0" w:footer="0" w:header="0"/>
          <w:type w:val="continuous"/>
        </w:sectPr>
      </w:pPr>
    </w:p>
    <w:p>
      <w:pPr>
        <w:spacing w:after="0" w:line="46" w:lineRule="exact"/>
        <w:rPr>
          <w:sz w:val="20"/>
          <w:szCs w:val="20"/>
          <w:color w:val="auto"/>
        </w:rPr>
      </w:pPr>
    </w:p>
    <w:p>
      <w:pPr>
        <w:ind w:left="6140"/>
        <w:spacing w:after="0"/>
        <w:tabs>
          <w:tab w:leader="none" w:pos="6800" w:val="left"/>
        </w:tabs>
        <w:rPr>
          <w:sz w:val="20"/>
          <w:szCs w:val="20"/>
          <w:color w:val="auto"/>
        </w:rPr>
      </w:pPr>
      <w:r>
        <w:rPr>
          <w:rFonts w:ascii="Arial" w:cs="Arial" w:eastAsia="Arial" w:hAnsi="Arial"/>
          <w:sz w:val="18"/>
          <w:szCs w:val="18"/>
          <w:color w:val="auto"/>
        </w:rPr>
        <w:t>Name:</w:t>
        <w:tab/>
        <w:t>Chris DeCotiis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020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4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Vice-President</w:t>
      </w:r>
    </w:p>
    <w:p>
      <w:pPr>
        <w:spacing w:after="0" w:line="211" w:lineRule="exact"/>
        <w:rPr>
          <w:sz w:val="20"/>
          <w:szCs w:val="20"/>
          <w:color w:val="auto"/>
        </w:rPr>
      </w:pPr>
    </w:p>
    <w:p>
      <w:pPr>
        <w:jc w:val="right"/>
        <w:ind w:right="1639"/>
        <w:spacing w:after="0"/>
        <w:rPr>
          <w:sz w:val="20"/>
          <w:szCs w:val="20"/>
          <w:color w:val="auto"/>
        </w:rPr>
      </w:pPr>
      <w:r>
        <w:rPr>
          <w:rFonts w:ascii="Arial" w:cs="Arial" w:eastAsia="Arial" w:hAnsi="Arial"/>
          <w:sz w:val="16"/>
          <w:szCs w:val="16"/>
          <w:i w:val="1"/>
          <w:iCs w:val="1"/>
          <w:color w:val="auto"/>
        </w:rPr>
        <w:t>[Signature Pages to the Consent to Swap Agreement Termination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233045</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209" w:name="page210"/>
    <w:bookmarkEnd w:id="209"/>
    <w:p>
      <w:pPr>
        <w:jc w:val="center"/>
        <w:ind w:right="-1212"/>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ind w:left="4472"/>
        <w:spacing w:after="0"/>
        <w:rPr>
          <w:sz w:val="20"/>
          <w:szCs w:val="20"/>
          <w:color w:val="auto"/>
        </w:rPr>
      </w:pPr>
      <w:r>
        <w:rPr>
          <w:rFonts w:ascii="Arial" w:cs="Arial" w:eastAsia="Arial" w:hAnsi="Arial"/>
          <w:sz w:val="18"/>
          <w:szCs w:val="18"/>
          <w:b w:val="1"/>
          <w:bCs w:val="1"/>
          <w:color w:val="auto"/>
        </w:rPr>
        <w:t>Subject Swap Agreement ISDAs</w:t>
      </w:r>
    </w:p>
    <w:p>
      <w:pPr>
        <w:spacing w:after="0" w:line="229" w:lineRule="exact"/>
        <w:rPr>
          <w:sz w:val="20"/>
          <w:szCs w:val="20"/>
          <w:color w:val="auto"/>
        </w:rPr>
      </w:pPr>
    </w:p>
    <w:p>
      <w:pPr>
        <w:ind w:left="652" w:hanging="652"/>
        <w:spacing w:after="0"/>
        <w:tabs>
          <w:tab w:leader="none" w:pos="6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1992 ISDA Master Agreement, dated as of November 16, 2011, between Citibank, N.A. and Weatherford International Ltd.</w:t>
      </w:r>
    </w:p>
    <w:p>
      <w:pPr>
        <w:spacing w:after="0" w:line="248" w:lineRule="exact"/>
        <w:rPr>
          <w:rFonts w:ascii="Arial" w:cs="Arial" w:eastAsia="Arial" w:hAnsi="Arial"/>
          <w:sz w:val="16"/>
          <w:szCs w:val="16"/>
          <w:color w:val="auto"/>
        </w:rPr>
      </w:pPr>
    </w:p>
    <w:p>
      <w:pPr>
        <w:ind w:left="652" w:hanging="652"/>
        <w:spacing w:after="0"/>
        <w:tabs>
          <w:tab w:leader="none" w:pos="6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1992 ISDA Master Agreement, dated as of August 18, 2011, between Deutsche Bank AG and Weatherford International Ltd.</w:t>
      </w:r>
    </w:p>
    <w:p>
      <w:pPr>
        <w:spacing w:after="0" w:line="248" w:lineRule="exact"/>
        <w:rPr>
          <w:rFonts w:ascii="Arial" w:cs="Arial" w:eastAsia="Arial" w:hAnsi="Arial"/>
          <w:sz w:val="16"/>
          <w:szCs w:val="16"/>
          <w:color w:val="auto"/>
        </w:rPr>
      </w:pPr>
    </w:p>
    <w:p>
      <w:pPr>
        <w:ind w:left="3032" w:right="639" w:hanging="3032"/>
        <w:spacing w:after="0" w:line="624" w:lineRule="auto"/>
        <w:tabs>
          <w:tab w:leader="none" w:pos="65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1992 ISDA Master Agreement, dated as of July 8, 2016, between Royal Bank of Canada and Weatherford International Ltd. </w:t>
      </w:r>
      <w:r>
        <w:rPr>
          <w:rFonts w:ascii="Arial" w:cs="Arial" w:eastAsia="Arial" w:hAnsi="Arial"/>
          <w:sz w:val="16"/>
          <w:szCs w:val="16"/>
          <w:i w:val="1"/>
          <w:iCs w:val="1"/>
          <w:color w:val="auto"/>
        </w:rPr>
        <w:t>[Schedule 1 to the Consent to Swap Agreement Termination Forbearance]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338"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12620" cy="7886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126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COMMENCES VOLUNTARY CHAPTER 11 PROCESS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Financial Restructuring Implemented through “Pre-Packaged” Chapter 11 Process Will Reduce Company’s Long-Term Debt by More Than $5.8 Billion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Proposed Restructuring Contemplates $1.75 Billion in New Financing and up to $1.25 Billion in Additional Post-Emergence Financing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Weatherford Operations Are Continuing Without Interruption and With No Expected Impact on Customers, Vendors, Partners or Employees</w:t>
      </w:r>
    </w:p>
    <w:p>
      <w:pPr>
        <w:spacing w:after="0" w:line="22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BAAR, SWITZERLAND, July 1, 2019 - Weatherford International plc, Weatherford International Ltd., and Weatherford International, LLC (collectively, “Weatherford” or the “Company”) announced today that the Company has initiated its previously-announced financial restructuring by commencing voluntary cases under chapter 11 of the U.S. Bankruptcy Code to effectuate its “pre-packaged” Plan of Reorganization (the “Chapter 11 Cases”). The Company’s other entities and affiliates are not included in the Chapter 11 Cases. Weatherford also expects to file Bermuda and Irish examinership proceedings (collectively with the Chapter 11 Cases, the “Cases”) in the coming months. The comprehensive financial restructuring would significantly reduce the Company’s long-term debt and related interest costs, provide access to additional financing and establish a more sustainable capital structure.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received commitments from lenders for $1.75 billion of debtor-in-possession financing (the “DIP Facility”). The proceeds of the DIP Facility will be available to fund the Company’s working capital needs throughout the Cases. Additionally, upon exit from bankruptcy the Company will have access to additional financing in the form of (a) an undrawn first lien exit revolving credit facility in the principal amount of up to $1.0 billion, and (b) up to $1.25 billion of new tranche A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1" w:name="page212"/>
    <w:bookmarkEnd w:id="211"/>
    <w:p>
      <w:pPr>
        <w:ind w:right="720"/>
        <w:spacing w:after="0" w:line="277" w:lineRule="auto"/>
        <w:rPr>
          <w:sz w:val="20"/>
          <w:szCs w:val="20"/>
          <w:color w:val="auto"/>
        </w:rPr>
      </w:pPr>
      <w:r>
        <w:rPr>
          <w:rFonts w:ascii="Arial" w:cs="Arial" w:eastAsia="Arial" w:hAnsi="Arial"/>
          <w:sz w:val="18"/>
          <w:szCs w:val="18"/>
          <w:color w:val="auto"/>
        </w:rPr>
        <w:t>unsecured notes with a five-year maturity. In addition, on emergence from bankruptcy the Company will issue $1.25 billion of new tranche B senior unsecured notes with a seven-year maturity to holders of the Company’s existing unsecured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AS USUAL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filed “first day” motions to obtain the requisite court authority for the Company to continue operating its businesses and facilities in the ordinary course without disruption to its customers, vendors, partners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working to complete all necessary milestones and will disclose details regarding planned emergence in due course.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Lazard is acting as financial advisor for the Company, Latham &amp; Watkins, LLP as legal counsel, and Alvarez &amp; Marsal as restructuring advisor. Evercore is acting as financial advisor for the group of the Company’s senior noteholders and Akin Gump Strauss Hauer &amp; Feld LLP as legal counsel.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80 countries and has a network of approximately 650 locations, including manufacturing, service, research and development and training facilities and employs approximately 26,000 people. For more information, visit http://www.weatherford.com and connect with Weatherford on LinkedIn, Facebook, Twitter and YouTube.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statements in this press release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2" w:name="page213"/>
    <w:bookmarkEnd w:id="212"/>
    <w:p>
      <w:pPr>
        <w:ind w:right="60"/>
        <w:spacing w:after="0" w:line="286" w:lineRule="auto"/>
        <w:rPr>
          <w:sz w:val="20"/>
          <w:szCs w:val="20"/>
          <w:color w:val="auto"/>
        </w:rPr>
      </w:pPr>
      <w:r>
        <w:rPr>
          <w:rFonts w:ascii="Arial" w:cs="Arial" w:eastAsia="Arial" w:hAnsi="Arial"/>
          <w:sz w:val="16"/>
          <w:szCs w:val="16"/>
          <w:color w:val="auto"/>
        </w:rPr>
        <w:t>factors that could cause actual results to differ materially from those in the forward-looking statements include, but are not limited to, the ability to confirm and consummate a plan of reorganization in accordance with the terms of the Restructuring Agreement; risks attendant to the bankruptcy process, including our ability to obtain the approval of the bankruptcy court with respect to motions filed in the Cases,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any debtor-in-possession credit facility that we will enter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OR OFFER</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new securities to be issued pursuant to the restructuring transactions have not been registered under the Securities Act of 1933, as amended (the “Securities Act”), or any state securities laws. Therefore, the new securities may not be offered or sold in the United States absent registration or an applicable exemption from the registration requirements of the Securities Act and any applicable state securities laws. This press release does not constitute an offer to sell or buy, nor the solicitation of an offer to sell or buy, any securities referred to herein, nor is this press release a solicitation of consents to or votes to accept any chapter 11 plan. Any solicitation or offer will only be made pursuant to a confidential offering memorandum and disclosure statement and only to such persons and in such jurisdictions as is permitted under applicable law.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580" w:type="dxa"/>
            <w:vAlign w:val="bottom"/>
          </w:tcPr>
          <w:p>
            <w:pPr>
              <w:spacing w:after="0"/>
              <w:rPr>
                <w:sz w:val="20"/>
                <w:szCs w:val="20"/>
                <w:color w:val="auto"/>
              </w:rPr>
            </w:pPr>
          </w:p>
        </w:tc>
      </w:tr>
      <w:tr>
        <w:trPr>
          <w:trHeight w:val="418"/>
        </w:trPr>
        <w:tc>
          <w:tcPr>
            <w:tcW w:w="7880" w:type="dxa"/>
            <w:vAlign w:val="bottom"/>
          </w:tcPr>
          <w:p>
            <w:pPr>
              <w:spacing w:after="0"/>
              <w:rPr>
                <w:sz w:val="20"/>
                <w:szCs w:val="20"/>
                <w:color w:val="auto"/>
              </w:rPr>
            </w:pPr>
            <w:r>
              <w:rPr>
                <w:rFonts w:ascii="Arial" w:cs="Arial" w:eastAsia="Arial" w:hAnsi="Arial"/>
                <w:sz w:val="18"/>
                <w:szCs w:val="18"/>
                <w:color w:val="auto"/>
              </w:rPr>
              <w:t>Christoph Bausch</w:t>
            </w:r>
          </w:p>
        </w:tc>
        <w:tc>
          <w:tcPr>
            <w:tcW w:w="358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580" w:type="dxa"/>
            <w:vAlign w:val="bottom"/>
          </w:tcPr>
          <w:p>
            <w:pPr>
              <w:spacing w:after="0"/>
              <w:rPr>
                <w:sz w:val="20"/>
                <w:szCs w:val="20"/>
                <w:color w:val="auto"/>
              </w:rPr>
            </w:pPr>
          </w:p>
        </w:tc>
      </w:tr>
      <w:tr>
        <w:trPr>
          <w:trHeight w:val="418"/>
        </w:trPr>
        <w:tc>
          <w:tcPr>
            <w:tcW w:w="7880" w:type="dxa"/>
            <w:vAlign w:val="bottom"/>
          </w:tcPr>
          <w:p>
            <w:pPr>
              <w:spacing w:after="0"/>
              <w:rPr>
                <w:sz w:val="20"/>
                <w:szCs w:val="20"/>
                <w:color w:val="auto"/>
              </w:rPr>
            </w:pPr>
            <w:r>
              <w:rPr>
                <w:rFonts w:ascii="Arial" w:cs="Arial" w:eastAsia="Arial" w:hAnsi="Arial"/>
                <w:sz w:val="18"/>
                <w:szCs w:val="18"/>
                <w:color w:val="auto"/>
              </w:rPr>
              <w:t>Karen David-Green</w:t>
            </w:r>
          </w:p>
        </w:tc>
        <w:tc>
          <w:tcPr>
            <w:tcW w:w="35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Senior Vice President, Stakeholder Engagement and Chief Marketing Officer</w:t>
            </w:r>
          </w:p>
        </w:tc>
        <w:tc>
          <w:tcPr>
            <w:tcW w:w="3580" w:type="dxa"/>
            <w:vAlign w:val="bottom"/>
          </w:tcPr>
          <w:p>
            <w:pPr>
              <w:spacing w:after="0"/>
              <w:rPr>
                <w:sz w:val="20"/>
                <w:szCs w:val="20"/>
                <w:color w:val="auto"/>
              </w:rPr>
            </w:pPr>
          </w:p>
        </w:tc>
      </w:tr>
      <w:tr>
        <w:trPr>
          <w:trHeight w:val="348"/>
        </w:trPr>
        <w:tc>
          <w:tcPr>
            <w:tcW w:w="78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lowerLetter"/>
      <w:start w:val="4"/>
    </w:lvl>
  </w:abstractNum>
  <w:abstractNum w:abstractNumId="3">
    <w:nsid w:val="799D0247"/>
    <w:multiLevelType w:val="hybridMultilevel"/>
    <w:lvl w:ilvl="0">
      <w:lvlJc w:val="left"/>
      <w:lvlText w:val="(%1)"/>
      <w:numFmt w:val="lowerRoman"/>
      <w:start w:val="3"/>
    </w:lvl>
  </w:abstractNum>
  <w:abstractNum w:abstractNumId="4">
    <w:nsid w:val="6B94764"/>
    <w:multiLevelType w:val="hybridMultilevel"/>
    <w:lvl w:ilvl="0">
      <w:lvlJc w:val="left"/>
      <w:lvlText w:val="(%1)"/>
      <w:numFmt w:val="decimal"/>
      <w:start w:val="18"/>
    </w:lvl>
  </w:abstractNum>
  <w:abstractNum w:abstractNumId="5">
    <w:nsid w:val="42C296BD"/>
    <w:multiLevelType w:val="hybridMultilevel"/>
    <w:lvl w:ilvl="0">
      <w:lvlJc w:val="left"/>
      <w:lvlText w:val="(%1)"/>
      <w:numFmt w:val="lowerLetter"/>
      <w:start w:val="1"/>
    </w:lvl>
  </w:abstractNum>
  <w:abstractNum w:abstractNumId="6">
    <w:nsid w:val="168E121F"/>
    <w:multiLevelType w:val="hybridMultilevel"/>
    <w:lvl w:ilvl="0">
      <w:lvlJc w:val="left"/>
      <w:lvlText w:val="(%1)"/>
      <w:numFmt w:val="lowerLetter"/>
      <w:start w:val="3"/>
    </w:lvl>
  </w:abstractNum>
  <w:abstractNum w:abstractNumId="7">
    <w:nsid w:val="1EBA5D23"/>
    <w:multiLevelType w:val="hybridMultilevel"/>
    <w:lvl w:ilvl="0">
      <w:lvlJc w:val="left"/>
      <w:lvlText w:val="(%1)"/>
      <w:numFmt w:val="lowerLetter"/>
      <w:start w:val="1"/>
    </w:lvl>
  </w:abstractNum>
  <w:abstractNum w:abstractNumId="8">
    <w:nsid w:val="661E3F1E"/>
    <w:multiLevelType w:val="hybridMultilevel"/>
    <w:lvl w:ilvl="0">
      <w:lvlJc w:val="left"/>
      <w:lvlText w:val="(%1)"/>
      <w:numFmt w:val="lowerLetter"/>
      <w:start w:val="1"/>
    </w:lvl>
  </w:abstractNum>
  <w:abstractNum w:abstractNumId="9">
    <w:nsid w:val="5DC79EA8"/>
    <w:multiLevelType w:val="hybridMultilevel"/>
    <w:lvl w:ilvl="0">
      <w:lvlJc w:val="left"/>
      <w:lvlText w:val="%1"/>
      <w:numFmt w:val="lowerLetter"/>
      <w:start w:val="1"/>
    </w:lvl>
    <w:lvl w:ilvl="1">
      <w:lvlJc w:val="left"/>
      <w:lvlText w:val="(%2)"/>
      <w:numFmt w:val="lowerLetter"/>
      <w:start w:val="2"/>
    </w:lvl>
  </w:abstractNum>
  <w:abstractNum w:abstractNumId="10">
    <w:nsid w:val="540A471C"/>
    <w:multiLevelType w:val="hybridMultilevel"/>
    <w:lvl w:ilvl="0">
      <w:lvlJc w:val="left"/>
      <w:lvlText w:val="(%1)"/>
      <w:numFmt w:val="lowerLetter"/>
      <w:start w:val="4"/>
    </w:lvl>
    <w:lvl w:ilvl="1">
      <w:lvlJc w:val="left"/>
      <w:lvlText w:val="%2"/>
      <w:numFmt w:val="lowerLetter"/>
      <w:start w:val="1"/>
    </w:lvl>
  </w:abstractNum>
  <w:abstractNum w:abstractNumId="11">
    <w:nsid w:val="7BD3EE7B"/>
    <w:multiLevelType w:val="hybridMultilevel"/>
    <w:lvl w:ilvl="0">
      <w:lvlJc w:val="left"/>
      <w:lvlText w:val="%1"/>
      <w:numFmt w:val="lowerLetter"/>
      <w:start w:val="1"/>
    </w:lvl>
    <w:lvl w:ilvl="1">
      <w:lvlJc w:val="left"/>
      <w:lvlText w:val="(%2)"/>
      <w:numFmt w:val="lowerLetter"/>
      <w:start w:val="1"/>
    </w:lvl>
  </w:abstractNum>
  <w:abstractNum w:abstractNumId="12">
    <w:nsid w:val="51D9C564"/>
    <w:multiLevelType w:val="hybridMultilevel"/>
    <w:lvl w:ilvl="0">
      <w:lvlJc w:val="left"/>
      <w:lvlText w:val="(%1)"/>
      <w:numFmt w:val="lowerLetter"/>
      <w:start w:val="1"/>
    </w:lvl>
    <w:lvl w:ilvl="1">
      <w:lvlJc w:val="left"/>
      <w:lvlText w:val="%2"/>
      <w:numFmt w:val="lowerLetter"/>
      <w:start w:val="1"/>
    </w:lvl>
  </w:abstractNum>
  <w:abstractNum w:abstractNumId="13">
    <w:nsid w:val="613EFDC5"/>
    <w:multiLevelType w:val="hybridMultilevel"/>
    <w:lvl w:ilvl="0">
      <w:lvlJc w:val="left"/>
      <w:lvlText w:val="(%1)"/>
      <w:numFmt w:val="lowerLetter"/>
      <w:start w:val="3"/>
    </w:lvl>
  </w:abstractNum>
  <w:abstractNum w:abstractNumId="14">
    <w:nsid w:val="BF72B14"/>
    <w:multiLevelType w:val="hybridMultilevel"/>
    <w:lvl w:ilvl="0">
      <w:lvlJc w:val="left"/>
      <w:lvlText w:val="(%1)"/>
      <w:numFmt w:val="lowerLetter"/>
      <w:start w:val="1"/>
    </w:lvl>
  </w:abstractNum>
  <w:abstractNum w:abstractNumId="15">
    <w:nsid w:val="11447B73"/>
    <w:multiLevelType w:val="hybridMultilevel"/>
    <w:lvl w:ilvl="0">
      <w:lvlJc w:val="left"/>
      <w:lvlText w:val="(%1)"/>
      <w:numFmt w:val="lowerLetter"/>
      <w:start w:val="2"/>
    </w:lvl>
  </w:abstractNum>
  <w:abstractNum w:abstractNumId="16">
    <w:nsid w:val="42963E5A"/>
    <w:multiLevelType w:val="hybridMultilevel"/>
    <w:lvl w:ilvl="0">
      <w:lvlJc w:val="left"/>
      <w:lvlText w:val="(%1)"/>
      <w:numFmt w:val="lowerLetter"/>
      <w:start w:val="1"/>
    </w:lvl>
    <w:lvl w:ilvl="1">
      <w:lvlJc w:val="left"/>
      <w:lvlText w:val="(%2)"/>
      <w:numFmt w:val="lowerLetter"/>
      <w:start w:val="3"/>
    </w:lvl>
  </w:abstractNum>
  <w:abstractNum w:abstractNumId="17">
    <w:nsid w:val="A0382C5"/>
    <w:multiLevelType w:val="hybridMultilevel"/>
    <w:lvl w:ilvl="0">
      <w:lvlJc w:val="left"/>
      <w:lvlText w:val="(%1)"/>
      <w:numFmt w:val="lowerLetter"/>
      <w:start w:val="1"/>
    </w:lvl>
  </w:abstractNum>
  <w:abstractNum w:abstractNumId="18">
    <w:nsid w:val="8F2B15E"/>
    <w:multiLevelType w:val="hybridMultilevel"/>
    <w:lvl w:ilvl="0">
      <w:lvlJc w:val="left"/>
      <w:lvlText w:val="(%1)"/>
      <w:numFmt w:val="lowerLetter"/>
      <w:start w:val="1"/>
    </w:lvl>
  </w:abstractNum>
  <w:abstractNum w:abstractNumId="19">
    <w:nsid w:val="1A32234B"/>
    <w:multiLevelType w:val="hybridMultilevel"/>
    <w:lvl w:ilvl="0">
      <w:lvlJc w:val="left"/>
      <w:lvlText w:val="(%1)"/>
      <w:numFmt w:val="lowerLetter"/>
      <w:start w:val="1"/>
    </w:lvl>
  </w:abstractNum>
  <w:abstractNum w:abstractNumId="20">
    <w:nsid w:val="3B0FD379"/>
    <w:multiLevelType w:val="hybridMultilevel"/>
    <w:lvl w:ilvl="0">
      <w:lvlJc w:val="left"/>
      <w:lvlText w:val="(%1)"/>
      <w:numFmt w:val="lowerLetter"/>
      <w:start w:val="1"/>
    </w:lvl>
  </w:abstractNum>
  <w:abstractNum w:abstractNumId="21">
    <w:nsid w:val="68EB2F63"/>
    <w:multiLevelType w:val="hybridMultilevel"/>
    <w:lvl w:ilvl="0">
      <w:lvlJc w:val="left"/>
      <w:lvlText w:val="(%1)"/>
      <w:numFmt w:val="lowerLetter"/>
      <w:start w:val="3"/>
    </w:lvl>
    <w:lvl w:ilvl="1">
      <w:lvlJc w:val="left"/>
      <w:lvlText w:val="(%2)"/>
      <w:numFmt w:val="lowerLetter"/>
      <w:start w:val="1"/>
    </w:lvl>
  </w:abstractNum>
  <w:abstractNum w:abstractNumId="22">
    <w:nsid w:val="4962813B"/>
    <w:multiLevelType w:val="hybridMultilevel"/>
    <w:lvl w:ilvl="0">
      <w:lvlJc w:val="left"/>
      <w:lvlText w:val="(%1)"/>
      <w:numFmt w:val="lowerLetter"/>
      <w:start w:val="1"/>
    </w:lvl>
  </w:abstractNum>
  <w:abstractNum w:abstractNumId="23">
    <w:nsid w:val="60B6DF70"/>
    <w:multiLevelType w:val="hybridMultilevel"/>
    <w:lvl w:ilvl="0">
      <w:lvlJc w:val="left"/>
      <w:lvlText w:val="%1"/>
      <w:numFmt w:val="lowerLetter"/>
      <w:start w:val="1"/>
    </w:lvl>
    <w:lvl w:ilvl="1">
      <w:lvlJc w:val="left"/>
      <w:lvlText w:val="(%2)"/>
      <w:numFmt w:val="lowerLetter"/>
      <w:start w:val="1"/>
    </w:lvl>
  </w:abstractNum>
  <w:abstractNum w:abstractNumId="24">
    <w:nsid w:val="6A5EE64"/>
    <w:multiLevelType w:val="hybridMultilevel"/>
    <w:lvl w:ilvl="0">
      <w:lvlJc w:val="left"/>
      <w:lvlText w:val="(%1)"/>
      <w:numFmt w:val="lowerLetter"/>
      <w:start w:val="9"/>
    </w:lvl>
    <w:lvl w:ilvl="1">
      <w:lvlJc w:val="left"/>
      <w:lvlText w:val="(%2)"/>
      <w:numFmt w:val="lowerLetter"/>
      <w:start w:val="4"/>
    </w:lvl>
  </w:abstractNum>
  <w:abstractNum w:abstractNumId="25">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
    <w:nsid w:val="7FFFCA1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
    <w:nsid w:val="1A27709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8">
    <w:nsid w:val="71EA1109"/>
    <w:multiLevelType w:val="hybridMultilevel"/>
    <w:lvl w:ilvl="0">
      <w:lvlJc w:val="left"/>
      <w:lvlText w:val="(%1)"/>
      <w:numFmt w:val="lowerLetter"/>
      <w:start w:val="1"/>
    </w:lvl>
  </w:abstractNum>
  <w:abstractNum w:abstractNumId="29">
    <w:nsid w:val="100F59DC"/>
    <w:multiLevelType w:val="hybridMultilevel"/>
    <w:lvl w:ilvl="0">
      <w:lvlJc w:val="left"/>
      <w:lvlText w:val="(%1)"/>
      <w:numFmt w:val="lowerLetter"/>
      <w:start w:val="1"/>
    </w:lvl>
  </w:abstractNum>
  <w:abstractNum w:abstractNumId="30">
    <w:nsid w:val="7FB7E0AA"/>
    <w:multiLevelType w:val="hybridMultilevel"/>
    <w:lvl w:ilvl="0">
      <w:lvlJc w:val="left"/>
      <w:lvlText w:val="(%1)"/>
      <w:numFmt w:val="lowerLetter"/>
      <w:start w:val="2"/>
    </w:lvl>
  </w:abstractNum>
  <w:abstractNum w:abstractNumId="31">
    <w:nsid w:val="6EB5BD4"/>
    <w:multiLevelType w:val="hybridMultilevel"/>
    <w:lvl w:ilvl="0">
      <w:lvlJc w:val="left"/>
      <w:lvlText w:val="(%1)"/>
      <w:numFmt w:val="lowerLetter"/>
      <w:start w:val="1"/>
    </w:lvl>
    <w:lvl w:ilvl="1">
      <w:lvlJc w:val="left"/>
      <w:lvlText w:val="(%2)"/>
      <w:numFmt w:val="lowerRoman"/>
      <w:start w:val="1"/>
    </w:lvl>
  </w:abstractNum>
  <w:abstractNum w:abstractNumId="32">
    <w:nsid w:val="6F6DD9AC"/>
    <w:multiLevelType w:val="hybridMultilevel"/>
    <w:lvl w:ilvl="0">
      <w:lvlJc w:val="left"/>
      <w:lvlText w:val="(%1)"/>
      <w:numFmt w:val="lowerLetter"/>
      <w:start w:val="3"/>
    </w:lvl>
  </w:abstractNum>
  <w:abstractNum w:abstractNumId="33">
    <w:nsid w:val="94211F2"/>
    <w:multiLevelType w:val="hybridMultilevel"/>
    <w:lvl w:ilvl="0">
      <w:lvlJc w:val="left"/>
      <w:lvlText w:val="(%1)"/>
      <w:numFmt w:val="lowerLetter"/>
      <w:start w:val="1"/>
    </w:lvl>
  </w:abstractNum>
  <w:abstractNum w:abstractNumId="34">
    <w:nsid w:val="885E1B"/>
    <w:multiLevelType w:val="hybridMultilevel"/>
    <w:lvl w:ilvl="0">
      <w:lvlJc w:val="left"/>
      <w:lvlText w:val="(%1)"/>
      <w:numFmt w:val="lowerLetter"/>
      <w:start w:val="2"/>
    </w:lvl>
  </w:abstractNum>
  <w:abstractNum w:abstractNumId="35">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6">
    <w:nsid w:val="4C04A8AF"/>
    <w:multiLevelType w:val="hybridMultilevel"/>
    <w:lvl w:ilvl="0">
      <w:lvlJc w:val="left"/>
      <w:lvlText w:val="(%1)"/>
      <w:numFmt w:val="decimal"/>
      <w:start w:val="3"/>
    </w:lvl>
    <w:lvl w:ilvl="1">
      <w:lvlJc w:val="left"/>
      <w:lvlText w:val="(%2)"/>
      <w:numFmt w:val="lowerLetter"/>
      <w:start w:val="8"/>
    </w:lvl>
    <w:lvl w:ilvl="2">
      <w:lvlJc w:val="left"/>
      <w:lvlText w:val="(%3)"/>
      <w:numFmt w:val="lowerLetter"/>
      <w:start w:val="6"/>
    </w:lvl>
    <w:lvl w:ilvl="3">
      <w:lvlJc w:val="left"/>
      <w:lvlText w:val="(%4)"/>
      <w:numFmt w:val="lowerRoman"/>
      <w:start w:val="1"/>
    </w:lvl>
  </w:abstractNum>
  <w:abstractNum w:abstractNumId="37">
    <w:nsid w:val="1716703B"/>
    <w:multiLevelType w:val="hybridMultilevel"/>
    <w:lvl w:ilvl="0">
      <w:lvlJc w:val="left"/>
      <w:lvlText w:val="%1"/>
      <w:numFmt w:val="lowerLetter"/>
      <w:start w:val="1"/>
    </w:lvl>
    <w:lvl w:ilvl="1">
      <w:lvlJc w:val="left"/>
      <w:lvlText w:val="(%2)"/>
      <w:numFmt w:val="lowerLetter"/>
      <w:start w:val="9"/>
    </w:lvl>
  </w:abstractNum>
  <w:abstractNum w:abstractNumId="38">
    <w:nsid w:val="14E17E33"/>
    <w:multiLevelType w:val="hybridMultilevel"/>
    <w:lvl w:ilvl="0">
      <w:lvlJc w:val="left"/>
      <w:lvlText w:val="(%1)"/>
      <w:numFmt w:val="lowerLetter"/>
      <w:start w:val="9"/>
    </w:lvl>
    <w:lvl w:ilvl="1">
      <w:lvlJc w:val="left"/>
      <w:lvlText w:val="(%2)"/>
      <w:numFmt w:val="lowerLetter"/>
      <w:start w:val="12"/>
    </w:lvl>
  </w:abstractNum>
  <w:abstractNum w:abstractNumId="39">
    <w:nsid w:val="3222E7CD"/>
    <w:multiLevelType w:val="hybridMultilevel"/>
    <w:lvl w:ilvl="0">
      <w:lvlJc w:val="left"/>
      <w:lvlText w:val="(%1)"/>
      <w:numFmt w:val="lowerLetter"/>
      <w:start w:val="1"/>
    </w:lvl>
  </w:abstractNum>
  <w:abstractNum w:abstractNumId="40">
    <w:nsid w:val="74DE0EE3"/>
    <w:multiLevelType w:val="hybridMultilevel"/>
    <w:lvl w:ilvl="0">
      <w:lvlJc w:val="left"/>
      <w:lvlText w:val="(%1)"/>
      <w:numFmt w:val="lowerLetter"/>
      <w:start w:val="1"/>
    </w:lvl>
    <w:lvl w:ilvl="1">
      <w:lvlJc w:val="left"/>
      <w:lvlText w:val="(%2)"/>
      <w:numFmt w:val="lowerLetter"/>
      <w:start w:val="9"/>
    </w:lvl>
  </w:abstractNum>
  <w:abstractNum w:abstractNumId="41">
    <w:nsid w:val="68EBC550"/>
    <w:multiLevelType w:val="hybridMultilevel"/>
    <w:lvl w:ilvl="0">
      <w:lvlJc w:val="left"/>
      <w:lvlText w:val="%1"/>
      <w:numFmt w:val="lowerLetter"/>
      <w:start w:val="1"/>
    </w:lvl>
    <w:lvl w:ilvl="1">
      <w:lvlJc w:val="left"/>
      <w:lvlText w:val="(%2)"/>
      <w:numFmt w:val="lowerRoman"/>
      <w:start w:val="2"/>
    </w:lvl>
  </w:abstractNum>
  <w:abstractNum w:abstractNumId="42">
    <w:nsid w:val="2DF6D648"/>
    <w:multiLevelType w:val="hybridMultilevel"/>
    <w:lvl w:ilvl="0">
      <w:lvlJc w:val="left"/>
      <w:lvlText w:val="(%1)"/>
      <w:numFmt w:val="lowerLetter"/>
      <w:start w:val="2"/>
    </w:lvl>
    <w:lvl w:ilvl="1">
      <w:lvlJc w:val="left"/>
      <w:lvlText w:val="(%2)"/>
      <w:numFmt w:val="lowerRoman"/>
      <w:start w:val="1"/>
    </w:lvl>
  </w:abstractNum>
  <w:abstractNum w:abstractNumId="43">
    <w:nsid w:val="46B7D447"/>
    <w:multiLevelType w:val="hybridMultilevel"/>
    <w:lvl w:ilvl="0">
      <w:lvlJc w:val="left"/>
      <w:lvlText w:val="(%1)"/>
      <w:numFmt w:val="lowerRoman"/>
      <w:start w:val="4"/>
    </w:lvl>
  </w:abstractNum>
  <w:abstractNum w:abstractNumId="44">
    <w:nsid w:val="4A2AC315"/>
    <w:multiLevelType w:val="hybridMultilevel"/>
    <w:lvl w:ilvl="0">
      <w:lvlJc w:val="left"/>
      <w:lvlText w:val="(%1)"/>
      <w:numFmt w:val="lowerLetter"/>
      <w:start w:val="1"/>
    </w:lvl>
  </w:abstractNum>
  <w:abstractNum w:abstractNumId="45">
    <w:nsid w:val="39EE015C"/>
    <w:multiLevelType w:val="hybridMultilevel"/>
    <w:lvl w:ilvl="0">
      <w:lvlJc w:val="left"/>
      <w:lvlText w:val="(%1)"/>
      <w:numFmt w:val="lowerLetter"/>
      <w:start w:val="3"/>
    </w:lvl>
  </w:abstractNum>
  <w:abstractNum w:abstractNumId="46">
    <w:nsid w:val="57FC4FBB"/>
    <w:multiLevelType w:val="hybridMultilevel"/>
    <w:lvl w:ilvl="0">
      <w:lvlJc w:val="left"/>
      <w:lvlText w:val="%1"/>
      <w:numFmt w:val="lowerRoman"/>
      <w:start w:val="1"/>
    </w:lvl>
    <w:lvl w:ilvl="1">
      <w:lvlJc w:val="left"/>
      <w:lvlText w:val="(%2)"/>
      <w:numFmt w:val="lowerLetter"/>
      <w:start w:val="1"/>
    </w:lvl>
  </w:abstractNum>
  <w:abstractNum w:abstractNumId="47">
    <w:nsid w:val="CC1016F"/>
    <w:multiLevelType w:val="hybridMultilevel"/>
    <w:lvl w:ilvl="0">
      <w:lvlJc w:val="left"/>
      <w:lvlText w:val="(%1)"/>
      <w:numFmt w:val="lowerRoman"/>
      <w:start w:val="4"/>
    </w:lvl>
    <w:lvl w:ilvl="1">
      <w:lvlJc w:val="left"/>
      <w:lvlText w:val="(%2)"/>
      <w:numFmt w:val="lowerLetter"/>
      <w:start w:val="2"/>
    </w:lvl>
  </w:abstractNum>
  <w:abstractNum w:abstractNumId="48">
    <w:nsid w:val="43F18422"/>
    <w:multiLevelType w:val="hybridMultilevel"/>
    <w:lvl w:ilvl="0">
      <w:lvlJc w:val="left"/>
      <w:lvlText w:val="(%1)"/>
      <w:numFmt w:val="lowerLetter"/>
      <w:start w:val="1"/>
    </w:lvl>
  </w:abstractNum>
  <w:abstractNum w:abstractNumId="49">
    <w:nsid w:val="60EF0119"/>
    <w:multiLevelType w:val="hybridMultilevel"/>
    <w:lvl w:ilvl="0">
      <w:lvlJc w:val="left"/>
      <w:lvlText w:val="(%1)"/>
      <w:numFmt w:val="lowerLetter"/>
      <w:start w:val="2"/>
    </w:lvl>
  </w:abstractNum>
  <w:abstractNum w:abstractNumId="50">
    <w:nsid w:val="26F324BA"/>
    <w:multiLevelType w:val="hybridMultilevel"/>
    <w:lvl w:ilvl="0">
      <w:lvlJc w:val="left"/>
      <w:lvlText w:val="(%1)"/>
      <w:numFmt w:val="lowerLetter"/>
      <w:start w:val="1"/>
    </w:lvl>
  </w:abstractNum>
  <w:abstractNum w:abstractNumId="51">
    <w:nsid w:val="7F01579B"/>
    <w:multiLevelType w:val="hybridMultilevel"/>
    <w:lvl w:ilvl="0">
      <w:lvlJc w:val="left"/>
      <w:lvlText w:val="(%1)"/>
      <w:numFmt w:val="lowerLetter"/>
      <w:start w:val="4"/>
    </w:lvl>
  </w:abstractNum>
  <w:abstractNum w:abstractNumId="52">
    <w:nsid w:val="49DA307D"/>
    <w:multiLevelType w:val="hybridMultilevel"/>
    <w:lvl w:ilvl="0">
      <w:lvlJc w:val="left"/>
      <w:lvlText w:val="1"/>
      <w:numFmt w:val="bullet"/>
      <w:start w:val="1"/>
    </w:lvl>
  </w:abstractNum>
  <w:abstractNum w:abstractNumId="53">
    <w:nsid w:val="7055A5F5"/>
    <w:multiLevelType w:val="hybridMultilevel"/>
    <w:lvl w:ilvl="0">
      <w:lvlJc w:val="left"/>
      <w:lvlText w:val="(%1)"/>
      <w:numFmt w:val="decimal"/>
      <w:start w:val="1"/>
    </w:lvl>
  </w:abstractNum>
  <w:abstractNum w:abstractNumId="54">
    <w:nsid w:val="5FB8370B"/>
    <w:multiLevelType w:val="hybridMultilevel"/>
    <w:lvl w:ilvl="0">
      <w:lvlJc w:val="left"/>
      <w:lvlText w:val="%1."/>
      <w:numFmt w:val="decimal"/>
      <w:start w:val="1"/>
    </w:lvl>
  </w:abstractNum>
  <w:abstractNum w:abstractNumId="55">
    <w:nsid w:val="50801EE1"/>
    <w:multiLevelType w:val="hybridMultilevel"/>
    <w:lvl w:ilvl="0">
      <w:lvlJc w:val="left"/>
      <w:lvlText w:val="%1."/>
      <w:numFmt w:val="decimal"/>
      <w:start w:val="2"/>
    </w:lvl>
  </w:abstractNum>
  <w:abstractNum w:abstractNumId="56">
    <w:nsid w:val="488AC1A"/>
    <w:multiLevelType w:val="hybridMultilevel"/>
    <w:lvl w:ilvl="0">
      <w:lvlJc w:val="left"/>
      <w:lvlText w:val="%1."/>
      <w:numFmt w:val="decimal"/>
      <w:start w:val="3"/>
    </w:lvl>
  </w:abstractNum>
  <w:abstractNum w:abstractNumId="57">
    <w:nsid w:val="5FB8011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6AA78F7F"/>
    <w:multiLevelType w:val="hybridMultilevel"/>
    <w:lvl w:ilvl="0">
      <w:lvlJc w:val="left"/>
      <w:lvlText w:val="(%1)"/>
      <w:numFmt w:val="lowerRoman"/>
      <w:start w:val="3"/>
    </w:lvl>
  </w:abstractNum>
  <w:abstractNum w:abstractNumId="59">
    <w:nsid w:val="7672BD23"/>
    <w:multiLevelType w:val="hybridMultilevel"/>
    <w:lvl w:ilvl="0">
      <w:lvlJc w:val="left"/>
      <w:lvlText w:val="(%1)"/>
      <w:numFmt w:val="lowerLetter"/>
      <w:start w:val="3"/>
    </w:lvl>
  </w:abstractNum>
  <w:abstractNum w:abstractNumId="60">
    <w:nsid w:val="6FC75AF8"/>
    <w:multiLevelType w:val="hybridMultilevel"/>
    <w:lvl w:ilvl="0">
      <w:lvlJc w:val="left"/>
      <w:lvlText w:val="%1."/>
      <w:numFmt w:val="decimal"/>
      <w:start w:val="5"/>
    </w:lvl>
    <w:lvl w:ilvl="1">
      <w:lvlJc w:val="left"/>
      <w:lvlText w:val="(%2)"/>
      <w:numFmt w:val="lowerLetter"/>
      <w:start w:val="1"/>
    </w:lvl>
  </w:abstractNum>
  <w:abstractNum w:abstractNumId="61">
    <w:nsid w:val="6A5F7029"/>
    <w:multiLevelType w:val="hybridMultilevel"/>
    <w:lvl w:ilvl="0">
      <w:lvlJc w:val="left"/>
      <w:lvlText w:val="%1."/>
      <w:numFmt w:val="decimal"/>
      <w:start w:val="7"/>
    </w:lvl>
  </w:abstractNum>
  <w:abstractNum w:abstractNumId="62">
    <w:nsid w:val="7D5E18F8"/>
    <w:multiLevelType w:val="hybridMultilevel"/>
    <w:lvl w:ilvl="0">
      <w:lvlJc w:val="left"/>
      <w:lvlText w:val="%1."/>
      <w:numFmt w:val="decimal"/>
      <w:start w:val="8"/>
    </w:lvl>
  </w:abstractNum>
  <w:abstractNum w:abstractNumId="63">
    <w:nsid w:val="5F3534A4"/>
    <w:multiLevelType w:val="hybridMultilevel"/>
    <w:lvl w:ilvl="0">
      <w:lvlJc w:val="left"/>
      <w:lvlText w:val="%1."/>
      <w:numFmt w:val="decimal"/>
      <w:start w:val="9"/>
    </w:lvl>
  </w:abstractNum>
  <w:abstractNum w:abstractNumId="64">
    <w:nsid w:val="73A1821B"/>
    <w:multiLevelType w:val="hybridMultilevel"/>
    <w:lvl w:ilvl="0">
      <w:lvlJc w:val="left"/>
      <w:lvlText w:val="%1."/>
      <w:numFmt w:val="decimal"/>
      <w:start w:val="10"/>
    </w:lvl>
  </w:abstractNum>
  <w:abstractNum w:abstractNumId="65">
    <w:nsid w:val="7DE67713"/>
    <w:multiLevelType w:val="hybridMultilevel"/>
    <w:lvl w:ilvl="0">
      <w:lvlJc w:val="left"/>
      <w:lvlText w:val="%1."/>
      <w:numFmt w:val="decimal"/>
      <w:start w:val="11"/>
    </w:lvl>
  </w:abstractNum>
  <w:abstractNum w:abstractNumId="66">
    <w:nsid w:val="555C55B5"/>
    <w:multiLevelType w:val="hybridMultilevel"/>
    <w:lvl w:ilvl="0">
      <w:lvlJc w:val="left"/>
      <w:lvlText w:val="%1."/>
      <w:numFmt w:val="decimal"/>
      <w:start w:val="12"/>
    </w:lvl>
  </w:abstractNum>
  <w:abstractNum w:abstractNumId="67">
    <w:nsid w:val="3FA62ACA"/>
    <w:multiLevelType w:val="hybridMultilevel"/>
    <w:lvl w:ilvl="0">
      <w:lvlJc w:val="left"/>
      <w:lvlText w:val="%1."/>
      <w:numFmt w:val="decimal"/>
      <w:start w:val="13"/>
    </w:lvl>
  </w:abstractNum>
  <w:abstractNum w:abstractNumId="68">
    <w:nsid w:val="14FCE74E"/>
    <w:multiLevelType w:val="hybridMultilevel"/>
    <w:lvl w:ilvl="0">
      <w:lvlJc w:val="left"/>
      <w:lvlText w:val="%1."/>
      <w:numFmt w:val="decimal"/>
      <w:start w:val="1"/>
    </w:lvl>
  </w:abstractNum>
  <w:abstractNum w:abstractNumId="69">
    <w:nsid w:val="6A3DD3E8"/>
    <w:multiLevelType w:val="hybridMultilevel"/>
    <w:lvl w:ilvl="0">
      <w:lvlJc w:val="left"/>
      <w:lvlText w:val="%1."/>
      <w:numFmt w:val="decimal"/>
      <w:start w:val="9"/>
    </w:lvl>
  </w:abstractNum>
  <w:abstractNum w:abstractNumId="70">
    <w:nsid w:val="71C91298"/>
    <w:multiLevelType w:val="hybridMultilevel"/>
    <w:lvl w:ilvl="0">
      <w:lvlJc w:val="left"/>
      <w:lvlText w:val="2"/>
      <w:numFmt w:val="bullet"/>
      <w:start w:val="1"/>
    </w:lvl>
  </w:abstractNum>
  <w:abstractNum w:abstractNumId="71">
    <w:nsid w:val="9DAF632"/>
    <w:multiLevelType w:val="hybridMultilevel"/>
    <w:lvl w:ilvl="0">
      <w:lvlJc w:val="left"/>
      <w:lvlText w:val="1"/>
      <w:numFmt w:val="bullet"/>
      <w:start w:val="1"/>
    </w:lvl>
  </w:abstractNum>
  <w:abstractNum w:abstractNumId="72">
    <w:nsid w:val="53299938"/>
    <w:multiLevelType w:val="hybridMultilevel"/>
    <w:lvl w:ilvl="0">
      <w:lvlJc w:val="left"/>
      <w:lvlText w:val="o"/>
      <w:numFmt w:val="bullet"/>
      <w:start w:val="1"/>
    </w:lvl>
  </w:abstractNum>
  <w:abstractNum w:abstractNumId="73">
    <w:nsid w:val="1FBFE8E0"/>
    <w:multiLevelType w:val="hybridMultilevel"/>
    <w:lvl w:ilvl="0">
      <w:lvlJc w:val="left"/>
      <w:lvlText w:val="5"/>
      <w:numFmt w:val="bullet"/>
      <w:start w:val="1"/>
    </w:lvl>
  </w:abstractNum>
  <w:abstractNum w:abstractNumId="74">
    <w:nsid w:val="5092CA79"/>
    <w:multiLevelType w:val="hybridMultilevel"/>
    <w:lvl w:ilvl="0">
      <w:lvlJc w:val="left"/>
      <w:lvlText w:val="1"/>
      <w:numFmt w:val="bullet"/>
      <w:start w:val="1"/>
    </w:lvl>
  </w:abstractNum>
  <w:abstractNum w:abstractNumId="75">
    <w:nsid w:val="1D545C4D"/>
    <w:multiLevelType w:val="hybridMultilevel"/>
    <w:lvl w:ilvl="0">
      <w:lvlJc w:val="left"/>
      <w:lvlText w:val="%1."/>
      <w:numFmt w:val="decimal"/>
      <w:start w:val="1"/>
    </w:lvl>
  </w:abstractNum>
  <w:abstractNum w:abstractNumId="76">
    <w:nsid w:val="59ADEA3D"/>
    <w:multiLevelType w:val="hybridMultilevel"/>
    <w:lvl w:ilvl="0">
      <w:lvlJc w:val="left"/>
      <w:lvlText w:val="%1."/>
      <w:numFmt w:val="decimal"/>
      <w:start w:val="2"/>
    </w:lvl>
    <w:lvl w:ilvl="1">
      <w:lvlJc w:val="left"/>
      <w:lvlText w:val="%2"/>
      <w:numFmt w:val="lowerLetter"/>
      <w:start w:val="1"/>
    </w:lvl>
  </w:abstractNum>
  <w:abstractNum w:abstractNumId="77">
    <w:nsid w:val="288F1A34"/>
    <w:multiLevelType w:val="hybridMultilevel"/>
    <w:lvl w:ilvl="0">
      <w:lvlJc w:val="left"/>
      <w:lvlText w:val="%1."/>
      <w:numFmt w:val="lowerLetter"/>
      <w:start w:val="2"/>
    </w:lvl>
  </w:abstractNum>
  <w:abstractNum w:abstractNumId="78">
    <w:nsid w:val="2A155DBC"/>
    <w:multiLevelType w:val="hybridMultilevel"/>
    <w:lvl w:ilvl="0">
      <w:lvlJc w:val="left"/>
      <w:lvlText w:val="%1."/>
      <w:numFmt w:val="decimal"/>
      <w:start w:val="3"/>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decimal"/>
      <w:start w:val="1"/>
    </w:lvl>
    <w:lvl w:ilvl="1">
      <w:lvlJc w:val="left"/>
      <w:lvlText w:val="(%2)"/>
      <w:numFmt w:val="lowerRoman"/>
      <w:start w:val="8"/>
    </w:lvl>
  </w:abstractNum>
  <w:abstractNum w:abstractNumId="81">
    <w:nsid w:val="51088277"/>
    <w:multiLevelType w:val="hybridMultilevel"/>
    <w:lvl w:ilvl="0">
      <w:lvlJc w:val="left"/>
      <w:lvlText w:val="%1"/>
      <w:numFmt w:val="decimal"/>
      <w:start w:val="1"/>
    </w:lvl>
    <w:lvl w:ilvl="1">
      <w:lvlJc w:val="left"/>
      <w:lvlText w:val="(%2)"/>
      <w:numFmt w:val="lowerRoman"/>
      <w:start w:val="3"/>
    </w:lvl>
  </w:abstractNum>
  <w:abstractNum w:abstractNumId="82">
    <w:nsid w:val="1CA0C5FA"/>
    <w:multiLevelType w:val="hybridMultilevel"/>
    <w:lvl w:ilvl="0">
      <w:lvlJc w:val="left"/>
      <w:lvlText w:val="%1."/>
      <w:numFmt w:val="decimal"/>
      <w:start w:val="4"/>
    </w:lvl>
    <w:lvl w:ilvl="1">
      <w:lvlJc w:val="left"/>
      <w:lvlText w:val="%2"/>
      <w:numFmt w:val="lowerRoman"/>
      <w:start w:val="1"/>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lowerLetter"/>
      <w:start w:val="2"/>
    </w:lvl>
  </w:abstractNum>
  <w:abstractNum w:abstractNumId="85">
    <w:nsid w:val="7C58FD05"/>
    <w:multiLevelType w:val="hybridMultilevel"/>
    <w:lvl w:ilvl="0">
      <w:lvlJc w:val="left"/>
      <w:lvlText w:val="(%1)"/>
      <w:numFmt w:val="lowerRoman"/>
      <w:start w:val="3"/>
    </w:lvl>
  </w:abstractNum>
  <w:abstractNum w:abstractNumId="86">
    <w:nsid w:val="23D86AA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87">
    <w:nsid w:val="45E6D486"/>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88">
    <w:nsid w:val="5C10FE21"/>
    <w:multiLevelType w:val="hybridMultilevel"/>
    <w:lvl w:ilvl="0">
      <w:lvlJc w:val="left"/>
      <w:lvlText w:val="%1."/>
      <w:numFmt w:val="decimal"/>
      <w:start w:val="6"/>
    </w:lvl>
    <w:lvl w:ilvl="1">
      <w:lvlJc w:val="left"/>
      <w:lvlText w:val="%2"/>
      <w:numFmt w:val="lowerLetter"/>
      <w:start w:val="1"/>
    </w:lvl>
  </w:abstractNum>
  <w:abstractNum w:abstractNumId="89">
    <w:nsid w:val="E7FFA2B"/>
    <w:multiLevelType w:val="hybridMultilevel"/>
    <w:lvl w:ilvl="0">
      <w:lvlJc w:val="left"/>
      <w:lvlText w:val="%1."/>
      <w:numFmt w:val="lowerLetter"/>
      <w:start w:val="2"/>
    </w:lvl>
  </w:abstractNum>
  <w:abstractNum w:abstractNumId="90">
    <w:nsid w:val="3C5991AA"/>
    <w:multiLevelType w:val="hybridMultilevel"/>
    <w:lvl w:ilvl="0">
      <w:lvlJc w:val="left"/>
      <w:lvlText w:val="%1."/>
      <w:numFmt w:val="decimal"/>
      <w:start w:val="7"/>
    </w:lvl>
    <w:lvl w:ilvl="1">
      <w:lvlJc w:val="left"/>
      <w:lvlText w:val="%2."/>
      <w:numFmt w:val="lowerLetter"/>
      <w:start w:val="1"/>
    </w:lvl>
  </w:abstractNum>
  <w:abstractNum w:abstractNumId="91">
    <w:nsid w:val="4BD8591A"/>
    <w:multiLevelType w:val="hybridMultilevel"/>
    <w:lvl w:ilvl="0">
      <w:lvlJc w:val="left"/>
      <w:lvlText w:val="%1"/>
      <w:numFmt w:val="decimal"/>
      <w:start w:val="1"/>
    </w:lvl>
    <w:lvl w:ilvl="1">
      <w:lvlJc w:val="left"/>
      <w:lvlText w:val="%2."/>
      <w:numFmt w:val="lowerLetter"/>
      <w:start w:val="3"/>
    </w:lvl>
  </w:abstractNum>
  <w:abstractNum w:abstractNumId="92">
    <w:nsid w:val="78DF6A55"/>
    <w:multiLevelType w:val="hybridMultilevel"/>
    <w:lvl w:ilvl="0">
      <w:lvlJc w:val="left"/>
      <w:lvlText w:val="%1."/>
      <w:numFmt w:val="decimal"/>
      <w:start w:val="8"/>
    </w:lvl>
    <w:lvl w:ilvl="1">
      <w:lvlJc w:val="left"/>
      <w:lvlText w:val="%2."/>
      <w:numFmt w:val="lowerLetter"/>
      <w:start w:val="1"/>
    </w:lvl>
  </w:abstractNum>
  <w:abstractNum w:abstractNumId="93">
    <w:nsid w:val="39B7AAA2"/>
    <w:multiLevelType w:val="hybridMultilevel"/>
    <w:lvl w:ilvl="0">
      <w:lvlJc w:val="left"/>
      <w:lvlText w:val="(%1)"/>
      <w:numFmt w:val="lowerLetter"/>
      <w:start w:val="1"/>
    </w:lvl>
  </w:abstractNum>
  <w:abstractNum w:abstractNumId="94">
    <w:nsid w:val="2B0D8DBE"/>
    <w:multiLevelType w:val="hybridMultilevel"/>
    <w:lvl w:ilvl="0">
      <w:lvlJc w:val="left"/>
      <w:lvlText w:val="(%1)"/>
      <w:numFmt w:val="lowerLetter"/>
      <w:start w:val="9"/>
    </w:lvl>
  </w:abstractNum>
  <w:abstractNum w:abstractNumId="95">
    <w:nsid w:val="6C80EC70"/>
    <w:multiLevelType w:val="hybridMultilevel"/>
    <w:lvl w:ilvl="0">
      <w:lvlJc w:val="left"/>
      <w:lvlText w:val="%1"/>
      <w:numFmt w:val="upperLetter"/>
      <w:start w:val="35"/>
    </w:lvl>
  </w:abstractNum>
  <w:abstractNum w:abstractNumId="96">
    <w:nsid w:val="379E21B5"/>
    <w:multiLevelType w:val="hybridMultilevel"/>
    <w:lvl w:ilvl="0">
      <w:lvlJc w:val="left"/>
      <w:lvlText w:val="(%1)"/>
      <w:numFmt w:val="lowerLetter"/>
      <w:start w:val="1"/>
    </w:lvl>
    <w:lvl w:ilvl="1">
      <w:lvlJc w:val="left"/>
      <w:lvlText w:val="(%2)"/>
      <w:numFmt w:val="lowerRoman"/>
      <w:start w:val="1"/>
    </w:lvl>
  </w:abstractNum>
  <w:abstractNum w:abstractNumId="97">
    <w:nsid w:val="69E373"/>
    <w:multiLevelType w:val="hybridMultilevel"/>
    <w:lvl w:ilvl="0">
      <w:lvlJc w:val="left"/>
      <w:lvlText w:val="(%1)"/>
      <w:numFmt w:val="lowerRoman"/>
      <w:start w:val="6"/>
    </w:lvl>
  </w:abstractNum>
  <w:abstractNum w:abstractNumId="98">
    <w:nsid w:val="2C27173B"/>
    <w:multiLevelType w:val="hybridMultilevel"/>
    <w:lvl w:ilvl="0">
      <w:lvlJc w:val="left"/>
      <w:lvlText w:val="(%1)"/>
      <w:numFmt w:val="lowerRoman"/>
      <w:start w:val="13"/>
    </w:lvl>
  </w:abstractNum>
  <w:abstractNum w:abstractNumId="99">
    <w:nsid w:val="4C9B0904"/>
    <w:multiLevelType w:val="hybridMultilevel"/>
    <w:lvl w:ilvl="0">
      <w:lvlJc w:val="left"/>
      <w:lvlText w:val="(%1)"/>
      <w:numFmt w:val="lowerRoman"/>
      <w:start w:val="23"/>
    </w:lvl>
  </w:abstractNum>
  <w:abstractNum w:abstractNumId="100">
    <w:nsid w:val="6AA7B75C"/>
    <w:multiLevelType w:val="hybridMultilevel"/>
    <w:lvl w:ilvl="0">
      <w:lvlJc w:val="left"/>
      <w:lvlText w:val="(%1)"/>
      <w:numFmt w:val="lowerLetter"/>
      <w:start w:val="2"/>
    </w:lvl>
  </w:abstractNum>
  <w:abstractNum w:abstractNumId="101">
    <w:nsid w:val="1DF029D3"/>
    <w:multiLevelType w:val="hybridMultilevel"/>
    <w:lvl w:ilvl="0">
      <w:lvlJc w:val="left"/>
      <w:lvlText w:val="(%1)"/>
      <w:numFmt w:val="lowerLetter"/>
      <w:start w:val="1"/>
    </w:lvl>
  </w:abstractNum>
  <w:abstractNum w:abstractNumId="102">
    <w:nsid w:val="5675FF36"/>
    <w:multiLevelType w:val="hybridMultilevel"/>
    <w:lvl w:ilvl="0">
      <w:lvlJc w:val="left"/>
      <w:lvlText w:val="(%1)"/>
      <w:numFmt w:val="lowerLetter"/>
      <w:start w:val="1"/>
    </w:lvl>
  </w:abstractNum>
  <w:abstractNum w:abstractNumId="103">
    <w:nsid w:val="3DD15094"/>
    <w:multiLevelType w:val="hybridMultilevel"/>
    <w:lvl w:ilvl="0">
      <w:lvlJc w:val="left"/>
      <w:lvlText w:val="(%1)"/>
      <w:numFmt w:val="lowerLetter"/>
      <w:start w:val="3"/>
    </w:lvl>
  </w:abstractNum>
  <w:abstractNum w:abstractNumId="104">
    <w:nsid w:val="3DB012B3"/>
    <w:multiLevelType w:val="hybridMultilevel"/>
    <w:lvl w:ilvl="0">
      <w:lvlJc w:val="left"/>
      <w:lvlText w:val="(%1)"/>
      <w:numFmt w:val="lowerLetter"/>
      <w:start w:val="1"/>
    </w:lvl>
  </w:abstractNum>
  <w:abstractNum w:abstractNumId="105">
    <w:nsid w:val="2708C9AF"/>
    <w:multiLevelType w:val="hybridMultilevel"/>
    <w:lvl w:ilvl="0">
      <w:lvlJc w:val="left"/>
      <w:lvlText w:val="(%1)"/>
      <w:numFmt w:val="lowerLetter"/>
      <w:start w:val="6"/>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1)"/>
      <w:numFmt w:val="lowerLetter"/>
      <w:start w:val="5"/>
    </w:lvl>
  </w:abstractNum>
  <w:abstractNum w:abstractNumId="108">
    <w:nsid w:val="4F97E3E4"/>
    <w:multiLevelType w:val="hybridMultilevel"/>
    <w:lvl w:ilvl="0">
      <w:lvlJc w:val="left"/>
      <w:lvlText w:val="(%1)"/>
      <w:numFmt w:val="lowerLetter"/>
      <w:start w:val="1"/>
    </w:lvl>
  </w:abstractNum>
  <w:abstractNum w:abstractNumId="109">
    <w:nsid w:val="53B0A9E"/>
    <w:multiLevelType w:val="hybridMultilevel"/>
    <w:lvl w:ilvl="0">
      <w:lvlJc w:val="left"/>
      <w:lvlText w:val="(%1)"/>
      <w:numFmt w:val="lowerLetter"/>
      <w:start w:val="1"/>
    </w:lvl>
    <w:lvl w:ilvl="1">
      <w:lvlJc w:val="left"/>
      <w:lvlText w:val="(%2)"/>
      <w:numFmt w:val="lowerRoman"/>
      <w:start w:val="1"/>
    </w:lvl>
  </w:abstractNum>
  <w:abstractNum w:abstractNumId="110">
    <w:nsid w:val="34FD6B4F"/>
    <w:multiLevelType w:val="hybridMultilevel"/>
    <w:lvl w:ilvl="0">
      <w:lvlJc w:val="left"/>
      <w:lvlText w:val="(%1)"/>
      <w:numFmt w:val="lowerLetter"/>
      <w:start w:val="4"/>
    </w:lvl>
    <w:lvl w:ilvl="1">
      <w:lvlJc w:val="left"/>
      <w:lvlText w:val="(%2)"/>
      <w:numFmt w:val="lowerRoman"/>
      <w:start w:val="1"/>
    </w:lvl>
  </w:abstractNum>
  <w:abstractNum w:abstractNumId="111">
    <w:nsid w:val="5915FF32"/>
    <w:multiLevelType w:val="hybridMultilevel"/>
    <w:lvl w:ilvl="0">
      <w:lvlJc w:val="left"/>
      <w:lvlText w:val="(%1)"/>
      <w:numFmt w:val="lowerLetter"/>
      <w:start w:val="5"/>
    </w:lvl>
  </w:abstractNum>
  <w:abstractNum w:abstractNumId="112">
    <w:nsid w:val="56438D15"/>
    <w:multiLevelType w:val="hybridMultilevel"/>
    <w:lvl w:ilvl="0">
      <w:lvlJc w:val="left"/>
      <w:lvlText w:val="(%1)"/>
      <w:numFmt w:val="lowerLetter"/>
      <w:start w:val="9"/>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lowerLetter"/>
      <w:start w:val="1"/>
    </w:lvl>
  </w:abstractNum>
  <w:abstractNum w:abstractNumId="115">
    <w:nsid w:val="17A1B582"/>
    <w:multiLevelType w:val="hybridMultilevel"/>
    <w:lvl w:ilvl="0">
      <w:lvlJc w:val="left"/>
      <w:lvlText w:val="(%1)"/>
      <w:numFmt w:val="lowerRoman"/>
      <w:start w:val="1"/>
    </w:lvl>
  </w:abstractNum>
  <w:abstractNum w:abstractNumId="116">
    <w:nsid w:val="4DF72E4E"/>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2"/>
    </w:lvl>
  </w:abstractNum>
  <w:abstractNum w:abstractNumId="117">
    <w:nsid w:val="5046B5A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8">
    <w:nsid w:val="5D888A08"/>
    <w:multiLevelType w:val="hybridMultilevel"/>
    <w:lvl w:ilvl="0">
      <w:lvlJc w:val="left"/>
      <w:lvlText w:val="(%1)"/>
      <w:numFmt w:val="lowerLetter"/>
      <w:start w:val="1"/>
    </w:lvl>
  </w:abstractNum>
  <w:abstractNum w:abstractNumId="119">
    <w:nsid w:val="2A082C70"/>
    <w:multiLevelType w:val="hybridMultilevel"/>
    <w:lvl w:ilvl="0">
      <w:lvlJc w:val="left"/>
      <w:lvlText w:val="(%1)"/>
      <w:numFmt w:val="lowerLetter"/>
      <w:start w:val="1"/>
    </w:lvl>
  </w:abstractNum>
  <w:abstractNum w:abstractNumId="120">
    <w:nsid w:val="5EC6AFD4"/>
    <w:multiLevelType w:val="hybridMultilevel"/>
    <w:lvl w:ilvl="0">
      <w:lvlJc w:val="left"/>
      <w:lvlText w:val="(%1)"/>
      <w:numFmt w:val="lowerLetter"/>
      <w:start w:val="4"/>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Letter"/>
      <w:start w:val="1"/>
    </w:lvl>
    <w:lvl w:ilvl="1">
      <w:lvlJc w:val="left"/>
      <w:lvlText w:val="(%2)"/>
      <w:numFmt w:val="lowerRoman"/>
      <w:start w:val="1"/>
    </w:lvl>
  </w:abstractNum>
  <w:abstractNum w:abstractNumId="124">
    <w:nsid w:val="5399C654"/>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2"/>
    </w:lvl>
  </w:abstractNum>
  <w:abstractNum w:abstractNumId="125">
    <w:nsid w:val="20EE13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6">
    <w:nsid w:val="4427069A"/>
    <w:multiLevelType w:val="hybridMultilevel"/>
    <w:lvl w:ilvl="0">
      <w:lvlJc w:val="left"/>
      <w:lvlText w:val="(%1)"/>
      <w:numFmt w:val="lowerLetter"/>
      <w:start w:val="1"/>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4"/>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lowerLetter"/>
      <w:start w:val="1"/>
    </w:lvl>
  </w:abstractNum>
  <w:abstractNum w:abstractNumId="131">
    <w:nsid w:val="BFFAE18"/>
    <w:multiLevelType w:val="hybridMultilevel"/>
    <w:lvl w:ilvl="0">
      <w:lvlJc w:val="left"/>
      <w:lvlText w:val="%1."/>
      <w:numFmt w:val="upperLetter"/>
      <w:start w:val="1"/>
    </w:lvl>
  </w:abstractNum>
  <w:abstractNum w:abstractNumId="132">
    <w:nsid w:val="E3E47A8"/>
    <w:multiLevelType w:val="hybridMultilevel"/>
    <w:lvl w:ilvl="0">
      <w:lvlJc w:val="left"/>
      <w:lvlText w:val="%1."/>
      <w:numFmt w:val="upperLetter"/>
      <w:start w:val="5"/>
    </w:lvl>
  </w:abstractNum>
  <w:abstractNum w:abstractNumId="133">
    <w:nsid w:val="2E48F044"/>
    <w:multiLevelType w:val="hybridMultilevel"/>
    <w:lvl w:ilvl="0">
      <w:lvlJc w:val="left"/>
      <w:lvlText w:val="(%1)"/>
      <w:numFmt w:val="lowerLetter"/>
      <w:start w:val="1"/>
    </w:lvl>
    <w:lvl w:ilvl="1">
      <w:lvlJc w:val="left"/>
      <w:lvlText w:val="%2."/>
      <w:numFmt w:val="lowerRoman"/>
      <w:start w:val="1"/>
    </w:lvl>
  </w:abstractNum>
  <w:abstractNum w:abstractNumId="134">
    <w:nsid w:val="49D0FEAC"/>
    <w:multiLevelType w:val="hybridMultilevel"/>
    <w:lvl w:ilvl="0">
      <w:lvlJc w:val="left"/>
      <w:lvlText w:val="(%1)"/>
      <w:numFmt w:val="lowerLetter"/>
      <w:start w:val="3"/>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lowerRoman"/>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2019-12-28T10:46:48Z</dcterms:created>
  <dcterms:modified xsi:type="dcterms:W3CDTF">2019-12-28T10:46:48Z</dcterms:modified>
</cp:coreProperties>
</file>