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28,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Weatherford International public limited company</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40"/>
          </w:cols>
          <w:pgMar w:left="240" w:top="544" w:right="2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420"/>
          </w:cols>
          <w:pgMar w:left="240" w:top="544" w:right="239" w:bottom="1440" w:gutter="0" w:footer="0" w:header="0"/>
          <w:type w:val="continuous"/>
        </w:sectPr>
      </w:pPr>
    </w:p>
    <w:p>
      <w:pPr>
        <w:spacing w:after="0" w:line="218"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Weststrasse 1, 6340 Baar, Switzerland</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CH 6340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+41.22.816.1500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Title of each class</w:t>
            </w:r>
          </w:p>
        </w:tc>
        <w:tc>
          <w:tcPr>
            <w:tcW w:w="3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Trading 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par value $0.001 per share</w:t>
            </w:r>
          </w:p>
        </w:tc>
        <w:tc>
          <w:tcPr>
            <w:tcW w:w="460" w:type="dxa"/>
            <w:vAlign w:val="bottom"/>
          </w:tcPr>
          <w:p>
            <w:pPr>
              <w:spacing w:after="0"/>
              <w:rPr>
                <w:sz w:val="19"/>
                <w:szCs w:val="19"/>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WFTIF</w:t>
            </w:r>
          </w:p>
        </w:tc>
        <w:tc>
          <w:tcPr>
            <w:tcW w:w="2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As previously disclosed, on May 10, 2019, Weatherford International plc, Weatherford International Ltd., and Weatherford International, LLC (collectively, the “</w:t>
      </w:r>
      <w:r>
        <w:rPr>
          <w:rFonts w:ascii="Arial" w:cs="Arial" w:eastAsia="Arial" w:hAnsi="Arial"/>
          <w:sz w:val="17"/>
          <w:szCs w:val="17"/>
          <w:u w:val="single" w:color="auto"/>
          <w:color w:val="auto"/>
        </w:rPr>
        <w:t>Weatherford RSA Parties</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Restructuring Support Agreement (the “</w:t>
      </w:r>
      <w:r>
        <w:rPr>
          <w:rFonts w:ascii="Arial" w:cs="Arial" w:eastAsia="Arial" w:hAnsi="Arial"/>
          <w:sz w:val="17"/>
          <w:szCs w:val="17"/>
          <w:u w:val="single" w:color="auto"/>
          <w:color w:val="auto"/>
        </w:rPr>
        <w:t>RSA</w:t>
      </w:r>
      <w:r>
        <w:rPr>
          <w:rFonts w:ascii="Arial" w:cs="Arial" w:eastAsia="Arial" w:hAnsi="Arial"/>
          <w:sz w:val="17"/>
          <w:szCs w:val="17"/>
          <w:color w:val="auto"/>
        </w:rPr>
        <w:t>”) with holders (the “</w:t>
      </w:r>
      <w:r>
        <w:rPr>
          <w:rFonts w:ascii="Arial" w:cs="Arial" w:eastAsia="Arial" w:hAnsi="Arial"/>
          <w:sz w:val="17"/>
          <w:szCs w:val="17"/>
          <w:u w:val="single" w:color="auto"/>
          <w:color w:val="auto"/>
        </w:rPr>
        <w:t>Consenting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Creditors</w:t>
      </w:r>
      <w:r>
        <w:rPr>
          <w:rFonts w:ascii="Arial" w:cs="Arial" w:eastAsia="Arial" w:hAnsi="Arial"/>
          <w:sz w:val="17"/>
          <w:szCs w:val="17"/>
          <w:color w:val="auto"/>
        </w:rPr>
        <w:t>”) of approximately 62% in aggregate principal amount of the Company’s outstanding senior unsecured notes (the “</w:t>
      </w:r>
      <w:r>
        <w:rPr>
          <w:rFonts w:ascii="Arial" w:cs="Arial" w:eastAsia="Arial" w:hAnsi="Arial"/>
          <w:sz w:val="17"/>
          <w:szCs w:val="17"/>
          <w:u w:val="single" w:color="auto"/>
          <w:color w:val="auto"/>
        </w:rPr>
        <w:t>Notes</w:t>
      </w:r>
      <w:r>
        <w:rPr>
          <w:rFonts w:ascii="Arial" w:cs="Arial" w:eastAsia="Arial" w:hAnsi="Arial"/>
          <w:sz w:val="17"/>
          <w:szCs w:val="17"/>
          <w:color w:val="auto"/>
        </w:rPr>
        <w:t>”), pursuant to which, among other things, the Weatherford RSA Parties will (a) commence a solicitation for acceptance of a restructuring on the terms of a pre-packaged plan of reorganization as described therein (the “</w:t>
      </w:r>
      <w:r>
        <w:rPr>
          <w:rFonts w:ascii="Arial" w:cs="Arial" w:eastAsia="Arial" w:hAnsi="Arial"/>
          <w:sz w:val="17"/>
          <w:szCs w:val="17"/>
          <w:u w:val="single" w:color="auto"/>
          <w:color w:val="auto"/>
        </w:rPr>
        <w:t>Plan</w:t>
      </w:r>
      <w:r>
        <w:rPr>
          <w:rFonts w:ascii="Arial" w:cs="Arial" w:eastAsia="Arial" w:hAnsi="Arial"/>
          <w:sz w:val="17"/>
          <w:szCs w:val="17"/>
          <w:color w:val="auto"/>
        </w:rPr>
        <w:t>”), (b) commence voluntary cases under chapter 11 of the United States Bankruptcy Code in the U.S. Bankruptcy Court in the Southern District of Texas (the “</w:t>
      </w:r>
      <w:r>
        <w:rPr>
          <w:rFonts w:ascii="Arial" w:cs="Arial" w:eastAsia="Arial" w:hAnsi="Arial"/>
          <w:sz w:val="17"/>
          <w:szCs w:val="17"/>
          <w:u w:val="single" w:color="auto"/>
          <w:color w:val="auto"/>
        </w:rPr>
        <w:t>Bankruptcy Court</w:t>
      </w:r>
      <w:r>
        <w:rPr>
          <w:rFonts w:ascii="Arial" w:cs="Arial" w:eastAsia="Arial" w:hAnsi="Arial"/>
          <w:sz w:val="17"/>
          <w:szCs w:val="17"/>
          <w:color w:val="auto"/>
        </w:rPr>
        <w:t>”), in the case of Weatherford International plc, an examinership proceeding under the laws of Ireland and in the case of Weatherford International Ltd., the appointment of provisional liquidators and the implementation of a scheme of arrangement in Bermuda under section 99 of the Companies Act 1981 (the U.S., Bermuda and Irish proceedings, collectively, the “</w:t>
      </w:r>
      <w:r>
        <w:rPr>
          <w:rFonts w:ascii="Arial" w:cs="Arial" w:eastAsia="Arial" w:hAnsi="Arial"/>
          <w:sz w:val="17"/>
          <w:szCs w:val="17"/>
          <w:u w:val="single" w:color="auto"/>
          <w:color w:val="auto"/>
        </w:rPr>
        <w:t>Cases</w:t>
      </w:r>
      <w:r>
        <w:rPr>
          <w:rFonts w:ascii="Arial" w:cs="Arial" w:eastAsia="Arial" w:hAnsi="Arial"/>
          <w:sz w:val="17"/>
          <w:szCs w:val="17"/>
          <w:color w:val="auto"/>
        </w:rPr>
        <w:t>”), and (c) seek approval of the Plan by the Bankruptcy Court, approval of the scheme of arrangement submitted in connection with the examinership proceeding by an Irish court and approval of the scheme of arrangement submitted in connection with the Bermuda proceeding. On May 17, 2019, the Company announced additional Consenting Creditors became parties to the RSA, and that the Consenting Creditors party to the RSA as of the date thereof collectively held in excess of 74% in aggregate principal amount of Notes. As of June 28, 2019, Consenting Creditors holding approximately 79% in aggregate principal amount of Notes were parties to the RSA.</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June 28, 2019, the Company commenced a solicitation for acceptance of the Plan by causing the Plan and the corresponding disclosure statement (the “</w:t>
      </w:r>
      <w:r>
        <w:rPr>
          <w:rFonts w:ascii="Arial" w:cs="Arial" w:eastAsia="Arial" w:hAnsi="Arial"/>
          <w:sz w:val="17"/>
          <w:szCs w:val="17"/>
          <w:u w:val="single" w:color="auto"/>
          <w:color w:val="auto"/>
        </w:rPr>
        <w:t>Disclosure Statement</w:t>
      </w:r>
      <w:r>
        <w:rPr>
          <w:rFonts w:ascii="Arial" w:cs="Arial" w:eastAsia="Arial" w:hAnsi="Arial"/>
          <w:sz w:val="17"/>
          <w:szCs w:val="17"/>
          <w:color w:val="auto"/>
        </w:rPr>
        <w:t>”) to be distributed to certain creditors of the Company that are (i) located inside the U.S. and are (a) “qualified institutional buyers” (as defined in Rule 144A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(b) “accredited investors” (as defined in Rule 501(a) of Regulation D under the Securities Act) or (ii) located outside the U.S. and are persons other than “U.S. persons” (as defined in Rule 902 under the Securities Act). A copy of the Disclosure Statement, including the Plan attached as an exhibit thereto, is attached as Exhibit 99.1 to this Current Report on Form 8-K. The Disclosure Statement includes important information relating to the Company’s operations, anticipated events during the Cases, pending litigation, a summary of the Plan, a description of the new notes, warrants, and ordinary shares to be issued pursuant to the Plan, financial information and projections, valuation analysis, transfer restrictions and certain consequences under the federal securities laws, certain tax consequences of the Plan, certain risk factors, voting procedures and requirements relating to the solicitation, confirmation of the Plan, alternatives to confirmation and consummation of the Plan and a recommendation relating to the Plan.</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Company’s 7.75% Senior Notes due 2021, 8.25% Senior Notes due 2023 and 6.80% Senior Notes due 2037 (together, the “</w:t>
      </w:r>
      <w:r>
        <w:rPr>
          <w:rFonts w:ascii="Arial" w:cs="Arial" w:eastAsia="Arial" w:hAnsi="Arial"/>
          <w:sz w:val="17"/>
          <w:szCs w:val="17"/>
          <w:u w:val="single" w:color="auto"/>
          <w:color w:val="auto"/>
        </w:rPr>
        <w:t>Defaulting Notes</w:t>
      </w:r>
      <w:r>
        <w:rPr>
          <w:rFonts w:ascii="Arial" w:cs="Arial" w:eastAsia="Arial" w:hAnsi="Arial"/>
          <w:sz w:val="17"/>
          <w:szCs w:val="17"/>
          <w:color w:val="auto"/>
        </w:rPr>
        <w:t>”) provide for an aggregate $68.8 million interest payment that became due on June 15, 2019. The applicable indenture governing the Defaulting Notes provides a 30-day grace period that extends the latest date for making this interest payment to July 16, 2019, before an event of default will occur under the applicable indenture. Although the Company had sufficient liquidity to make the interest payment by the due date, the Company, in consultation with certain noteholders, elected to not make this interest payment on the due date and to utilize the 30-day grace period provided by the indentures. If the Company does not make its interest payment by July 16, 2019 or has not filed the Cases, an event of default would occur under the applicable indenture governing the Defaulting Notes, which would give the trustee or the holders of at least 25% of the principal amount of a series of Defaulting Notes the option to accelerate maturity of the principal, plus any accrued and unpaid interest, on such series of Defaulting Notes. An event of default under the Defaulting Notes may result in defaults and acceleration of maturities under the Company’s other debt instruments.</w:t>
      </w:r>
    </w:p>
    <w:p>
      <w:pPr>
        <w:spacing w:after="0" w:line="182"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On June 28, 2019, the Company filed a Form T-3 with respect to each series of new notes to be issued pursuant to the Plan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the commencement of the solicitation for acceptance of the Plan. Forms of the indentures for each series of new notes are filed as exhibits to the applicable Form T-3.</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information contained in the RSA and this Form 8-K is for informational purposes only and does not constitute an offer to buy, nor a solicitation of an offer to sell, any securities of the Company, nor does it constitute a solicitation of consent from any persons with respect to the transactions contemplated hereby and thereby. While we expect the restructuring will take place in accordance with the Plan, there can be no assurance that the Company will be successful in completing a restructuring. Securityholders are urged to read the disclosure materials, including the Disclosure Statement, because they contain important information regarding the restructuring.</w:t>
      </w:r>
    </w:p>
    <w:p>
      <w:pPr>
        <w:spacing w:after="0" w:line="188"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The information contained in this Item 7.01, including in Exhibit 99.1, shall not be deemed to be “filed” for purposes of Section 18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otherwise subject to the liabilities of that section, and shall not be deemed to be incorporated by reference into any of the Company’s filings under the Securities Act or the Exchange Act, whether made before or after the date hereof and regardless of any general incorporation language in such filings, except to the extent expressly set forth by specific reference in such a filing.</w:t>
      </w:r>
    </w:p>
    <w:p>
      <w:pPr>
        <w:spacing w:after="0" w:line="15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Certain statements in this Current Report on Form 8-K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other filings with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confirm and consummate the Plan in accordance with the terms of the RSA; risks attendant to the bankruptcy process, including our ability to obtain court approvals with respect to motions filed in the Cases, the outcomes of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right="20"/>
        <w:spacing w:after="0" w:line="289" w:lineRule="auto"/>
        <w:rPr>
          <w:sz w:val="20"/>
          <w:szCs w:val="20"/>
          <w:color w:val="auto"/>
        </w:rPr>
      </w:pPr>
      <w:r>
        <w:rPr>
          <w:rFonts w:ascii="Arial" w:cs="Arial" w:eastAsia="Arial" w:hAnsi="Arial"/>
          <w:sz w:val="16"/>
          <w:szCs w:val="16"/>
          <w:color w:val="auto"/>
        </w:rPr>
        <w:t>the actions and decisions of creditors, regulators and other third parties that have an interest in the Cases, which may interfere with the ability to confirm and consummate the Plan; restrictions on us due to the terms of any debtor-in-possession credit facility that we will enter into in connection with the Cases and restrictions imposed by the applicable courts;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20" w:hanging="793"/>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72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29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18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Disclosure Statement and Plan</w:t>
              </w:r>
            </w:hyperlink>
          </w:p>
        </w:tc>
        <w:tc>
          <w:tcPr>
            <w:tcW w:w="7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right="292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exhibits related to the attached Disclosure Statement within this Current Report on Form 8-K are available at http://www.primeclerk.com/Weatherford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vMerge w:val="restart"/>
          </w:tcPr>
          <w:p>
            <w:pPr>
              <w:spacing w:after="0"/>
              <w:rPr>
                <w:sz w:val="20"/>
                <w:szCs w:val="20"/>
                <w:color w:val="auto"/>
              </w:rPr>
            </w:pPr>
            <w:r>
              <w:rPr>
                <w:rFonts w:ascii="Arial" w:cs="Arial" w:eastAsia="Arial" w:hAnsi="Arial"/>
                <w:sz w:val="18"/>
                <w:szCs w:val="18"/>
                <w:color w:val="auto"/>
              </w:rPr>
              <w:t>Date: June 28, 2019</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Weatherford International plc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M. Ibrahim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Christina M. Ibrahim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9"/>
              </w:rPr>
              <w:t>Executive Vice President, General Counsel, Chief Compliance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Officer and Corporate Secretary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SOUTHERN DISTRICT OF TEXAS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DIVISION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0"/>
                <w:szCs w:val="20"/>
                <w:color w:val="auto"/>
              </w:rPr>
            </w:pPr>
            <w:r>
              <w:rPr>
                <w:rFonts w:ascii="Arial" w:cs="Arial" w:eastAsia="Arial" w:hAnsi="Arial"/>
                <w:sz w:val="22"/>
                <w:szCs w:val="22"/>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x</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 re:</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rPr>
              <w:t>Chapter 11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 xml:space="preserve">WEATHERFORD INTERNATIONAL PLC, </w:t>
            </w:r>
            <w:r>
              <w:rPr>
                <w:rFonts w:ascii="Arial" w:cs="Arial" w:eastAsia="Arial" w:hAnsi="Arial"/>
                <w:sz w:val="18"/>
                <w:szCs w:val="18"/>
                <w:i w:val="1"/>
                <w:iCs w:val="1"/>
                <w:color w:val="auto"/>
              </w:rPr>
              <w:t>et al.</w:t>
            </w: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rPr>
              <w:t>Case No. 19-[  ]</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Debtors. </w:t>
            </w:r>
            <w:r>
              <w:rPr>
                <w:rFonts w:ascii="Arial" w:cs="Arial" w:eastAsia="Arial" w:hAnsi="Arial"/>
                <w:sz w:val="23"/>
                <w:szCs w:val="23"/>
                <w:color w:val="auto"/>
                <w:vertAlign w:val="superscript"/>
              </w:rPr>
              <w:t>(1)</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w w:val="91"/>
              </w:rPr>
              <w:t>(Joint Administration Requested)</w:t>
            </w:r>
          </w:p>
        </w:tc>
        <w:tc>
          <w:tcPr>
            <w:tcW w:w="0" w:type="dxa"/>
            <w:vAlign w:val="bottom"/>
          </w:tcPr>
          <w:p>
            <w:pPr>
              <w:spacing w:after="0"/>
              <w:rPr>
                <w:sz w:val="1"/>
                <w:szCs w:val="1"/>
                <w:color w:val="auto"/>
              </w:rPr>
            </w:pPr>
          </w:p>
        </w:tc>
      </w:tr>
      <w:tr>
        <w:trPr>
          <w:trHeight w:val="216"/>
        </w:trPr>
        <w:tc>
          <w:tcPr>
            <w:tcW w:w="4880" w:type="dxa"/>
            <w:vAlign w:val="bottom"/>
            <w:vMerge w:val="restart"/>
          </w:tcPr>
          <w:p>
            <w:pPr>
              <w:spacing w:after="0"/>
              <w:rPr>
                <w:sz w:val="20"/>
                <w:szCs w:val="20"/>
                <w:color w:val="auto"/>
              </w:rPr>
            </w:pPr>
            <w:r>
              <w:rPr>
                <w:rFonts w:ascii="Arial" w:cs="Arial" w:eastAsia="Arial" w:hAnsi="Arial"/>
                <w:sz w:val="22"/>
                <w:szCs w:val="22"/>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880" w:type="dxa"/>
            <w:vAlign w:val="bottom"/>
            <w:vMerge w:val="continue"/>
          </w:tcPr>
          <w:p>
            <w:pPr>
              <w:spacing w:after="0"/>
              <w:rPr>
                <w:sz w:val="23"/>
                <w:szCs w:val="23"/>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x</w:t>
            </w: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DISCLOSURE STATEMENT FOR JOINT PREPACKAGED PLAN OF REORGANIZATION FOR WEATHERFORD INTERNATIONAL PLC AND ITS AFFILIATE DEBTORS UNDER CHAPTER 11 OF THE BANKRUPTCY CODE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jc w:val="center"/>
              <w:ind w:right="1070"/>
              <w:spacing w:after="0"/>
              <w:rPr>
                <w:sz w:val="20"/>
                <w:szCs w:val="20"/>
                <w:color w:val="auto"/>
              </w:rPr>
            </w:pPr>
            <w:r>
              <w:rPr>
                <w:rFonts w:ascii="Arial" w:cs="Arial" w:eastAsia="Arial" w:hAnsi="Arial"/>
                <w:sz w:val="18"/>
                <w:szCs w:val="18"/>
                <w:b w:val="1"/>
                <w:bCs w:val="1"/>
                <w:color w:val="auto"/>
              </w:rPr>
              <w:t>HUNTON ANDREWS KURTH LLP</w:t>
            </w:r>
          </w:p>
        </w:tc>
        <w:tc>
          <w:tcPr>
            <w:tcW w:w="4500" w:type="dxa"/>
            <w:vAlign w:val="bottom"/>
          </w:tcPr>
          <w:p>
            <w:pPr>
              <w:jc w:val="center"/>
              <w:ind w:left="1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4"/>
              </w:rPr>
              <w:t>Timothy A. (“Tad”) Davidson II (No. 240112503)</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3"/>
              </w:rPr>
              <w:t>Ashley L. Harper (No. 24065272)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600 Travis Street, Suite 4200</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89"/>
              </w:rPr>
              <w:t>Houston, Texas 77002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Telephone: (713) 220-4200</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50"/>
              <w:spacing w:after="0"/>
              <w:rPr>
                <w:sz w:val="20"/>
                <w:szCs w:val="20"/>
                <w:color w:val="auto"/>
              </w:rPr>
            </w:pPr>
            <w:r>
              <w:rPr>
                <w:rFonts w:ascii="Arial" w:cs="Arial" w:eastAsia="Arial" w:hAnsi="Arial"/>
                <w:sz w:val="18"/>
                <w:szCs w:val="18"/>
                <w:color w:val="auto"/>
                <w:w w:val="91"/>
              </w:rPr>
              <w:t>Facsimile: (713) 220-4285</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4780" w:type="dxa"/>
            <w:vAlign w:val="bottom"/>
          </w:tcPr>
          <w:p>
            <w:pPr>
              <w:spacing w:after="0"/>
              <w:rPr>
                <w:sz w:val="20"/>
                <w:szCs w:val="20"/>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8"/>
        <w:spacing w:after="0" w:line="238" w:lineRule="auto"/>
        <w:tabs>
          <w:tab w:leader="none" w:pos="177"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The Debtors in these cases, along with the last four digits of each Debtor’s federal tax identification number, are: Weatherford International plc (6750); Weatherford International Ltd. (1344); and Weatherford International, LLC (5019). The location of the Debtors’ main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40"/>
        <w:spacing w:after="0" w:line="254" w:lineRule="auto"/>
        <w:rPr>
          <w:sz w:val="20"/>
          <w:szCs w:val="20"/>
          <w:color w:val="auto"/>
        </w:rPr>
      </w:pPr>
      <w:r>
        <w:rPr>
          <w:rFonts w:ascii="Arial" w:cs="Arial" w:eastAsia="Arial" w:hAnsi="Arial"/>
          <w:sz w:val="18"/>
          <w:szCs w:val="18"/>
          <w:b w:val="1"/>
          <w:bCs w:val="1"/>
          <w:color w:val="auto"/>
        </w:rPr>
        <w:t>THIS SOLICITATION OF VOTES (THE “SOLICITATION”) IS BEING CONDUCTED TO OBTAIN SUFFICIENT VOTES TO ACCEPT THE PLAN BEFORE THE FILING OF VOLUNTARY REORGANIZATION CASES UNDER CHAPTER 11 OF TITLE 11 OF THE UNITED STATES CODE (THE “BANKRUPTCY CODE”). BECAUSE THE CHAPTER 11 CASES HAVE NOT YET BEEN COMMENCED, THIS DISCLOSURE STATEMENT HAS NOT BEEN APPROVED BY THE BANKRUPTCY COURT AS CONTAINING ADEQUATE INFORMATION WITHIN THE MEANING OF SECTION 1125(a) OF THE BANKRUPTCY CODE. FOLLOWING THE COMMENCEMENT OF THE CHAPTER 11 CASE,</w:t>
      </w:r>
    </w:p>
    <w:p>
      <w:pPr>
        <w:spacing w:after="0" w:line="3" w:lineRule="exact"/>
        <w:rPr>
          <w:sz w:val="20"/>
          <w:szCs w:val="20"/>
          <w:color w:val="auto"/>
        </w:rPr>
      </w:pPr>
    </w:p>
    <w:p>
      <w:pPr>
        <w:ind w:right="880"/>
        <w:spacing w:after="0" w:line="277" w:lineRule="auto"/>
        <w:rPr>
          <w:sz w:val="20"/>
          <w:szCs w:val="20"/>
          <w:color w:val="auto"/>
        </w:rPr>
      </w:pPr>
      <w:r>
        <w:rPr>
          <w:rFonts w:ascii="Arial" w:cs="Arial" w:eastAsia="Arial" w:hAnsi="Arial"/>
          <w:sz w:val="17"/>
          <w:szCs w:val="17"/>
          <w:b w:val="1"/>
          <w:bCs w:val="1"/>
          <w:color w:val="auto"/>
        </w:rPr>
        <w:t>THE DEBTORS EXPECT TO PROMPTLY SEEK ORDERS OF THE BANKRUPTCY COURT (I) APPROVING THIS DISCLOSURE STATEMENT AS CONTAINING ADEQUATE INFORMATION, (II) APPROVING THE SOLICITATION OF VOTES AS BEING IN COMPLIANCE WITH SECTIONS 1125 AND 1126(b) OF THE BANKRUPTCY CODE, AND (III) CONFIRMING THE PLAN.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STATEMENT, DATED JUNE 28,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Votes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the Plan of Reorganization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WEATHERFORD INTERNATIONAL PLC, </w:t>
      </w:r>
      <w:r>
        <w:rPr>
          <w:rFonts w:ascii="Arial" w:cs="Arial" w:eastAsia="Arial" w:hAnsi="Arial"/>
          <w:sz w:val="18"/>
          <w:szCs w:val="18"/>
          <w:b w:val="1"/>
          <w:bCs w:val="1"/>
          <w:i w:val="1"/>
          <w:iCs w:val="1"/>
          <w:color w:val="auto"/>
        </w:rPr>
        <w:t>ET AL</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from the holders of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PREPETITION NOTES CLAIMS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EXISTING COMMON STOCK</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THE VOTING DEADLINE FOR HOLDERS OF PREPETITION NOTES CLAIMS IS 5:00 P.M. PREVAILING CENTRAL TIME ON AUGUST 1, 2019 (UNLESS THE DEBTORS EXTEND THE VOTING DEADLINE).</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VOTING RECORD DATE FOR DETERMINING WHICH HOLDERS OF PREPETITION NOTES MAY VOTE ON THE PLAN IS JUNE 24, 2019 (THE “</w:t>
      </w:r>
      <w:r>
        <w:rPr>
          <w:rFonts w:ascii="Arial" w:cs="Arial" w:eastAsia="Arial" w:hAnsi="Arial"/>
          <w:sz w:val="18"/>
          <w:szCs w:val="18"/>
          <w:b w:val="1"/>
          <w:bCs w:val="1"/>
          <w:u w:val="single" w:color="auto"/>
          <w:color w:val="auto"/>
        </w:rPr>
        <w:t>PREPETITION NOTES VOTING RECORD DATE</w:t>
      </w:r>
      <w:r>
        <w:rPr>
          <w:rFonts w:ascii="Arial" w:cs="Arial" w:eastAsia="Arial" w:hAnsi="Arial"/>
          <w:sz w:val="18"/>
          <w:szCs w:val="18"/>
          <w:b w:val="1"/>
          <w:bCs w:val="1"/>
          <w:color w:val="auto"/>
        </w:rPr>
        <w:t>”).</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A SEPARATE VOTING DEADLINE SHALL BE ESTABLISHED FOR HOLDERS OF EXISTING COMMON STOCK TO VOTE TO ACCEPT OR REJECT THE PLAN AFTER ENTRY OF AN ORDER BY THE BANKRUPTCY COURT CONDITIONALLY APPROVING THE DISCLOSURE STATEMENT AND THE SOLICITATION MATERIALS IN RESPECT OF THE PLAN.</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VOTING RECORD DATE FOR DETERMINING WHICH HOLDERS OF EXISTING COMMON STOCK MAY VOTE ON THE PLAN IS EXPECTED TO BE JULY 2, 2019 (THE “</w:t>
      </w:r>
      <w:r>
        <w:rPr>
          <w:rFonts w:ascii="Arial" w:cs="Arial" w:eastAsia="Arial" w:hAnsi="Arial"/>
          <w:sz w:val="18"/>
          <w:szCs w:val="18"/>
          <w:b w:val="1"/>
          <w:bCs w:val="1"/>
          <w:u w:val="single" w:color="auto"/>
          <w:color w:val="auto"/>
        </w:rPr>
        <w:t>COMMON STOCK VOTING RECORD DATE</w:t>
      </w:r>
      <w:r>
        <w:rPr>
          <w:rFonts w:ascii="Arial" w:cs="Arial" w:eastAsia="Arial" w:hAnsi="Arial"/>
          <w:sz w:val="18"/>
          <w:szCs w:val="18"/>
          <w:b w:val="1"/>
          <w:bCs w:val="1"/>
          <w:color w:val="auto"/>
        </w:rPr>
        <w:t>”).</w:t>
      </w:r>
    </w:p>
    <w:p>
      <w:pPr>
        <w:spacing w:after="0" w:line="16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VOTING DEADLINE FOR HOLDERS OF EXISTING COMMON STOCK IS EXPECTED TO BE 5:00 P.M. PREVAILING CENTRAL TIME ON AUGUST 13, 2019 (UNLESS THE DEBTORS EXTEND THE VOTING DEADLINE).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ind w:right="200"/>
        <w:spacing w:after="0" w:line="282" w:lineRule="auto"/>
        <w:rPr>
          <w:sz w:val="20"/>
          <w:szCs w:val="20"/>
          <w:color w:val="auto"/>
        </w:rPr>
      </w:pPr>
      <w:r>
        <w:rPr>
          <w:rFonts w:ascii="Arial" w:cs="Arial" w:eastAsia="Arial" w:hAnsi="Arial"/>
          <w:sz w:val="18"/>
          <w:szCs w:val="18"/>
          <w:b w:val="1"/>
          <w:bCs w:val="1"/>
          <w:color w:val="auto"/>
        </w:rPr>
        <w:t>TO BE COUNTED AS A VOTE TO ACCEPT OR REJECT THE PLAN, THE VOTING AND CLAIMS AGENT MUST ACTUALLY RECEIVE YOUR BALLOT ON OR BEFORE THE APPLICABLE VOTING DEADLINE.</w:t>
      </w:r>
    </w:p>
    <w:p>
      <w:pPr>
        <w:spacing w:after="0" w:line="162"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THE DEBTORS ANTICIPATE COMMENCING THE CHAPTER 11 CASES ON JULY 1, 2019 WITH AN EXPECTED FIRST DAY HEARING ON OR AROUND JULY 2, 2019. A SEPARATE NOTICE OF THE FIRST DAY HEARING WILL BE MAILED TO ALL HOLDERS OF PREPETITION NOTES. IF YOU DO NOT RECEIVE A NOTICE, PLEASE CONTACT UNDERSIGNED COUNSEL IMMEDIATELY OR CONSULT THE CASE WEBSITE MAINTAINED BY PRIME CLERK LLC AT WWW.PRIMECLERK.COM/WEATHERFORD.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RECOMMENDATION BY THE DEBTORS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of Weatherford International plc and the other governing bodies of each of its affiliated Debtors have unanimously approved the transactions contemplated by the Solicitation and the Plan and recommend that all creditors and holders of equity interests whose votes are being solicited submit ballots to accept the Plan. Holders of over 66.67% in outstanding principal amount of the Prepetition Notes Claims (as defined herein) entitled to vote on the Plan (the “</w:t>
      </w:r>
      <w:r>
        <w:rPr>
          <w:rFonts w:ascii="Arial" w:cs="Arial" w:eastAsia="Arial" w:hAnsi="Arial"/>
          <w:sz w:val="18"/>
          <w:szCs w:val="18"/>
          <w:b w:val="1"/>
          <w:bCs w:val="1"/>
          <w:u w:val="single" w:color="auto"/>
          <w:color w:val="auto"/>
        </w:rPr>
        <w:t>Consenting Noteholders</w:t>
      </w:r>
      <w:r>
        <w:rPr>
          <w:rFonts w:ascii="Arial" w:cs="Arial" w:eastAsia="Arial" w:hAnsi="Arial"/>
          <w:sz w:val="18"/>
          <w:szCs w:val="18"/>
          <w:color w:val="auto"/>
        </w:rPr>
        <w:t>”) have already agreed, subject to the terms and conditions of the Restructuring Support Agreement, to vote in favor of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DISCLOSURE STATEMENT HAS BEEN PREPARED PURSUANT TO SECTIONS 1125 AND 1126(B) OF THE BANKRUPTCY CODE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BANKRUPTCY RULE 3016. THE SECURITIES DESCRIBED HEREIN WILL BE ISSUED TO CREDITORS AND 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INTERESTS WITHOUT REGISTRATION UNDER THE UNITED STATES SECURITIES ACT OF 1933, AS AMENDED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OR ANY SIMILAR FEDERAL, STATE OR LOCAL LAW, AND WILL INSTEAD RELY UPON THE EXEMPTIONS 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FORTH IN SECTION 1145 OF THE BANKRUPTCY CODE AND SECTION 4(A)(2) OF THE SECURITIES ACT OR OTHER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THE DEBTORS RECOMMEND THAT POTENTIAL RECIPIENTS OF ANY SECURITIES PURSUANT TO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 THEIR OWN LEGAL COUNSEL CONCERNING THE SECURITIES LAWS GOVERNING THE TRANSFERABILITY OF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SUCH SECURITIES.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SOLICITATION OF VOTES ON THE PLAN WITH RESPECT TO PREPETITION NOTES CLAIMS IS BEING MADE PURSUANT TO SECTION 4(A)(2) AND REGULATION D OF THE SECURITIES ACT AND ONLY WITH RESPECT TO HOLDERS OF SUCH CLAIMS THAT ARE ELIGIBLE HOLDERS OF PREPETITION NOTES CLAIMS AS DESCRIBED HEREIN; PROVIDED, HOWEVER, THAT ALL HOLDERS OF ALLOWED PREPETITION NOTES CLAIMS WILL BE ENTITLED TO RECEIVE DISTRIBUTIONS UNDER THE PLAN.</w:t>
      </w:r>
    </w:p>
    <w:p>
      <w:pPr>
        <w:spacing w:after="0" w:line="18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THE RIGHTS OFFERING WILL BE CONDUCTED PURSUANT TO SEPARATE RIGHTS OFFERING AND RIGHTS OFFERING PROCEDURES. ANY DISCLOSURE CONTAINED HEREIN CONCERNING THE RIGHTS OFFERING IS SOLELY FOR INFORMATION PURPOSES.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spacing w:after="0" w:line="252" w:lineRule="auto"/>
        <w:rPr>
          <w:sz w:val="20"/>
          <w:szCs w:val="20"/>
          <w:color w:val="auto"/>
        </w:rPr>
      </w:pPr>
      <w:r>
        <w:rPr>
          <w:rFonts w:ascii="Arial" w:cs="Arial" w:eastAsia="Arial" w:hAnsi="Arial"/>
          <w:sz w:val="18"/>
          <w:szCs w:val="18"/>
          <w:b w:val="1"/>
          <w:bCs w:val="1"/>
          <w:color w:val="auto"/>
        </w:rPr>
        <w:t>THE NEW COMMON STOCK, THE NEW WARRANTS (AND THE NEW COMMON STOCK ISSUABLE UPON EXERCISE THEREOF), THE SUBSCRIPTION RIGHTS, THE NEW TRANCHE A SENIOR UNSECURED NOTES ISSUED PURSUANT TO THE RIGHTS OFFERING, THE NEW TRANCHE B SENIOR UNSECURED NOTES (AND THE NEW COMMON STOCK ISSUABLE PURSUANT TO THE TRANCHE B EQUITY CONVERSION), AND ANY OTHER NEW SECURITIES HAVE NOT BEEN APPROVED OR DISAPPROVED BY THE SECURITIES AND EXCHANGE COMMISSION (“</w:t>
      </w:r>
      <w:r>
        <w:rPr>
          <w:rFonts w:ascii="Arial" w:cs="Arial" w:eastAsia="Arial" w:hAnsi="Arial"/>
          <w:sz w:val="18"/>
          <w:szCs w:val="18"/>
          <w:b w:val="1"/>
          <w:bCs w:val="1"/>
          <w:u w:val="single" w:color="auto"/>
          <w:color w:val="auto"/>
        </w:rPr>
        <w:t>SEC</w:t>
      </w:r>
      <w:r>
        <w:rPr>
          <w:rFonts w:ascii="Arial" w:cs="Arial" w:eastAsia="Arial" w:hAnsi="Arial"/>
          <w:sz w:val="18"/>
          <w:szCs w:val="18"/>
          <w:b w:val="1"/>
          <w:bCs w:val="1"/>
          <w:color w:val="auto"/>
        </w:rPr>
        <w:t>”) OR BY ANY STATE SECURITIES COMMISSION OR SIMILAR PUBLIC, GOVERNMENTAL, OR REGULATORY AUTHORITY, AND NEITHER THE SEC NOR ANY AUTHORITY HAS PASSED UPON THE ACCURACY OR ADEQUACY OF THE INFORMATION CONTAINED IN THIS DISCLOSURE STATEMENT OR UPON THE MERITS OF PLAN. THIS DOCUMENT IS NOT A PROSPECTUS WITHIN THE MEANING OF THE EU PROSPECTUS DIRECTIVE (DIRECTIVE 2003/71/EC), AS AMENDED, THE EU PROSPECTUS REGULATION (REGULATION (EU) 2017/1129) OR ANY IMPLEMENTING LEGISLATION OR RULES RELATING THERETO OF ANY MEMBER STATE OF THE EUROPEAN ECONOMIC AREA. THIS DOCUMENT HAS NOT BEEN APPROVED OR REVIEWED BY ANY COMPETENT AUTHORITY OR REGULATORY AUTHORITY OF ANY MEMBER STATE OF THE EUROPEAN ECONOMIC AREA. NO OFFER OF SECURITIES TO THE PUBLIC IS MADE, OR WILL BE MADE IN ANY MEMBER STATE OF THE EUROPEAN ECONOMIC AREA THAT REQUIRES THE PUBLICATION OF A PROSPECTUS WITHIN THE MEANING OF THE EU PROSPECTUS DIRECTIVE, AS AMENDED, OR THE EU PROSPECTUS REGULATION.</w:t>
      </w:r>
    </w:p>
    <w:p>
      <w:pPr>
        <w:spacing w:after="0" w:line="1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CERTAIN STATEMENTS CONTAINED IN THIS DISCLOSURE STATEMENT, INCLUDING STATEMENTS INCORPORATED BY REFERENCE AND PROJECTED FINANCIAL INFORMATION, ARE FORWARD-LOOKING STATEMENTS AND ARE BASED ON ESTIMATES AND ASSUMPTIONS. THERE CAN BE NO ASSURANCE THAT SUCH STATEMENTS WILL BE REFLECTIVE OF ACTUAL OUTCOMES. FORWARD-LOOKING STATEMENTS ARE PROVIDED IN THIS DISCLOSURE STATEMENT PURSUANT TO THE SAFE HARBOR ESTABLISHED UNDER THE PRIVATE SECURITIES LITIGATION REFORM ACT OF 1995 AND SHOULD BE EVALUATED IN THE CONTEXT OF THE ESTIMATES, ASSUMPTIONS, UNCERTAINTIES, AND RISKS DESCRIBED HEREIN.</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FURTHER, WHILE THE DEBTORS BELIEVE THE ASSUMPTIONS ON WHICH THE FORWARD-LOOKING STATEMENTS HEREIN ARE BASED ARE REASONABLE, READERS ARE CAUTIONED AGAINST RELYING ON ANY FORWARD-LOOKING STATEMENTS AS IT IS VERY DIFFICULT TO PREDICT THE IMPACT OF KNOWN FACTORS, AND IT IS IMPOSSIBLE TO ANTICIPATE ALL FACTORS THAT COULD AFFECT ACTUAL RESULTS. IMPORTANT FACTORS THAT COULD CAUSE ACTUAL RESULTS TO DIFFER MATERIALLY FROM THOSE IN THE FORWARD-LOOKING STATEMENTS HEREIN INCLUDE, BUT ARE NOT LIMITED TO, THE ABILITY TO CONFIRM AND CONSUMMATE A PLAN OF REORGANIZATION IN ACCORDANCE WITH THE TERMS OF THE RESTRUCTURING SUPPORT AGREEMENT; RISKS ATTENDANT TO THE BANKRUPTCY PROCESS, INCLUDING THE DEBTORS’ ABILITY TO OBTAIN THE APPROVAL OF THE BANKRUPTCY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line="252" w:lineRule="auto"/>
        <w:rPr>
          <w:sz w:val="20"/>
          <w:szCs w:val="20"/>
          <w:color w:val="auto"/>
        </w:rPr>
      </w:pPr>
      <w:r>
        <w:rPr>
          <w:rFonts w:ascii="Arial" w:cs="Arial" w:eastAsia="Arial" w:hAnsi="Arial"/>
          <w:sz w:val="18"/>
          <w:szCs w:val="18"/>
          <w:b w:val="1"/>
          <w:bCs w:val="1"/>
          <w:color w:val="auto"/>
        </w:rPr>
        <w:t>COURT WITH RESPECT TO MOTIONS FILED IN THE CASES, THE OUTCOMES OF BANKRUPTCY CASES AND THE LENGTH OF TIME THAT THE DEBTORS MAY BE REQUIRED TO OPERATE IN BANKRUPTCY; THE EFFECTIVENESS OF THE OVERALL RESTRUCTURING ACTIVITIES AND ANY ADDITIONAL STRATEGIES THAT THE DEBTORS EMPLOY TO ADDRESS LIQUIDITY AND CAPITAL RESOURCES; THE ACTIONS AND DECISIONS OF CREDITORS, REGULATORS AND OTHER THIRD PARTIES THAT HAVE AN INTEREST IN THE CASES, WHICH MAY INTERFERE WITH THE ABILITY TO CONFIRM AND CONSUMMATE A PLAN OF REORGANIZATION; RESTRICTIONS ON THE DEBTORS DUE TO THE TERMS OF ANY DEBTOR-IN-POSSESSION CREDIT FACILITY ENTERED INTO IN CONNECTION WITH THE BANKRUPTCY CASES AND RESTRICTIONS IMPOSED BY THE BANKRUPTCY COURT; THE DEBTORS’ ABILITY TO REALIZE THE COST SAVINGS AND BUSINESS ENHANCEMENTS FROM THEIR TRANSFORMATION EFFORTS; THE DEBTORS’ ABILITY TO INVEST IN THEIR BUSINESSES IN ACCORDANCE WITH THEIR FORECASTED CAPITAL EXPENDITURE BUDGET; A WEAKENING OF GLOBAL ECONOMIC AND FINANCIAL CONDITIONS, CHANGES IN GOVERNMENTAL REGULATIONS AND RELATED COMPLIANCE AND LITIGATION COSTS AND THE OTHER FACTORS LISTED IN THE DEBTORS’ SEC FILINGS. THE DEBTORS ARE UNDER NO OBLIGATION TO (AND EXPRESSLY DISCLAIM ANY OBLIGATION TO) UPDATE OR ALTER ANY FORWARD-LOOKING STATEMENTS WHETHER AS A RESULT OF NEW INFORMATION, FUTURE EVENTS, OR OTHERWISE, UNLESS INSTRUCTED TO DO SO BY THE BANKRUPTCY COURT.</w:t>
      </w:r>
    </w:p>
    <w:p>
      <w:pPr>
        <w:spacing w:after="0" w:line="19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HOLDERS OF ALLOWED GENERAL UNSECURED CLAIMS WILL NOT BE IMPAIRED BY THE PLAN AND, AS A RESULT, THE RIGHT TO RECEIVE PAYMENT IN FULL ON ACCOUNT OF EXISTING OBLIGATIONS IN RESPECT OF SUCH CLAIMS IS NOT ALTERED BY THE PLAN. DURING THE CHAPTER 11 CASES, THE DEBTORS INTEND TO OPERATE THEIR BUSINESSES IN THE ORDINARY COURSE.</w:t>
      </w:r>
    </w:p>
    <w:p>
      <w:pPr>
        <w:spacing w:after="0" w:line="1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THE PLAN PROVIDES THAT HOLDERS OF IMPAIRED CLAIMS AND EXISTING COMMON STOCK ENTITLED TO VOTE WHO DO NOT SUBMIT A BALLOT VOTING TO ACCEPT OR REJECT THE PLAN, WHO VOTE TO ACCEPT THE PLAN, OR WHO VOTE TO REJECT THE PLAN BUT DO NOT OPT OUT OF THE RELEASE PROVISIONS OF THE PLAN ARE DEEMED TO HAVE GRANTED THE RELEASES THEREIN.</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NO LEGAL OR TAX ADVICE IS PROVIDED TO YOU BY THIS DISCLOSURE STATEMENT. THE DEBTORS URGE EACH HOLDER OF A CLAIM OR AN EQUITY INTEREST TO CONSULT WITH ITS OWN ADVISORS WITH RESPECT TO ANY LEGAL, FINANCIAL, SECURITIES, TAX OR BUSINESS ADVICE IN REVIEWING THIS DISCLOSURE STATEMENT, THE PLAN AND EACH OF THE PROPOSED TRANSACTIONS CONTEMPLATED THEREBY. FURTHERMORE, THE BANKRUPTCY COURT’S APPROVAL OF THE ADEQUACY OF DISCLOSURE CONTAINED IN THIS DISCLOSURE STATEMENT DOES NOT CONSTITUTE THE BANKRUPTCY COURT’S APPROVAL OF THE MERITS OF THE PLAN.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ind w:right="260"/>
        <w:spacing w:after="0" w:line="261" w:lineRule="auto"/>
        <w:rPr>
          <w:sz w:val="20"/>
          <w:szCs w:val="20"/>
          <w:color w:val="auto"/>
        </w:rPr>
      </w:pPr>
      <w:r>
        <w:rPr>
          <w:rFonts w:ascii="Arial" w:cs="Arial" w:eastAsia="Arial" w:hAnsi="Arial"/>
          <w:sz w:val="18"/>
          <w:szCs w:val="18"/>
          <w:b w:val="1"/>
          <w:bCs w:val="1"/>
          <w:color w:val="auto"/>
        </w:rPr>
        <w:t>IT IS THE DEBTORS’ POSITION THAT THIS DISCLOSURE STATEMENT DOES NOT CONSTITUTE, AND MAY NOT BE CONSTRUED AS, AN ADMISSION OF FACT, LIABILITY, STIPULATION OR WAIVER. RATHER, THIS DISCLOSURE STATEMENT SHALL CONSTITUTE A STATEMENT MADE IN SETTLEMENT NEGOTIATIONS RELATED TO CONTESTED MATTERS, ADVERSARY PROCEEDINGS AND OTHER PENDING OR THREATENED LITIGATION OR ACTIONS.</w:t>
      </w:r>
    </w:p>
    <w:p>
      <w:pPr>
        <w:spacing w:after="0" w:line="18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NO RELIANCE SHOULD BE PLACED ON THE FACT THAT A PARTICULAR LITIGATION CLAIM OR PROJECTED OBJECTION TO A PARTICULAR CLAIM IS, OR IS NOT, IDENTIFIED IN THE DISCLOSURE STATEMENT. THE DEBTORS OR THE REORGANIZED DEBTORS MAY SEEK TO INVESTIGATE, FILE AND PROSECUTE CLAIMS AND MAY OBJECT TO CLAIMS AFTER THE CONFIRMATION OR EFFECTIVE DATE OF THE PLAN IRRESPECTIVE OF WHETHER THE DISCLOSURE STATEMENT IDENTIFIES ANY SUCH CLAIMS OR OBJECTIONS TO CLAIMS.</w:t>
      </w:r>
    </w:p>
    <w:p>
      <w:pPr>
        <w:spacing w:after="0" w:line="184"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color w:val="auto"/>
        </w:rPr>
        <w:t>IN REVIEWING THIS DISCLOSURE STATEMENT AND THE PLAN, AND IN DETERMINING WHETHER TO VOTE IN FAVOR OF OR AGAINST, OR TO OBJECT TO CONFIRMATION OF, THE PLAN, CREDITORS, EQUITY INTEREST HOLDERS AND STAKEHOLDERS SHOULD BE AWARE THAT THE PLAN PRESERVES ALL CAUSES OF ACTION (INCLUDING AVOIDANCE ACTIONS) AND THAT THE PLAN AUTHORIZES THE REORGANIZED DEBTORS TO PROSECUTE THE SAME.</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THIS DISCLOSURE STATEMENT CONTAINS, AMONG OTHER THINGS, SUMMARIES OF THE PLAN, CERTAIN STATUTORY PROVISIONS, CERTAIN EXPECTED EVENTS IN THE DEBTORS’ TO-BE-FILED CHAPTER 11 CASES AND CERTAIN DOCUMENTS RELATED TO THE PLAN THAT ARE ATTACHED HERETO AND INCORPORATED HEREIN BY REFERENCE. ALTHOUGH THE DEBTORS BELIEVE THAT THESE SUMMARIES ARE FAIR AND ACCURATE, THESE SUMMARIES ARE QUALIFIED IN THEIR ENTIRETY TO THE EXTENT THAT THE SUMMARIES DO NOT SET FORTH THE ENTIRE TEXT OF SUCH DOCUMENTS OR STATUTORY PROVISIONS OR EVERY DETAIL OF SUCH EVENTS. IN THE EVENT OF ANY CONFLICT, INCONSISTENCY OR DISCREPANCY BETWEEN A DESCRIPTION IN THIS DISCLOSURE STATEMENT AND THE TERMS AND PROVISIONS OF THE PLAN OR ANY OTHER DOCUMENTS INCORPORATED HEREIN BY REFERENCE, THE PLAN OR SUCH OTHER DOCUMENTS WILL GOVERN AND CONTROL FOR ALL PURPOSES. EXCEPT WHERE OTHERWISE SPECIFICALLY NOTED, FACTUAL INFORMATION CONTAINED IN THIS DISCLOSURE STATEMENT HAS BEEN PROVIDED BY THE DEBTORS’ MANAGEMENT. THE DEBTORS DO NOT REPRESENT OR WARRANT THAT THE INFORMATION CONTAINED HEREIN OR ATTACHED HERETO IS WITHOUT ANY MATERIAL INACCURACY OR OMISSION.</w:t>
      </w:r>
    </w:p>
    <w:p>
      <w:pPr>
        <w:spacing w:after="0" w:line="19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THE DEBTORS’ MANAGEMENT HAS REVIEWED THE FINANCIAL INFORMATION PROVIDED IN THIS DISCLOSURE STATEMENT. ALTHOUGH THE DEBTORS HAVE USED THEIR REASONABLE BUSINESS JUDGMENT TO ENSURE THE ACCURACY OF THIS FINANCIAL INFORMATION, THE FINANCIAL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 w:name="page11"/>
    <w:bookmarkEnd w:id="10"/>
    <w:p>
      <w:pPr>
        <w:ind w:right="540"/>
        <w:spacing w:after="0" w:line="282" w:lineRule="auto"/>
        <w:rPr>
          <w:sz w:val="20"/>
          <w:szCs w:val="20"/>
          <w:color w:val="auto"/>
        </w:rPr>
      </w:pPr>
      <w:r>
        <w:rPr>
          <w:rFonts w:ascii="Arial" w:cs="Arial" w:eastAsia="Arial" w:hAnsi="Arial"/>
          <w:sz w:val="18"/>
          <w:szCs w:val="18"/>
          <w:b w:val="1"/>
          <w:bCs w:val="1"/>
          <w:color w:val="auto"/>
        </w:rPr>
        <w:t>INFORMATION CONTAINED IN, OR INCORPORATED BY REFERENCE INTO, THIS DISCLOSURE STATEMENT HAS NOT BEEN AUDITED (UNLESS EXPRESSLY PROVIDED HEREIN).</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THE DEBTORS ARE MAKING THE STATEMENTS AND PROVIDING THE FINANCIAL INFORMATION CONTAINED IN THIS DISCLOSURE STATEMENT AS OF THE DATE HEREOF WHERE FEASIBLE, UNLESS OTHERWISE SPECIFICALLY NOTED. ALTHOUGH THE DEBTORS MAY SUBSEQUENTLY UPDATE THE INFORMATION IN THIS DISCLOSURE STATEMENT, THE DEBTORS HAVE NO AFFIRMATIVE DUTY TO DO SO. HOLDERS OF CLAIMS AND EQUITY INTERESTS REVIEWING THIS DISCLOSURE STATEMENT SHOULD NOT INFER THAT, AT THE TIME OF THEIR REVIEW, THE FACTS SET FORTH HEREIN HAVE NOT CHANGED SINCE THE DISCLOSURE STATEMENT WAS FILED. THE DEBTORS HAVE NOT AUTHORIZED ANY ENTITY TO GIVE ANY INFORMATION ABOUT OR CONCERNING THE PLAN OTHER THAN THAT WHICH IS CONTAINED IN THIS DISCLOSURE STATEMENT. THE DEBTORS HAVE NOT AUTHORIZED ANY REPRESENTATIONS CONCERNING THE DEBTORS OR THE VALUE OF THEIR PROPERTY OTHER THAN AS SET FORTH IN THIS DISCLOSURE STATEMENT.</w:t>
      </w:r>
    </w:p>
    <w:p>
      <w:pPr>
        <w:spacing w:after="0" w:line="18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color w:val="auto"/>
        </w:rPr>
        <w:t>HOLDERS OF CLAIMS AND EQUITY INTERESTS ENTITLED TO VOTE TO ACCEPT OR REJECT THE PLAN MUST RELY ON THEIR OWN EVALUATION OF THE DEBTORS AND THEIR OWN ANALYSES OF THE TERMS OF THE PLAN IN DECIDING WHETHER TO VOTE TO ACCEPT OR REJECT THE PLAN. IMPORTANTLY, PRIOR TO DECIDING WHETHER AND HOW TO VOTE ON THE PLAN, EACH HOLDER OF A CLAIM OR EQUITY INTEREST IN A VOTING CLASS SHOULD REVIEW THE PLAN IN ITS ENTIRETY AND CONSIDER CAREFULLY ALL OF THE INFORMATION IN THIS DISCLOSURE STATEMENT AND ANY EXHIBITS</w:t>
      </w:r>
    </w:p>
    <w:p>
      <w:pPr>
        <w:spacing w:after="0" w:line="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HERETO, INCLUDING THE RISK FACTORS DESCRIBED IN GREATER DETAIL IN SECTION V HEREIN, “PLAN-RELATED RISK FACTORS.”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58"/>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 EXECUTIVE SUMMARY</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Purpose and Effect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Classification and Treatment of Claims and Equity Interests Under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II. BACKGROUND TO THE CHAPTER 11 CASES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The Debtors’ Corporate History and Structure</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Overview of the Debtors’ Businesses</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Prepetition Indebtedness</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Events Leading to the Chapter 11 Filing</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4"/>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III. ANTICIPATED EVENTS DURING THE CHAPTER 11 CASE, THE IRISH EXAMINERSHIP PROCEEDING, AND THE</w:t>
            </w:r>
          </w:p>
        </w:tc>
        <w:tc>
          <w:tcPr>
            <w:tcW w:w="900" w:type="dxa"/>
            <w:vAlign w:val="bottom"/>
          </w:tcPr>
          <w:p>
            <w:pPr>
              <w:spacing w:after="0"/>
              <w:rPr>
                <w:sz w:val="24"/>
                <w:szCs w:val="24"/>
                <w:color w:val="auto"/>
              </w:rPr>
            </w:pPr>
          </w:p>
        </w:tc>
      </w:tr>
      <w:tr>
        <w:trPr>
          <w:trHeight w:val="234"/>
        </w:trPr>
        <w:tc>
          <w:tcPr>
            <w:tcW w:w="10520" w:type="dxa"/>
            <w:vAlign w:val="bottom"/>
            <w:gridSpan w:val="2"/>
          </w:tcPr>
          <w:p>
            <w:pPr>
              <w:ind w:left="460"/>
              <w:spacing w:after="0"/>
              <w:rPr>
                <w:sz w:val="20"/>
                <w:szCs w:val="20"/>
                <w:color w:val="auto"/>
              </w:rPr>
            </w:pPr>
            <w:r>
              <w:rPr>
                <w:rFonts w:ascii="Arial" w:cs="Arial" w:eastAsia="Arial" w:hAnsi="Arial"/>
                <w:sz w:val="18"/>
                <w:szCs w:val="18"/>
                <w:b w:val="1"/>
                <w:bCs w:val="1"/>
                <w:color w:val="auto"/>
              </w:rPr>
              <w:t>BERMUDA PROCEEDING</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Chapter 11 First Day Motions and Certain Related Relief</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Exclusive Period for Filing a Chapter 11 Plan and Soliciting Votes</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The Irish Examinership Proceeding</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The Bermuda Proceeding</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IV. SUMMARY OF THE PLAN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General</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Administrative, DIP Facility, and Priority Tax Claims</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Classification and Treatment of Classified Claims and Equity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Acceptance or Rejection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9620" w:type="dxa"/>
            <w:vAlign w:val="bottom"/>
          </w:tcPr>
          <w:p>
            <w:pPr>
              <w:ind w:left="340"/>
              <w:spacing w:after="0"/>
              <w:rPr>
                <w:sz w:val="20"/>
                <w:szCs w:val="20"/>
                <w:color w:val="auto"/>
              </w:rPr>
            </w:pPr>
            <w:r>
              <w:rPr>
                <w:rFonts w:ascii="Arial" w:cs="Arial" w:eastAsia="Arial" w:hAnsi="Arial"/>
                <w:sz w:val="18"/>
                <w:szCs w:val="18"/>
                <w:color w:val="auto"/>
              </w:rPr>
              <w:t>Means for Implementation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9620" w:type="dxa"/>
            <w:vAlign w:val="bottom"/>
          </w:tcPr>
          <w:p>
            <w:pPr>
              <w:ind w:left="340"/>
              <w:spacing w:after="0"/>
              <w:rPr>
                <w:sz w:val="20"/>
                <w:szCs w:val="20"/>
                <w:color w:val="auto"/>
              </w:rPr>
            </w:pPr>
            <w:r>
              <w:rPr>
                <w:rFonts w:ascii="Arial" w:cs="Arial" w:eastAsia="Arial" w:hAnsi="Arial"/>
                <w:sz w:val="18"/>
                <w:szCs w:val="18"/>
                <w:color w:val="auto"/>
              </w:rPr>
              <w:t>Treatment of Executory Contracts and Unexpired Leases</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G.</w:t>
            </w:r>
          </w:p>
        </w:tc>
        <w:tc>
          <w:tcPr>
            <w:tcW w:w="9620" w:type="dxa"/>
            <w:vAlign w:val="bottom"/>
          </w:tcPr>
          <w:p>
            <w:pPr>
              <w:ind w:left="340"/>
              <w:spacing w:after="0"/>
              <w:rPr>
                <w:sz w:val="20"/>
                <w:szCs w:val="20"/>
                <w:color w:val="auto"/>
              </w:rPr>
            </w:pPr>
            <w:r>
              <w:rPr>
                <w:rFonts w:ascii="Arial" w:cs="Arial" w:eastAsia="Arial" w:hAnsi="Arial"/>
                <w:sz w:val="18"/>
                <w:szCs w:val="18"/>
                <w:color w:val="auto"/>
              </w:rPr>
              <w:t>Provisions Governing Distributions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H.</w:t>
            </w:r>
          </w:p>
        </w:tc>
        <w:tc>
          <w:tcPr>
            <w:tcW w:w="9620" w:type="dxa"/>
            <w:vAlign w:val="bottom"/>
          </w:tcPr>
          <w:p>
            <w:pPr>
              <w:ind w:left="340"/>
              <w:spacing w:after="0"/>
              <w:rPr>
                <w:sz w:val="20"/>
                <w:szCs w:val="20"/>
                <w:color w:val="auto"/>
              </w:rPr>
            </w:pPr>
            <w:r>
              <w:rPr>
                <w:rFonts w:ascii="Arial" w:cs="Arial" w:eastAsia="Arial" w:hAnsi="Arial"/>
                <w:sz w:val="18"/>
                <w:szCs w:val="18"/>
                <w:color w:val="auto"/>
              </w:rPr>
              <w:t>Procedures for Resolving Contingent, Unliquidated and Disputed Claims</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I.</w:t>
            </w:r>
          </w:p>
        </w:tc>
        <w:tc>
          <w:tcPr>
            <w:tcW w:w="9620" w:type="dxa"/>
            <w:vAlign w:val="bottom"/>
          </w:tcPr>
          <w:p>
            <w:pPr>
              <w:ind w:left="340"/>
              <w:spacing w:after="0"/>
              <w:rPr>
                <w:sz w:val="20"/>
                <w:szCs w:val="20"/>
                <w:color w:val="auto"/>
              </w:rPr>
            </w:pPr>
            <w:r>
              <w:rPr>
                <w:rFonts w:ascii="Arial" w:cs="Arial" w:eastAsia="Arial" w:hAnsi="Arial"/>
                <w:sz w:val="18"/>
                <w:szCs w:val="18"/>
                <w:color w:val="auto"/>
              </w:rPr>
              <w:t>Conditions Precedent to Confirmation and Consummation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J.</w:t>
            </w:r>
          </w:p>
        </w:tc>
        <w:tc>
          <w:tcPr>
            <w:tcW w:w="9620" w:type="dxa"/>
            <w:vAlign w:val="bottom"/>
          </w:tcPr>
          <w:p>
            <w:pPr>
              <w:ind w:left="340"/>
              <w:spacing w:after="0"/>
              <w:rPr>
                <w:sz w:val="20"/>
                <w:szCs w:val="20"/>
                <w:color w:val="auto"/>
              </w:rPr>
            </w:pPr>
            <w:r>
              <w:rPr>
                <w:rFonts w:ascii="Arial" w:cs="Arial" w:eastAsia="Arial" w:hAnsi="Arial"/>
                <w:sz w:val="18"/>
                <w:szCs w:val="18"/>
                <w:color w:val="auto"/>
              </w:rPr>
              <w:t>Release, Discharge, Injunction And Related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K.</w:t>
            </w:r>
          </w:p>
        </w:tc>
        <w:tc>
          <w:tcPr>
            <w:tcW w:w="9620" w:type="dxa"/>
            <w:vAlign w:val="bottom"/>
          </w:tcPr>
          <w:p>
            <w:pPr>
              <w:ind w:left="340"/>
              <w:spacing w:after="0"/>
              <w:rPr>
                <w:sz w:val="20"/>
                <w:szCs w:val="20"/>
                <w:color w:val="auto"/>
              </w:rPr>
            </w:pPr>
            <w:r>
              <w:rPr>
                <w:rFonts w:ascii="Arial" w:cs="Arial" w:eastAsia="Arial" w:hAnsi="Arial"/>
                <w:sz w:val="18"/>
                <w:szCs w:val="18"/>
                <w:color w:val="auto"/>
              </w:rPr>
              <w:t>Retention of jurisdiction</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L.</w:t>
            </w:r>
          </w:p>
        </w:tc>
        <w:tc>
          <w:tcPr>
            <w:tcW w:w="9620" w:type="dxa"/>
            <w:vAlign w:val="bottom"/>
          </w:tcPr>
          <w:p>
            <w:pPr>
              <w:ind w:left="340"/>
              <w:spacing w:after="0"/>
              <w:rPr>
                <w:sz w:val="20"/>
                <w:szCs w:val="20"/>
                <w:color w:val="auto"/>
              </w:rPr>
            </w:pPr>
            <w:r>
              <w:rPr>
                <w:rFonts w:ascii="Arial" w:cs="Arial" w:eastAsia="Arial" w:hAnsi="Arial"/>
                <w:sz w:val="18"/>
                <w:szCs w:val="18"/>
                <w:color w:val="auto"/>
              </w:rPr>
              <w:t>Miscellaneous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V. PLAN-RELATED RISK FACTORS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Certain Bankruptcy Law Considerations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Additional Factors Affecting the Value of the Reorganized Debtors</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Risk Factors That May Affect the Value of Securities to be Issued Under the Plan and/or Recoveries Under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w w:val="98"/>
              </w:rPr>
              <w:t>Risk Factors that Could Negatively Impact the Debtors’ And Reorganized Debtors’ Businesses and Financial Condition</w:t>
            </w: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Risk Factors Relating to the Irish Examinership Proceeding</w:t>
            </w:r>
          </w:p>
        </w:tc>
        <w:tc>
          <w:tcPr>
            <w:tcW w:w="24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Risk Factors Relating to the Bermuda Proceeding</w:t>
            </w:r>
          </w:p>
        </w:tc>
        <w:tc>
          <w:tcPr>
            <w:tcW w:w="24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 SOLICITATION AND VOTING PROCEDURES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Solicitation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Voting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VII. CONFIRMATION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The Confirmation Hearing</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Objections to Confirmation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8060" w:type="dxa"/>
            <w:vAlign w:val="bottom"/>
          </w:tcPr>
          <w:p>
            <w:pPr>
              <w:ind w:left="340"/>
              <w:spacing w:after="0"/>
              <w:rPr>
                <w:sz w:val="20"/>
                <w:szCs w:val="20"/>
                <w:color w:val="auto"/>
              </w:rPr>
            </w:pPr>
            <w:r>
              <w:rPr>
                <w:rFonts w:ascii="Arial" w:cs="Arial" w:eastAsia="Arial" w:hAnsi="Arial"/>
                <w:sz w:val="18"/>
                <w:szCs w:val="18"/>
                <w:color w:val="auto"/>
              </w:rPr>
              <w:t>Effect of Confirmation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8060" w:type="dxa"/>
            <w:vAlign w:val="bottom"/>
          </w:tcPr>
          <w:p>
            <w:pPr>
              <w:ind w:left="340"/>
              <w:spacing w:after="0"/>
              <w:rPr>
                <w:sz w:val="20"/>
                <w:szCs w:val="20"/>
                <w:color w:val="auto"/>
              </w:rPr>
            </w:pPr>
            <w:r>
              <w:rPr>
                <w:rFonts w:ascii="Arial" w:cs="Arial" w:eastAsia="Arial" w:hAnsi="Arial"/>
                <w:sz w:val="18"/>
                <w:szCs w:val="18"/>
                <w:color w:val="auto"/>
              </w:rPr>
              <w:t>Consummation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8060" w:type="dxa"/>
            <w:vAlign w:val="bottom"/>
          </w:tcPr>
          <w:p>
            <w:pPr>
              <w:ind w:left="340"/>
              <w:spacing w:after="0"/>
              <w:rPr>
                <w:sz w:val="20"/>
                <w:szCs w:val="20"/>
                <w:color w:val="auto"/>
              </w:rPr>
            </w:pPr>
            <w:r>
              <w:rPr>
                <w:rFonts w:ascii="Arial" w:cs="Arial" w:eastAsia="Arial" w:hAnsi="Arial"/>
                <w:sz w:val="18"/>
                <w:szCs w:val="18"/>
                <w:color w:val="auto"/>
              </w:rPr>
              <w:t>Confirmation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8060" w:type="dxa"/>
            <w:vAlign w:val="bottom"/>
          </w:tcPr>
          <w:p>
            <w:pPr>
              <w:ind w:left="340"/>
              <w:spacing w:after="0"/>
              <w:rPr>
                <w:sz w:val="20"/>
                <w:szCs w:val="20"/>
                <w:color w:val="auto"/>
              </w:rPr>
            </w:pPr>
            <w:r>
              <w:rPr>
                <w:rFonts w:ascii="Arial" w:cs="Arial" w:eastAsia="Arial" w:hAnsi="Arial"/>
                <w:sz w:val="18"/>
                <w:szCs w:val="18"/>
                <w:color w:val="auto"/>
              </w:rPr>
              <w:t>Statutory Requirements for Confirmation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G.</w:t>
            </w:r>
          </w:p>
        </w:tc>
        <w:tc>
          <w:tcPr>
            <w:tcW w:w="8060" w:type="dxa"/>
            <w:vAlign w:val="bottom"/>
          </w:tcPr>
          <w:p>
            <w:pPr>
              <w:ind w:left="340"/>
              <w:spacing w:after="0"/>
              <w:rPr>
                <w:sz w:val="20"/>
                <w:szCs w:val="20"/>
                <w:color w:val="auto"/>
              </w:rPr>
            </w:pPr>
            <w:r>
              <w:rPr>
                <w:rFonts w:ascii="Arial" w:cs="Arial" w:eastAsia="Arial" w:hAnsi="Arial"/>
                <w:sz w:val="18"/>
                <w:szCs w:val="18"/>
                <w:color w:val="auto"/>
              </w:rPr>
              <w:t>Consummation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VIII. VALUATION ANALYSIS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IX. EXEMPTIONS FROM SECURITIES ACT REGISTRATION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X. CERTAIN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U.S. Federal Income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Irish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Swiss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Bermudian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XI. ALTERNATIVES TO CONFIRMATION AND CONSUMMATION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154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Liquidation Under Chapter 7 of the Bankruptcy Code</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Filing of an Alternative Plan of Reorganization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Plan of Reorganization</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Restructuring Support Agreement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Liquidation Analysis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Financial Projections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Valuation Analysis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Organizational Structure Chart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Prepetition Indebtedness Borrowers, Guarantors, and Obligors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Backstop Commitment Agreement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Reorganization Steps Overview</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Description of Reorganization Steps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5"/>
          <w:szCs w:val="15"/>
          <w:color w:val="auto"/>
        </w:rPr>
        <w:t>Warrant Term Sheet</w:t>
      </w:r>
    </w:p>
    <w:p>
      <w:pPr>
        <w:spacing w:after="0" w:line="225"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THE DEBTORS HEREBY ADOPT AND INCORPORATE EACH EXHIBIT ATTACHED TO THIS DISCLOSURE STATEMENT BY REFERENCE AS THOUGH FULLY SET FORTH HEREIN.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t>
      </w:r>
      <w:r>
        <w:rPr>
          <w:rFonts w:ascii="Arial" w:cs="Arial" w:eastAsia="Arial" w:hAnsi="Arial"/>
          <w:sz w:val="17"/>
          <w:szCs w:val="17"/>
          <w:b w:val="1"/>
          <w:bCs w:val="1"/>
          <w:u w:val="single" w:color="auto"/>
          <w:color w:val="auto"/>
        </w:rPr>
        <w:t>Weatherford Parent</w:t>
      </w:r>
      <w:r>
        <w:rPr>
          <w:rFonts w:ascii="Arial" w:cs="Arial" w:eastAsia="Arial" w:hAnsi="Arial"/>
          <w:sz w:val="17"/>
          <w:szCs w:val="17"/>
          <w:color w:val="auto"/>
        </w:rPr>
        <w:t>”), an Irish public limited company, and the other debtors and debtors in possession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u w:val="single" w:color="auto"/>
          <w:color w:val="auto"/>
        </w:rPr>
        <w:t>Debtors</w:t>
      </w:r>
      <w:r>
        <w:rPr>
          <w:rFonts w:ascii="Arial" w:cs="Arial" w:eastAsia="Arial" w:hAnsi="Arial"/>
          <w:sz w:val="17"/>
          <w:szCs w:val="17"/>
          <w:color w:val="auto"/>
        </w:rPr>
        <w:t>” and, together with their non-debtor subsidiaries,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Weatherford</w:t>
      </w:r>
      <w:r>
        <w:rPr>
          <w:rFonts w:ascii="Arial" w:cs="Arial" w:eastAsia="Arial" w:hAnsi="Arial"/>
          <w:sz w:val="17"/>
          <w:szCs w:val="17"/>
          <w:color w:val="auto"/>
        </w:rPr>
        <w:t>”), submit this disclosure statement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Disclosure Statement</w:t>
      </w:r>
      <w:r>
        <w:rPr>
          <w:rFonts w:ascii="Arial" w:cs="Arial" w:eastAsia="Arial" w:hAnsi="Arial"/>
          <w:sz w:val="16"/>
          <w:szCs w:val="16"/>
          <w:color w:val="auto"/>
        </w:rPr>
        <w:t>”) pursuant to sections 1125 and 1126(b) of title 11 of the United States Code, 11 U.S.C. §§ 101-1532 (as amended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Bankruptcy Code</w:t>
      </w:r>
      <w:r>
        <w:rPr>
          <w:rFonts w:ascii="Arial" w:cs="Arial" w:eastAsia="Arial" w:hAnsi="Arial"/>
          <w:sz w:val="17"/>
          <w:szCs w:val="17"/>
          <w:color w:val="auto"/>
        </w:rPr>
        <w:t>”) and other applicable law, in connection with the solicitation of votes (the “</w:t>
      </w:r>
      <w:r>
        <w:rPr>
          <w:rFonts w:ascii="Arial" w:cs="Arial" w:eastAsia="Arial" w:hAnsi="Arial"/>
          <w:sz w:val="17"/>
          <w:szCs w:val="17"/>
          <w:b w:val="1"/>
          <w:bCs w:val="1"/>
          <w:u w:val="single" w:color="auto"/>
          <w:color w:val="auto"/>
        </w:rPr>
        <w:t>Solicitation</w:t>
      </w:r>
      <w:r>
        <w:rPr>
          <w:rFonts w:ascii="Arial" w:cs="Arial" w:eastAsia="Arial" w:hAnsi="Arial"/>
          <w:sz w:val="17"/>
          <w:szCs w:val="17"/>
          <w:color w:val="auto"/>
        </w:rPr>
        <w:t xml:space="preserve">”) on the </w:t>
      </w:r>
      <w:r>
        <w:rPr>
          <w:rFonts w:ascii="Arial" w:cs="Arial" w:eastAsia="Arial" w:hAnsi="Arial"/>
          <w:sz w:val="17"/>
          <w:szCs w:val="17"/>
          <w:i w:val="1"/>
          <w:iCs w:val="1"/>
          <w:color w:val="auto"/>
        </w:rPr>
        <w:t>Joint Prepackaged Plan of</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Reorganization for Weatherford International plc and its Affiliate Debtors Under Chapter 11 of the Bankruptcy Code</w:t>
      </w:r>
      <w:r>
        <w:rPr>
          <w:rFonts w:ascii="Arial" w:cs="Arial" w:eastAsia="Arial" w:hAnsi="Arial"/>
          <w:sz w:val="16"/>
          <w:szCs w:val="16"/>
          <w:color w:val="auto"/>
        </w:rPr>
        <w:t>, dated June 28, 2019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w:t>
      </w:r>
      <w:r>
        <w:rPr>
          <w:rFonts w:ascii="Arial" w:cs="Arial" w:eastAsia="Arial" w:hAnsi="Arial"/>
          <w:sz w:val="20"/>
          <w:szCs w:val="20"/>
          <w:color w:val="auto"/>
          <w:vertAlign w:val="superscript"/>
        </w:rPr>
        <w:t>(2)</w:t>
      </w:r>
    </w:p>
    <w:p>
      <w:pPr>
        <w:spacing w:after="0"/>
        <w:rPr>
          <w:sz w:val="20"/>
          <w:szCs w:val="20"/>
          <w:color w:val="auto"/>
        </w:rPr>
      </w:pPr>
      <w:r>
        <w:rPr>
          <w:rFonts w:ascii="Arial" w:cs="Arial" w:eastAsia="Arial" w:hAnsi="Arial"/>
          <w:sz w:val="17"/>
          <w:szCs w:val="17"/>
          <w:color w:val="auto"/>
        </w:rPr>
        <w:t>Subject to the approval of the board of directors of Weatherford Parent, the Debtors anticipate filing voluntary petitions for relief under chapter 11 in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Bankruptcy Court for the Southern District of Texas, Houston Division (the “</w:t>
      </w:r>
      <w:r>
        <w:rPr>
          <w:rFonts w:ascii="Arial" w:cs="Arial" w:eastAsia="Arial" w:hAnsi="Arial"/>
          <w:sz w:val="16"/>
          <w:szCs w:val="16"/>
          <w:b w:val="1"/>
          <w:bCs w:val="1"/>
          <w:u w:val="single" w:color="auto"/>
          <w:color w:val="auto"/>
        </w:rPr>
        <w:t>Bankruptcy Court</w:t>
      </w:r>
      <w:r>
        <w:rPr>
          <w:rFonts w:ascii="Arial" w:cs="Arial" w:eastAsia="Arial" w:hAnsi="Arial"/>
          <w:sz w:val="16"/>
          <w:szCs w:val="16"/>
          <w:color w:val="auto"/>
        </w:rPr>
        <w:t>”) on or around July 1, 2019 (the “</w:t>
      </w:r>
      <w:r>
        <w:rPr>
          <w:rFonts w:ascii="Arial" w:cs="Arial" w:eastAsia="Arial" w:hAnsi="Arial"/>
          <w:sz w:val="16"/>
          <w:szCs w:val="16"/>
          <w:b w:val="1"/>
          <w:bCs w:val="1"/>
          <w:u w:val="single" w:color="auto"/>
          <w:color w:val="auto"/>
        </w:rPr>
        <w:t>Chapter 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Cases</w:t>
      </w:r>
      <w:r>
        <w:rPr>
          <w:rFonts w:ascii="Arial" w:cs="Arial" w:eastAsia="Arial" w:hAnsi="Arial"/>
          <w:sz w:val="18"/>
          <w:szCs w:val="18"/>
          <w:color w:val="auto"/>
        </w:rPr>
        <w:t>”). A copy of the Plan is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Debtors anticipate commencing the Chapter 11 Cases on July 1, 2019 with an expected first day hearing on or around July 2, 2019.</w:t>
      </w:r>
    </w:p>
    <w:p>
      <w:pPr>
        <w:spacing w:after="0" w:line="23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Debtors are commencing this Solicitation to implement a comprehensive financial restructuring to deleverage the Company’s balance sheet to ensure the long-term viability of the Debtors’ enterprise. As a result of extensive negotiations, the Debtors and the Holders of approximately 74% of the Prepetition Notes (the “</w:t>
      </w:r>
      <w:r>
        <w:rPr>
          <w:rFonts w:ascii="Arial" w:cs="Arial" w:eastAsia="Arial" w:hAnsi="Arial"/>
          <w:sz w:val="17"/>
          <w:szCs w:val="17"/>
          <w:b w:val="1"/>
          <w:bCs w:val="1"/>
          <w:u w:val="single" w:color="auto"/>
          <w:color w:val="auto"/>
        </w:rPr>
        <w:t>Consenting Noteholders</w:t>
      </w:r>
      <w:r>
        <w:rPr>
          <w:rFonts w:ascii="Arial" w:cs="Arial" w:eastAsia="Arial" w:hAnsi="Arial"/>
          <w:sz w:val="17"/>
          <w:szCs w:val="17"/>
          <w:color w:val="auto"/>
        </w:rPr>
        <w:t>”) entered into a restructuring support agreement (the “</w:t>
      </w:r>
      <w:r>
        <w:rPr>
          <w:rFonts w:ascii="Arial" w:cs="Arial" w:eastAsia="Arial" w:hAnsi="Arial"/>
          <w:sz w:val="17"/>
          <w:szCs w:val="17"/>
          <w:b w:val="1"/>
          <w:bCs w:val="1"/>
          <w:u w:val="single" w:color="auto"/>
          <w:color w:val="auto"/>
        </w:rPr>
        <w:t>Restructuring Support Agreement</w:t>
      </w:r>
      <w:r>
        <w:rPr>
          <w:rFonts w:ascii="Arial" w:cs="Arial" w:eastAsia="Arial" w:hAnsi="Arial"/>
          <w:sz w:val="17"/>
          <w:szCs w:val="17"/>
          <w:color w:val="auto"/>
        </w:rPr>
        <w:t xml:space="preserve">”) dated as of May 10, 2019, a copy of which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Under the terms of the Restructuring Support Agreement, the Consenting Noteholders have agreed, subject to the terms and conditions of the Restructuring Support Agreement, to support a restructuring of the Debtors’ existing capital structure in chapter 11 (the “</w:t>
      </w:r>
      <w:r>
        <w:rPr>
          <w:rFonts w:ascii="Arial" w:cs="Arial" w:eastAsia="Arial" w:hAnsi="Arial"/>
          <w:sz w:val="17"/>
          <w:szCs w:val="17"/>
          <w:b w:val="1"/>
          <w:bCs w:val="1"/>
          <w:u w:val="single" w:color="auto"/>
          <w:color w:val="auto"/>
        </w:rPr>
        <w:t>Restructuring</w:t>
      </w:r>
      <w:r>
        <w:rPr>
          <w:rFonts w:ascii="Arial" w:cs="Arial" w:eastAsia="Arial" w:hAnsi="Arial"/>
          <w:sz w:val="17"/>
          <w:szCs w:val="17"/>
          <w:color w:val="auto"/>
        </w:rPr>
        <w:t>”) and vote to accept the Plan.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two groups whose votes for acceptance of the Plan are being solicited:</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Holders of Prepetition Notes;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Holders of Existing Common Stock.</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Restructuring as contemplated in the Plan results in a significant deleveraging of the Debtors’ capital structure. The Debtors’ funded debt will be reduced from approximately $8.35 billion to $2.50 billion, which will allow the Debtors to focus on long-term growth prospects and their competitive position in the market, which will in turn allow the Debtors to emerge from these Chapter 11 Cases as a stronger company.</w:t>
      </w:r>
    </w:p>
    <w:p>
      <w:pPr>
        <w:spacing w:after="0" w:line="166"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Pursuant to section 1126(b) of the Bankruptcy Code, prior to commencement of a prepackaged chapter 11 case, the Solicitation of votes for acceptance or rejection of a plan must (i) comply with any applicable non-bankruptcy law, rule or regulation governing the adequacy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ind w:right="140" w:firstLine="8"/>
        <w:spacing w:after="0" w:line="215" w:lineRule="auto"/>
        <w:tabs>
          <w:tab w:leader="none" w:pos="17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All capitalized terms used but not otherwise defined herein shall have the meanings set forth in the Plan. To the extent that a definition of a term in the text of this Disclosure Statement and the definition of such term in the Plan are inconsistent, the definition included in the Plan shall control and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5" w:name="page16"/>
    <w:bookmarkEnd w:id="15"/>
    <w:p>
      <w:pPr>
        <w:ind w:right="80"/>
        <w:spacing w:after="0" w:line="302" w:lineRule="auto"/>
        <w:rPr>
          <w:sz w:val="20"/>
          <w:szCs w:val="20"/>
          <w:color w:val="auto"/>
        </w:rPr>
      </w:pPr>
      <w:r>
        <w:rPr>
          <w:rFonts w:ascii="Arial" w:cs="Arial" w:eastAsia="Arial" w:hAnsi="Arial"/>
          <w:sz w:val="16"/>
          <w:szCs w:val="16"/>
          <w:color w:val="auto"/>
        </w:rPr>
        <w:t>disclosure in connection with such Solicitation or (ii) if there is no such law, rule or other regulation, must contain adequate information as defined in section 1125(a) of the Bankruptcy Code. Pursuant to section 1125(a) of the Bankruptcy Code, “adequate information” is information of a kind, and in sufficient detail, to enable a hypothetical reasonable investor to make an informed judgment regarding the plan. To satisfy applicable disclosure requirements, the Debtors are submitting this Disclosure Statement to holders of Claims and Equity Interests who are Impaired and not deemed to have rejected the Plan.</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Section 1125(g) of the Bankruptcy Code allows for the Solicitation of votes from holders prior to commencement of a chapter 11 case if such solicitation complies with applicable nonbankruptcy law and if such holder was solicited before the commencement of the case in a manner complying with applicable nonbankruptcy law.</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Solicitation of Holders of Prepetition Notes is being conducted at this time,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to the commencement of the Chapter 11 Cases, to obtain sufficient acceptances to enable the Plan to be confirmed by the Bankruptcy Court pursuant to the provisions of the Bankruptcy Code. The Solicitation of Holders of Existing Common Stock will commence </w:t>
      </w:r>
      <w:r>
        <w:rPr>
          <w:rFonts w:ascii="Arial" w:cs="Arial" w:eastAsia="Arial" w:hAnsi="Arial"/>
          <w:sz w:val="17"/>
          <w:szCs w:val="17"/>
          <w:b w:val="1"/>
          <w:bCs w:val="1"/>
          <w:i w:val="1"/>
          <w:iCs w:val="1"/>
          <w:color w:val="auto"/>
        </w:rPr>
        <w:t>after</w:t>
      </w:r>
      <w:r>
        <w:rPr>
          <w:rFonts w:ascii="Arial" w:cs="Arial" w:eastAsia="Arial" w:hAnsi="Arial"/>
          <w:sz w:val="17"/>
          <w:szCs w:val="17"/>
          <w:color w:val="auto"/>
        </w:rPr>
        <w:t xml:space="preserve"> the commencement of the Chapter 11 Cases. The Company believes that this Solicitation will minimize the disruption of its business that could result from a traditional bankruptcy case, which could be contested and protracted. The Company also believes that the Solicitation of Holders of Prepetition Notes prior to the commencement of the Chapter 11 Cases will minimize postpetition disputes, and will significantly simplify, shorten, and reduce the administrative costs of the Chapter 11 Cases.</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This Executive Summary is being provided as an overview of the material items addressed in the Disclosure Statement and the Plan, which is qualified by reference to the entire Disclosure Statement and by the actual terms of the Plan (and including all exhibits attached hereto and to the Plan), and should not be relied upon for a comprehensive discussion of the Disclosure Statement and/or the Plan. This Disclosure Statement includes, without limitation, information about:</w:t>
      </w:r>
    </w:p>
    <w:p>
      <w:pPr>
        <w:spacing w:after="0" w:line="187"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Debtors’ operating and financial history;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background information, including the events leading up to the Restructuring, including the expected commencement of the Chapter 11 Cases;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significant events that are expected to occur during the Chapter 11 Cases;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Confirmation process and the solicitation and voting procedures that Holders of Claims and Equity Interests who are entitled to vote on the Plan must follow for their votes to be counted;</w:t>
      </w:r>
    </w:p>
    <w:p>
      <w:pPr>
        <w:spacing w:after="0" w:line="170" w:lineRule="exact"/>
        <w:rPr>
          <w:rFonts w:ascii="Arial" w:cs="Arial" w:eastAsia="Arial" w:hAnsi="Arial"/>
          <w:sz w:val="18"/>
          <w:szCs w:val="18"/>
          <w:color w:val="auto"/>
        </w:rPr>
      </w:pPr>
    </w:p>
    <w:p>
      <w:pPr>
        <w:ind w:left="980" w:right="80" w:hanging="324"/>
        <w:spacing w:after="0" w:line="34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terms and provisions of the Plan, including certain effects of confirmation of the Plan, certain risk factors relating to the Debtors or the Reorganized Debtors, the Plan and the securities to be issued under the Plan and the manner in which distributions will be made under the Plan;</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Reorganization Steps Overview, as described more fully in </w:t>
      </w:r>
      <w:r>
        <w:rPr>
          <w:rFonts w:ascii="Arial" w:cs="Arial" w:eastAsia="Arial" w:hAnsi="Arial"/>
          <w:sz w:val="18"/>
          <w:szCs w:val="18"/>
          <w:u w:val="single" w:color="auto"/>
          <w:color w:val="auto"/>
        </w:rPr>
        <w:t>Exhibit I</w:t>
      </w:r>
      <w:r>
        <w:rPr>
          <w:rFonts w:ascii="Arial" w:cs="Arial" w:eastAsia="Arial" w:hAnsi="Arial"/>
          <w:sz w:val="18"/>
          <w:szCs w:val="18"/>
          <w:color w:val="auto"/>
        </w:rPr>
        <w: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left="940" w:hanging="284"/>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proposed organization, operations and financing of the Reorganized Debtors if the Plan is confirmed and becomes effective.</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7"/>
          <w:szCs w:val="17"/>
          <w:b w:val="1"/>
          <w:bCs w:val="1"/>
          <w:color w:val="auto"/>
        </w:rPr>
        <w:t>PURPOSE AND EFFECT OF THE PLAN</w:t>
      </w:r>
    </w:p>
    <w:p>
      <w:pPr>
        <w:spacing w:after="0" w:line="22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Plan of Reorganization Under Chapter 11 of the Bankruptcy Code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Debtors are reorganizing pursuant to chapter 11 of the Bankruptcy Code, which is the principal business reorganization chapter of the Bankruptcy Code. As a result, the confirmation of the Plan means that the Reorganized Debtors will continue to operate their businesses going forward and does not mean that the Debtors will be liquidated or forced to go out of business. Additionally, as discussed in greater detail in Section IV.J herein, titled “Binding Nature of the Plan,” a bankruptcy court’s confirmation of a plan binds debtors, any entity acquiring property under the plan, any holder of a claim or equity interest in a debtor and all other entities as may be ordered by the bankruptcy court in accordance with the applicable provisions of the Bankruptcy Code to the terms and conditions of the confirmed plan, whether or not such entity voted on the particular plan or affirmatively voted to reject the plan.</w:t>
      </w:r>
    </w:p>
    <w:p>
      <w:pPr>
        <w:spacing w:after="0" w:line="16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Restructurings Under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contemplates certain transactions, including, without limitation, the following transactions (described in greater detail in Section IV</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980" w:right="62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Holder of an Allowed Prepetition Revolving Credit Claim will receive payment in Cash equal to such Allowed Claim from the DIP Facility;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Holder of an Allowed Prepetition Term Loan Claim will receive payment in Cash equal to such Allowed Claim from the DIP Facility;</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Holder of an Allowed Prepetition A&amp;R Claim will receive payment in Cash equal to such Allowed Claim from the Exit Facility;</w:t>
      </w:r>
    </w:p>
    <w:p>
      <w:pPr>
        <w:spacing w:after="0" w:line="225" w:lineRule="exact"/>
        <w:rPr>
          <w:rFonts w:ascii="Arial" w:cs="Arial" w:eastAsia="Arial" w:hAnsi="Arial"/>
          <w:sz w:val="18"/>
          <w:szCs w:val="18"/>
          <w:color w:val="auto"/>
        </w:rPr>
      </w:pPr>
    </w:p>
    <w:p>
      <w:pPr>
        <w:ind w:left="980" w:right="60" w:hanging="324"/>
        <w:spacing w:after="0" w:line="270"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Holder of an Allowed Prepetition Notes Claim will receive its Pro Rata share of (i) 99% of the New Common Stock, subject to dilution on account of equity issued pursuant to the New Management Incentive Plan, the New Tranche B Equity Conversion, and the New Common Stock issuable pursuant to the New Warrants and (ii) the New Tranche B Senior Unsecured Notes; provided, however, that each Holder of Allowed Prepetition Notes Claims will have the option, in its sole discretion, of converting its New Tranche B Senior Unsecured Notes pursuant to the Tranche B Equity Conversion at the mid-point of the equity value range set forth in this Disclosure Statement; provided,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Holder of Allowed Prepetition Notes Claims that elected to convert its full Pro Rata share of New Tranche B Senior Unsecured Notes into New Common Stock in the Tranche B Equity Conversion shall also be eligible to exercise their Overallotment Rights. Procedures for the effectuation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left="324"/>
        <w:spacing w:after="0" w:line="259" w:lineRule="auto"/>
        <w:rPr>
          <w:sz w:val="20"/>
          <w:szCs w:val="20"/>
          <w:color w:val="auto"/>
        </w:rPr>
      </w:pPr>
      <w:r>
        <w:rPr>
          <w:rFonts w:ascii="Arial" w:cs="Arial" w:eastAsia="Arial" w:hAnsi="Arial"/>
          <w:sz w:val="18"/>
          <w:szCs w:val="18"/>
          <w:color w:val="auto"/>
        </w:rPr>
        <w:t>Tranche B Equity Conversion and the Overallotment Rights are set forth in Article V.V of the Plan. Each Holder of Prepetition Notes issued by Weatherford International, LLC will receive New Tranche B Senior Unsecured Notes issued by Reorganized Weatherford Delaware and each Holder of Prepetition Notes issued by Weatherford International Ltd. will receive New Tranche B Senior Unsecured Notes issued by Reorganized Weatherford Bermuda;</w:t>
      </w:r>
    </w:p>
    <w:p>
      <w:pPr>
        <w:spacing w:after="0" w:line="187" w:lineRule="exact"/>
        <w:rPr>
          <w:sz w:val="20"/>
          <w:szCs w:val="20"/>
          <w:color w:val="auto"/>
        </w:rPr>
      </w:pPr>
    </w:p>
    <w:p>
      <w:pPr>
        <w:ind w:left="324" w:right="220" w:hanging="324"/>
        <w:spacing w:after="0" w:line="342" w:lineRule="auto"/>
        <w:tabs>
          <w:tab w:leader="none" w:pos="288"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Holder of an Allowed Prepetition Notes Claim will receive Subscription Rights to purchase its Pro Rata share of New Tranche A Senior Unsecured Notes pursuant to the Rights Offering (as defined below) and in accordance with the applicable Rights Offerings Procedures;</w:t>
      </w:r>
    </w:p>
    <w:p>
      <w:pPr>
        <w:spacing w:after="0" w:line="123" w:lineRule="exact"/>
        <w:rPr>
          <w:rFonts w:ascii="Arial" w:cs="Arial" w:eastAsia="Arial" w:hAnsi="Arial"/>
          <w:sz w:val="16"/>
          <w:szCs w:val="16"/>
          <w:color w:val="auto"/>
        </w:rPr>
      </w:pPr>
    </w:p>
    <w:p>
      <w:pPr>
        <w:ind w:left="324" w:right="260" w:hanging="324"/>
        <w:spacing w:after="0" w:line="286" w:lineRule="auto"/>
        <w:tabs>
          <w:tab w:leader="none" w:pos="288"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Existing Common Stock will be cancelled and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65" w:lineRule="exact"/>
        <w:rPr>
          <w:rFonts w:ascii="Arial" w:cs="Arial" w:eastAsia="Arial" w:hAnsi="Arial"/>
          <w:sz w:val="17"/>
          <w:szCs w:val="17"/>
          <w:color w:val="auto"/>
        </w:rPr>
      </w:pPr>
    </w:p>
    <w:p>
      <w:pPr>
        <w:ind w:left="284" w:hanging="284"/>
        <w:spacing w:after="0"/>
        <w:tabs>
          <w:tab w:leader="none" w:pos="2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Allowed DIP Facility Claims will be paid in full in Cash upon emergence;</w:t>
      </w:r>
    </w:p>
    <w:p>
      <w:pPr>
        <w:spacing w:after="0" w:line="225" w:lineRule="exact"/>
        <w:rPr>
          <w:rFonts w:ascii="Arial" w:cs="Arial" w:eastAsia="Arial" w:hAnsi="Arial"/>
          <w:sz w:val="18"/>
          <w:szCs w:val="18"/>
          <w:color w:val="auto"/>
        </w:rPr>
      </w:pPr>
    </w:p>
    <w:p>
      <w:pPr>
        <w:ind w:left="324" w:right="140" w:hanging="324"/>
        <w:spacing w:after="0" w:line="264" w:lineRule="auto"/>
        <w:tabs>
          <w:tab w:leader="none" w:pos="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Intercompany Claims will be adjusted, reinstated, compromised, or cancelled to the extent determined appropriate by the Debtors, with the consent of the Required Consenting Noteholders (and to the extent permitted by the laws of the Debtor’s jurisdiction of incorporation if non-bankruptcy law applies);</w:t>
      </w:r>
    </w:p>
    <w:p>
      <w:pPr>
        <w:spacing w:after="0" w:line="181" w:lineRule="exact"/>
        <w:rPr>
          <w:rFonts w:ascii="Arial" w:cs="Arial" w:eastAsia="Arial" w:hAnsi="Arial"/>
          <w:sz w:val="18"/>
          <w:szCs w:val="18"/>
          <w:color w:val="auto"/>
        </w:rPr>
      </w:pPr>
    </w:p>
    <w:p>
      <w:pPr>
        <w:ind w:left="324" w:right="640" w:hanging="324"/>
        <w:spacing w:after="0" w:line="277" w:lineRule="auto"/>
        <w:tabs>
          <w:tab w:leader="none" w:pos="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Intercompany Equity Interests will be reinstated for administrative convenience or cancelled as determined by the Debtors, with the reasonable consent of the Required Consenting Noteholders;</w:t>
      </w:r>
    </w:p>
    <w:p>
      <w:pPr>
        <w:spacing w:after="0" w:line="170" w:lineRule="exact"/>
        <w:rPr>
          <w:rFonts w:ascii="Arial" w:cs="Arial" w:eastAsia="Arial" w:hAnsi="Arial"/>
          <w:sz w:val="18"/>
          <w:szCs w:val="18"/>
          <w:color w:val="auto"/>
        </w:rPr>
      </w:pPr>
    </w:p>
    <w:p>
      <w:pPr>
        <w:ind w:left="324" w:right="320" w:hanging="324"/>
        <w:spacing w:after="0" w:line="277" w:lineRule="auto"/>
        <w:tabs>
          <w:tab w:leader="none" w:pos="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Unexercised Equity Interests will be cancelled, and the Holders of such Unexercised Equity Interests will not receive any distribution or retain any property on account of such Unexercised Equity Interests; and</w:t>
      </w:r>
    </w:p>
    <w:p>
      <w:pPr>
        <w:spacing w:after="0" w:line="170" w:lineRule="exact"/>
        <w:rPr>
          <w:rFonts w:ascii="Arial" w:cs="Arial" w:eastAsia="Arial" w:hAnsi="Arial"/>
          <w:sz w:val="18"/>
          <w:szCs w:val="18"/>
          <w:color w:val="auto"/>
        </w:rPr>
      </w:pPr>
    </w:p>
    <w:p>
      <w:pPr>
        <w:ind w:left="324" w:right="180" w:hanging="324"/>
        <w:spacing w:after="0" w:line="277" w:lineRule="auto"/>
        <w:tabs>
          <w:tab w:leader="none" w:pos="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legal, equitable, and contractual rights of the Holders of Allowed Other Priority Claims, Allowed Other Secured Claims, Allowed General Unsecured Claims, and Allowed Secured Tax Claims will be unaltered by the Plan.</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41" w:right="319" w:bottom="1440" w:gutter="0" w:footer="0" w:header="0"/>
        </w:sectPr>
      </w:pPr>
    </w:p>
    <w:bookmarkStart w:id="18" w:name="page19"/>
    <w:bookmarkEnd w:id="18"/>
    <w:p>
      <w:pPr>
        <w:ind w:left="1300" w:hanging="644"/>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the Plan on Debtors’ Capital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effect of the Restructuring on the Debtors’ capital structure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Pre-Petition Capital Structure</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00" w:type="dxa"/>
            <w:vAlign w:val="bottom"/>
          </w:tcPr>
          <w:p>
            <w:pPr>
              <w:ind w:left="2000"/>
              <w:spacing w:after="0"/>
              <w:rPr>
                <w:sz w:val="20"/>
                <w:szCs w:val="20"/>
                <w:color w:val="auto"/>
              </w:rPr>
            </w:pPr>
            <w:r>
              <w:rPr>
                <w:rFonts w:ascii="Arial" w:cs="Arial" w:eastAsia="Arial" w:hAnsi="Arial"/>
                <w:sz w:val="14"/>
                <w:szCs w:val="14"/>
                <w:b w:val="1"/>
                <w:bCs w:val="1"/>
                <w:color w:val="auto"/>
              </w:rPr>
              <w:t>Reorganized Capital Structure</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Prepetition A&amp;R</w:t>
            </w:r>
          </w:p>
        </w:tc>
        <w:tc>
          <w:tcPr>
            <w:tcW w:w="11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305,000,000</w:t>
            </w:r>
          </w:p>
        </w:tc>
        <w:tc>
          <w:tcPr>
            <w:tcW w:w="3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Exit Facility (undrawn on Effective Date)</w:t>
            </w:r>
          </w:p>
        </w:tc>
        <w:tc>
          <w:tcPr>
            <w:tcW w:w="18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0"/>
              </w:rPr>
              <w:t>Up to $1,000,000,000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Term Loan</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297,500,000</w:t>
            </w:r>
          </w:p>
        </w:tc>
        <w:tc>
          <w:tcPr>
            <w:tcW w:w="3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Tranche A Senior Unsecured Notes</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$1,250,000,000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Revolver</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316,742,581</w:t>
            </w:r>
          </w:p>
        </w:tc>
        <w:tc>
          <w:tcPr>
            <w:tcW w:w="3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Tranche B Senior Unsecured Notes</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$1,250,000,000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Notes</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7,427,067,000</w:t>
            </w:r>
          </w:p>
        </w:tc>
        <w:tc>
          <w:tcPr>
            <w:tcW w:w="4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Funded Debt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8,346,309,581</w:t>
            </w: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Funded Debt</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$2,500,000,000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CLAIMS AND EQUITY INTERESTS UNDER THE PLAN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summary of the classification and treatment of Claims and Equity Interests and the potential distributions to Holders of Allowed Claims and Equity Interests under the Plan.</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THE PROJECTED RECOVERIES SET FORTH IN THE TABLE BELOW ARE ESTIMATES ONLY AND THEREFORE ARE SUBJECT TO CHANGE. FOR A COMPLETE DESCRIPTION OF THE DEBTORS’ CLASSIFICATION AND TREATMENT OF CLAIMS AND EQUITY INTERESTS, REFERENCE SHOULD BE MADE TO THE ENTIRE PLAN AND THE RISK FACTORS DESCRIBED IN </w:t>
      </w:r>
      <w:r>
        <w:rPr>
          <w:rFonts w:ascii="Arial" w:cs="Arial" w:eastAsia="Arial" w:hAnsi="Arial"/>
          <w:sz w:val="18"/>
          <w:szCs w:val="18"/>
          <w:b w:val="1"/>
          <w:bCs w:val="1"/>
          <w:u w:val="single" w:color="auto"/>
          <w:color w:val="auto"/>
        </w:rPr>
        <w:t>ARTICLE V</w:t>
      </w:r>
      <w:r>
        <w:rPr>
          <w:rFonts w:ascii="Arial" w:cs="Arial" w:eastAsia="Arial" w:hAnsi="Arial"/>
          <w:sz w:val="18"/>
          <w:szCs w:val="18"/>
          <w:b w:val="1"/>
          <w:bCs w:val="1"/>
          <w:color w:val="auto"/>
        </w:rPr>
        <w:t xml:space="preserve"> BELOW. THE TABLE IS INTENDED FOR ILLUSTRATIVE PURPOSES ONLY AND IS NOT A SUBSTITUTE FOR A REVIEW OF THE PLAN AND DISCLOSURE STATEMENT IN THEIR ENTIRETY. FOR CERTAIN CLASSES OF CLAIMS, THE ACTUAL AMOUNT OF ALLOWED CLAIMS COULD BE MATERIALLY DIFFERENT THAN THE ESTIMATED AMOUNTS SHOWN IN THE TABLE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SUMMARY OF EXPECTED RECOVERIES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4"/>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4"/>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jc w:val="right"/>
              <w:ind w:right="250"/>
              <w:spacing w:after="0" w:line="195"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Other Priority Claims</w:t>
            </w: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9"/>
              </w:rPr>
              <w:t>Each Holder of an Allowed Class 1 Claim will receive in full satisfaction, settlement,</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discharge and release of, and in exchange for, such Allowed Class 1 Claim, at the election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Cash equal to the amount of such Allowed Class 1 Claim;</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Such other less favorable treatment as to which the Debtors or Reorganized</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9"/>
              </w:rPr>
              <w:t>Debtors, as applicable, and the Holder of such Allowed Class 1 Claim will have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agreed upon in writing; or</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8"/>
              </w:rPr>
              <w:t>·   Such other treatment such that it will not be impaired pursuant to section 1124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Secured Claims</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Each Holder of an Allowed Class 2 Claim will receive in full satisfaction, settlement,</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discharge and release of, and in exchange for, such Allowed Class 2 Claim, at the election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Cash equal to the amount of such Allowed Class 2 Claim;</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Such other less favorable treatment as to which the Debtors or Reorganized</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9"/>
              </w:rPr>
              <w:t>Debtors, as applicable, and the Holder of such Allowed Class 2 Claim will have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agreed upon in writing;</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The Collateral securing such Allowed Class 2 Claim; 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4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8"/>
              </w:rPr>
              <w:t>·   Such other treatment such that it will not be impaired pursuant to section 1124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right"/>
              <w:ind w:right="2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Secured Tax Claims</w:t>
            </w:r>
          </w:p>
        </w:tc>
        <w:tc>
          <w:tcPr>
            <w:tcW w:w="6880" w:type="dxa"/>
            <w:vAlign w:val="bottom"/>
            <w:gridSpan w:val="4"/>
          </w:tcPr>
          <w:p>
            <w:pPr>
              <w:spacing w:after="0"/>
              <w:rPr>
                <w:sz w:val="20"/>
                <w:szCs w:val="20"/>
                <w:color w:val="auto"/>
              </w:rPr>
            </w:pPr>
            <w:r>
              <w:rPr>
                <w:rFonts w:ascii="Arial" w:cs="Arial" w:eastAsia="Arial" w:hAnsi="Arial"/>
                <w:sz w:val="18"/>
                <w:szCs w:val="18"/>
                <w:color w:val="auto"/>
              </w:rPr>
              <w:t>Each Holder of an Allowed Class 3 Claim will receive in full satisfaction, settlement,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Arial" w:cs="Arial" w:eastAsia="Arial" w:hAnsi="Arial"/>
                <w:sz w:val="18"/>
                <w:szCs w:val="18"/>
                <w:color w:val="auto"/>
                <w:w w:val="95"/>
              </w:rPr>
              <w:t>discharge and release of, and in exchange for, such Allowed Class 3 Claim, at the election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0"/>
                <w:szCs w:val="20"/>
                <w:color w:val="auto"/>
              </w:rPr>
            </w:pPr>
          </w:p>
        </w:tc>
        <w:tc>
          <w:tcPr>
            <w:tcW w:w="6880" w:type="dxa"/>
            <w:vAlign w:val="bottom"/>
            <w:gridSpan w:val="4"/>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646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46555"/>
                    </a:xfrm>
                    <a:prstGeom prst="rect">
                      <a:avLst/>
                    </a:prstGeom>
                    <a:noFill/>
                  </pic:spPr>
                </pic:pic>
              </a:graphicData>
            </a:graphic>
          </wp:anchor>
        </w:drawing>
      </w:r>
    </w:p>
    <w:p>
      <w:pPr>
        <w:spacing w:after="0" w:line="182" w:lineRule="exact"/>
        <w:rPr>
          <w:sz w:val="20"/>
          <w:szCs w:val="20"/>
          <w:color w:val="auto"/>
        </w:rPr>
      </w:pPr>
    </w:p>
    <w:p>
      <w:pPr>
        <w:ind w:left="3680"/>
        <w:spacing w:after="0"/>
        <w:tabs>
          <w:tab w:leader="none" w:pos="3940" w:val="left"/>
        </w:tabs>
        <w:rPr>
          <w:sz w:val="20"/>
          <w:szCs w:val="20"/>
          <w:color w:val="auto"/>
        </w:rPr>
      </w:pPr>
      <w:r>
        <w:rPr>
          <w:rFonts w:ascii="Arial" w:cs="Arial" w:eastAsia="Arial" w:hAnsi="Arial"/>
          <w:sz w:val="18"/>
          <w:szCs w:val="18"/>
          <w:color w:val="auto"/>
        </w:rPr>
        <w:t>·</w:t>
        <w:tab/>
        <w:t>Cash equal to the amount of such Allowed Class 3 Claim;</w:t>
      </w:r>
    </w:p>
    <w:p>
      <w:pPr>
        <w:spacing w:after="0" w:line="225" w:lineRule="exact"/>
        <w:rPr>
          <w:sz w:val="20"/>
          <w:szCs w:val="20"/>
          <w:color w:val="auto"/>
        </w:rPr>
      </w:pPr>
    </w:p>
    <w:p>
      <w:pPr>
        <w:ind w:left="3960" w:right="1600" w:hanging="323"/>
        <w:spacing w:after="0" w:line="264" w:lineRule="auto"/>
        <w:tabs>
          <w:tab w:leader="none" w:pos="3940" w:val="left"/>
        </w:tabs>
        <w:rPr>
          <w:sz w:val="20"/>
          <w:szCs w:val="20"/>
          <w:color w:val="auto"/>
        </w:rPr>
      </w:pPr>
      <w:r>
        <w:rPr>
          <w:rFonts w:ascii="Arial" w:cs="Arial" w:eastAsia="Arial" w:hAnsi="Arial"/>
          <w:sz w:val="18"/>
          <w:szCs w:val="18"/>
          <w:color w:val="auto"/>
        </w:rPr>
        <w:t>·</w:t>
        <w:tab/>
        <w:t>Such other less favorable treatment as to which the Debtors or Reorganized Debtors, as applicable, and the Holder of such Allowed Class 3 Claim shall have agreed upon in writing;</w:t>
      </w:r>
    </w:p>
    <w:p>
      <w:pPr>
        <w:spacing w:after="0" w:line="181" w:lineRule="exact"/>
        <w:rPr>
          <w:sz w:val="20"/>
          <w:szCs w:val="20"/>
          <w:color w:val="auto"/>
        </w:rPr>
      </w:pPr>
    </w:p>
    <w:p>
      <w:pPr>
        <w:jc w:val="center"/>
        <w:ind w:left="3680"/>
        <w:spacing w:after="0"/>
        <w:tabs>
          <w:tab w:leader="none" w:pos="220" w:val="left"/>
        </w:tabs>
        <w:rPr>
          <w:sz w:val="20"/>
          <w:szCs w:val="20"/>
          <w:color w:val="auto"/>
        </w:rPr>
      </w:pPr>
      <w:r>
        <w:rPr>
          <w:rFonts w:ascii="Arial" w:cs="Arial" w:eastAsia="Arial" w:hAnsi="Arial"/>
          <w:sz w:val="18"/>
          <w:szCs w:val="18"/>
          <w:color w:val="auto"/>
        </w:rPr>
        <w:t>·</w:t>
        <w:tab/>
        <w:t>The Collateral securing such Allowed Class 3 Claim;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4"/>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4"/>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gridSpan w:val="3"/>
            <w:shd w:val="clear" w:color="auto" w:fill="CCEEFF"/>
          </w:tcPr>
          <w:p>
            <w:pPr>
              <w:ind w:left="320"/>
              <w:spacing w:after="0" w:line="195" w:lineRule="exact"/>
              <w:rPr>
                <w:sz w:val="20"/>
                <w:szCs w:val="20"/>
                <w:color w:val="auto"/>
              </w:rPr>
            </w:pPr>
            <w:r>
              <w:rPr>
                <w:rFonts w:ascii="Arial" w:cs="Arial" w:eastAsia="Arial" w:hAnsi="Arial"/>
                <w:sz w:val="18"/>
                <w:szCs w:val="18"/>
                <w:color w:val="auto"/>
                <w:w w:val="94"/>
              </w:rPr>
              <w:t>·   Such other treatment such that it will not be impaired pursuant to section 1124 of</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880" w:type="dxa"/>
            <w:vAlign w:val="bottom"/>
            <w:gridSpan w:val="4"/>
            <w:shd w:val="clear" w:color="auto" w:fill="CCEEFF"/>
          </w:tcPr>
          <w:p>
            <w:pPr>
              <w:ind w:left="640"/>
              <w:spacing w:after="0" w:line="190" w:lineRule="exact"/>
              <w:rPr>
                <w:sz w:val="20"/>
                <w:szCs w:val="20"/>
                <w:color w:val="auto"/>
              </w:rPr>
            </w:pPr>
            <w:r>
              <w:rPr>
                <w:rFonts w:ascii="Arial" w:cs="Arial" w:eastAsia="Arial" w:hAnsi="Arial"/>
                <w:sz w:val="18"/>
                <w:szCs w:val="18"/>
                <w:color w:val="auto"/>
              </w:rPr>
              <w:t>the Bankruptcy Code; or</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6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9"/>
              </w:rPr>
              <w:t>·   Pursuant to and in accordance with sections 1129(a)(9)(C) and 1129(a)(9)(D)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 Cash in an aggregate amount of such Allowed Class 3</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5"/>
              </w:rPr>
              <w:t>Claim payable in regular installment payments over a period ending not more than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8"/>
              </w:rPr>
              <w:t>five (5) years after the Petition Date, plus simple interest at the rate required by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applicable non-bankruptcy law on any outstanding balance from the Effective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7"/>
              </w:rPr>
              <w:t>Date, or such lesser rate as is agreed to in writing by a particular taxing authority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and the Debtors or Reorganized Debtors, as applicable, pursuant to section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1129(a)(9)(C) of 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Revolving</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The Prepetition Revolving Credit Claims are deemed Allowed Secured Claims in the</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aggregate principal amount of $316,742,581, plus accrued and unpaid interest on such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amount as of the Petition Date. To the extent not paid in full in Cash prior to the Effective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Date, on the Effective Date, the Allowed Prepetition Revolving Credit Claims shall, in full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$316,742,581</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satisfaction, settlement, discharge and release of, and in exchange for, such Claims, be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indefeasibly paid in full in Cash and the Prepetition Revolving Credit Agreement Liens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shall be deemed discharged, released, and terminated for all purposes without further 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or by any Person or Entity.</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Term Loan</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The Prepetition Term Loan Claims are deemed Allowed Secured Claims in the aggregate</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principal amount of $297,500,000, plus accrued and unpaid interest on such amount as of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the Petition Date. To the extent not paid in full in Cash prior to the Effective Date, on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Effective Date, the Allowed Prepetition Term Loan Claims shall, in full satisfaction,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$297,500,000</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settlement, discharge and release of, and in exchange for, such Claims, be indefeasibly paid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 full in Cash and the Prepetition Term Loan Agreement Liens shall be deemed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discharged, released, and terminated for all purposes without further action of or by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Person or Entity.</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A&amp;R</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The Prepetition A&amp;R Claims are deemed Allowed in the aggregate principal amount of</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$305,000,000 plus accrued and unpaid interest thereon. On the Effective Date,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Allowed Prepetition A&amp;R Claims shall, in full satisfaction, settlement, discharge and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release of, and in exchange for, such Claims, be indefeasibly paid in full in Cash.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$305,000,000</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letters of credit issued and outstanding as of the Effective Date under the Prepetition A&amp;R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outstanding</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Credit Agreement shall either be cash collateralized or receive such other treatment as may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 in an</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 acceptable to the Debtors, the Prepetition A&amp;R Credit Agreement Agent, and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Required Consenting Noteholders.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$166,000,000</w:t>
            </w:r>
          </w:p>
        </w:tc>
        <w:tc>
          <w:tcPr>
            <w:tcW w:w="6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7</w:t>
            </w: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Claim/Equity</w:t>
            </w: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w w:val="85"/>
              </w:rPr>
              <w:t>Class</w:t>
            </w: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40" w:type="dxa"/>
            <w:vAlign w:val="bottom"/>
            <w:gridSpan w:val="4"/>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jc w:val="right"/>
              <w:ind w:right="270"/>
              <w:spacing w:after="0" w:line="195" w:lineRule="exact"/>
              <w:rPr>
                <w:sz w:val="20"/>
                <w:szCs w:val="20"/>
                <w:color w:val="auto"/>
              </w:rPr>
            </w:pPr>
            <w:r>
              <w:rPr>
                <w:rFonts w:ascii="Arial" w:cs="Arial" w:eastAsia="Arial" w:hAnsi="Arial"/>
                <w:sz w:val="18"/>
                <w:szCs w:val="18"/>
                <w:color w:val="auto"/>
              </w:rPr>
              <w:t>7</w:t>
            </w: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Prepetition Notes</w:t>
            </w:r>
          </w:p>
        </w:tc>
        <w:tc>
          <w:tcPr>
            <w:tcW w:w="280" w:type="dxa"/>
            <w:vAlign w:val="bottom"/>
            <w:tcBorders>
              <w:top w:val="single" w:sz="8" w:color="CCEEFF"/>
            </w:tcBorders>
            <w:shd w:val="clear" w:color="auto" w:fill="CCEEFF"/>
          </w:tcPr>
          <w:p>
            <w:pPr>
              <w:spacing w:after="0"/>
              <w:rPr>
                <w:sz w:val="16"/>
                <w:szCs w:val="16"/>
                <w:color w:val="auto"/>
              </w:rPr>
            </w:pPr>
          </w:p>
        </w:tc>
        <w:tc>
          <w:tcPr>
            <w:tcW w:w="6840" w:type="dxa"/>
            <w:vAlign w:val="bottom"/>
            <w:tcBorders>
              <w:top w:val="single" w:sz="8" w:color="auto"/>
            </w:tcBorders>
            <w:gridSpan w:val="5"/>
            <w:shd w:val="clear" w:color="auto" w:fill="CCEEFF"/>
          </w:tcPr>
          <w:p>
            <w:pPr>
              <w:spacing w:after="0" w:line="195" w:lineRule="exact"/>
              <w:rPr>
                <w:sz w:val="20"/>
                <w:szCs w:val="20"/>
                <w:color w:val="auto"/>
              </w:rPr>
            </w:pPr>
            <w:r>
              <w:rPr>
                <w:rFonts w:ascii="Arial" w:cs="Arial" w:eastAsia="Arial" w:hAnsi="Arial"/>
                <w:sz w:val="18"/>
                <w:szCs w:val="18"/>
                <w:color w:val="auto"/>
                <w:w w:val="98"/>
              </w:rPr>
              <w:t>The Prepetition Notes Claims are deemed Allowed in the aggregate principal amount of</w:t>
            </w:r>
          </w:p>
        </w:tc>
        <w:tc>
          <w:tcPr>
            <w:tcW w:w="3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282"/>
              <w:spacing w:after="0" w:line="195" w:lineRule="exact"/>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Claims</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$7,427,067,000, plus accrued and unpaid interest thereon. On the Initial Distribution Date,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each Holder of an Allowed Prepetition Notes Claim shall receive, in full satisfaction,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Expected Amount:</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settlement, discharge and release of, and in exchange for, such Claim, its Pro Rata share of: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$7,427,067,000</w:t>
            </w:r>
          </w:p>
        </w:tc>
        <w:tc>
          <w:tcPr>
            <w:tcW w:w="280" w:type="dxa"/>
            <w:vAlign w:val="bottom"/>
            <w:shd w:val="clear" w:color="auto" w:fill="CCEEFF"/>
          </w:tcPr>
          <w:p>
            <w:pPr>
              <w:spacing w:after="0"/>
              <w:rPr>
                <w:sz w:val="20"/>
                <w:szCs w:val="20"/>
                <w:color w:val="auto"/>
              </w:rPr>
            </w:pPr>
          </w:p>
        </w:tc>
        <w:tc>
          <w:tcPr>
            <w:tcW w:w="7140" w:type="dxa"/>
            <w:vAlign w:val="bottom"/>
            <w:gridSpan w:val="6"/>
            <w:vMerge w:val="restart"/>
            <w:shd w:val="clear" w:color="auto" w:fill="CCEEFF"/>
          </w:tcPr>
          <w:p>
            <w:pPr>
              <w:ind w:left="320"/>
              <w:spacing w:after="0"/>
              <w:rPr>
                <w:sz w:val="20"/>
                <w:szCs w:val="20"/>
                <w:color w:val="auto"/>
              </w:rPr>
            </w:pPr>
            <w:r>
              <w:rPr>
                <w:rFonts w:ascii="Arial" w:cs="Arial" w:eastAsia="Arial" w:hAnsi="Arial"/>
                <w:sz w:val="18"/>
                <w:szCs w:val="18"/>
                <w:color w:val="auto"/>
              </w:rPr>
              <w:t>·   (i) 99% of the New Common Stock, subject to dilution on account of equity issued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140" w:type="dxa"/>
            <w:vAlign w:val="bottom"/>
            <w:gridSpan w:val="6"/>
            <w:vMerge w:val="continue"/>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pursuant to the New Management Incentive Plan, the Tranche B Equity Conversion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defined below), and the New Common Stock issuable pursuant to the New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Warrants;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w w:val="95"/>
              </w:rPr>
              <w:t>·   (ii) the New Tranche B Senior Unsecured Notes in an aggregate amount of up to $1.25</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billion; provided, however, that each Holder of Allowed Prepetition Notes Claims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shall have the option, in its sole discretion, to convert its Pro Rata share of the New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500" w:type="dxa"/>
            <w:vAlign w:val="bottom"/>
            <w:gridSpan w:val="5"/>
            <w:shd w:val="clear" w:color="auto" w:fill="CCEEFF"/>
          </w:tcPr>
          <w:p>
            <w:pPr>
              <w:spacing w:after="0" w:line="194" w:lineRule="exact"/>
              <w:rPr>
                <w:sz w:val="20"/>
                <w:szCs w:val="20"/>
                <w:color w:val="auto"/>
              </w:rPr>
            </w:pPr>
            <w:r>
              <w:rPr>
                <w:rFonts w:ascii="Arial" w:cs="Arial" w:eastAsia="Arial" w:hAnsi="Arial"/>
                <w:sz w:val="18"/>
                <w:szCs w:val="18"/>
                <w:color w:val="auto"/>
              </w:rPr>
              <w:t>Tranche B Senior Unsecured Notes into New Common Stock (the “</w:t>
            </w:r>
            <w:r>
              <w:rPr>
                <w:rFonts w:ascii="Arial" w:cs="Arial" w:eastAsia="Arial" w:hAnsi="Arial"/>
                <w:sz w:val="18"/>
                <w:szCs w:val="18"/>
                <w:b w:val="1"/>
                <w:bCs w:val="1"/>
                <w:color w:val="auto"/>
              </w:rPr>
              <w:t>Tranche B</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5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Conversion</w:t>
            </w:r>
            <w:r>
              <w:rPr>
                <w:rFonts w:ascii="Arial" w:cs="Arial" w:eastAsia="Arial" w:hAnsi="Arial"/>
                <w:sz w:val="18"/>
                <w:szCs w:val="18"/>
                <w:color w:val="auto"/>
              </w:rPr>
              <w:t>”) at a conversion price of $36.20 per unit or share of New</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040" w:type="dxa"/>
            <w:vAlign w:val="bottom"/>
            <w:gridSpan w:val="4"/>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Common Stock; provided, further that the aggregate principal amount of Tranche B</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Unsecured Notes converted into New Common Stock shall not exceed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$500,000,000; and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   (iii) Subscription Rights to purchase its Pro Rata share of New Tranche A Senior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Unsecured Notes in an aggregate amount of up to $1.25 billion pursuant to the Rights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Offering and in accordance with the applicable Rights Offerings Procedures.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To the extent that less than $500,000,000 in principal amount of the New Tranche B Senior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Unsecured Notes is converted into New Common Stock pursuant to the Tranche B Equity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Conversion, any Holder of Allowed Prepetition Notes Claims that elected to convert its full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Pro Rata share of Tranche B Senior Unsecured Notes into New Common Stock in the Tranche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B Equity Conversion shall also be eligible to exercise their Overallotment Rights. Procedures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for the effectuation of the Tranche B Equity Conversion and the Overallotment Rights are set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forth in Article V.V of the Plan.</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8</w:t>
            </w:r>
          </w:p>
        </w:tc>
        <w:tc>
          <w:tcPr>
            <w:tcW w:w="228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General Unsecured</w:t>
            </w:r>
          </w:p>
        </w:tc>
        <w:tc>
          <w:tcPr>
            <w:tcW w:w="71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8"/>
              </w:rPr>
              <w:t>The legal, equitable, and contractual rights of the holders of General Unsecured Claims are</w:t>
            </w:r>
          </w:p>
        </w:tc>
        <w:tc>
          <w:tcPr>
            <w:tcW w:w="1020" w:type="dxa"/>
            <w:vAlign w:val="bottom"/>
            <w:shd w:val="clear" w:color="auto" w:fill="CCEEFF"/>
          </w:tcPr>
          <w:p>
            <w:pPr>
              <w:jc w:val="right"/>
              <w:ind w:right="222"/>
              <w:spacing w:after="0" w:line="201"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Claims</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unaltered by the Plan. Except to the extent that a holder of a General Unsecured Claim agrees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to a different treatment, on and after the Effective Date, the Debtors shall continue to pay (if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Expected Amount:</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Allowed) or dispute each General Unsecured Claim in the ordinary course of business in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20"/>
                <w:szCs w:val="20"/>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accordance with applicable law.</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3"/>
          </w:tcPr>
          <w:p>
            <w:pPr>
              <w:ind w:left="256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2"/>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2"/>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9</w:t>
            </w: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Intercompany Claims</w:t>
            </w: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Subject to the Restructuring Transactions, the Intercompany Claims shall be adjusted,</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reinstated, compromised, or cancelled to the extent determined appropriate by the Debtors,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the consent of the Required Consenting Noteholders.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Existing Common</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On the Effective Date, the Existing Common Stock will be cancelled without further notice</w:t>
            </w:r>
          </w:p>
        </w:tc>
        <w:tc>
          <w:tcPr>
            <w:tcW w:w="11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9"/>
              </w:rPr>
              <w:t>Greater than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w:t>
            </w: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approval of or action by any Entity. Each Holder of Existing Common Stock shall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receive its Pro Rata share of</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(i) 1.0% of the New Common Stock, subject to dilution on account of the equity</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issued pursuant to the New Management Incentive Plan, the Tranche B Equity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5"/>
              </w:rPr>
              <w:t>Conversion, and the New Common Stock issuable pursuant to the New Warrants;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(ii) the New Warrants.</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11</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Intercompany Interests</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Subject to the Restructuring Transactions, the Intercompany Equity Interests shall be</w:t>
            </w:r>
          </w:p>
        </w:tc>
        <w:tc>
          <w:tcPr>
            <w:tcW w:w="11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reinstated for administrative convenience or cancelled as determined by the Debtors, with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reasonable consent of the Required Consenting Noteholders.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Unexercised Equity</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On the Effective Date, the Unexercised Equity Interests will be cancelled, and the Holders</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Interests</w:t>
            </w: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such Unexercised Equity Interests shall not receive any distribution or retain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on account of such Unexercised Equity Interests.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0" w:type="dxa"/>
            <w:vAlign w:val="bottom"/>
          </w:tcPr>
          <w:p>
            <w:pPr>
              <w:ind w:left="23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6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BACKGROUND TO THE CHAPTER 11 CASES</w:t>
      </w:r>
    </w:p>
    <w:p>
      <w:pPr>
        <w:spacing w:after="0" w:line="20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CORPORATE HISTORY AND STRUCTURE</w:t>
      </w:r>
    </w:p>
    <w:p>
      <w:pPr>
        <w:spacing w:after="0" w:line="22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Debtor Weatherford International Ltd. was originally incorporated in Delaware in 1972. In 2002, the Company restructured its corporate structure and inserted Weatherford International Ltd., a Bermuda exempted company as the group holding company. In 2009, the Company completed a share exchange transaction in which Weatherford International Ltd., which was then the parent company, became a wholly-owned subsidiary of Weatherford Switzerland for purposes of changing the Company’s place of incorporation from Bermuda to Switzerland. In June of 2014, the Company completed the change in its place of incorporation from Switzerland to Ireland, whereby Weatherford Parent became the new public holding company and parent of the Weatherford group of companies. The ordinary shares of Weatherford Parent are listed on the New York Stock Exchange (the “</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The NYSE, however, has suspended trading in the ordinary shares and has commenced proceedings to delist the ordinary shares, subject to an appeal of the NYSE’s decision by Weatherford Parent.</w:t>
      </w:r>
    </w:p>
    <w:p>
      <w:pPr>
        <w:spacing w:after="0" w:line="19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Weatherford Parent has approximately 255 direct and indirect subsidiaries as of the date hereof. Of those entities, however, only the three Debtor entities are liable on the Prepetition Notes (as described in further detail below). The Company’s entire organizational structure as of the date of this Disclosure Statement is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OVERVIEW OF THE DEBTORS’ BUSINESSES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Weatherford is a global leading provider of equipment and services used in the drilling, evaluation, completion, production, and intervention of oil and natural gas wells. Weatherford operates in over 80 countries worldwide and has service and sales locations in nearly all of the oil and natural gas producing regions in the world.</w:t>
      </w:r>
    </w:p>
    <w:p>
      <w:pPr>
        <w:spacing w:after="0" w:line="18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Weatherford offers managed-pressure drilling services, including closed-loop, air, managed pressure, and underbalanced drilling; drilling services, such as directional drilling, logging while drilling, measurement while drilling, and rotary steerable systems; and tubular running services, which consist of tubular connection and installation services for the drilling, completion, and work over of oil or natural gas wells.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Weatherford also provides drilling tools comprising of drilling jars, under reamers, rotating control devices, down hole tools, drill pipe and related tools, tubular handling equipment, and other pressure-control equipment; drilling and project management services; wire line services; testing and production services; re-entry, fishing, and thru-tubing services; equipment for cementing operations; liner systems, such as liner hangers; integrated laboratory services; and surface logging systems.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Weatherford offers artificial lift systems that include reciprocating rod lift systems, progressing cavity pumps, gas lift systems, hydraulic lift systems, plunger lift systems, hybrid lift systems, and wellhead systems to produce oil or natural gas from the wells; stimulation, including pressure pumping services, coiled tubing services equipment, and reservoir stimulation hydraulic fracturing services; and completion tools, such as cased hole and flow control systems,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and well, industrial, and sand screens, as well as completion services, including upper and lower completions, and reservoir monitoring.</w:t>
      </w:r>
    </w:p>
    <w:p>
      <w:pPr>
        <w:spacing w:after="0" w:line="221" w:lineRule="exact"/>
        <w:rPr>
          <w:sz w:val="20"/>
          <w:szCs w:val="20"/>
          <w:color w:val="auto"/>
        </w:rPr>
      </w:pPr>
    </w:p>
    <w:p>
      <w:pPr>
        <w:ind w:right="600" w:firstLine="648"/>
        <w:spacing w:after="0" w:line="314" w:lineRule="auto"/>
        <w:rPr>
          <w:sz w:val="20"/>
          <w:szCs w:val="20"/>
          <w:color w:val="auto"/>
        </w:rPr>
      </w:pPr>
      <w:r>
        <w:rPr>
          <w:rFonts w:ascii="Arial" w:cs="Arial" w:eastAsia="Arial" w:hAnsi="Arial"/>
          <w:sz w:val="16"/>
          <w:szCs w:val="16"/>
          <w:color w:val="auto"/>
        </w:rPr>
        <w:t>Weatherford has an extensive focus on research and development (“</w:t>
      </w:r>
      <w:r>
        <w:rPr>
          <w:rFonts w:ascii="Arial" w:cs="Arial" w:eastAsia="Arial" w:hAnsi="Arial"/>
          <w:sz w:val="16"/>
          <w:szCs w:val="16"/>
          <w:b w:val="1"/>
          <w:bCs w:val="1"/>
          <w:u w:val="single" w:color="auto"/>
          <w:color w:val="auto"/>
        </w:rPr>
        <w:t>R&amp;D</w:t>
      </w:r>
      <w:r>
        <w:rPr>
          <w:rFonts w:ascii="Arial" w:cs="Arial" w:eastAsia="Arial" w:hAnsi="Arial"/>
          <w:sz w:val="16"/>
          <w:szCs w:val="16"/>
          <w:color w:val="auto"/>
        </w:rPr>
        <w:t>”) activities which are aimed at providing efficient services to its customers. Weatherford’s R&amp;D focuses on improving existing products and services and developing new technologies to meet customer demands for improved drilling performance and enhanced reservoir productivity. In 2018, Weatherford invested $139 million on its R&amp;D activities.</w:t>
      </w:r>
    </w:p>
    <w:p>
      <w:pPr>
        <w:spacing w:after="0" w:line="142"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Company’s Products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business focuses on the following four sectors:</w:t>
      </w:r>
    </w:p>
    <w:p>
      <w:pPr>
        <w:spacing w:after="0" w:line="225" w:lineRule="exact"/>
        <w:rPr>
          <w:sz w:val="20"/>
          <w:szCs w:val="20"/>
          <w:color w:val="auto"/>
        </w:rPr>
      </w:pPr>
    </w:p>
    <w:p>
      <w:pPr>
        <w:ind w:left="1940" w:hanging="635"/>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Production</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Weatherford’s production sector offers various production optimization services through its production ecosystem which includes the Company’s artificial-lift portfolio, testing and flow measurement solutions, and optimization software. The Company’s artificial lift systems provide a mechanical method to produce oil or gas from wells lacking sufficient reservoir pressure for natural oil and gas flow. Through its pressure pumping systems, the Company offers its customers advanced hydraulic fracturing services. Weatherford’s drilling fluids product line provides engineered fluid and chemical technology products and services used for drilling oil and gas wells.</w:t>
      </w:r>
    </w:p>
    <w:p>
      <w:pPr>
        <w:spacing w:after="0" w:line="188"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Completions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Weatherford’s completion sector offers a variety of completion products, reservoir stimulation designs, and engineering capabilities that isolate zones and unlock reserves in deepwater, unconventional, and aging reservoirs. The Company’s completion systems offer customers a range of completion tools including safety systems, production packers, flow control and sand-control technologies, which aid in maximum oil and gas production while ensuring minimal cost per barrel. In addition, through its cementation products and liner hanger product lines, the Company provides products used to install oil and gas well steel casing systems.</w:t>
      </w:r>
    </w:p>
    <w:p>
      <w:pPr>
        <w:spacing w:after="0" w:line="188" w:lineRule="exact"/>
        <w:rPr>
          <w:sz w:val="20"/>
          <w:szCs w:val="20"/>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Drilling and Evaluation</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Weatherford’s drilling and evaluation sector comprises of a suite of services ranging from early well planning to reservoir management. The managed pressure drilling services delivers engineered balanced and underbalanced drilling services to enable and enhance drilling efficiency. The drilling services offer innovative tools and expert engineering to deliver accurate well placement, increase efficiency and maximize reservoir exposure. The evaluation services merge wellsite capabilities including wireline, logging while drilling, and surface logging with laboratory-fluid and core analyses to reduce reservoir uncertainty.</w:t>
      </w:r>
    </w:p>
    <w:p>
      <w:pPr>
        <w:spacing w:after="0" w:line="188" w:lineRule="exact"/>
        <w:rPr>
          <w:sz w:val="20"/>
          <w:szCs w:val="20"/>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Well Construction</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Weatherford also offers well construction services where Weatherford builds or rebuilds well integrity for the full life cycle of the well. The Company’s land drilling rig business is included in its well construction sector. The services offered include tubular running services,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conventional rig services and intervention services. The Company also offers its patented drilling tools and equipment for rent.</w:t>
      </w:r>
    </w:p>
    <w:p>
      <w:pPr>
        <w:spacing w:after="0" w:line="22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Weatherford’s Customers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vast majority of Weatherford’s customers are in the energy sector. Most of the Company’s international sales are to large international or national oil companies. As of December 31, 2018, the Eastern Hemisphere accounted for 55% of the Company’s net outstanding accounts receivables and the Western Hemisphere accounted for 45% of the Company’s net outstanding accounts receivables. As of December 31, 2018, the Company’s net outstanding accounts receivable in the U.S. accounted for 18% of the balance and Mexico accounted for approximately 10% of the balance. No other country accounted for more than 10% of the Company’s net outstanding accounts receivables balance. During 2018, 2017 and 2016, no individual customer accounted for more than 10% of the Company’s consolidated revenues.</w:t>
      </w:r>
    </w:p>
    <w:p>
      <w:pPr>
        <w:spacing w:after="0" w:line="174"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and Retention Bonus Programs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All of the employees of the Weatherford enterprise are employed by certain of the Debtors’ non-Debtor affiliates. In addition, Weatherford International, LLC, is a party to service contracts with a staffing agency that provides workers to the Company. The Debtors do not employ any personnel directly. The non-Debtor affiliates have historically maintained incentive-based bonus programs that have primarily consisted of an annual cash bonus program and a long-term equity incentive program (collectively, the “</w:t>
      </w:r>
      <w:r>
        <w:rPr>
          <w:rFonts w:ascii="Arial" w:cs="Arial" w:eastAsia="Arial" w:hAnsi="Arial"/>
          <w:sz w:val="17"/>
          <w:szCs w:val="17"/>
          <w:b w:val="1"/>
          <w:bCs w:val="1"/>
          <w:u w:val="single" w:color="auto"/>
          <w:color w:val="auto"/>
        </w:rPr>
        <w:t>Incentive and Retention Bonus Programs</w:t>
      </w:r>
      <w:r>
        <w:rPr>
          <w:rFonts w:ascii="Arial" w:cs="Arial" w:eastAsia="Arial" w:hAnsi="Arial"/>
          <w:sz w:val="17"/>
          <w:szCs w:val="17"/>
          <w:color w:val="auto"/>
        </w:rPr>
        <w:t>”). In early 2019, the non-Debtor affiliates, with the assistance of their compensation advisors, reviewed their Incentive and Retention Bonus Programs to determine whether they fulfilled the purposes of retaining and incentivizing key employees given the decline in price of Weatherford Parent stock. The Company determined that these programs did not adequately fulfill these purposes and made the decision to suspend the annual cash bonus program and the long-term equity incentive program and replace them with new programs that would more efficiently achieve the Company’s goals. The current Incentive and Retention Bonus Programs consist of the Executive Bonus Plan, the Management Bonus Plan for Non-Officers, the Technical Bonus Program, the Sales Incentive Program, the Executive Retention Program, and the Non-Officer Retention Program.</w:t>
      </w:r>
    </w:p>
    <w:p>
      <w:pPr>
        <w:spacing w:after="0" w:line="174"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The Executive Bonus Plan (the “</w:t>
      </w:r>
      <w:r>
        <w:rPr>
          <w:rFonts w:ascii="Arial" w:cs="Arial" w:eastAsia="Arial" w:hAnsi="Arial"/>
          <w:sz w:val="18"/>
          <w:szCs w:val="18"/>
          <w:b w:val="1"/>
          <w:bCs w:val="1"/>
          <w:u w:val="single" w:color="auto"/>
          <w:color w:val="auto"/>
        </w:rPr>
        <w:t>EBP</w:t>
      </w:r>
      <w:r>
        <w:rPr>
          <w:rFonts w:ascii="Arial" w:cs="Arial" w:eastAsia="Arial" w:hAnsi="Arial"/>
          <w:sz w:val="18"/>
          <w:szCs w:val="18"/>
          <w:color w:val="auto"/>
        </w:rPr>
        <w:t>”) provides a means of rewarding key employees based on the overall performance of Weatherford and the achievement of certain quarterly and cumulative performance goals in 2019 to be established by the compensation committee of the board. The EBP covers seventeen senior-level employees. The participants under the EBP are employed by non-Debtor affiliates. In May of 2019, the non-Debtor affiliates made the first quarterly payment under the EBP to eligible participants under the program. The second quarterly payment, if any, under the EBP will be made within 30 days after second quarter results are finalized.</w:t>
      </w:r>
    </w:p>
    <w:p>
      <w:pPr>
        <w:spacing w:after="0" w:line="184"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The Management Bonus Plan for Non-Officers (the “</w:t>
      </w:r>
      <w:r>
        <w:rPr>
          <w:rFonts w:ascii="Arial" w:cs="Arial" w:eastAsia="Arial" w:hAnsi="Arial"/>
          <w:sz w:val="17"/>
          <w:szCs w:val="17"/>
          <w:b w:val="1"/>
          <w:bCs w:val="1"/>
          <w:u w:val="single" w:color="auto"/>
          <w:color w:val="auto"/>
        </w:rPr>
        <w:t>MBP</w:t>
      </w:r>
      <w:r>
        <w:rPr>
          <w:rFonts w:ascii="Arial" w:cs="Arial" w:eastAsia="Arial" w:hAnsi="Arial"/>
          <w:sz w:val="17"/>
          <w:szCs w:val="17"/>
          <w:color w:val="auto"/>
        </w:rPr>
        <w:t>”) and the Technical Bonus Program for technical employees (the “</w:t>
      </w:r>
      <w:r>
        <w:rPr>
          <w:rFonts w:ascii="Arial" w:cs="Arial" w:eastAsia="Arial" w:hAnsi="Arial"/>
          <w:sz w:val="17"/>
          <w:szCs w:val="17"/>
          <w:b w:val="1"/>
          <w:bCs w:val="1"/>
          <w:u w:val="single" w:color="auto"/>
          <w:color w:val="auto"/>
        </w:rPr>
        <w:t>TBP</w:t>
      </w:r>
      <w:r>
        <w:rPr>
          <w:rFonts w:ascii="Arial" w:cs="Arial" w:eastAsia="Arial" w:hAnsi="Arial"/>
          <w:sz w:val="17"/>
          <w:szCs w:val="17"/>
          <w:color w:val="auto"/>
        </w:rPr>
        <w:t>”) are designed to align the interests of the Company and eligible key non-officer employees of the non-Debtor affiliates. Both the MBP and the TBP reward eligible employees based on the overall performance of Weatherford and the achievement of certain quarterly goals including productivity, safety, financial metrics, and cost savings goals. Bonus payments pursuant to the MBP and the TBP are guaranteed for 2019 contingent 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continued employment through each applicable payment date and certain other requirements. Approximately 2,250 employees participate in the MBP and approximately 450 employees participate in the TBP. The TBP covers eligible engineering employees in research and development, while the MBP covers employees in management roles. Officers are not eligible to participate in either program. In April of 2019, the non-Debtor affiliates made the first quarterly payment under the MBP and the TBP to the eligible participants under the program. The second quarterly payments will be made within 30 days after second quarter results are finalized.</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Approximately 600 eligible employees are entitled to earn incentive payments for the successful closing of sales to customers that result in realized revenue and profitability for the Company (the “</w:t>
      </w:r>
      <w:r>
        <w:rPr>
          <w:rFonts w:ascii="Arial" w:cs="Arial" w:eastAsia="Arial" w:hAnsi="Arial"/>
          <w:sz w:val="17"/>
          <w:szCs w:val="17"/>
          <w:b w:val="1"/>
          <w:bCs w:val="1"/>
          <w:u w:val="single" w:color="auto"/>
          <w:color w:val="auto"/>
        </w:rPr>
        <w:t>Sales Incentive Plan</w:t>
      </w:r>
      <w:r>
        <w:rPr>
          <w:rFonts w:ascii="Arial" w:cs="Arial" w:eastAsia="Arial" w:hAnsi="Arial"/>
          <w:sz w:val="17"/>
          <w:szCs w:val="17"/>
          <w:color w:val="auto"/>
        </w:rPr>
        <w:t>”). Payments under the Sales Incentive Plan are only available for employees who remain active at the time of payment. Awards under the Sales Incentive Plan are paid on a quarterly basis. Awards under the Sales Incentive Plan are based on invoiced revenue and gross margin performance. The awards have been guaranteed at a specified threshold level for the 2019 calendar year. In May of 2019, the non-Debtor affiliates made the first quarterly payment under the Sales Incentive Plan to eligible participants under the program. The second quarterly payment will be made within 30 days after second quarter results are finalized.</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employees eligible to participate in the EBP are also eligible to receive a cash retention award which is based on the participant’s annual compensation (the “</w:t>
      </w:r>
      <w:r>
        <w:rPr>
          <w:rFonts w:ascii="Arial" w:cs="Arial" w:eastAsia="Arial" w:hAnsi="Arial"/>
          <w:sz w:val="17"/>
          <w:szCs w:val="17"/>
          <w:b w:val="1"/>
          <w:bCs w:val="1"/>
          <w:u w:val="single" w:color="auto"/>
          <w:color w:val="auto"/>
        </w:rPr>
        <w:t>Executive Retention Program</w:t>
      </w:r>
      <w:r>
        <w:rPr>
          <w:rFonts w:ascii="Arial" w:cs="Arial" w:eastAsia="Arial" w:hAnsi="Arial"/>
          <w:sz w:val="17"/>
          <w:szCs w:val="17"/>
          <w:color w:val="auto"/>
        </w:rPr>
        <w:t>”). The retention awards are payable in advance within 30 days of a participant accepting the terms. In the event a recipient of a retention award voluntarily terminates his or her employment, or the recipient is terminated for cause, in either case, before the first anniversary of the date on which the recipient received the retention award, then such recipient will be required to promptly repay the amount of the retention award. The retention award letters issued pursuant to the Executive Retention Program also include certain restrictive covenants including non-solicitation and non-compete provisions. All payments under the Executive Retention Program were made in April of 2019.</w:t>
      </w:r>
    </w:p>
    <w:p>
      <w:pPr>
        <w:spacing w:after="0" w:line="174"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Approximately 1,700 employees are eligible to participate in a cash retention award program for non-officers (the “</w:t>
      </w:r>
      <w:r>
        <w:rPr>
          <w:rFonts w:ascii="Arial" w:cs="Arial" w:eastAsia="Arial" w:hAnsi="Arial"/>
          <w:sz w:val="16"/>
          <w:szCs w:val="16"/>
          <w:b w:val="1"/>
          <w:bCs w:val="1"/>
          <w:u w:val="single" w:color="auto"/>
          <w:color w:val="auto"/>
        </w:rPr>
        <w:t>Non-Officer Retention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Program</w:t>
      </w:r>
      <w:r>
        <w:rPr>
          <w:rFonts w:ascii="Arial" w:cs="Arial" w:eastAsia="Arial" w:hAnsi="Arial"/>
          <w:sz w:val="16"/>
          <w:szCs w:val="16"/>
          <w:color w:val="auto"/>
        </w:rPr>
        <w:t>”). Pursuant to the program, employees are eligible to receive a quarterly cash award contingent on such employee’s 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are not eligible to participate in the program. The retention award letters issued pursuant to the Non-Officer Retention Program also include certain restrictive covenants including non-solicitation and non-compete provisions. In April of 2019, the non-Debtor affiliates made the first quarterly payment under the Non-Officer Retention Program to the eligible participants under the program. The second quarterly payment will be made in July of 2019.</w:t>
      </w:r>
    </w:p>
    <w:p>
      <w:pPr>
        <w:spacing w:after="0" w:line="158"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In addition to the Incentive and Retention Bonus Programs, the non-Debtor affiliates maintain ordinary course incentive plans for non-insider employees including, but not limited to, a field bonus program and a bonus program relating to the Transformation Plan (as defined below).</w:t>
      </w:r>
    </w:p>
    <w:p>
      <w:pPr>
        <w:spacing w:after="0" w:line="120"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senior management team of Weatherford Parent consists of the following individuals: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tbl>
      <w:tblPr>
        <w:tblLayout w:type="fixed"/>
        <w:tblInd w:w="660" w:type="dxa"/>
        <w:tblCellMar>
          <w:top w:w="0" w:type="dxa"/>
          <w:left w:w="0" w:type="dxa"/>
          <w:bottom w:w="0" w:type="dxa"/>
          <w:right w:w="0" w:type="dxa"/>
        </w:tblCellMar>
      </w:tblPr>
      <w:tr>
        <w:trPr>
          <w:trHeight w:val="17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540" w:type="dxa"/>
            <w:vAlign w:val="bottom"/>
          </w:tcPr>
          <w:p>
            <w:pPr>
              <w:ind w:left="25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A. McCollum</w:t>
            </w:r>
          </w:p>
        </w:tc>
        <w:tc>
          <w:tcPr>
            <w:tcW w:w="220" w:type="dxa"/>
            <w:vAlign w:val="bottom"/>
            <w:tcBorders>
              <w:top w:val="single" w:sz="8" w:color="CCEEFF"/>
            </w:tcBorders>
            <w:shd w:val="clear" w:color="auto" w:fill="CCEEFF"/>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 Bausch</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Christina M. Ibrahim</w:t>
            </w: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Executive Vice President, General Counsel, Chief Compliance Officer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Fraser</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 Chief Accounting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INDEBTEDNESS</w:t>
      </w:r>
    </w:p>
    <w:p>
      <w:pPr>
        <w:spacing w:after="0" w:line="229"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As set forth below, as of the date of this Disclosure Statement, the Debtors have outstanding funded debt obligations consisting of approximately $8.35 billion.</w:t>
      </w:r>
    </w:p>
    <w:p>
      <w:pPr>
        <w:spacing w:after="0" w:line="166"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Term Loan Agreement</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May 4, 2016, each of the Debtors entered into or guaranteed that certain Term Loan Agreement, by and among Weatherford International Ltd., Weatherford Parent, JPMorgan Chase Bank, N.A. (the “</w:t>
      </w:r>
      <w:r>
        <w:rPr>
          <w:rFonts w:ascii="Arial" w:cs="Arial" w:eastAsia="Arial" w:hAnsi="Arial"/>
          <w:sz w:val="18"/>
          <w:szCs w:val="18"/>
          <w:b w:val="1"/>
          <w:bCs w:val="1"/>
          <w:u w:val="single" w:color="auto"/>
          <w:color w:val="auto"/>
        </w:rPr>
        <w:t>Prepetition Term Loan Agent</w:t>
      </w:r>
      <w:r>
        <w:rPr>
          <w:rFonts w:ascii="Arial" w:cs="Arial" w:eastAsia="Arial" w:hAnsi="Arial"/>
          <w:sz w:val="18"/>
          <w:szCs w:val="18"/>
          <w:color w:val="auto"/>
        </w:rPr>
        <w:t>”) and the lenders party thereto from time to time (the “</w:t>
      </w:r>
      <w:r>
        <w:rPr>
          <w:rFonts w:ascii="Arial" w:cs="Arial" w:eastAsia="Arial" w:hAnsi="Arial"/>
          <w:sz w:val="18"/>
          <w:szCs w:val="18"/>
          <w:b w:val="1"/>
          <w:bCs w:val="1"/>
          <w:u w:val="single" w:color="auto"/>
          <w:color w:val="auto"/>
        </w:rPr>
        <w:t>Prepetition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 Loan Lenders</w:t>
      </w:r>
      <w:r>
        <w:rPr>
          <w:rFonts w:ascii="Arial" w:cs="Arial" w:eastAsia="Arial" w:hAnsi="Arial"/>
          <w:sz w:val="18"/>
          <w:szCs w:val="18"/>
          <w:color w:val="auto"/>
        </w:rPr>
        <w:t>”), as amended from time to time (the “</w:t>
      </w:r>
      <w:r>
        <w:rPr>
          <w:rFonts w:ascii="Arial" w:cs="Arial" w:eastAsia="Arial" w:hAnsi="Arial"/>
          <w:sz w:val="18"/>
          <w:szCs w:val="18"/>
          <w:b w:val="1"/>
          <w:bCs w:val="1"/>
          <w:u w:val="single" w:color="auto"/>
          <w:color w:val="auto"/>
        </w:rPr>
        <w:t>Prepetition Term Loan Agreement</w:t>
      </w:r>
      <w:r>
        <w:rPr>
          <w:rFonts w:ascii="Arial" w:cs="Arial" w:eastAsia="Arial" w:hAnsi="Arial"/>
          <w:sz w:val="18"/>
          <w:szCs w:val="18"/>
          <w:color w:val="auto"/>
        </w:rPr>
        <w: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amended, the Prepetition Term Loan Agreement has a maturity date of July 13, 2020. The outstanding principal amount under the Prepetition Term Loan Agreement is $297.50 million plus accrued and unpaid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Prepetition Term Loan Agreement is secured by substantially all of Weatherford Parent’s assets and certain assets of its subsidiaries.</w:t>
      </w:r>
    </w:p>
    <w:p>
      <w:pPr>
        <w:spacing w:after="0" w:line="233"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Revolving Credit Agreement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August 16, 2018, each of the Debtors entered into or guaranteed that certain 364-Day Revolving Credit Agreement, by and among Weatherford International Ltd., Weatherford Parent, JPMorgan Chase Bank, N.A. (the “</w:t>
      </w:r>
      <w:r>
        <w:rPr>
          <w:rFonts w:ascii="Arial" w:cs="Arial" w:eastAsia="Arial" w:hAnsi="Arial"/>
          <w:sz w:val="18"/>
          <w:szCs w:val="18"/>
          <w:b w:val="1"/>
          <w:bCs w:val="1"/>
          <w:u w:val="single" w:color="auto"/>
          <w:color w:val="auto"/>
        </w:rPr>
        <w:t>Prepetition Revolving Credit Agreement Agent</w:t>
      </w:r>
      <w:r>
        <w:rPr>
          <w:rFonts w:ascii="Arial" w:cs="Arial" w:eastAsia="Arial" w:hAnsi="Arial"/>
          <w:sz w:val="18"/>
          <w:szCs w:val="18"/>
          <w:color w:val="auto"/>
        </w:rPr>
        <w:t>”), Morgan Stanley Senior Funding, Inc. as collateral agent, and the lenders party thereto from time to time (“</w:t>
      </w:r>
      <w:r>
        <w:rPr>
          <w:rFonts w:ascii="Arial" w:cs="Arial" w:eastAsia="Arial" w:hAnsi="Arial"/>
          <w:sz w:val="18"/>
          <w:szCs w:val="18"/>
          <w:b w:val="1"/>
          <w:bCs w:val="1"/>
          <w:u w:val="single" w:color="auto"/>
          <w:color w:val="auto"/>
        </w:rPr>
        <w:t>Prepetition Revolving Credit Agreement Lenders</w:t>
      </w:r>
      <w:r>
        <w:rPr>
          <w:rFonts w:ascii="Arial" w:cs="Arial" w:eastAsia="Arial" w:hAnsi="Arial"/>
          <w:sz w:val="18"/>
          <w:szCs w:val="18"/>
          <w:color w:val="auto"/>
        </w:rPr>
        <w:t>”) as amended from time to time (the “</w:t>
      </w:r>
      <w:r>
        <w:rPr>
          <w:rFonts w:ascii="Arial" w:cs="Arial" w:eastAsia="Arial" w:hAnsi="Arial"/>
          <w:sz w:val="18"/>
          <w:szCs w:val="18"/>
          <w:b w:val="1"/>
          <w:bCs w:val="1"/>
          <w:u w:val="single" w:color="auto"/>
          <w:color w:val="auto"/>
        </w:rPr>
        <w:t>Prepetition Revolving Credit Agreement</w:t>
      </w:r>
      <w:r>
        <w:rPr>
          <w:rFonts w:ascii="Arial" w:cs="Arial" w:eastAsia="Arial" w:hAnsi="Arial"/>
          <w:sz w:val="18"/>
          <w:szCs w:val="18"/>
          <w:color w:val="auto"/>
        </w:rPr>
        <w:t>”).</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Prepetition Revolving Credit Agreement has a maturity date of August 15, 2019. The outstanding principal amount under the Prepetition Revolving Credit Agreement is $316.74 million plus accrued and unpaid interest.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Prepetition Revolving Credit Agreement is secured by a junior lien on the current assets of Weatherford Parent and certain subsidiaries of Weatherford Parent.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33" w:right="419" w:bottom="1440" w:gutter="0" w:footer="0" w:header="0"/>
        </w:sectPr>
      </w:pPr>
    </w:p>
    <w:bookmarkStart w:id="28" w:name="page29"/>
    <w:bookmarkEnd w:id="28"/>
    <w:p>
      <w:pPr>
        <w:ind w:left="1300" w:hanging="644"/>
        <w:spacing w:after="0"/>
        <w:tabs>
          <w:tab w:leader="none" w:pos="1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Unsecured Revolving Credit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9, 2016, each of the Debtors entered into or guaranteed that certain Amended and Restated Credit Agreement, by and among Weatherford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WOFS Assurance Limited, Weatherford Parent, by and among the other borrowers party thereto, JPMorgan Chase Bank, N.A.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Prepetition A&amp;R Credit Agreement Agent</w:t>
      </w:r>
      <w:r>
        <w:rPr>
          <w:rFonts w:ascii="Arial" w:cs="Arial" w:eastAsia="Arial" w:hAnsi="Arial"/>
          <w:sz w:val="17"/>
          <w:szCs w:val="17"/>
          <w:color w:val="auto"/>
        </w:rPr>
        <w:t>”) and the lenders party thereto from time to time (the “</w:t>
      </w:r>
      <w:r>
        <w:rPr>
          <w:rFonts w:ascii="Arial" w:cs="Arial" w:eastAsia="Arial" w:hAnsi="Arial"/>
          <w:sz w:val="17"/>
          <w:szCs w:val="17"/>
          <w:b w:val="1"/>
          <w:bCs w:val="1"/>
          <w:u w:val="single" w:color="auto"/>
          <w:color w:val="auto"/>
        </w:rPr>
        <w:t>Prepetition A&amp;R Credit Agreement Lenders</w:t>
      </w:r>
      <w:r>
        <w:rPr>
          <w:rFonts w:ascii="Arial" w:cs="Arial" w:eastAsia="Arial" w:hAnsi="Arial"/>
          <w:sz w:val="17"/>
          <w:szCs w:val="17"/>
          <w:color w:val="auto"/>
        </w:rPr>
        <w:t>”),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from time to time (the “</w:t>
      </w:r>
      <w:r>
        <w:rPr>
          <w:rFonts w:ascii="Arial" w:cs="Arial" w:eastAsia="Arial" w:hAnsi="Arial"/>
          <w:sz w:val="17"/>
          <w:szCs w:val="17"/>
          <w:b w:val="1"/>
          <w:bCs w:val="1"/>
          <w:u w:val="single" w:color="auto"/>
          <w:color w:val="auto"/>
        </w:rPr>
        <w:t>Prepetition A&amp;R Credit Agreement</w:t>
      </w:r>
      <w:r>
        <w:rPr>
          <w:rFonts w:ascii="Arial" w:cs="Arial" w:eastAsia="Arial" w:hAnsi="Arial"/>
          <w:sz w:val="17"/>
          <w:szCs w:val="17"/>
          <w:color w:val="auto"/>
        </w:rPr>
        <w:t>” and together with the Prepetition Term Loan Agreement and the Prepetition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Agreement, the “</w:t>
      </w:r>
      <w:r>
        <w:rPr>
          <w:rFonts w:ascii="Arial" w:cs="Arial" w:eastAsia="Arial" w:hAnsi="Arial"/>
          <w:sz w:val="18"/>
          <w:szCs w:val="18"/>
          <w:b w:val="1"/>
          <w:bCs w:val="1"/>
          <w:u w:val="single" w:color="auto"/>
          <w:color w:val="auto"/>
        </w:rPr>
        <w:t>Prepetition Credit Agreements</w:t>
      </w:r>
      <w:r>
        <w:rPr>
          <w:rFonts w:ascii="Arial" w:cs="Arial" w:eastAsia="Arial" w:hAnsi="Arial"/>
          <w:sz w:val="18"/>
          <w:szCs w:val="18"/>
          <w:color w:val="auto"/>
        </w:rPr>
        <w:t>”).</w:t>
      </w:r>
    </w:p>
    <w:p>
      <w:pPr>
        <w:spacing w:after="0" w:line="21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amended, the Prepetition A&amp;R Credit Agreement has a maturity date of July 12, 2019, which may be extended pursuant to certain conditions. The outstanding principal amount under the Prepetition A&amp;R Credit Agreement is $305.00 million (plus accrued and unpaid interest), plus outstanding letters of credit in an amount of $166,000,000. The obligations arising under the Prepetition A&amp;R Credit Agreement are unsecured.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Prepetition Credit Agreements is guaranteed by certain subsidiaries of Weatherford Parent as listed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1"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Letters of Credit</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of the date hereof, the Debtors and certain of their non-Debtor subsidiaries have entered into or guaranteed certain letter of credit facilities with a total exposure of $415.0 million. The letters of credit are held by Standard Chartered Bank, Deutsche Bank, and Citibank, among others.</w:t>
      </w:r>
    </w:p>
    <w:p>
      <w:pPr>
        <w:spacing w:after="0" w:line="143"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Notes</w:t>
      </w:r>
    </w:p>
    <w:p>
      <w:pPr>
        <w:spacing w:after="0" w:line="225" w:lineRule="exact"/>
        <w:rPr>
          <w:sz w:val="20"/>
          <w:szCs w:val="20"/>
          <w:color w:val="auto"/>
        </w:rPr>
      </w:pPr>
    </w:p>
    <w:p>
      <w:pPr>
        <w:ind w:right="280" w:firstLine="648"/>
        <w:spacing w:after="0" w:line="303" w:lineRule="auto"/>
        <w:rPr>
          <w:sz w:val="20"/>
          <w:szCs w:val="20"/>
          <w:color w:val="auto"/>
        </w:rPr>
      </w:pPr>
      <w:r>
        <w:rPr>
          <w:rFonts w:ascii="Arial" w:cs="Arial" w:eastAsia="Arial" w:hAnsi="Arial"/>
          <w:sz w:val="16"/>
          <w:szCs w:val="16"/>
          <w:color w:val="auto"/>
        </w:rPr>
        <w:t>The Debtors have a series of unsecured Prepetition Notes that have been issued by either Debtor Weatherford International Ltd. (“</w:t>
      </w:r>
      <w:r>
        <w:rPr>
          <w:rFonts w:ascii="Arial" w:cs="Arial" w:eastAsia="Arial" w:hAnsi="Arial"/>
          <w:sz w:val="16"/>
          <w:szCs w:val="16"/>
          <w:b w:val="1"/>
          <w:bCs w:val="1"/>
          <w:u w:val="single" w:color="auto"/>
          <w:color w:val="auto"/>
        </w:rPr>
        <w:t>Weatherford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Bermuda</w:t>
      </w:r>
      <w:r>
        <w:rPr>
          <w:rFonts w:ascii="Arial" w:cs="Arial" w:eastAsia="Arial" w:hAnsi="Arial"/>
          <w:sz w:val="16"/>
          <w:szCs w:val="16"/>
          <w:color w:val="auto"/>
        </w:rPr>
        <w:t>”) or Debtor Weatherford International LLC (“</w:t>
      </w:r>
      <w:r>
        <w:rPr>
          <w:rFonts w:ascii="Arial" w:cs="Arial" w:eastAsia="Arial" w:hAnsi="Arial"/>
          <w:sz w:val="16"/>
          <w:szCs w:val="16"/>
          <w:b w:val="1"/>
          <w:bCs w:val="1"/>
          <w:u w:val="single" w:color="auto"/>
          <w:color w:val="auto"/>
        </w:rPr>
        <w:t>Weatherford Delaware</w:t>
      </w:r>
      <w:r>
        <w:rPr>
          <w:rFonts w:ascii="Arial" w:cs="Arial" w:eastAsia="Arial" w:hAnsi="Arial"/>
          <w:sz w:val="16"/>
          <w:szCs w:val="16"/>
          <w:color w:val="auto"/>
        </w:rPr>
        <w:t>”), with each such issuance being guaranteed by Weatherford Parent.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Prepetition Notes are pari passu with one another. The total aggregate outstanding amount of the Prepetition Notes is $7.4 billion plus accrued and unpaid interest. As noted above, the three Debtor entities are the only Weatherford entities that are liable on the Prepetition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series of Prepetition Notes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4"/>
                <w:szCs w:val="14"/>
                <w:color w:val="auto"/>
              </w:rPr>
            </w:pPr>
          </w:p>
        </w:tc>
        <w:tc>
          <w:tcPr>
            <w:tcW w:w="2580" w:type="dxa"/>
            <w:vAlign w:val="bottom"/>
            <w:gridSpan w:val="2"/>
          </w:tcPr>
          <w:p>
            <w:pPr>
              <w:ind w:left="96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Current Principal Amount</w:t>
            </w:r>
          </w:p>
        </w:tc>
        <w:tc>
          <w:tcPr>
            <w:tcW w:w="14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125%</w:t>
            </w:r>
            <w:r>
              <w:rPr>
                <w:rFonts w:ascii="Arial" w:cs="Arial" w:eastAsia="Arial" w:hAnsi="Arial"/>
                <w:sz w:val="18"/>
                <w:szCs w:val="18"/>
                <w:b w:val="1"/>
                <w:bCs w:val="1"/>
                <w:color w:val="auto"/>
              </w:rPr>
              <w:t xml:space="preserve"> Notes</w:t>
            </w:r>
          </w:p>
        </w:tc>
        <w:tc>
          <w:tcPr>
            <w:tcW w:w="3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Weatherford Bermuda</w:t>
            </w: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365,107,000</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699"/>
              <w:spacing w:after="0" w:line="170" w:lineRule="exact"/>
              <w:rPr>
                <w:sz w:val="20"/>
                <w:szCs w:val="20"/>
                <w:color w:val="auto"/>
              </w:rPr>
            </w:pPr>
            <w:r>
              <w:rPr>
                <w:rFonts w:ascii="Arial" w:cs="Arial" w:eastAsia="Arial" w:hAnsi="Arial"/>
                <w:sz w:val="18"/>
                <w:szCs w:val="18"/>
                <w:color w:val="auto"/>
                <w:w w:val="84"/>
              </w:rPr>
              <w:t>2020</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2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1,265,000,000</w:t>
            </w:r>
          </w:p>
        </w:tc>
        <w:tc>
          <w:tcPr>
            <w:tcW w:w="128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750,000,000</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646,286,000</w:t>
            </w:r>
          </w:p>
        </w:tc>
        <w:tc>
          <w:tcPr>
            <w:tcW w:w="140" w:type="dxa"/>
            <w:vAlign w:val="bottom"/>
          </w:tcPr>
          <w:p>
            <w:pPr>
              <w:spacing w:after="0"/>
              <w:rPr>
                <w:sz w:val="15"/>
                <w:szCs w:val="15"/>
                <w:color w:val="auto"/>
              </w:rPr>
            </w:pPr>
          </w:p>
        </w:tc>
        <w:tc>
          <w:tcPr>
            <w:tcW w:w="128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2600" w:type="dxa"/>
            <w:vAlign w:val="bottom"/>
            <w:gridSpan w:val="2"/>
          </w:tcPr>
          <w:p>
            <w:pPr>
              <w:jc w:val="right"/>
              <w:ind w:right="1459"/>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4740" w:type="dxa"/>
            <w:vAlign w:val="bottom"/>
            <w:gridSpan w:val="4"/>
          </w:tcPr>
          <w:p>
            <w:pPr>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4"/>
                <w:szCs w:val="14"/>
                <w:color w:val="auto"/>
              </w:rPr>
            </w:pPr>
          </w:p>
        </w:tc>
        <w:tc>
          <w:tcPr>
            <w:tcW w:w="2580" w:type="dxa"/>
            <w:vAlign w:val="bottom"/>
            <w:gridSpan w:val="2"/>
          </w:tcPr>
          <w:p>
            <w:pPr>
              <w:ind w:left="96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2080" w:type="dxa"/>
            <w:vAlign w:val="bottom"/>
          </w:tcPr>
          <w:p>
            <w:pPr>
              <w:jc w:val="right"/>
              <w:ind w:right="232"/>
              <w:spacing w:after="0"/>
              <w:rPr>
                <w:sz w:val="20"/>
                <w:szCs w:val="20"/>
                <w:color w:val="auto"/>
              </w:rPr>
            </w:pPr>
            <w:r>
              <w:rPr>
                <w:rFonts w:ascii="Arial" w:cs="Arial" w:eastAsia="Arial" w:hAnsi="Arial"/>
                <w:sz w:val="14"/>
                <w:szCs w:val="14"/>
                <w:b w:val="1"/>
                <w:bCs w:val="1"/>
                <w:color w:val="auto"/>
              </w:rPr>
              <w:t>Current Principal Amount</w:t>
            </w:r>
          </w:p>
        </w:tc>
        <w:tc>
          <w:tcPr>
            <w:tcW w:w="28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b w:val="1"/>
                <w:bCs w:val="1"/>
                <w:u w:val="single" w:color="auto"/>
                <w:color w:val="auto"/>
              </w:rPr>
              <w:t>250%</w:t>
            </w:r>
            <w:r>
              <w:rPr>
                <w:rFonts w:ascii="Arial" w:cs="Arial" w:eastAsia="Arial" w:hAnsi="Arial"/>
                <w:sz w:val="18"/>
                <w:szCs w:val="18"/>
                <w:b w:val="1"/>
                <w:bCs w:val="1"/>
                <w:color w:val="auto"/>
              </w:rPr>
              <w:t xml:space="preserve"> Notes</w:t>
            </w:r>
          </w:p>
        </w:tc>
        <w:tc>
          <w:tcPr>
            <w:tcW w:w="3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Weatherford Bermuda</w:t>
            </w: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750,000,000</w:t>
            </w: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699"/>
              <w:spacing w:after="0" w:line="170" w:lineRule="exact"/>
              <w:rPr>
                <w:sz w:val="20"/>
                <w:szCs w:val="20"/>
                <w:color w:val="auto"/>
              </w:rPr>
            </w:pPr>
            <w:r>
              <w:rPr>
                <w:rFonts w:ascii="Arial" w:cs="Arial" w:eastAsia="Arial" w:hAnsi="Arial"/>
                <w:sz w:val="18"/>
                <w:szCs w:val="18"/>
                <w:color w:val="auto"/>
                <w:w w:val="84"/>
              </w:rPr>
              <w:t>2023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2024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790,000,000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9.</w:t>
            </w:r>
            <w:r>
              <w:rPr>
                <w:rFonts w:ascii="Arial" w:cs="Arial" w:eastAsia="Arial" w:hAnsi="Arial"/>
                <w:sz w:val="18"/>
                <w:szCs w:val="18"/>
                <w:b w:val="1"/>
                <w:bCs w:val="1"/>
                <w:u w:val="single" w:color="auto"/>
                <w:color w:val="auto"/>
                <w:w w:val="89"/>
              </w:rPr>
              <w:t>875%</w:t>
            </w:r>
            <w:r>
              <w:rPr>
                <w:rFonts w:ascii="Arial" w:cs="Arial" w:eastAsia="Arial" w:hAnsi="Arial"/>
                <w:sz w:val="18"/>
                <w:szCs w:val="18"/>
                <w:b w:val="1"/>
                <w:bCs w:val="1"/>
                <w:color w:val="auto"/>
                <w:w w:val="89"/>
              </w:rPr>
              <w:t xml:space="preserve"> 2025 Notes</w:t>
            </w:r>
          </w:p>
        </w:tc>
        <w:tc>
          <w:tcPr>
            <w:tcW w:w="326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Delaware</w:t>
            </w:r>
          </w:p>
        </w:tc>
        <w:tc>
          <w:tcPr>
            <w:tcW w:w="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600,000,000</w:t>
            </w:r>
          </w:p>
        </w:tc>
        <w:tc>
          <w:tcPr>
            <w:tcW w:w="1420" w:type="dxa"/>
            <w:vAlign w:val="bottom"/>
            <w:tcBorders>
              <w:bottom w:val="single" w:sz="8" w:color="CCEEFF"/>
            </w:tcBorders>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453,045,000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800%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Delaware</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258,767,000</w:t>
            </w:r>
          </w:p>
        </w:tc>
        <w:tc>
          <w:tcPr>
            <w:tcW w:w="142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000%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461,300,000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9.</w:t>
            </w:r>
            <w:r>
              <w:rPr>
                <w:rFonts w:ascii="Arial" w:cs="Arial" w:eastAsia="Arial" w:hAnsi="Arial"/>
                <w:sz w:val="18"/>
                <w:szCs w:val="18"/>
                <w:b w:val="1"/>
                <w:bCs w:val="1"/>
                <w:u w:val="single" w:color="auto"/>
                <w:color w:val="auto"/>
                <w:w w:val="89"/>
              </w:rPr>
              <w:t>875%</w:t>
            </w:r>
            <w:r>
              <w:rPr>
                <w:rFonts w:ascii="Arial" w:cs="Arial" w:eastAsia="Arial" w:hAnsi="Arial"/>
                <w:sz w:val="18"/>
                <w:szCs w:val="18"/>
                <w:b w:val="1"/>
                <w:bCs w:val="1"/>
                <w:color w:val="auto"/>
                <w:w w:val="89"/>
              </w:rPr>
              <w:t xml:space="preserve"> 2039 Notes</w:t>
            </w:r>
          </w:p>
        </w:tc>
        <w:tc>
          <w:tcPr>
            <w:tcW w:w="326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250,000,000</w:t>
            </w:r>
          </w:p>
        </w:tc>
        <w:tc>
          <w:tcPr>
            <w:tcW w:w="1420" w:type="dxa"/>
            <w:vAlign w:val="bottom"/>
            <w:tcBorders>
              <w:bottom w:val="single" w:sz="8" w:color="CCEEFF"/>
            </w:tcBorders>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462,601,000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950%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374,961,000</w:t>
            </w:r>
          </w:p>
        </w:tc>
        <w:tc>
          <w:tcPr>
            <w:tcW w:w="142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Unsecured Claims</w:t>
      </w:r>
    </w:p>
    <w:p>
      <w:pPr>
        <w:spacing w:after="0" w:line="229" w:lineRule="exact"/>
        <w:rPr>
          <w:sz w:val="20"/>
          <w:szCs w:val="20"/>
          <w:color w:val="auto"/>
        </w:rPr>
      </w:pPr>
    </w:p>
    <w:p>
      <w:pPr>
        <w:jc w:val="both"/>
        <w:ind w:right="380" w:firstLine="662"/>
        <w:spacing w:after="0" w:line="264" w:lineRule="auto"/>
        <w:rPr>
          <w:sz w:val="20"/>
          <w:szCs w:val="20"/>
          <w:color w:val="auto"/>
        </w:rPr>
      </w:pPr>
      <w:r>
        <w:rPr>
          <w:rFonts w:ascii="Arial" w:cs="Arial" w:eastAsia="Arial" w:hAnsi="Arial"/>
          <w:sz w:val="18"/>
          <w:szCs w:val="18"/>
          <w:color w:val="auto"/>
        </w:rPr>
        <w:t>General Unsecured Claims consist of any prepetition claims against the Debtors (other than the Prepetition Notes Claims, 510(b) Claims, or any Intercompany Claims) as of the Petition Date that are neither secured by collateral nor entitled to priority under the Bankruptcy Code or any order of the Bankruptcy Court. The Debtors expect that there will be no General Unsecured Claims.</w:t>
      </w:r>
    </w:p>
    <w:p>
      <w:pPr>
        <w:spacing w:after="0" w:line="177"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Intercompany Claims</w:t>
      </w:r>
    </w:p>
    <w:p>
      <w:pPr>
        <w:spacing w:after="0" w:line="22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Certain Debtors hold Claims against other Debtors resulting primarily from the normal functioning of the Company’s centralized cash management system as well as, in some cases, the provision of intercompany services by one Debtor to another Debtor, such as, for example, administrative support services. Historically, such intercompany claims were recorded in the Company’s books and records. Pursuant to the Plan, for administrative convenience only, these Intercompany Claims will be adjusted, reinstated, compromised, or cancelled to the extent determined appropriate by the Debtors, with the consent of the Required Consenting Noteholders.</w:t>
      </w:r>
    </w:p>
    <w:p>
      <w:pPr>
        <w:spacing w:after="0" w:line="18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EVENTS LEADING TO THE CHAPTER 11 FILING</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Current State of the Oil &amp; Gas Industry and Impact on Debtors.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Weatherford’s operations have been and likely will continue to be affected by the volatility of oil and natural gas prices. The oil and gas industry has been in one of the longest, steepest, and most sustained declines in oil and gas prices in recent history. Oil and natural gas prices 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 w:name="page31"/>
    <w:bookmarkEnd w:id="30"/>
    <w:p>
      <w:pPr>
        <w:ind w:right="120"/>
        <w:spacing w:after="0" w:line="257" w:lineRule="auto"/>
        <w:rPr>
          <w:sz w:val="20"/>
          <w:szCs w:val="20"/>
          <w:color w:val="auto"/>
        </w:rPr>
      </w:pPr>
      <w:r>
        <w:rPr>
          <w:rFonts w:ascii="Arial" w:cs="Arial" w:eastAsia="Arial" w:hAnsi="Arial"/>
          <w:sz w:val="18"/>
          <w:szCs w:val="18"/>
          <w:color w:val="auto"/>
        </w:rPr>
        <w:t>dependent on factors beyond the Company’s control, including the supply of and demand for oil, weather conditions, and political conditions, among others. As a result of the sustained market downturn, oil and gas companies around the world have dramatically curtailed capital and operating expenditures dedicated to oil and gas exploration, development and production, which in turn has contributed to the financial distress of numerous oilfield services companies. In fact, dozens of oilfield services companies, whose business is dependent on spending by oil and gas companies, have filed for bankruptcy in the last several years.</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sustained drop in oil and gas prices has impacted companies throughout the oil and gas industry including Weatherford and the majority of its customers. As spending on exploration, development, and production of oil and natural gas has decreased so has demand for Weatherford’s services and products. The decline in spending by oil and gas companies has had a significant effect on the Debtors’ financial health. To illustrate, on a consolidated basis, the Company’s cash flows from operating activities have been negative $304 million, negative $388 million, and negative $242 million in fiscal years 2016, 2017, and 2018, respectively.</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to the issues facing the oil and gas industry generally, Weatherford operates in a highly competitive market. The oilfield services and equipment industry is saturated with competition from various companies that operate in the same sector and the same regions of the world as Weatherford. The primary competitive factors include safety, performance, price, quality, and breadth of products and services. Weatherford also faces competition from regional suppliers in some of the sectors in which it operates as these suppliers offer limited equipment and services that are specifically tailored to the relevant local market. Some of the Company’s competitors have better financial and technical resources, which allows them to pursue more vigorous marketing and expansion activities. This heavily competitive market has impacted the Company’s ability to maintain its market share and defend or maintain the pricing for its products and services. Heavy competition has also impacted the Company’s ability to negotiate contract terms with its customers and suppliers, which has resulted in the Company accepting suboptimal terms.</w:t>
      </w:r>
    </w:p>
    <w:p>
      <w:pPr>
        <w:spacing w:after="0" w:line="17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Company’s operations are also subject to extensive federal, international, state and local laws and regulations relating to environmental production, waste management and cleanup of hazardous materials, and other matters. Compliance with the various requirements imposed by these laws and regulations has also resulted in increased capital expenditures as companies in these sectors have had to make significant investments to ensure compliance.</w:t>
      </w:r>
    </w:p>
    <w:p>
      <w:pPr>
        <w:spacing w:after="0" w:line="143"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Efforts to Combat Market Downturn</w:t>
      </w:r>
    </w:p>
    <w:p>
      <w:pPr>
        <w:spacing w:after="0" w:line="229" w:lineRule="exact"/>
        <w:rPr>
          <w:sz w:val="20"/>
          <w:szCs w:val="20"/>
          <w:color w:val="auto"/>
        </w:rPr>
      </w:pPr>
    </w:p>
    <w:p>
      <w:pPr>
        <w:jc w:val="both"/>
        <w:ind w:right="500" w:firstLine="648"/>
        <w:spacing w:after="0" w:line="286" w:lineRule="auto"/>
        <w:rPr>
          <w:sz w:val="20"/>
          <w:szCs w:val="20"/>
          <w:color w:val="auto"/>
        </w:rPr>
      </w:pPr>
      <w:r>
        <w:rPr>
          <w:rFonts w:ascii="Arial" w:cs="Arial" w:eastAsia="Arial" w:hAnsi="Arial"/>
          <w:sz w:val="17"/>
          <w:szCs w:val="17"/>
          <w:color w:val="auto"/>
        </w:rPr>
        <w:t>The decline in the price of oil and gas and the resulting adverse market conditions have severely impacted Weatherford affecting, among other things, the Company’s cash flow, borrowing capacity, and ability to service its outstanding indebtedness. As with many of their peers, this drastic and prolonged drop in oil and gas prices has strained the Company’s liquidity for an extended period of time.</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took several steps to try to address its capital structure and liquidity needs without a comprehensive in-court restructuring before commencing these Chapter 11 Cases. The Company and its management team focused on cutting costs, reducing capital expenditure, and managing liquidity.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left="1940" w:hanging="635"/>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The Debtors’ Cost-Reduction Initiatives and Operational Adjustments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second quarter of 2017 management, led by the new chief executive officer, focused on analyzing and assessing the structure and operations of the Company in order to determine where key cost-reduction initiatives could be implemented. Management and the board of directors engaged in an extensive review of all existing protocols and processes to determine which initiatives should be implemented. The ensuing cost-reduction efforts were strategic and focused on the reduction of overhead and elimination of inefficiencies across the enterprise. Specifically, the Company implemented new initiatives focused on training leaders as well as field-level supervisors and other personnel in order to improve efficiency and accountability. The initiatives also focused on flattening the organizational structure of the Company in order to improve cost efficiency and reduce organizational redundancies. In the fourth quarter of 2017, the Company eliminated the regional structure and consolidated countries into a geo-zone structure, to eliminate overhead costs and redundancies. This fundamental change in operation of the business resulted in a headcount reduction of approximately 900 and created annualized savings of approximately $114 million.</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2018, the Company continued its cost-reduction initiatives and operational adjustments. In the first quarter of 2018, the Company, with the assistance of McKinsey Restructuring &amp; Transformation Services, implemented its transformation plan (the “</w:t>
      </w:r>
      <w:r>
        <w:rPr>
          <w:rFonts w:ascii="Arial" w:cs="Arial" w:eastAsia="Arial" w:hAnsi="Arial"/>
          <w:sz w:val="18"/>
          <w:szCs w:val="18"/>
          <w:b w:val="1"/>
          <w:bCs w:val="1"/>
          <w:u w:val="single" w:color="auto"/>
          <w:color w:val="auto"/>
        </w:rPr>
        <w:t>Transformation Plan</w:t>
      </w:r>
      <w:r>
        <w:rPr>
          <w:rFonts w:ascii="Arial" w:cs="Arial" w:eastAsia="Arial" w:hAnsi="Arial"/>
          <w:sz w:val="18"/>
          <w:szCs w:val="18"/>
          <w:color w:val="auto"/>
        </w:rPr>
        <w:t>”), which was aimed at reducing the Company’s overall cost structure and workforce to better align the business with current activity levels. The Transformation Plan continued into 2019 and includes a workforce reduction, organization restructure, facility consolidations, and other cost reduction and efficiency initiatives across the Company globally.</w:t>
      </w:r>
    </w:p>
    <w:p>
      <w:pPr>
        <w:spacing w:after="0" w:line="188"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Despite implementing these efficient and strategic initiatives, the Company continued to face declining revenue and cash flow, as well as market challenges. Due to the Company’s increasingly tight liquidity, its key vendors began requiring shortened payment terms, including pay on delivery or prepayment for all supplies purchased by the Company. This contributed to additional pressure on liquidity that the Company could not sustain. Additionally, as discussed above, the highly competitive market that the Company operates in posed challenges for the Company in winning new bids, resulting in decreased revenue.</w:t>
      </w:r>
    </w:p>
    <w:p>
      <w:pPr>
        <w:spacing w:after="0" w:line="188" w:lineRule="exact"/>
        <w:rPr>
          <w:sz w:val="20"/>
          <w:szCs w:val="20"/>
          <w:color w:val="auto"/>
        </w:rPr>
      </w:pPr>
    </w:p>
    <w:p>
      <w:pPr>
        <w:ind w:left="1960" w:hanging="655"/>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The Debtors’ Strategic Divestitures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part of the Company’s overall operations adjustments, management conducted a detailed review of all of the Company’s product lines focusing on the current state of the product line, the ability to invest in its growth, and the overall role of the product in the Company’s long-term strategy. Management and the board determined that there were product lines and sectors that could be sold in order to increase liquidity and focus on the Company’s key product lines and services.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of 2017, Weatherford completed the sale of its U.S. pressure pumping and pump-down perforating assets for gross cash proceeds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$430 million, the proceeds of which were used to reduce the Company’s outstanding indebtedness. In the fourth quarter of 2018, the Company completed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of a portion of its land drilling rigs operations for gross cash proceeds of $216 million. The sale represents two of a series of four closings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purchase and sale agreements entered into with ADES International Holding Ltd. in July of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spacing w:after="0" w:line="286" w:lineRule="auto"/>
        <w:rPr>
          <w:sz w:val="20"/>
          <w:szCs w:val="20"/>
          <w:color w:val="auto"/>
        </w:rPr>
      </w:pPr>
      <w:r>
        <w:rPr>
          <w:rFonts w:ascii="Arial" w:cs="Arial" w:eastAsia="Arial" w:hAnsi="Arial"/>
          <w:sz w:val="17"/>
          <w:szCs w:val="17"/>
          <w:color w:val="auto"/>
        </w:rPr>
        <w:t>to sell the Company’s land drilling rig operations in Algeria, Kuwait and Saudi Arabia, as well as two idle land rigs in Iraq. The sale is for an aggregate purchase price of $287.5 million. In April of 2019, the Company sold its laboratory services business to an affiliate of CSL Capital Management, L.P., and its surface data logging business to Excellence Logging, for an aggregate net purchase price of approximately $225 million in cash.</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Despite several successful strategic divestitures, the Company remained overleveraged, with debt service payments hampering its ability to use the proceeds of these divestitures to invest in the business and the new initiatives.</w:t>
      </w:r>
    </w:p>
    <w:p>
      <w:pPr>
        <w:spacing w:after="0" w:line="166" w:lineRule="exact"/>
        <w:rPr>
          <w:sz w:val="20"/>
          <w:szCs w:val="20"/>
          <w:color w:val="auto"/>
        </w:rPr>
      </w:pPr>
    </w:p>
    <w:p>
      <w:pPr>
        <w:ind w:left="1220" w:hanging="564"/>
        <w:spacing w:after="0"/>
        <w:tabs>
          <w:tab w:leader="none" w:pos="12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Financing Initiatives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Despite management’s best efforts, performance and liquidity continued to further deteriorate and it became apparent that the Company’s revenue and cash flow generating capacity would not be sufficient to service its outstanding debt on a long-term basis and to maintain the liquidity necessary to operate its businesses and maximize long-term enterprise value. The Company retained Lazard Frères &amp; Co. LLC (“</w:t>
      </w:r>
      <w:r>
        <w:rPr>
          <w:rFonts w:ascii="Arial" w:cs="Arial" w:eastAsia="Arial" w:hAnsi="Arial"/>
          <w:sz w:val="17"/>
          <w:szCs w:val="17"/>
          <w:b w:val="1"/>
          <w:bCs w:val="1"/>
          <w:u w:val="single" w:color="auto"/>
          <w:color w:val="auto"/>
        </w:rPr>
        <w:t>Lazard</w:t>
      </w:r>
      <w:r>
        <w:rPr>
          <w:rFonts w:ascii="Arial" w:cs="Arial" w:eastAsia="Arial" w:hAnsi="Arial"/>
          <w:sz w:val="17"/>
          <w:szCs w:val="17"/>
          <w:color w:val="auto"/>
        </w:rPr>
        <w:t>”) on May 30, 2018, to assist the Company in refinancing its revolving credit facility. The revolving credit facility was successfully extended in August of 2018.</w:t>
      </w:r>
    </w:p>
    <w:p>
      <w:pPr>
        <w:spacing w:after="0" w:line="17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the third quarter of 2018, the Company reported that it had missed its cash flow projections for the quarter. In addition, Weatherford continued to face industry headwinds and was levered at over 10.0x EBITDA, a figure significantly higher those of its competitors, who have traditionally been levered at close to 2.0x EBITDA. Weatherford generated negative cash flow driven in part by approximately $600 million in annual interest payments. Its negative cash flow position began to impact the Company’s ability to win business, invest in new technologies, and compete more broadly with its better-capitalized peers. It became critical that the Company extend its liquidity runway in order to realize the benefits of the Transformation Plan, necessitating that it address approximately $2.4 billion of upcoming maturities through 2021. To that end, the Company retained Lazard on December 31, 2018 and Latham &amp; Watkins LLP as restructuring counsel on April 1, 2019, to advise on further refinancing efforts and a possible balance sheet restructuring.</w:t>
      </w:r>
    </w:p>
    <w:p>
      <w:pPr>
        <w:spacing w:after="0" w:line="163" w:lineRule="exact"/>
        <w:rPr>
          <w:sz w:val="20"/>
          <w:szCs w:val="20"/>
          <w:color w:val="auto"/>
        </w:rPr>
      </w:pPr>
    </w:p>
    <w:p>
      <w:pPr>
        <w:ind w:left="1220" w:hanging="564"/>
        <w:spacing w:after="0"/>
        <w:tabs>
          <w:tab w:leader="none" w:pos="12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Prepetition Restructuring Efforts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early 2019, the Company, with the assistance of its advisors, determined that it would need to pursue a restructuring option that significantly de-leveraged the Company while giving it enough runway to implement the cost-reduction and operational adjustments it had begun in 2017 and 2018.</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Management and the board of directors first considered a variety of out-of-court alternatives to achieve the necessary runway. The alternatives included a variety of potential transactions including maturity extensions of the revolving credit facilities and first lien term loan, debt-for-uptiered-debt and/or debt-for-cash exchanges, the issuance of convertible debt instruments, and debt equitization transactions to provide short- and medium-term runway so the Company could execute on its turnaround plan.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right="60" w:firstLine="648"/>
        <w:spacing w:after="0" w:line="264" w:lineRule="auto"/>
        <w:rPr>
          <w:sz w:val="20"/>
          <w:szCs w:val="20"/>
          <w:color w:val="auto"/>
        </w:rPr>
      </w:pPr>
      <w:r>
        <w:rPr>
          <w:rFonts w:ascii="Arial" w:cs="Arial" w:eastAsia="Arial" w:hAnsi="Arial"/>
          <w:sz w:val="18"/>
          <w:szCs w:val="18"/>
          <w:color w:val="auto"/>
        </w:rPr>
        <w:t>During this time, revenues continued to decline, delaying execution on the Transformation Plan and further constraining liquidity. In April, the Company met with its bank group to provide a revised forecast for fiscal year 2019 and continue to explore a refinancing of the credit facility, but was unable to reach agreement on the terms of a refinancing that would meet the Company’s holistic goals.</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Beginning in mid-April of 2019, the Company and their advisors began to engage in parallel arms-length negotiations with an ad hoc group holding a substantial portion of their unsecured notes to first explore out-of-court alternatives that would be workable in conjunction with a credit facility maturity extension on terms proposed by the Company’s existing bank group and, alternatively, to develop a comprehensive financing and restructuring plan to be implemented through the Chapter 11 Cases to the extent a solution could not be reached. Despite the parties’ best efforts to achieve an out-of-court solution, it became clear that an in-court process would be required to accomplish the comprehensive balance sheet restructuring the Company needed.</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Over the next several weeks, the Company, with the aid of its advisors, was able to execute a consensual Restructuring Support Agreement with the Consenting Noteholders in support of the Restructuring. The Company intends to file the Chapter 11 Cases to implement the prepackaged Plan that is contemplated by the Restructuring Support Agreement.</w:t>
      </w:r>
    </w:p>
    <w:p>
      <w:pPr>
        <w:spacing w:after="0" w:line="177"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Entry into the Restructuring Support Agreement</w:t>
      </w:r>
      <w:r>
        <w:rPr>
          <w:rFonts w:ascii="Arial" w:cs="Arial" w:eastAsia="Arial" w:hAnsi="Arial"/>
          <w:sz w:val="23"/>
          <w:szCs w:val="23"/>
          <w:b w:val="1"/>
          <w:bCs w:val="1"/>
          <w:color w:val="auto"/>
          <w:vertAlign w:val="superscript"/>
        </w:rPr>
        <w:t>(3)</w:t>
      </w:r>
    </w:p>
    <w:p>
      <w:pPr>
        <w:spacing w:after="0" w:line="17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May 10, 2019, the Debtors and the Consenting Noteholders entered into the Restructuring Support Agreement whereby the Consenting Noteholders have committed, subject to the terms and conditions of the Restructuring Support Agreement, to support the Debtors in their efforts to confirm the Plan, as well as to provide additional liquidity to the Debtors both during the Chapter 11 Cases and upon emergence (as described herein in more detail). The terms of the Restructuring are reflected in the Plan.</w:t>
      </w:r>
    </w:p>
    <w:p>
      <w:pPr>
        <w:spacing w:after="0" w:line="18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Restructuring Support Agreement contemplates a comprehensive deleveraging of the Company’s balance sheet and an approximately $5.85 billion reduction of its prepetition funded debt. The key provisions of the Restructuring Support Agreement are as follows:</w:t>
      </w:r>
    </w:p>
    <w:p>
      <w:pPr>
        <w:spacing w:after="0" w:line="147" w:lineRule="exact"/>
        <w:rPr>
          <w:sz w:val="20"/>
          <w:szCs w:val="20"/>
          <w:color w:val="auto"/>
        </w:rPr>
      </w:pPr>
    </w:p>
    <w:p>
      <w:pPr>
        <w:ind w:left="660" w:right="140" w:hanging="328"/>
        <w:spacing w:after="0" w:line="259" w:lineRule="auto"/>
        <w:tabs>
          <w:tab w:leader="none" w:pos="6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Prepetition Notes will be cancelled and exchanged for (a) 99% of the New Common Stock, subject to dilution on account of equity issued pursuant to the New Management Incentive Plan, the Tranche B Equity Conversion, and the New Common Stock issuable pursuant to the New Warrants, and (b) an aggregate amount of up to $1.25 billion of New Tranche B Senior Unsecured Notes to be issued by Weatherford Delaware and Weatherford Bermuda, as applicable;</w:t>
      </w:r>
    </w:p>
    <w:p>
      <w:pPr>
        <w:spacing w:after="0" w:line="186" w:lineRule="exact"/>
        <w:rPr>
          <w:rFonts w:ascii="Arial" w:cs="Arial" w:eastAsia="Arial" w:hAnsi="Arial"/>
          <w:sz w:val="18"/>
          <w:szCs w:val="18"/>
          <w:color w:val="auto"/>
        </w:rPr>
      </w:pPr>
    </w:p>
    <w:p>
      <w:pPr>
        <w:ind w:left="660" w:hanging="328"/>
        <w:spacing w:after="0" w:line="277" w:lineRule="auto"/>
        <w:tabs>
          <w:tab w:leader="none" w:pos="6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Holders of the Prepetition Notes will have the option to convert up to $500 million of the New Tranche B Unsecured Notes to New Common Stock at the mid-point of plan equity value;</w:t>
      </w:r>
    </w:p>
    <w:p>
      <w:pPr>
        <w:spacing w:after="0" w:line="395" w:lineRule="exact"/>
        <w:rPr>
          <w:rFonts w:ascii="Arial" w:cs="Arial" w:eastAsia="Arial" w:hAnsi="Arial"/>
          <w:sz w:val="18"/>
          <w:szCs w:val="18"/>
          <w:color w:val="auto"/>
        </w:rPr>
      </w:pPr>
    </w:p>
    <w:p>
      <w:pPr>
        <w:ind w:right="60" w:firstLine="8"/>
        <w:spacing w:after="0" w:line="215" w:lineRule="auto"/>
        <w:tabs>
          <w:tab w:leader="none" w:pos="177"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This summary is qualified in its entirety by the Restructuring Support Agreement. To the extent that any provision of this summary is inconsistent with the Restructuring Support Agreement, the Restructuring Support Agreement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660" w:right="220" w:hanging="328"/>
        <w:spacing w:after="0" w:line="308" w:lineRule="auto"/>
        <w:tabs>
          <w:tab w:leader="none" w:pos="6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Holders of Prepetition Notes also will receive subscription rights in a Rights Offering (as defined below) for the New Tranche A Senior Unsecured Notes to be issued by Weatherford Delaware and Weatherford Bermuda and backstopped by certain Prepetition Noteholders;</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Prepetition Revolving Credit Claims, the Prepetition A&amp;R Claims, and the Prepetition Term Loan Claims will be repaid in full in cash;</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trade claims will be paid in full in the ordinary course of business;</w:t>
      </w:r>
    </w:p>
    <w:p>
      <w:pPr>
        <w:spacing w:after="0" w:line="225" w:lineRule="exact"/>
        <w:rPr>
          <w:rFonts w:ascii="Arial" w:cs="Arial" w:eastAsia="Arial" w:hAnsi="Arial"/>
          <w:sz w:val="18"/>
          <w:szCs w:val="18"/>
          <w:color w:val="auto"/>
        </w:rPr>
      </w:pPr>
    </w:p>
    <w:p>
      <w:pPr>
        <w:ind w:left="660" w:right="40" w:hanging="328"/>
        <w:spacing w:after="0" w:line="308" w:lineRule="auto"/>
        <w:tabs>
          <w:tab w:leader="none" w:pos="6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Existing Common Stock will be cancelled and exchanged for (a) 1% of the New Common Stock, and (b) three-year warrants to purchase 10% of the New Common Stock (the “</w:t>
      </w:r>
      <w:r>
        <w:rPr>
          <w:rFonts w:ascii="Arial" w:cs="Arial" w:eastAsia="Arial" w:hAnsi="Arial"/>
          <w:sz w:val="17"/>
          <w:szCs w:val="17"/>
          <w:b w:val="1"/>
          <w:bCs w:val="1"/>
          <w:u w:val="single" w:color="auto"/>
          <w:color w:val="auto"/>
        </w:rPr>
        <w:t>New Warrants</w:t>
      </w:r>
      <w:r>
        <w:rPr>
          <w:rFonts w:ascii="Arial" w:cs="Arial" w:eastAsia="Arial" w:hAnsi="Arial"/>
          <w:sz w:val="17"/>
          <w:szCs w:val="17"/>
          <w:color w:val="auto"/>
        </w:rPr>
        <w:t xml:space="preserve">”) pursuant to the terms of the Warrant Term Sheet attached hereto as </w:t>
      </w:r>
      <w:r>
        <w:rPr>
          <w:rFonts w:ascii="Arial" w:cs="Arial" w:eastAsia="Arial" w:hAnsi="Arial"/>
          <w:sz w:val="17"/>
          <w:szCs w:val="17"/>
          <w:u w:val="single" w:color="auto"/>
          <w:color w:val="auto"/>
        </w:rPr>
        <w:t>Exhibit K</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60" w:right="380" w:hanging="328"/>
        <w:spacing w:after="0" w:line="282"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will be a DIP Facility which will consist of a $1.0 billion term loan facility (the “</w:t>
      </w:r>
      <w:r>
        <w:rPr>
          <w:rFonts w:ascii="Arial" w:cs="Arial" w:eastAsia="Arial" w:hAnsi="Arial"/>
          <w:sz w:val="18"/>
          <w:szCs w:val="18"/>
          <w:b w:val="1"/>
          <w:bCs w:val="1"/>
          <w:u w:val="single" w:color="auto"/>
          <w:color w:val="auto"/>
        </w:rPr>
        <w:t>DIP Term Loan Facility</w:t>
      </w:r>
      <w:r>
        <w:rPr>
          <w:rFonts w:ascii="Arial" w:cs="Arial" w:eastAsia="Arial" w:hAnsi="Arial"/>
          <w:sz w:val="18"/>
          <w:szCs w:val="18"/>
          <w:color w:val="auto"/>
        </w:rPr>
        <w:t>”) and a $750 million revolving credit facility (the “</w:t>
      </w:r>
      <w:r>
        <w:rPr>
          <w:rFonts w:ascii="Arial" w:cs="Arial" w:eastAsia="Arial" w:hAnsi="Arial"/>
          <w:sz w:val="18"/>
          <w:szCs w:val="18"/>
          <w:b w:val="1"/>
          <w:bCs w:val="1"/>
          <w:u w:val="single" w:color="auto"/>
          <w:color w:val="auto"/>
        </w:rPr>
        <w:t>DIP Revolving Credit Facility</w:t>
      </w:r>
      <w:r>
        <w:rPr>
          <w:rFonts w:ascii="Arial" w:cs="Arial" w:eastAsia="Arial" w:hAnsi="Arial"/>
          <w:sz w:val="18"/>
          <w:szCs w:val="18"/>
          <w:color w:val="auto"/>
        </w:rPr>
        <w:t>” and together with the DIP Term Loan Facility, the “</w:t>
      </w:r>
      <w:r>
        <w:rPr>
          <w:rFonts w:ascii="Arial" w:cs="Arial" w:eastAsia="Arial" w:hAnsi="Arial"/>
          <w:sz w:val="18"/>
          <w:szCs w:val="18"/>
          <w:b w:val="1"/>
          <w:bCs w:val="1"/>
          <w:u w:val="single" w:color="auto"/>
          <w:color w:val="auto"/>
        </w:rPr>
        <w:t>DIP Facility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80" w:hanging="328"/>
        <w:spacing w:after="0" w:line="264" w:lineRule="auto"/>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DIP Facility will be repaid or refinanced in full upon the Effective Date of the Plan through the Company’s (a) Exit Facility (as defined and described below) and (b) issuance of up to $1.25 billion of New Tranche A Senior Unsecured Notes, which notes issuance will be fully backstopped by the Consenting Noteholders.</w:t>
      </w:r>
    </w:p>
    <w:p>
      <w:pPr>
        <w:spacing w:after="0" w:line="181"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The Restructuring Support Agreement includes certain milestones for the progress of the Chapter 11 Cases, which include the dates by which the Debtors are required to, among other things, obtain certain court orders and complete the Restructuring.</w:t>
      </w:r>
      <w:r>
        <w:rPr>
          <w:rFonts w:ascii="Arial" w:cs="Arial" w:eastAsia="Arial" w:hAnsi="Arial"/>
          <w:sz w:val="23"/>
          <w:szCs w:val="23"/>
          <w:color w:val="auto"/>
          <w:vertAlign w:val="superscript"/>
        </w:rPr>
        <w:t>(4)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Milestone</w:t>
            </w:r>
          </w:p>
        </w:tc>
        <w:tc>
          <w:tcPr>
            <w:tcW w:w="5600" w:type="dxa"/>
            <w:vAlign w:val="bottom"/>
          </w:tcPr>
          <w:p>
            <w:pPr>
              <w:ind w:left="2540"/>
              <w:spacing w:after="0"/>
              <w:rPr>
                <w:sz w:val="20"/>
                <w:szCs w:val="20"/>
                <w:color w:val="auto"/>
              </w:rPr>
            </w:pPr>
            <w:r>
              <w:rPr>
                <w:rFonts w:ascii="Arial" w:cs="Arial" w:eastAsia="Arial" w:hAnsi="Arial"/>
                <w:sz w:val="14"/>
                <w:szCs w:val="14"/>
                <w:b w:val="1"/>
                <w:bCs w:val="1"/>
                <w:color w:val="auto"/>
              </w:rPr>
              <w:t>Deadline</w:t>
            </w: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Commencement of Chapter 11 Cases</w:t>
            </w:r>
          </w:p>
        </w:tc>
        <w:tc>
          <w:tcPr>
            <w:tcW w:w="2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 later than July 15,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Commencement of Bermuda Proceedings</w:t>
            </w:r>
          </w:p>
        </w:tc>
        <w:tc>
          <w:tcPr>
            <w:tcW w:w="5600" w:type="dxa"/>
            <w:vAlign w:val="bottom"/>
          </w:tcPr>
          <w:p>
            <w:pPr>
              <w:spacing w:after="0"/>
              <w:rPr>
                <w:sz w:val="20"/>
                <w:szCs w:val="20"/>
                <w:color w:val="auto"/>
              </w:rPr>
            </w:pPr>
            <w:r>
              <w:rPr>
                <w:rFonts w:ascii="Arial" w:cs="Arial" w:eastAsia="Arial" w:hAnsi="Arial"/>
                <w:sz w:val="18"/>
                <w:szCs w:val="18"/>
                <w:color w:val="auto"/>
              </w:rPr>
              <w:t>One calendar day after the Petition Date</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Filing of Chapter 11 Plan, Disclosure Statement, and Solicitation Procedures</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One calendar day after the Petition Date</w:t>
            </w:r>
          </w:p>
        </w:tc>
      </w:tr>
      <w:tr>
        <w:trPr>
          <w:trHeight w:val="23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Motion</w:t>
            </w:r>
          </w:p>
        </w:tc>
        <w:tc>
          <w:tcPr>
            <w:tcW w:w="560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Entry of interim order approving DIP Motion (as defined below)</w:t>
            </w:r>
          </w:p>
        </w:tc>
        <w:tc>
          <w:tcPr>
            <w:tcW w:w="5600" w:type="dxa"/>
            <w:vAlign w:val="bottom"/>
          </w:tcPr>
          <w:p>
            <w:pPr>
              <w:spacing w:after="0"/>
              <w:rPr>
                <w:sz w:val="20"/>
                <w:szCs w:val="20"/>
                <w:color w:val="auto"/>
              </w:rPr>
            </w:pPr>
            <w:r>
              <w:rPr>
                <w:rFonts w:ascii="Arial" w:cs="Arial" w:eastAsia="Arial" w:hAnsi="Arial"/>
                <w:sz w:val="18"/>
                <w:szCs w:val="18"/>
                <w:color w:val="auto"/>
              </w:rPr>
              <w:t>No later than July 18, 2019</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Entry of final order approving DIP Motion</w:t>
            </w: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Within 30 days after entry of Interim DIP Order</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Commencement of Irish Examinership Proceeding</w:t>
            </w:r>
          </w:p>
        </w:tc>
        <w:tc>
          <w:tcPr>
            <w:tcW w:w="5600" w:type="dxa"/>
            <w:vAlign w:val="bottom"/>
          </w:tcPr>
          <w:p>
            <w:pPr>
              <w:spacing w:after="0"/>
              <w:rPr>
                <w:sz w:val="20"/>
                <w:szCs w:val="20"/>
                <w:color w:val="auto"/>
              </w:rPr>
            </w:pPr>
            <w:r>
              <w:rPr>
                <w:rFonts w:ascii="Arial" w:cs="Arial" w:eastAsia="Arial" w:hAnsi="Arial"/>
                <w:sz w:val="18"/>
                <w:szCs w:val="18"/>
                <w:color w:val="auto"/>
              </w:rPr>
              <w:t>October 1, 2019</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Entry of order confirming the Chapter 11 Plan</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 later than September 15, 2019, subject to availability of the Bankruptcy</w:t>
            </w:r>
          </w:p>
        </w:tc>
      </w:tr>
      <w:tr>
        <w:trPr>
          <w:trHeight w:val="230"/>
        </w:trPr>
        <w:tc>
          <w:tcPr>
            <w:tcW w:w="5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Court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340" w:firstLine="8"/>
        <w:spacing w:after="0" w:line="215" w:lineRule="auto"/>
        <w:tabs>
          <w:tab w:leader="none" w:pos="177"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 Restructuring Support Agreement was amended by the Debtors and the Consenting Noteholders in June of 2019 to, among other things, amend certain of the milestones, incorporate the Bermuda proceedings, and address certain diligence issues.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w:t>
            </w:r>
          </w:p>
        </w:tc>
        <w:tc>
          <w:tcPr>
            <w:tcW w:w="220" w:type="dxa"/>
            <w:vAlign w:val="bottom"/>
            <w:tcBorders>
              <w:bottom w:val="single" w:sz="8" w:color="CCEEFF"/>
            </w:tcBorders>
          </w:tcPr>
          <w:p>
            <w:pPr>
              <w:spacing w:after="0"/>
              <w:rPr>
                <w:sz w:val="14"/>
                <w:szCs w:val="14"/>
                <w:color w:val="auto"/>
              </w:rPr>
            </w:pPr>
          </w:p>
        </w:tc>
        <w:tc>
          <w:tcPr>
            <w:tcW w:w="558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Deadline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9"/>
              </w:rPr>
              <w:t>Entry of order of the Irish Court approving the Scheme of Arrangement</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1"/>
              </w:rPr>
              <w:t>No later than 70 calendar days after the Examinership Commencement Date</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Chapter 11 Plan Effective Date</w:t>
            </w:r>
          </w:p>
        </w:tc>
        <w:tc>
          <w:tcPr>
            <w:tcW w:w="58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No later than fifteen calendar days after entry of the Confirmation Order by</w:t>
            </w:r>
          </w:p>
        </w:tc>
      </w:tr>
      <w:tr>
        <w:trPr>
          <w:trHeight w:val="216"/>
        </w:trPr>
        <w:tc>
          <w:tcPr>
            <w:tcW w:w="562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w w:val="92"/>
              </w:rPr>
              <w:t>the Bankruptcy Court and entry of the order of the Irish Court approving the</w:t>
            </w:r>
          </w:p>
        </w:tc>
      </w:tr>
      <w:tr>
        <w:trPr>
          <w:trHeight w:val="230"/>
        </w:trPr>
        <w:tc>
          <w:tcPr>
            <w:tcW w:w="562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Scheme of Arrangement and the Bermuda Scheme</w:t>
            </w:r>
          </w:p>
        </w:tc>
      </w:tr>
    </w:tbl>
    <w:p>
      <w:pPr>
        <w:spacing w:after="0" w:line="20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Of key importance, the Restructuring Support Agreement provides that the Consenting Noteholders will support the Plan. The Plan provides for a comprehensive restructuring of the Debtors’ prepetition obligations, preserves the going-concern value of the Debtors’ business, maximizes creditor recoveries, provides for an equitable distribution to the Debtors’ stakeholders, and protects the jobs of thousands of employees.</w:t>
      </w:r>
    </w:p>
    <w:p>
      <w:pPr>
        <w:spacing w:after="0" w:line="162"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Amortization Payment and Interest Payments Due Under Prepetition Debt</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Prepetition Credit Agreements provide for interest payments (and in the case of the Prepetition Term Loan Agreement, payments of principal) to be made on each of June 30, September 30, December 31, and March 31 (or in the case of a Eurodollar rate loan, at the end of each interest period) until maturity. Failure to make the interest and/or principal payments, as applicable, on one of the Prepetition Credit Agreements when due will result in an event of default under such Prepetition Credit Agreement and the other Prepetition Credit Agreements. The occurrence of an event of default under the Prepetition Credit Agreements allows the respective administrative agents and lenders to declare each Debtor’s obligations under the Prepetition Credit Agreements immediately due and payable and to exercise such administrative agents’ and lenders’ rights under the Prepetition Credit Agreements.</w:t>
      </w:r>
    </w:p>
    <w:p>
      <w:pPr>
        <w:spacing w:after="0" w:line="16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A&amp;R Forbearance Agreement</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June of 2019, the Company and Prepetition A&amp;R Credit Agreement Lenders entered into a forbearance agreement (the “</w:t>
      </w:r>
      <w:r>
        <w:rPr>
          <w:rFonts w:ascii="Arial" w:cs="Arial" w:eastAsia="Arial" w:hAnsi="Arial"/>
          <w:sz w:val="17"/>
          <w:szCs w:val="17"/>
          <w:b w:val="1"/>
          <w:bCs w:val="1"/>
          <w:u w:val="single" w:color="auto"/>
          <w:color w:val="auto"/>
        </w:rPr>
        <w:t>A&amp;R Forbearance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with respect to certain defaults under the Prepetition A&amp;R Credit Agreement. Specifically, under the Forbearance Agreement, the Prepetition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A&amp;R Credit Agreement Lenders agreed to forbear from exercising their rights and remedies, including the right to accelerate any indebtedness for a specified period of time. Under the terms of the A&amp;R Forbearance Agreement, the Company will pay a fee for the ratable account of the Prepetition A&amp;R Credit Agreement Lenders in an amount equal to 0.25% on the outstanding principal amount of the loans and total letter of credit exposure under the A&amp;R Credit Agreement, with such fee due and payable on the effective date of the A&amp;R Forbearance Agreement. Additionally, (i) to the extent such entities are not currently guarantors under the Prepetition A&amp;R Credit Agreement, all subsidiaries of the Company who will be guarantors under the DIP Facility will join as guarantors under the Prepetition A&amp;R Credit Agreement; provided that the aggregate amount of all guaranteed obligations and (ii) all U.S. and Canadian subsidiaries of the Company will grant a second lien security interest in favor of the Prepetition A&amp;R Credit Agreement Lenders in the same assets that such U.S. and Canadian subsidiaries are pledging a first lien security interest in under the DIP Facility; provided that the aggregate amount of the guaranteed obligations to be secured under the Prepetition A&amp;R Credit Agreement shall not exceed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 w:name="page37"/>
    <w:bookmarkEnd w:id="36"/>
    <w:p>
      <w:pPr>
        <w:ind w:right="40"/>
        <w:spacing w:after="0" w:line="264" w:lineRule="auto"/>
        <w:rPr>
          <w:sz w:val="20"/>
          <w:szCs w:val="20"/>
          <w:color w:val="auto"/>
        </w:rPr>
      </w:pPr>
      <w:r>
        <w:rPr>
          <w:rFonts w:ascii="Arial" w:cs="Arial" w:eastAsia="Arial" w:hAnsi="Arial"/>
          <w:sz w:val="18"/>
          <w:szCs w:val="18"/>
          <w:color w:val="auto"/>
        </w:rPr>
        <w:t xml:space="preserve">$100,000,000; provided, further, that if the obligations under the Prepetition A&amp;R Credit Agreement are not paid in full by November 30, 2019, such security interest of the Prepetition A&amp;R Credit Agreement Lenders shall automatically transition from second liens to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liens with the liens under the DIP Facility.</w:t>
      </w:r>
    </w:p>
    <w:p>
      <w:pPr>
        <w:spacing w:after="0" w:line="177"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Formation of Equity Holder Group</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In May of 2019, certain counsel contacted the Company’s legal advisors claiming to represent a group of Holders of Existing Common Stock (the “</w:t>
      </w:r>
      <w:r>
        <w:rPr>
          <w:rFonts w:ascii="Arial" w:cs="Arial" w:eastAsia="Arial" w:hAnsi="Arial"/>
          <w:sz w:val="16"/>
          <w:szCs w:val="16"/>
          <w:b w:val="1"/>
          <w:bCs w:val="1"/>
          <w:u w:val="single" w:color="auto"/>
          <w:color w:val="auto"/>
        </w:rPr>
        <w:t>Equity Holder Group</w:t>
      </w:r>
      <w:r>
        <w:rPr>
          <w:rFonts w:ascii="Arial" w:cs="Arial" w:eastAsia="Arial" w:hAnsi="Arial"/>
          <w:sz w:val="16"/>
          <w:szCs w:val="16"/>
          <w:color w:val="auto"/>
        </w:rPr>
        <w:t>”). According to counsel for the Equity Holder Group, the Equity Holder Group holds approximately 25% of the issued and outstanding common stock of Weatherford Parent. Subsequently, Proskauer Rose LLP was retained as counsel to the Equity Holder Group.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ANTICIPATED EVENTS DURING THE CHAPTER 11 CASE, THE IRISH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EXAMINERSHIP PROCEEDING, AND THE BERMUDA PROCEEDING</w:t>
      </w:r>
    </w:p>
    <w:p>
      <w:pPr>
        <w:spacing w:after="0" w:line="20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CHAPTER 11 FIRST DAY MOTIONS AND CERTAIN RELATED RELIEF</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accordance with the Restructuring Support Agreement, the Debtors anticipate filing voluntary petitions for relief under chapter 11 of the Bankruptcy Code on or around July 1, 2019. The filing of the petitions will commence the Chapter 11 Cases at which time the Debtors will be afforded the benefits and become subject to the limitations of the Bankruptcy Code.</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Debtors intend to continue operating their businesses in the ordinary course during the pendency of the Chapter 11 Cases as they have been doing prior to the intended Petition Date. To facilitate the efficient and expeditious implementation of the Plan through the Chapter 11 Cases, and to minimize disruptions to the Debtors’ operations on the Petition Date, the Debtors intend to seek to have the Chapter 11 Cases assigned to the same bankruptcy judge and administered jointly and to file various motions seeking important and urgent relief from the Bankruptcy Court. Such relief, if granted, will assist in the administration of the Chapter 11 Cases; however, there can be no assurance that the requested relief will be granted by the Bankruptcy Court.</w:t>
      </w:r>
    </w:p>
    <w:p>
      <w:pPr>
        <w:spacing w:after="0" w:line="154"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First Day Motions and Other Related Relief</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the Petition Date, the Debtors intend to file multiple motions seeking various relief from the Bankruptcy Court and authorizing the Debtors to maintain their operations in the ordinary course. Such relief is designed to ensure a seamless transition between the Debtors’ prepetition and postpetition business operations, facilitate a smooth reorganization through the Chapter 11 Cases, and minimize any disruptions to the Debtors’ operations. The following is a brief overview of the relief the Debtors intend to seek on the Petition Date to maintain their operations in the ordinary course.</w:t>
      </w:r>
    </w:p>
    <w:p>
      <w:pPr>
        <w:spacing w:after="0" w:line="154" w:lineRule="exact"/>
        <w:rPr>
          <w:sz w:val="20"/>
          <w:szCs w:val="20"/>
          <w:color w:val="auto"/>
        </w:rPr>
      </w:pPr>
    </w:p>
    <w:p>
      <w:pPr>
        <w:ind w:left="1940" w:hanging="635"/>
        <w:spacing w:after="0"/>
        <w:tabs>
          <w:tab w:leader="none" w:pos="19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First Day Motions</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Recognizing that any interruption of the Debtors’ business, even for a brief period of time, would negatively impact their operations, customer relationships, revenue and profits, the Debtors intend to file a number of motions to help stabilize their operations and effectuate, as much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780"/>
        <w:spacing w:after="0" w:line="277" w:lineRule="auto"/>
        <w:rPr>
          <w:sz w:val="20"/>
          <w:szCs w:val="20"/>
          <w:color w:val="auto"/>
        </w:rPr>
      </w:pPr>
      <w:r>
        <w:rPr>
          <w:rFonts w:ascii="Arial" w:cs="Arial" w:eastAsia="Arial" w:hAnsi="Arial"/>
          <w:sz w:val="18"/>
          <w:szCs w:val="18"/>
          <w:color w:val="auto"/>
        </w:rPr>
        <w:t>possible, a smooth transition into operations as debtors in possession. Specifically, the Debtors will request that the Bankruptcy Court enter orders authorizing the Debtors to:</w:t>
      </w:r>
    </w:p>
    <w:p>
      <w:pPr>
        <w:spacing w:after="0" w:line="170" w:lineRule="exact"/>
        <w:rPr>
          <w:sz w:val="20"/>
          <w:szCs w:val="20"/>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 and administer customer programs and honor their obligations arising under or relating to those customer programs;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continue insurance coverage, including performance under its insurance financing agreements, and enter into new insurance policies, if necessary;</w:t>
      </w:r>
    </w:p>
    <w:p>
      <w:pPr>
        <w:spacing w:after="0" w:line="248" w:lineRule="exact"/>
        <w:rPr>
          <w:rFonts w:ascii="Arial" w:cs="Arial" w:eastAsia="Arial" w:hAnsi="Arial"/>
          <w:sz w:val="16"/>
          <w:szCs w:val="16"/>
          <w:color w:val="auto"/>
        </w:rPr>
      </w:pPr>
    </w:p>
    <w:p>
      <w:pPr>
        <w:ind w:left="660" w:right="420" w:hanging="328"/>
        <w:spacing w:after="0" w:line="277" w:lineRule="auto"/>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procedures to protect certain tax attributes, including stock trading restrictions, and establish record date and sell-down procedures for trading claims; and</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 their existing cash management system, maintain existing bank accounts and continue entering into certain intercompany transactions among the Debtors and with their non-debtor affiliates.</w:t>
      </w:r>
    </w:p>
    <w:p>
      <w:pPr>
        <w:spacing w:after="0" w:line="170" w:lineRule="exact"/>
        <w:rPr>
          <w:sz w:val="20"/>
          <w:szCs w:val="20"/>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Motion to Approve Debtor in Possession Financing</w:t>
      </w:r>
    </w:p>
    <w:p>
      <w:pPr>
        <w:spacing w:after="0" w:line="221"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The Debtors intend to file a motion (the “</w:t>
      </w:r>
      <w:r>
        <w:rPr>
          <w:rFonts w:ascii="Arial" w:cs="Arial" w:eastAsia="Arial" w:hAnsi="Arial"/>
          <w:sz w:val="16"/>
          <w:szCs w:val="16"/>
          <w:b w:val="1"/>
          <w:bCs w:val="1"/>
          <w:u w:val="single" w:color="auto"/>
          <w:color w:val="auto"/>
        </w:rPr>
        <w:t>DIP Motion</w:t>
      </w:r>
      <w:r>
        <w:rPr>
          <w:rFonts w:ascii="Arial" w:cs="Arial" w:eastAsia="Arial" w:hAnsi="Arial"/>
          <w:sz w:val="16"/>
          <w:szCs w:val="16"/>
          <w:color w:val="auto"/>
        </w:rPr>
        <w:t>”) to approve the DIP Facility and the use of cash collateral. The Debtors will be entering chapter 11 with minimal cash on hand. Access to the DIP Facility and the use of Cash Collateral (as such term is defined in section 363(a) of the Bankruptcy Code) is critical to ensure that the Debtors have sufficient liquidity to operate their business and administer their estates during these Chapter 11 Cases.</w:t>
      </w:r>
    </w:p>
    <w:p>
      <w:pPr>
        <w:spacing w:after="0" w:line="1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address their working capital needs and fund their reorganization efforts, in the months leading up to the Petition Date, the Debtors and their advisors solicited interest in providing the DIP Facility from various parties including major banks that were current holders of the Debtors’ prepetition credit facilities. Each of the lenders submitted initial non-binding term sheets. The Debtors, with the help of their advisors, evaluated each of the proposals and considered each potential lender’s indicative proposed economics, perceived ability to fully commit and underwrite the entire facility if needed, financing structure, perceived deal risk, market flex, and proposed covenants, among other factors. The Debtors submitted counterproposals to each of the term sheets and received updated proposals from four potential lenders. The Debtors, with assistance from their advisors, then undertook similar quantitative and qualitative analyses to compare the updated proposals. Based on these analyses, the Debtors and their advisors determined that the current proposed DIP Facility was the best option reasonably available under the totality of the circumstances. The Debtors and their advisors negotiated the terms of the proposed DIP Facility with the DIP Lenders in good faith and at arm’s-length.</w:t>
      </w:r>
    </w:p>
    <w:p>
      <w:pPr>
        <w:spacing w:after="0" w:line="182" w:lineRule="exact"/>
        <w:rPr>
          <w:sz w:val="20"/>
          <w:szCs w:val="20"/>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Motion to Authorize Hedging Program</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In the ordinary course of business, the Debtors have historically entered into financial derivative contracts primarily to hedge the Debtors’ exposure to foreign exchange rate risks to their cash flows. To that end, shortly after commencement of the Chapter 11 Cases, the Debtors intend to file a motion requesting that the Bankruptcy Court enter an order authorizing the Debtors to, among other things, perform under existing financial derivative contracts, enter into and perform under new postpetition financial derivative contracts, and in each case grant counterparties to such contracts superpriority administrative expense claims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superpriority administrative expense claims provided under the DIP Order.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8" w:name="page39"/>
    <w:bookmarkEnd w:id="38"/>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Other Procedural Motions</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To facilitate a smooth and efficient administration of the Chapter 11 Cases, the Debtors intend to file several other motions that are common to chapter 11 cases of similar size and complexity as the Chapter 11 Cases, including applications to retain various professionals to assist the Debtors in the Chapter 11 Cases.</w:t>
      </w:r>
    </w:p>
    <w:p>
      <w:pPr>
        <w:spacing w:after="0" w:line="177"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Solicitation Procedures Motion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Contemporaneously with the filing of their chapter 11 petitions, the Debtors will seek an order of the Bankruptcy Court scheduling a hearing to conditionally approve the Disclosure Statement for purposes of soliciting the Holders of Existing Common Stock and the Solicitation in connection therewith, and scheduling the Confirmation Hearing to consider the adequacy of the Disclosure Statement and confirmation of the Plan (the “</w:t>
      </w:r>
      <w:r>
        <w:rPr>
          <w:rFonts w:ascii="Arial" w:cs="Arial" w:eastAsia="Arial" w:hAnsi="Arial"/>
          <w:sz w:val="18"/>
          <w:szCs w:val="18"/>
          <w:b w:val="1"/>
          <w:bCs w:val="1"/>
          <w:u w:val="single" w:color="auto"/>
          <w:color w:val="auto"/>
        </w:rPr>
        <w:t>Solicitation Procedures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Motion</w:t>
      </w:r>
      <w:r>
        <w:rPr>
          <w:rFonts w:ascii="Arial" w:cs="Arial" w:eastAsia="Arial" w:hAnsi="Arial"/>
          <w:sz w:val="18"/>
          <w:szCs w:val="18"/>
          <w:color w:val="auto"/>
        </w:rPr>
        <w:t>”). Notice of these hearings will be published and mailed to all known holders of Claims and Equity Interests in accordance with orders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Court to be requested by the Debtors.</w:t>
      </w:r>
    </w:p>
    <w:p>
      <w:pPr>
        <w:spacing w:after="0" w:line="184"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Timetable for Chapter 11 Cases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the Restructuring Support Agreement, the Debtors have agreed to proceed with the implementation of the Plan through the Chapter 11 Cases. The milestones contained in the Restructuring Support Agreement are described in section II.D.5. Achieving the various milestones under the Restructuring Support Agreement is crucial to successfully reorganizing the Debtors.</w:t>
      </w:r>
    </w:p>
    <w:p>
      <w:pPr>
        <w:spacing w:after="0" w:line="177"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 and Backstop Commitment Agreement</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the Initial Distribution Date, either Weatherford Delaware or Weatherford Bermuda will issue the New Tranche A Senior Unsecured Notes up to an aggregate principal amount of up to $1.25 billion, which will be offered Pro Rata to all holders of Allowed Prepetition Notes Claims through a rights offering (the “</w:t>
      </w:r>
      <w:r>
        <w:rPr>
          <w:rFonts w:ascii="Arial" w:cs="Arial" w:eastAsia="Arial" w:hAnsi="Arial"/>
          <w:sz w:val="16"/>
          <w:szCs w:val="16"/>
          <w:b w:val="1"/>
          <w:bCs w:val="1"/>
          <w:u w:val="single" w:color="auto"/>
          <w:color w:val="auto"/>
        </w:rPr>
        <w:t>Rights Offering</w:t>
      </w:r>
      <w:r>
        <w:rPr>
          <w:rFonts w:ascii="Arial" w:cs="Arial" w:eastAsia="Arial" w:hAnsi="Arial"/>
          <w:sz w:val="16"/>
          <w:szCs w:val="16"/>
          <w:color w:val="auto"/>
        </w:rPr>
        <w:t xml:space="preserve">”), which will be fully backstopped by the Backstop Parties pursuant to the Backstop Commitment Agreement which is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The Debtors expect to commence the Rights Offering following confirmation of the Plan. The procedures for soliciting participation from the holders of the Prepetition Notes in the Rights Offering (the “</w:t>
      </w:r>
      <w:r>
        <w:rPr>
          <w:rFonts w:ascii="Arial" w:cs="Arial" w:eastAsia="Arial" w:hAnsi="Arial"/>
          <w:sz w:val="16"/>
          <w:szCs w:val="16"/>
          <w:b w:val="1"/>
          <w:bCs w:val="1"/>
          <w:u w:val="single" w:color="auto"/>
          <w:color w:val="auto"/>
        </w:rPr>
        <w:t>Rights Offering Procedures</w:t>
      </w:r>
      <w:r>
        <w:rPr>
          <w:rFonts w:ascii="Arial" w:cs="Arial" w:eastAsia="Arial" w:hAnsi="Arial"/>
          <w:sz w:val="16"/>
          <w:szCs w:val="16"/>
          <w:color w:val="auto"/>
        </w:rPr>
        <w:t>”) will be attached to the Confirmation Order.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Backstop Commitment Agreement generally provides as follows:</w:t>
      </w:r>
    </w:p>
    <w:p>
      <w:pPr>
        <w:spacing w:after="0" w:line="225" w:lineRule="exact"/>
        <w:rPr>
          <w:sz w:val="20"/>
          <w:szCs w:val="20"/>
          <w:color w:val="auto"/>
        </w:rPr>
      </w:pPr>
    </w:p>
    <w:p>
      <w:pPr>
        <w:ind w:left="980" w:hanging="324"/>
        <w:spacing w:after="0" w:line="277" w:lineRule="auto"/>
        <w:tabs>
          <w:tab w:leader="none" w:pos="9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Backstop Party agrees to purchase its Commitment Percentage (as defined in the Backstop Commitment Agreement) of the New Tranche A Senior Unsecured Notes that have not been subscribed for in the Rights Offering.</w:t>
      </w:r>
    </w:p>
    <w:p>
      <w:pPr>
        <w:spacing w:after="0" w:line="170" w:lineRule="exact"/>
        <w:rPr>
          <w:rFonts w:ascii="Arial" w:cs="Arial" w:eastAsia="Arial" w:hAnsi="Arial"/>
          <w:sz w:val="18"/>
          <w:szCs w:val="18"/>
          <w:color w:val="auto"/>
        </w:rPr>
      </w:pPr>
    </w:p>
    <w:p>
      <w:pPr>
        <w:ind w:left="980" w:right="760" w:hanging="324"/>
        <w:spacing w:after="0" w:line="277" w:lineRule="auto"/>
        <w:tabs>
          <w:tab w:leader="none" w:pos="9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consideration for the foregoing, the Backstop Parties have received the Backstop Commitment Premium (as defined in the Backstop Commitment Agreement).</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Backstop Parties will be entitled to have all of the reasonable and documented out-of-pocket fees and expenses of their advisors paid by the Debtors.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980" w:right="160" w:hanging="324"/>
        <w:spacing w:after="0" w:line="277"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Backstop Parties will be entitled to a termination fee payment in an amount equal to the Backstop Commitment Premium, payable in cash, under certain circumstances if the Backstop Commitment Agreement is terminated.</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Because the Backstop Commitment Agreement facilitates the success of the Rights Offering and thereby significantly reduces the financing risks associated with consummation of the Plan, the Debtors submit, in their business judgment, that the payments are fair and reasonable.</w:t>
      </w:r>
    </w:p>
    <w:p>
      <w:pPr>
        <w:spacing w:after="0" w:line="143"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New Warrants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Holders of Existing Common Stock will receive three-year warrants for 10.0% of the New Common Stock to be issued by Reorganized Parent, which will be subject to dilution on account of the equity issued pursuant to the New Management Incentive Plan and the Tranche B Equity Conversion, with a strike price to be set at an equity value at which the Prepetition Noteholders would receive a recovery equal to par plus accrued and unpaid interest as of the Petition Date in respect of the Prepetition Notes.</w:t>
      </w:r>
    </w:p>
    <w:p>
      <w:pPr>
        <w:spacing w:after="0" w:line="183"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Exit Facility</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 Debtors intend to begin marketing for secured commitments for an exit facility (the “</w:t>
      </w:r>
      <w:r>
        <w:rPr>
          <w:rFonts w:ascii="Arial" w:cs="Arial" w:eastAsia="Arial" w:hAnsi="Arial"/>
          <w:sz w:val="18"/>
          <w:szCs w:val="18"/>
          <w:b w:val="1"/>
          <w:bCs w:val="1"/>
          <w:u w:val="single" w:color="auto"/>
          <w:color w:val="auto"/>
        </w:rPr>
        <w:t>Exit Facility</w:t>
      </w:r>
      <w:r>
        <w:rPr>
          <w:rFonts w:ascii="Arial" w:cs="Arial" w:eastAsia="Arial" w:hAnsi="Arial"/>
          <w:sz w:val="18"/>
          <w:szCs w:val="18"/>
          <w:color w:val="auto"/>
        </w:rPr>
        <w:t>”) which will be provided to the Reorganized Debtors on the Effective Date consisting of a first lien revolving credit facility in the principal amount of up to $1.00 billion. The proceeds of the Exit Facility will be used to fund general working capital needs and for general corporate purposes of Reorganized Weatherford, subject to the terms of the Exit Facility Credit Agreement.</w:t>
      </w:r>
    </w:p>
    <w:p>
      <w:pPr>
        <w:spacing w:after="0" w:line="180"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Internal Reorganizations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part of the Plan, Weatherford intends to carry out certain internal reorganizations (“</w:t>
      </w:r>
      <w:r>
        <w:rPr>
          <w:rFonts w:ascii="Arial" w:cs="Arial" w:eastAsia="Arial" w:hAnsi="Arial"/>
          <w:sz w:val="17"/>
          <w:szCs w:val="17"/>
          <w:b w:val="1"/>
          <w:bCs w:val="1"/>
          <w:u w:val="single" w:color="auto"/>
          <w:color w:val="auto"/>
        </w:rPr>
        <w:t>Internal Reorganizations</w:t>
      </w:r>
      <w:r>
        <w:rPr>
          <w:rFonts w:ascii="Arial" w:cs="Arial" w:eastAsia="Arial" w:hAnsi="Arial"/>
          <w:sz w:val="17"/>
          <w:szCs w:val="17"/>
          <w:color w:val="auto"/>
        </w:rPr>
        <w:t xml:space="preserve">”). The Internal Reorganizations are intended to be effected substantially in accordance with those transaction steps outlined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Reorganization Steps Overview</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Description of Reorganization Steps</w:t>
      </w:r>
      <w:r>
        <w:rPr>
          <w:rFonts w:ascii="Arial" w:cs="Arial" w:eastAsia="Arial" w:hAnsi="Arial"/>
          <w:sz w:val="17"/>
          <w:szCs w:val="17"/>
          <w:color w:val="auto"/>
        </w:rPr>
        <w:t xml:space="preserve">”) is intended as an illustrative example of specific reorganization steps by which Weatherford Parent may effect the Internal Reorganizations. There can be no assurance that all or any of the reorganization steps outlined in the Reorganization Steps Overview or described in the Description of Reorganization Steps will actually occur or, if they do occur, will occur in the order set forth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J</w:t>
      </w:r>
      <w:r>
        <w:rPr>
          <w:rFonts w:ascii="Arial" w:cs="Arial" w:eastAsia="Arial" w:hAnsi="Arial"/>
          <w:sz w:val="17"/>
          <w:szCs w:val="17"/>
          <w:color w:val="auto"/>
        </w:rPr>
        <w:t>, as applicable. In addition, the Internal Reorganizations may be effected by means of steps not outlined in the Reorganization Steps Overview or the Description of Reorganization Steps. The Internal Reorganizations are intended to take place during the period following the confirmation of the Plan and ending on and including the Effective Date, but the actual timing of the steps comprising the Internal Reorganizations is uncertain and certain steps may occur, if at all, prior to confirmation of the Plan or after the Effective Date.</w:t>
      </w:r>
    </w:p>
    <w:p>
      <w:pPr>
        <w:spacing w:after="0" w:line="174"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PERIOD FOR FILING A CHAPTER 11 PLAN AND SOLICITING VOTES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Under the Bankruptcy Code, a debtor has the exclusive right to file and solicit acceptances of a plan or plans of reorganization for an initial period of 120 days from the date on which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jc w:val="both"/>
        <w:ind w:right="20"/>
        <w:spacing w:after="0" w:line="264" w:lineRule="auto"/>
        <w:rPr>
          <w:sz w:val="20"/>
          <w:szCs w:val="20"/>
          <w:color w:val="auto"/>
        </w:rPr>
      </w:pPr>
      <w:r>
        <w:rPr>
          <w:rFonts w:ascii="Arial" w:cs="Arial" w:eastAsia="Arial" w:hAnsi="Arial"/>
          <w:sz w:val="18"/>
          <w:szCs w:val="18"/>
          <w:color w:val="auto"/>
        </w:rPr>
        <w:t>debtor filed for voluntary relief. If a debtor files a plan within this exclusive period, then the debtor has the exclusive right for 180 days from the petition date to solicit acceptances to the plan. During these exclusive periods, no other party in interest may file a competing plan of reorganization; however, a court may extend these periods upon request of a party in interest and “for cause.”</w:t>
      </w:r>
    </w:p>
    <w:p>
      <w:pPr>
        <w:spacing w:after="0" w:line="17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THE IRISH EXAMINERSHIP PROCEEDING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accordance with the Restructuring Support Agreement, Weatherford Parent anticipates filing a petition for the appointment of an examiner to itself under part 10 of the Companies Act 2014 (Ireland) following confirmation of the Plan (the “</w:t>
      </w:r>
      <w:r>
        <w:rPr>
          <w:rFonts w:ascii="Arial" w:cs="Arial" w:eastAsia="Arial" w:hAnsi="Arial"/>
          <w:sz w:val="18"/>
          <w:szCs w:val="18"/>
          <w:b w:val="1"/>
          <w:bCs w:val="1"/>
          <w:u w:val="single" w:color="auto"/>
          <w:color w:val="auto"/>
        </w:rPr>
        <w:t>Irish Examinership Proceeding</w:t>
      </w:r>
      <w:r>
        <w:rPr>
          <w:rFonts w:ascii="Arial" w:cs="Arial" w:eastAsia="Arial" w:hAnsi="Arial"/>
          <w:sz w:val="18"/>
          <w:szCs w:val="18"/>
          <w:color w:val="auto"/>
        </w:rPr>
        <w:t>”). The filing of the petition will commence the protection period during which Weatherford Parent will, under Irish law, have the benefit of protection against enforcement and other actions by its creditors for a period of up to 100 calendar days. Weatherford Parent intends to apply on the same date as the filing of the petition to the High Court of Ireland for the appointment of an examiner to itself on an interim basis pending the hearing of the petition which is likely to take place between one and two weeks after filing.</w:t>
      </w:r>
    </w:p>
    <w:p>
      <w:pPr>
        <w:spacing w:after="0" w:line="19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Weatherford Parent intends to continue operating its business in the ordinary course during the protection period, save that an examiner will be in place whose primary function will be to seek approval for its proposals for a scheme of arrangement in relation to Weatherford Parent (the “</w:t>
      </w:r>
      <w:r>
        <w:rPr>
          <w:rFonts w:ascii="Arial" w:cs="Arial" w:eastAsia="Arial" w:hAnsi="Arial"/>
          <w:sz w:val="18"/>
          <w:szCs w:val="18"/>
          <w:b w:val="1"/>
          <w:bCs w:val="1"/>
          <w:u w:val="single" w:color="auto"/>
          <w:color w:val="auto"/>
        </w:rPr>
        <w:t>Scheme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Arrangement</w:t>
      </w:r>
      <w:r>
        <w:rPr>
          <w:rFonts w:ascii="Arial" w:cs="Arial" w:eastAsia="Arial" w:hAnsi="Arial"/>
          <w:sz w:val="18"/>
          <w:szCs w:val="18"/>
          <w:color w:val="auto"/>
        </w:rPr>
        <w:t>”).</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Weatherford Parent believes that the terms of the proposals for a scheme of arrangement which will accompany the petition to have an examiner appointed to Weatherford Parent will, inter alia, deal with the: (i) cancellation of all Existing Common Stock; (ii) issue of New Common Stock and New Warrants to the Holders of Existing Common Stock; and (iii) issue of New Common Stock and New Tranche B Senior Unsecured Notes to the holders of Allowed Prepetition Notes Claims each on terms consistent with the Plan. Weatherford Parent is a guarantor of the Prepetition Revolving Credit Claims, the Prepetition Term Loan Claims, the Prepetition A&amp;R Claims and the Prepetition Note Claims, all of which are expected to be treated in the same way in the Scheme of Arrangement as in the Plan.</w:t>
      </w:r>
    </w:p>
    <w:p>
      <w:pPr>
        <w:spacing w:after="0" w:line="189"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Petition Hearing</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the petition hearing date, Weatherford Parent will apply to have the examiner’s appointment confirmed. Weatherford Parent will be required to establish that it is insolvent and that there is a reasonable prospect of the survival of both the company and its undertaking. It is intended that the petition will be accompanied by the Scheme of Arrangement.</w:t>
      </w:r>
    </w:p>
    <w:p>
      <w:pPr>
        <w:spacing w:after="0" w:line="177"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Proposals for the Scheme of Arrangement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examiner will convene meetings of classes of creditors and the shareholders of Weatherford Parent. The Scheme of Arrangement is required to be approved by in excess of 50% plus one in value and in number of at least one class of impaired creditors. The Prepetition Notes Claims class will be the only impaired class of creditors in the Scheme of Arrangement.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left="1300" w:hanging="644"/>
        <w:spacing w:after="0"/>
        <w:tabs>
          <w:tab w:leader="none" w:pos="13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Approval by the High Court of Ireland</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Once the requisite creditor class has voted in favor of the Scheme of Arrangement, the examiner will file a report containing details of the outcome of the votes of the class meetings with the High Court of Ireland and apply to the High Court of Ireland for a hearing date to confirm the Scheme of Arrangement. At such hearing the examiner will be required to establish that the proposals are fair and equitable to any class of creditors which has not accepted the proposals and whose interests would be impaired by the proposals and that the proposals are not unfairly prejudicial to the interests of any interested party.</w:t>
      </w:r>
    </w:p>
    <w:p>
      <w:pPr>
        <w:spacing w:after="0" w:line="184"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Timetable for Irish Examinership Proceeding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Irish Examinership Proceeding is a milestone under the Restructuring Support Agreement as described in section II.D.5 above.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Alternatively, Weatherford Parent may commence an alternative proceeding or implement an alternative structure that is reasonably acceptable to the Required Consenting Noteholders.</w:t>
      </w:r>
    </w:p>
    <w:p>
      <w:pPr>
        <w:spacing w:after="0" w:line="166"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THE BERMUDA PROCEEDING</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To implement the foregoing restructuring, in parallel with these Chapter 11 Cases, and contemporaneously with the Debtors’ commencing these Chapter 11 Cases, Weatherford Bermuda (the “</w:t>
      </w:r>
      <w:r>
        <w:rPr>
          <w:rFonts w:ascii="Arial" w:cs="Arial" w:eastAsia="Arial" w:hAnsi="Arial"/>
          <w:sz w:val="17"/>
          <w:szCs w:val="17"/>
          <w:b w:val="1"/>
          <w:bCs w:val="1"/>
          <w:u w:val="single" w:color="auto"/>
          <w:color w:val="auto"/>
        </w:rPr>
        <w:t>Bermuda Debtor</w:t>
      </w:r>
      <w:r>
        <w:rPr>
          <w:rFonts w:ascii="Arial" w:cs="Arial" w:eastAsia="Arial" w:hAnsi="Arial"/>
          <w:sz w:val="17"/>
          <w:szCs w:val="17"/>
          <w:color w:val="auto"/>
        </w:rPr>
        <w:t xml:space="preserve">”) expects to commence “provisional liquidation” proceedings (the </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Bermuda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Proceedings</w:t>
      </w:r>
      <w:r>
        <w:rPr>
          <w:rFonts w:ascii="Arial" w:cs="Arial" w:eastAsia="Arial" w:hAnsi="Arial"/>
          <w:sz w:val="17"/>
          <w:szCs w:val="17"/>
          <w:color w:val="auto"/>
        </w:rPr>
        <w:t>”) pursuant to sections 161 and 170 of the Companies Act 1981 of Bermuda by presenting a “winding up” petition to the Supreme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Bermuda (the “</w:t>
      </w:r>
      <w:r>
        <w:rPr>
          <w:rFonts w:ascii="Arial" w:cs="Arial" w:eastAsia="Arial" w:hAnsi="Arial"/>
          <w:sz w:val="17"/>
          <w:szCs w:val="17"/>
          <w:b w:val="1"/>
          <w:bCs w:val="1"/>
          <w:u w:val="single" w:color="auto"/>
          <w:color w:val="auto"/>
        </w:rPr>
        <w:t>Bermuda Court</w:t>
      </w:r>
      <w:r>
        <w:rPr>
          <w:rFonts w:ascii="Arial" w:cs="Arial" w:eastAsia="Arial" w:hAnsi="Arial"/>
          <w:sz w:val="17"/>
          <w:szCs w:val="17"/>
          <w:color w:val="auto"/>
        </w:rPr>
        <w:t>”). Upon the application of the Bermuda Debtor, the Bermuda Court will be requested to appoint one or more “provisional liquidators” over the Bermuda Debtor to facilitate the restructuring of the Bermuda Debtor in its chapter 11 case. The provisional liquidator(s) act as officers of the Bermuda Court, and will be required under the Bermuda Court’s order to report to the Bermuda Court from time to time on the progress of the Bermuda Debtor’s chapter 11 proceedings. The Bermuda Debtor’s application will also seek to limit the provisional liquidator(s)’ powers such that the Bermuda Debtor’s management team and boards of directors will remain in control of the Bermuda Debtor’s day-to-day operations and its chapter 11 case and the provisional liquidators will have the power to oversee the process, including the review of documents. Upon the appointment of provisional liquidators in respect of the Bermuda Debtor, a statutory stay of proceedings in Bermuda against the Bermuda Debtor or its assets will automatically arise. On the “return date” for the Bermuda petition—similar to a “second day” hearing in a chapter 11 proceeding—the Bermuda Debtor will seek to postpone its petition for a specified period, while the Bermuda Debtor administers its Chapter 11 Cases.</w:t>
      </w:r>
    </w:p>
    <w:p>
      <w:pPr>
        <w:spacing w:after="0" w:line="18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Prior to the Effective Date the Bermuda Debtor may, along with the provisional liquidator and subject to the direction of the Supreme Court of Bermuda, convene meetings of the impaired creditors in order to consider and if thought fit approve a scheme of arrangement pursuant to the Companies Act 1981 of Bermuda (the “</w:t>
      </w:r>
      <w:r>
        <w:rPr>
          <w:rFonts w:ascii="Arial" w:cs="Arial" w:eastAsia="Arial" w:hAnsi="Arial"/>
          <w:sz w:val="18"/>
          <w:szCs w:val="18"/>
          <w:b w:val="1"/>
          <w:bCs w:val="1"/>
          <w:u w:val="single" w:color="auto"/>
          <w:color w:val="auto"/>
        </w:rPr>
        <w:t>Bermuda Scheme</w:t>
      </w:r>
      <w:r>
        <w:rPr>
          <w:rFonts w:ascii="Arial" w:cs="Arial" w:eastAsia="Arial" w:hAnsi="Arial"/>
          <w:sz w:val="18"/>
          <w:szCs w:val="18"/>
          <w:color w:val="auto"/>
        </w:rPr>
        <w:t>”).</w:t>
      </w:r>
    </w:p>
    <w:p>
      <w:pPr>
        <w:spacing w:after="0" w:line="18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It is anticipated that a terms of the Bermuda Scheme will mirror the terms of the Plan. A Bermuda Scheme is a mechanism for ensuring that all of the impaired creditors of the Bermuda Debtor are bound by the terms of the Plan and will be binding on impaired creditors after (i) a</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2" w:name="page43"/>
    <w:bookmarkEnd w:id="42"/>
    <w:p>
      <w:pPr>
        <w:ind w:right="120"/>
        <w:spacing w:after="0" w:line="312" w:lineRule="auto"/>
        <w:rPr>
          <w:sz w:val="20"/>
          <w:szCs w:val="20"/>
          <w:color w:val="auto"/>
        </w:rPr>
      </w:pPr>
      <w:r>
        <w:rPr>
          <w:rFonts w:ascii="Arial" w:cs="Arial" w:eastAsia="Arial" w:hAnsi="Arial"/>
          <w:sz w:val="16"/>
          <w:szCs w:val="16"/>
          <w:color w:val="auto"/>
        </w:rPr>
        <w:t>majority in number of those impaired creditors voting, representing three-quarters in value of those voting, vote in person or by proxy in favor of the scheme at a meeting convened at the direction of the court for the purpose of considering the Bermuda Scheme; and (ii) the Bermuda Court subsequently makes an order approving the Bermuda Scheme; and (iii) a copy of that order is delivered to the Registrar of Companies in Bermuda for registration.</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Although impaired creditors who have claims in Class 7 in both the Plan and a Bermuda Scheme will be asked to vote on both the Plan and the Bermuda Scheme, they will only receive a single distribution in respect of such a claim if allowed. Impaired creditors who have claimed only in a Bermuda Scheme will not be prejudiced as a result and will receive a single distribution in the same way as all other claims which are allowed under a Bermuda Scheme and the Plan.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Bermuda Scheme and the Plan are expected to be inter-conditional; one is expected not to become effective without the other. Impaired creditors should expect to receive a separate circular explaining the Bermuda Scheme. It is anticipated that the meeting to consider the Bermuda Scheme will be held after the meetings convened to vote on the Plan.</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Alternatively, instead of a Bermuda Scheme, after the Confirmation of the Plan by the Bankruptcy Court, applications may be made by the Bermuda Debtor and the provisional liquidator(s) to the Bermuda Court seeking orders that, conditional upon the Confirmation Order, (i) the Bermuda Court recognize the Confirmation Order as a matter of Bermuda law; (ii) the Bermuda Court permanently restrain creditors and shareholders of the Bermuda Debtor from pursing claims against the Bermuda Debtor in breach of their obligations under the chapter 11 plan; and (iii) the Bermuda Court dismiss the winding up petition, thereby removing the provisional liquidators from office and terminating the Bermuda Proceedings.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SUMMARY OF THE PLAN</w:t>
      </w:r>
    </w:p>
    <w:p>
      <w:pPr>
        <w:spacing w:after="0" w:line="207"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 xml:space="preserve">This section of the Disclosure Statement summarized the Plan, a copy of which is annexed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This summary is qualified in its entirety by reference to the Plan. </w:t>
      </w:r>
      <w:r>
        <w:rPr>
          <w:rFonts w:ascii="Arial" w:cs="Arial" w:eastAsia="Arial" w:hAnsi="Arial"/>
          <w:sz w:val="18"/>
          <w:szCs w:val="18"/>
          <w:b w:val="1"/>
          <w:bCs w:val="1"/>
          <w:color w:val="auto"/>
        </w:rPr>
        <w:t>YOU SHOULD READ THE PLAN IN ITS ENTIRETY BEFORE VOTING TO ACCEPT OR REJECT THE</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p>
    <w:p>
      <w:pPr>
        <w:spacing w:after="0" w:line="1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general, a chapter 11 plan (1) divided claims and equity interests into separate classes, (2) specifies the consideration that each class is to receive under the plan and (3) contains other provisions necessary to implement the plan. Under the Bankruptcy Code, “claims” and “equity interests,” rather than “creditors” and “shareholders,” are classified because creditors and shareholders may hold claims and equity interests in more than one class. Under section 1124 of the Bankruptcy Code, a class of claims is “impaired” under a plan unless the plan (1) leaves unaltered the legal, equitable, and contractual rights of each holder of a claim in such class or (2) provides, among other things, for the cure of certain existing defaults and reinstatement of the maturity of claims in such class. Under the Plan, Classes 7, 10, and 12 are impaired, and holders of Claims or Interests in such Classes are entitled to vote to accept or reject the Plan unless such Classes of Claims or Interests are deemed to reject the Plan (e.g., Class 12) or subject to an objection filed by the Debtors. Ballots are being furnished herewith to all holders of Claims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80"/>
        <w:spacing w:after="0" w:line="277" w:lineRule="auto"/>
        <w:rPr>
          <w:sz w:val="20"/>
          <w:szCs w:val="20"/>
          <w:color w:val="auto"/>
        </w:rPr>
      </w:pPr>
      <w:r>
        <w:rPr>
          <w:rFonts w:ascii="Arial" w:cs="Arial" w:eastAsia="Arial" w:hAnsi="Arial"/>
          <w:sz w:val="18"/>
          <w:szCs w:val="18"/>
          <w:color w:val="auto"/>
        </w:rPr>
        <w:t>Classes 7 and 10 that are entitled to vote to facilitate their voting to accept or reject the Plan. Class 12 is deemed to reject the Plan, and, therefore, holders of Claims or Interests in such Class will not vote on the Plan.</w:t>
      </w:r>
    </w:p>
    <w:p>
      <w:pPr>
        <w:spacing w:after="0" w:line="166"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DIP FACILITY, AND PRIORITY TAX CLAIMS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Administrative Claims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sub-paragraph (a)</w:t>
      </w:r>
      <w:r>
        <w:rPr>
          <w:rFonts w:ascii="Arial" w:cs="Arial" w:eastAsia="Arial" w:hAnsi="Arial"/>
          <w:sz w:val="17"/>
          <w:szCs w:val="17"/>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or Reorganized Debtors, as applicable, and the Holder of such Allowed Administrative Claim will have agreed upon in writing;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79" w:lineRule="exact"/>
        <w:rPr>
          <w:sz w:val="20"/>
          <w:szCs w:val="20"/>
          <w:color w:val="auto"/>
        </w:rPr>
      </w:pPr>
    </w:p>
    <w:p>
      <w:pPr>
        <w:ind w:left="1940" w:hanging="635"/>
        <w:spacing w:after="0"/>
        <w:tabs>
          <w:tab w:leader="none" w:pos="19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the Professional Fees Bar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the Plan, in each case without further application or notice to or order of the Bankruptcy Court.</w:t>
      </w:r>
    </w:p>
    <w:p>
      <w:pPr>
        <w:spacing w:after="0" w:line="158"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Objections to any Professional Fee Claim must be Filed and served on the Reorganized Debtors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the Plan, the failure of the Professional Fee Claim Reserve to satisfy in full the Professional Fee Claims will not, in any way, operate or be construed as a cap or limitation on the amount of Professional Fee Claims due and payable by the Reorganized Debtors. 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4" w:name="page45"/>
    <w:bookmarkEnd w:id="44"/>
    <w:p>
      <w:pPr>
        <w:ind w:right="520"/>
        <w:spacing w:after="0" w:line="277" w:lineRule="auto"/>
        <w:rPr>
          <w:sz w:val="20"/>
          <w:szCs w:val="20"/>
          <w:color w:val="auto"/>
        </w:rPr>
      </w:pPr>
      <w:r>
        <w:rPr>
          <w:rFonts w:ascii="Arial" w:cs="Arial" w:eastAsia="Arial" w:hAnsi="Arial"/>
          <w:sz w:val="18"/>
          <w:szCs w:val="18"/>
          <w:color w:val="auto"/>
        </w:rPr>
        <w:t>Claims, such Professionals will have an Allowed Administrative Claim for any such deficiency, which will be satisfied in full in Cash accordance with Article II.A of the Plan.</w:t>
      </w:r>
    </w:p>
    <w:p>
      <w:pPr>
        <w:spacing w:after="0" w:line="166"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DIP Facility Claims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CIP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4"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Priority Tax Claims</w:t>
      </w:r>
    </w:p>
    <w:p>
      <w:pPr>
        <w:spacing w:after="0" w:line="229" w:lineRule="exact"/>
        <w:rPr>
          <w:sz w:val="20"/>
          <w:szCs w:val="20"/>
          <w:color w:val="auto"/>
        </w:rPr>
      </w:pPr>
    </w:p>
    <w:p>
      <w:pPr>
        <w:ind w:right="40" w:firstLine="662"/>
        <w:spacing w:after="0" w:line="26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of the Plan,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 Date, and continuing on each Subsequent Distribution Date thereafter until payment in full of the applicable Allowed Priority Tax Claim.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CLASSIFIED CLAIMS AND EQUITY INTERESTS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Plan constitutes a separate plan of reorganization for each Debtor. All Claims and Equity Interests, except Administrative Claims, DIP Facility Claims, and Priority Tax Claims, are placed in the Classes set forth below. For all purposes under the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III.D</w:t>
      </w:r>
      <w:r>
        <w:rPr>
          <w:rFonts w:ascii="Arial" w:cs="Arial" w:eastAsia="Arial" w:hAnsi="Arial"/>
          <w:sz w:val="18"/>
          <w:szCs w:val="18"/>
          <w:color w:val="auto"/>
        </w:rPr>
        <w:t xml:space="preserve"> of the Plan.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The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Claim/Equity Interest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Voting Rights</w:t>
            </w:r>
          </w:p>
        </w:tc>
      </w:tr>
      <w:tr>
        <w:trPr>
          <w:trHeight w:val="210"/>
        </w:trPr>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30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Priority Claims</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Other Secured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Tax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Prepetition Revolving Credit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Prepetition Term Loan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Prepetition A&amp;R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Prepetition Notes Claims</w:t>
            </w: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Entitled to Vote</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General Unsecured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300" w:type="dxa"/>
            <w:vAlign w:val="bottom"/>
          </w:tcPr>
          <w:p>
            <w:pPr>
              <w:spacing w:after="0"/>
              <w:rPr>
                <w:sz w:val="18"/>
                <w:szCs w:val="18"/>
                <w:color w:val="auto"/>
              </w:rPr>
            </w:pPr>
          </w:p>
        </w:tc>
        <w:tc>
          <w:tcPr>
            <w:tcW w:w="4260" w:type="dxa"/>
            <w:vAlign w:val="bottom"/>
            <w:gridSpan w:val="2"/>
          </w:tcPr>
          <w:p>
            <w:pPr>
              <w:spacing w:after="0" w:line="216" w:lineRule="exact"/>
              <w:rPr>
                <w:sz w:val="20"/>
                <w:szCs w:val="20"/>
                <w:color w:val="auto"/>
              </w:rPr>
            </w:pPr>
            <w:r>
              <w:rPr>
                <w:rFonts w:ascii="Arial" w:cs="Arial" w:eastAsia="Arial" w:hAnsi="Arial"/>
                <w:sz w:val="18"/>
                <w:szCs w:val="18"/>
                <w:color w:val="auto"/>
              </w:rPr>
              <w:t>Existing Common Stock</w:t>
            </w:r>
            <w:r>
              <w:rPr>
                <w:rFonts w:ascii="Arial" w:cs="Arial" w:eastAsia="Arial" w:hAnsi="Arial"/>
                <w:sz w:val="23"/>
                <w:szCs w:val="23"/>
                <w:color w:val="auto"/>
                <w:vertAlign w:val="superscript"/>
              </w:rPr>
              <w:t>(5)</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Entitled to Vote</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Equity Interests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30"/>
        </w:trPr>
        <w:tc>
          <w:tcPr>
            <w:tcW w:w="20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Unexercised Equity Interests</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Deemed to Reject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ind w:left="644" w:hanging="644"/>
        <w:spacing w:after="0"/>
        <w:tabs>
          <w:tab w:leader="none" w:pos="64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Claims and Equity Interests</w:t>
      </w:r>
    </w:p>
    <w:p>
      <w:pPr>
        <w:spacing w:after="0" w:line="229" w:lineRule="exact"/>
        <w:rPr>
          <w:sz w:val="20"/>
          <w:szCs w:val="20"/>
          <w:color w:val="auto"/>
        </w:rPr>
      </w:pPr>
    </w:p>
    <w:p>
      <w:pPr>
        <w:ind w:left="1284" w:hanging="635"/>
        <w:spacing w:after="0"/>
        <w:tabs>
          <w:tab w:leader="none" w:pos="128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sz w:val="20"/>
          <w:szCs w:val="20"/>
          <w:color w:val="auto"/>
        </w:rPr>
      </w:pPr>
    </w:p>
    <w:p>
      <w:pPr>
        <w:ind w:left="944" w:hanging="295"/>
        <w:spacing w:after="0"/>
        <w:tabs>
          <w:tab w:leader="none" w:pos="944" w:val="left"/>
        </w:tabs>
        <w:numPr>
          <w:ilvl w:val="0"/>
          <w:numId w:val="77"/>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964" w:hanging="315"/>
        <w:spacing w:after="0" w:line="287" w:lineRule="auto"/>
        <w:tabs>
          <w:tab w:leader="none" w:pos="928" w:val="left"/>
        </w:tabs>
        <w:numPr>
          <w:ilvl w:val="0"/>
          <w:numId w:val="77"/>
        </w:numPr>
        <w:rPr>
          <w:rFonts w:ascii="Arial" w:cs="Arial" w:eastAsia="Arial" w:hAnsi="Arial"/>
          <w:sz w:val="16"/>
          <w:szCs w:val="16"/>
          <w:color w:val="auto"/>
        </w:rPr>
      </w:pPr>
      <w:r>
        <w:rPr>
          <w:rFonts w:ascii="Arial" w:cs="Arial" w:eastAsia="Arial" w:hAnsi="Arial"/>
          <w:sz w:val="16"/>
          <w:szCs w:val="16"/>
          <w:i w:val="1"/>
          <w:iCs w:val="1"/>
          <w:u w:val="single" w:color="auto"/>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Plan,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1 Claims incurred by any Debtor in the ordinary course of business may be paid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following the occurrence of the Effective Date by the applicable Reorganized Debtor in accordance with the terms and conditions of any agreements relating thereto without further notice to or order of the Bankruptcy Court.</w:t>
      </w:r>
    </w:p>
    <w:p>
      <w:pPr>
        <w:spacing w:after="0" w:line="172" w:lineRule="exact"/>
        <w:rPr>
          <w:rFonts w:ascii="Arial" w:cs="Arial" w:eastAsia="Arial" w:hAnsi="Arial"/>
          <w:sz w:val="16"/>
          <w:szCs w:val="16"/>
          <w:color w:val="auto"/>
        </w:rPr>
      </w:pPr>
    </w:p>
    <w:p>
      <w:pPr>
        <w:ind w:left="964" w:right="180" w:hanging="315"/>
        <w:spacing w:after="0" w:line="264" w:lineRule="auto"/>
        <w:tabs>
          <w:tab w:leader="none" w:pos="928" w:val="left"/>
        </w:tabs>
        <w:numPr>
          <w:ilvl w:val="0"/>
          <w:numId w:val="77"/>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 is an Unimpaired Class, and the Holders of Claims in Class 1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the Plan.</w:t>
      </w:r>
    </w:p>
    <w:p>
      <w:pPr>
        <w:spacing w:after="0" w:line="181" w:lineRule="exact"/>
        <w:rPr>
          <w:sz w:val="20"/>
          <w:szCs w:val="20"/>
          <w:color w:val="auto"/>
        </w:rPr>
      </w:pPr>
    </w:p>
    <w:p>
      <w:pPr>
        <w:ind w:left="1304" w:hanging="655"/>
        <w:spacing w:after="0"/>
        <w:tabs>
          <w:tab w:leader="none" w:pos="130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Class 2 — Other Secured Claims</w:t>
      </w:r>
    </w:p>
    <w:p>
      <w:pPr>
        <w:spacing w:after="0" w:line="225" w:lineRule="exact"/>
        <w:rPr>
          <w:sz w:val="20"/>
          <w:szCs w:val="20"/>
          <w:color w:val="auto"/>
        </w:rPr>
      </w:pPr>
    </w:p>
    <w:p>
      <w:pPr>
        <w:ind w:left="944" w:hanging="295"/>
        <w:spacing w:after="0"/>
        <w:tabs>
          <w:tab w:leader="none" w:pos="944" w:val="left"/>
        </w:tabs>
        <w:numPr>
          <w:ilvl w:val="0"/>
          <w:numId w:val="79"/>
        </w:numPr>
        <w:rPr>
          <w:rFonts w:ascii="Arial" w:cs="Arial" w:eastAsia="Arial" w:hAnsi="Arial"/>
          <w:sz w:val="16"/>
          <w:szCs w:val="16"/>
          <w:color w:val="auto"/>
        </w:rPr>
      </w:pPr>
      <w:r>
        <w:rPr>
          <w:rFonts w:ascii="Arial" w:cs="Arial" w:eastAsia="Arial" w:hAnsi="Arial"/>
          <w:sz w:val="16"/>
          <w:szCs w:val="16"/>
          <w:i w:val="1"/>
          <w:iCs w:val="1"/>
          <w:u w:val="single" w:color="auto"/>
          <w:color w:val="auto"/>
        </w:rPr>
        <w:t>Classification</w:t>
      </w:r>
      <w:r>
        <w:rPr>
          <w:rFonts w:ascii="Arial" w:cs="Arial" w:eastAsia="Arial" w:hAnsi="Arial"/>
          <w:sz w:val="16"/>
          <w:szCs w:val="16"/>
          <w:color w:val="auto"/>
        </w:rPr>
        <w:t>: Class 2 consists of the Other Secured Claims. Class 2 consists of separate subclasses for each Other Secured Claim.</w:t>
      </w:r>
    </w:p>
    <w:p>
      <w:pPr>
        <w:spacing w:after="0" w:line="248" w:lineRule="exact"/>
        <w:rPr>
          <w:rFonts w:ascii="Arial" w:cs="Arial" w:eastAsia="Arial" w:hAnsi="Arial"/>
          <w:sz w:val="16"/>
          <w:szCs w:val="16"/>
          <w:color w:val="auto"/>
        </w:rPr>
      </w:pPr>
    </w:p>
    <w:p>
      <w:pPr>
        <w:ind w:left="964" w:hanging="315"/>
        <w:spacing w:after="0" w:line="264" w:lineRule="auto"/>
        <w:tabs>
          <w:tab w:leader="none" w:pos="928" w:val="left"/>
        </w:tabs>
        <w:numPr>
          <w:ilvl w:val="0"/>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on, or as soon as reasonably practicable after, the later of (i) the Initial Distribution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if such Class 2 Claim is an Allowed Class 2 Claim as of the Effective Date or (ii) the next Subsequent Distribution Date after the date on which such Class 2 Claim becomes an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37" w:right="319" w:bottom="1440" w:gutter="0" w:footer="0" w:header="0"/>
        </w:sectPr>
      </w:pPr>
    </w:p>
    <w:bookmarkStart w:id="47" w:name="page48"/>
    <w:bookmarkEnd w:id="47"/>
    <w:p>
      <w:pPr>
        <w:ind w:left="420"/>
        <w:spacing w:after="0" w:line="289" w:lineRule="auto"/>
        <w:rPr>
          <w:sz w:val="20"/>
          <w:szCs w:val="20"/>
          <w:color w:val="auto"/>
        </w:rPr>
      </w:pPr>
      <w:r>
        <w:rPr>
          <w:rFonts w:ascii="Arial" w:cs="Arial" w:eastAsia="Arial" w:hAnsi="Arial"/>
          <w:sz w:val="16"/>
          <w:szCs w:val="16"/>
          <w:color w:val="auto"/>
        </w:rPr>
        <w:t xml:space="preserve">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2 Claims incurred by any Debtor in the ordinary course of business may be paid in the ordinary course of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occurrence of the Effective Date by the applicable Reorganized Debtor in accordance with the terms and conditions of any agreements relating thereto without further notice to or order of the Bankruptcy Court.</w:t>
      </w:r>
    </w:p>
    <w:p>
      <w:pPr>
        <w:spacing w:after="0" w:line="167" w:lineRule="exact"/>
        <w:rPr>
          <w:sz w:val="20"/>
          <w:szCs w:val="20"/>
          <w:color w:val="auto"/>
        </w:rPr>
      </w:pPr>
    </w:p>
    <w:p>
      <w:pPr>
        <w:ind w:left="420" w:right="220" w:hanging="315"/>
        <w:spacing w:after="0" w:line="264" w:lineRule="auto"/>
        <w:tabs>
          <w:tab w:leader="none" w:pos="384"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2 is an Unimpaired Class, and the Holders of Claims in Class 2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Class 3 - Secured Tax Claims</w:t>
      </w:r>
    </w:p>
    <w:p>
      <w:pPr>
        <w:spacing w:after="0" w:line="225" w:lineRule="exact"/>
        <w:rPr>
          <w:sz w:val="20"/>
          <w:szCs w:val="20"/>
          <w:color w:val="auto"/>
        </w:rPr>
      </w:pPr>
    </w:p>
    <w:p>
      <w:pPr>
        <w:ind w:left="400" w:hanging="295"/>
        <w:spacing w:after="0"/>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420" w:right="40" w:hanging="315"/>
        <w:spacing w:after="0" w:line="268" w:lineRule="auto"/>
        <w:tabs>
          <w:tab w:leader="none" w:pos="384" w:val="left"/>
        </w:tabs>
        <w:numPr>
          <w:ilvl w:val="0"/>
          <w:numId w:val="82"/>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if such Class 3 Claim is an Allowed Class 3 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 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48" w:name="page49"/>
    <w:bookmarkEnd w:id="48"/>
    <w:p>
      <w:pPr>
        <w:ind w:left="420"/>
        <w:spacing w:after="0" w:line="273" w:lineRule="auto"/>
        <w:rPr>
          <w:sz w:val="20"/>
          <w:szCs w:val="20"/>
          <w:color w:val="auto"/>
        </w:rPr>
      </w:pPr>
      <w:r>
        <w:rPr>
          <w:rFonts w:ascii="Arial" w:cs="Arial" w:eastAsia="Arial" w:hAnsi="Arial"/>
          <w:sz w:val="17"/>
          <w:szCs w:val="17"/>
          <w:color w:val="auto"/>
        </w:rPr>
        <w:t xml:space="preserve">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78" w:lineRule="exact"/>
        <w:rPr>
          <w:sz w:val="20"/>
          <w:szCs w:val="20"/>
          <w:color w:val="auto"/>
        </w:rPr>
      </w:pPr>
    </w:p>
    <w:p>
      <w:pPr>
        <w:ind w:left="420" w:right="240" w:hanging="315"/>
        <w:spacing w:after="0" w:line="264" w:lineRule="auto"/>
        <w:tabs>
          <w:tab w:leader="none" w:pos="384" w:val="left"/>
        </w:tabs>
        <w:numPr>
          <w:ilvl w:val="0"/>
          <w:numId w:val="83"/>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3 is an Unimpaired Class, and the Holders of Claims in Class 3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3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Class 4 — Prepetition Revolving Credit Claims</w:t>
      </w:r>
    </w:p>
    <w:p>
      <w:pPr>
        <w:spacing w:after="0" w:line="225" w:lineRule="exact"/>
        <w:rPr>
          <w:sz w:val="20"/>
          <w:szCs w:val="20"/>
          <w:color w:val="auto"/>
        </w:rPr>
      </w:pPr>
    </w:p>
    <w:p>
      <w:pPr>
        <w:ind w:left="400" w:hanging="295"/>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420" w:right="420" w:hanging="315"/>
        <w:spacing w:after="0" w:line="277" w:lineRule="auto"/>
        <w:tabs>
          <w:tab w:leader="none" w:pos="384" w:val="left"/>
        </w:tabs>
        <w:numPr>
          <w:ilvl w:val="0"/>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420" w:right="140" w:hanging="315"/>
        <w:spacing w:after="0" w:line="259" w:lineRule="auto"/>
        <w:tabs>
          <w:tab w:leader="none" w:pos="384" w:val="left"/>
        </w:tabs>
        <w:numPr>
          <w:ilvl w:val="0"/>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 paid in full in Cash prior to the Effective Date, on the Effective Date, the Allowed Prepetition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Claims will, in full satisfaction, 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420" w:right="60" w:hanging="315"/>
        <w:spacing w:after="0" w:line="264" w:lineRule="auto"/>
        <w:tabs>
          <w:tab w:leader="none" w:pos="384" w:val="left"/>
        </w:tabs>
        <w:numPr>
          <w:ilvl w:val="0"/>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4 is an Unimpaired Class, and the Holders of Claims in Class 4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4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Class 5 — Prepetition Term Loan Claims</w:t>
      </w:r>
    </w:p>
    <w:p>
      <w:pPr>
        <w:spacing w:after="0" w:line="225" w:lineRule="exact"/>
        <w:rPr>
          <w:sz w:val="20"/>
          <w:szCs w:val="20"/>
          <w:color w:val="auto"/>
        </w:rPr>
      </w:pPr>
    </w:p>
    <w:p>
      <w:pPr>
        <w:ind w:left="400" w:hanging="295"/>
        <w:spacing w:after="0"/>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420" w:right="200" w:hanging="315"/>
        <w:spacing w:after="0" w:line="277" w:lineRule="auto"/>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Term Loans Claims are deemed Allowed in the aggregate principal amount of $297,500,000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w:t>
      </w:r>
    </w:p>
    <w:p>
      <w:pPr>
        <w:spacing w:after="0" w:line="170" w:lineRule="exact"/>
        <w:rPr>
          <w:rFonts w:ascii="Arial" w:cs="Arial" w:eastAsia="Arial" w:hAnsi="Arial"/>
          <w:sz w:val="18"/>
          <w:szCs w:val="18"/>
          <w:color w:val="auto"/>
        </w:rPr>
      </w:pPr>
    </w:p>
    <w:p>
      <w:pPr>
        <w:ind w:left="420" w:right="100" w:hanging="315"/>
        <w:spacing w:after="0" w:line="277" w:lineRule="auto"/>
        <w:tabs>
          <w:tab w:leader="none" w:pos="384"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 paid in full in Cash prior to the Effective Date, on the Effective Date, the Allowed Prepetition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Claims will, in full</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49" w:name="page50"/>
    <w:bookmarkEnd w:id="49"/>
    <w:p>
      <w:pPr>
        <w:ind w:left="420" w:right="20"/>
        <w:spacing w:after="0" w:line="264" w:lineRule="auto"/>
        <w:rPr>
          <w:sz w:val="20"/>
          <w:szCs w:val="20"/>
          <w:color w:val="auto"/>
        </w:rPr>
      </w:pPr>
      <w:r>
        <w:rPr>
          <w:rFonts w:ascii="Arial" w:cs="Arial" w:eastAsia="Arial" w:hAnsi="Arial"/>
          <w:sz w:val="18"/>
          <w:szCs w:val="18"/>
          <w:color w:val="auto"/>
        </w:rPr>
        <w:t>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1" w:lineRule="exact"/>
        <w:rPr>
          <w:sz w:val="20"/>
          <w:szCs w:val="20"/>
          <w:color w:val="auto"/>
        </w:rPr>
      </w:pPr>
    </w:p>
    <w:p>
      <w:pPr>
        <w:ind w:left="420" w:hanging="315"/>
        <w:spacing w:after="0" w:line="264" w:lineRule="auto"/>
        <w:tabs>
          <w:tab w:leader="none" w:pos="384" w:val="left"/>
        </w:tabs>
        <w:numPr>
          <w:ilvl w:val="0"/>
          <w:numId w:val="88"/>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5 is an Unimpaired Class, and the Holders of Claims in Class 5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5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Class 6 — Prepetition A&amp;R Claims</w:t>
      </w:r>
    </w:p>
    <w:p>
      <w:pPr>
        <w:spacing w:after="0" w:line="225" w:lineRule="exact"/>
        <w:rPr>
          <w:sz w:val="20"/>
          <w:szCs w:val="20"/>
          <w:color w:val="auto"/>
        </w:rPr>
      </w:pPr>
    </w:p>
    <w:p>
      <w:pPr>
        <w:ind w:left="400" w:hanging="295"/>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420" w:right="300" w:hanging="315"/>
        <w:spacing w:after="0" w:line="277" w:lineRule="auto"/>
        <w:tabs>
          <w:tab w:leader="none" w:pos="384"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420" w:right="80" w:hanging="315"/>
        <w:spacing w:after="0" w:line="279" w:lineRule="auto"/>
        <w:tabs>
          <w:tab w:leader="none" w:pos="384" w:val="left"/>
        </w:tabs>
        <w:numPr>
          <w:ilvl w:val="0"/>
          <w:numId w:val="90"/>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On the Effective Date, the Allowed Prepetition A&amp;R Claims will, in full satisfaction, settlement, discharge and release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71" w:lineRule="exact"/>
        <w:rPr>
          <w:rFonts w:ascii="Arial" w:cs="Arial" w:eastAsia="Arial" w:hAnsi="Arial"/>
          <w:sz w:val="17"/>
          <w:szCs w:val="17"/>
          <w:color w:val="auto"/>
        </w:rPr>
      </w:pPr>
    </w:p>
    <w:p>
      <w:pPr>
        <w:ind w:left="420" w:hanging="315"/>
        <w:spacing w:after="0" w:line="264" w:lineRule="auto"/>
        <w:tabs>
          <w:tab w:leader="none" w:pos="384"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6 is an Unimpaired Class, and the Holders of Claims in Class 6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6 are not entitled to vote to accept or reject the Plan.</w:t>
      </w:r>
    </w:p>
    <w:p>
      <w:pPr>
        <w:spacing w:after="0" w:line="181" w:lineRule="exact"/>
        <w:rPr>
          <w:sz w:val="20"/>
          <w:szCs w:val="20"/>
          <w:color w:val="auto"/>
        </w:rPr>
      </w:pPr>
    </w:p>
    <w:p>
      <w:pPr>
        <w:ind w:left="780" w:hanging="675"/>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Class 7 — Prepetition Notes Claims</w:t>
      </w:r>
    </w:p>
    <w:p>
      <w:pPr>
        <w:spacing w:after="0" w:line="225" w:lineRule="exact"/>
        <w:rPr>
          <w:sz w:val="20"/>
          <w:szCs w:val="20"/>
          <w:color w:val="auto"/>
        </w:rPr>
      </w:pPr>
    </w:p>
    <w:p>
      <w:pPr>
        <w:ind w:left="400" w:hanging="295"/>
        <w:spacing w:after="0"/>
        <w:tabs>
          <w:tab w:leader="none" w:pos="400"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7 consists of the Prepetition Notes Claims.</w:t>
      </w:r>
    </w:p>
    <w:p>
      <w:pPr>
        <w:spacing w:after="0" w:line="225" w:lineRule="exact"/>
        <w:rPr>
          <w:rFonts w:ascii="Arial" w:cs="Arial" w:eastAsia="Arial" w:hAnsi="Arial"/>
          <w:sz w:val="18"/>
          <w:szCs w:val="18"/>
          <w:color w:val="auto"/>
        </w:rPr>
      </w:pPr>
    </w:p>
    <w:p>
      <w:pPr>
        <w:ind w:left="420" w:right="100" w:hanging="315"/>
        <w:spacing w:after="0" w:line="277" w:lineRule="auto"/>
        <w:tabs>
          <w:tab w:leader="none" w:pos="384"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Notes Claims are deemed Allowed in the aggregate principal amount of $7,427,067,000,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consisting of:</w:t>
      </w:r>
    </w:p>
    <w:p>
      <w:pPr>
        <w:spacing w:after="0" w:line="170" w:lineRule="exact"/>
        <w:rPr>
          <w:rFonts w:ascii="Arial" w:cs="Arial" w:eastAsia="Arial" w:hAnsi="Arial"/>
          <w:sz w:val="18"/>
          <w:szCs w:val="18"/>
          <w:color w:val="auto"/>
        </w:rPr>
      </w:pPr>
    </w:p>
    <w:p>
      <w:pPr>
        <w:ind w:left="1040" w:hanging="287"/>
        <w:spacing w:after="0"/>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$365,107,000 in aggregate principal amount, plus accrued and unpaid interest on account of the 5.125%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$750,000,000 in aggregate principal amount, plus accrued and unpaid interest on account of the 7.750%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$1,265,000,000 in aggregate principal amount, plus accrued and unpaid interest on account of the 5.875% Notes;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1" w:right="319" w:bottom="1440" w:gutter="0" w:footer="0" w:header="0"/>
        </w:sectPr>
      </w:pPr>
    </w:p>
    <w:bookmarkStart w:id="50" w:name="page51"/>
    <w:bookmarkEnd w:id="50"/>
    <w:p>
      <w:pPr>
        <w:ind w:left="1040" w:hanging="287"/>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$646,286,000 in aggregate principal amount, plus accrued and unpaid interest on account of the 4.500%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$750,000,000 in aggregate principal amount, plus accrued and unpaid interest on account of the 8.250%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$790,000,000 in aggregate principal amount, plus accrued and unpaid interest on account of the 9.875% 2024 Notes;</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$453,045,000 in aggregate principal amount, plus accrued and unpaid interest on account of the 6.500%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$461,300,000 in aggregate principal amount, plus accrued and unpaid interest on account of the 7.000%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$250,000,000 in aggregate principal amount, plus accrued and unpaid interest on account of the 9.875% 2039 Notes;</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$462,601,000 in aggregate principal amount, plus accrued and unpaid interest on account of the 6.750%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$374,961,000 in aggregate principal amount, plus accrued and unpaid interest on account of the 5.950%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$600,000,000 in aggregate principal amount, plus accrued and unpaid interest on account of the 9.875% 2025 Notes; and</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$258,767,000 in aggregate principal amount, plus accrued and unpaid interest on account of the 6.8000% Notes.</w:t>
      </w:r>
    </w:p>
    <w:p>
      <w:pPr>
        <w:spacing w:after="0" w:line="225" w:lineRule="exact"/>
        <w:rPr>
          <w:rFonts w:ascii="Arial" w:cs="Arial" w:eastAsia="Arial" w:hAnsi="Arial"/>
          <w:sz w:val="18"/>
          <w:szCs w:val="18"/>
          <w:color w:val="auto"/>
        </w:rPr>
      </w:pPr>
    </w:p>
    <w:p>
      <w:pPr>
        <w:ind w:left="420" w:hanging="315"/>
        <w:spacing w:after="0" w:line="287" w:lineRule="auto"/>
        <w:tabs>
          <w:tab w:leader="none" w:pos="384" w:val="left"/>
        </w:tabs>
        <w:numPr>
          <w:ilvl w:val="0"/>
          <w:numId w:val="93"/>
        </w:numPr>
        <w:rPr>
          <w:rFonts w:ascii="Arial" w:cs="Arial" w:eastAsia="Arial" w:hAnsi="Arial"/>
          <w:sz w:val="16"/>
          <w:szCs w:val="16"/>
          <w:color w:val="auto"/>
        </w:rPr>
      </w:pPr>
      <w:r>
        <w:rPr>
          <w:rFonts w:ascii="Arial" w:cs="Arial" w:eastAsia="Arial" w:hAnsi="Arial"/>
          <w:sz w:val="16"/>
          <w:szCs w:val="16"/>
          <w:i w:val="1"/>
          <w:iCs w:val="1"/>
          <w:u w:val="single" w:color="auto"/>
          <w:color w:val="auto"/>
        </w:rPr>
        <w:t>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On the Initial Distribution Date, each Holder of an Allowed Prepetition Notes Claim will receive, in full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settlement, discharge and release of, and in exchange for, such Claim, its Pro Rata share of (i) 99% of the New Common Stock, subject to dilution on account of equity issued pursuant to the New Management Incentive Plan, the Tranche B Equity Conversion (as defined below), and the New Common Stock issuable pursuant to the New Warrants and (ii) the New Tranche B Senior Unsecured Notes;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each of such Holders will have the option, in its sole discretion, to convert its Pro Rata share of $500,000,000</w:t>
      </w:r>
      <w:r>
        <w:rPr>
          <w:rFonts w:ascii="Arial" w:cs="Arial" w:eastAsia="Arial" w:hAnsi="Arial"/>
          <w:sz w:val="16"/>
          <w:szCs w:val="16"/>
          <w:i w:val="1"/>
          <w:iCs w:val="1"/>
          <w:color w:val="auto"/>
        </w:rPr>
        <w:t xml:space="preserve"> </w:t>
      </w:r>
      <w:r>
        <w:rPr>
          <w:rFonts w:ascii="Arial" w:cs="Arial" w:eastAsia="Arial" w:hAnsi="Arial"/>
          <w:sz w:val="16"/>
          <w:szCs w:val="16"/>
          <w:color w:val="auto"/>
        </w:rPr>
        <w:t>in principal amount of the New Tranche B Senior Unsecured Notes into New Common Stock (the “</w:t>
      </w:r>
      <w:r>
        <w:rPr>
          <w:rFonts w:ascii="Arial" w:cs="Arial" w:eastAsia="Arial" w:hAnsi="Arial"/>
          <w:sz w:val="16"/>
          <w:szCs w:val="16"/>
          <w:b w:val="1"/>
          <w:bCs w:val="1"/>
          <w:u w:val="single" w:color="auto"/>
          <w:color w:val="auto"/>
        </w:rPr>
        <w:t>Tranche B Equity Conversion</w:t>
      </w:r>
      <w:r>
        <w:rPr>
          <w:rFonts w:ascii="Arial" w:cs="Arial" w:eastAsia="Arial" w:hAnsi="Arial"/>
          <w:sz w:val="16"/>
          <w:szCs w:val="16"/>
          <w:color w:val="auto"/>
        </w:rPr>
        <w:t xml:space="preserve">”) at a conversion price of $36.20 per share of New Common Stock;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51" w:name="page52"/>
    <w:bookmarkEnd w:id="51"/>
    <w:p>
      <w:pPr>
        <w:ind w:left="1952"/>
        <w:spacing w:after="0" w:line="286" w:lineRule="auto"/>
        <w:rPr>
          <w:sz w:val="20"/>
          <w:szCs w:val="20"/>
          <w:color w:val="auto"/>
        </w:rPr>
      </w:pPr>
      <w:r>
        <w:rPr>
          <w:rFonts w:ascii="Arial" w:cs="Arial" w:eastAsia="Arial" w:hAnsi="Arial"/>
          <w:sz w:val="17"/>
          <w:szCs w:val="17"/>
          <w:color w:val="auto"/>
        </w:rPr>
        <w:t>effectuation of the Tranche B Equity Conversion and the Overallotment Rights are set forth in Article V.V of the Plan. In addition, each of such Holders will receive Subscription Rights to purchase its Pro Rata share of New Tranche A Senior Unsecured Notes pursuant to the Rights Offering and in accordance with the applicable Rights Offerings Procedures.</w:t>
      </w:r>
    </w:p>
    <w:p>
      <w:pPr>
        <w:spacing w:after="0" w:line="166" w:lineRule="exact"/>
        <w:rPr>
          <w:sz w:val="20"/>
          <w:szCs w:val="20"/>
          <w:color w:val="auto"/>
        </w:rPr>
      </w:pPr>
    </w:p>
    <w:p>
      <w:pPr>
        <w:ind w:left="1592" w:hanging="295"/>
        <w:spacing w:after="0"/>
        <w:tabs>
          <w:tab w:leader="none" w:pos="1592" w:val="left"/>
        </w:tabs>
        <w:numPr>
          <w:ilvl w:val="0"/>
          <w:numId w:val="94"/>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7 is Impaired, and Holders of Claims in Class 7 are entitled to vote to accept or reject the Plan.</w:t>
      </w:r>
    </w:p>
    <w:p>
      <w:pPr>
        <w:spacing w:after="0" w:line="225" w:lineRule="exact"/>
        <w:rPr>
          <w:sz w:val="20"/>
          <w:szCs w:val="20"/>
          <w:color w:val="auto"/>
        </w:rPr>
      </w:pPr>
    </w:p>
    <w:p>
      <w:pPr>
        <w:ind w:left="1952" w:hanging="655"/>
        <w:spacing w:after="0"/>
        <w:tabs>
          <w:tab w:leader="none" w:pos="195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Class 8 — General Unsecured Claims</w:t>
      </w:r>
    </w:p>
    <w:p>
      <w:pPr>
        <w:spacing w:after="0" w:line="225" w:lineRule="exact"/>
        <w:rPr>
          <w:sz w:val="20"/>
          <w:szCs w:val="20"/>
          <w:color w:val="auto"/>
        </w:rPr>
      </w:pPr>
    </w:p>
    <w:p>
      <w:pPr>
        <w:ind w:left="1592" w:hanging="295"/>
        <w:spacing w:after="0"/>
        <w:tabs>
          <w:tab w:leader="none" w:pos="1592" w:val="left"/>
        </w:tabs>
        <w:numPr>
          <w:ilvl w:val="0"/>
          <w:numId w:val="96"/>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612" w:hanging="315"/>
        <w:spacing w:after="0" w:line="259" w:lineRule="auto"/>
        <w:tabs>
          <w:tab w:leader="none" w:pos="1576" w:val="left"/>
        </w:tabs>
        <w:numPr>
          <w:ilvl w:val="0"/>
          <w:numId w:val="96"/>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equitable, and contractual rights of the holders of General Unsecured Claims are unaltered by the Plan. Except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that a holder of a General Unsecured Claim agrees to a different treatment, on and after the Effective Date, the Debtors will continue to pay (if Allowed) or dispute each General Unsecured Claim in the ordinary course of business in accordance with applicable law.</w:t>
      </w:r>
    </w:p>
    <w:p>
      <w:pPr>
        <w:spacing w:after="0" w:line="186" w:lineRule="exact"/>
        <w:rPr>
          <w:rFonts w:ascii="Arial" w:cs="Arial" w:eastAsia="Arial" w:hAnsi="Arial"/>
          <w:sz w:val="18"/>
          <w:szCs w:val="18"/>
          <w:color w:val="auto"/>
        </w:rPr>
      </w:pPr>
    </w:p>
    <w:p>
      <w:pPr>
        <w:ind w:left="1612" w:right="220" w:hanging="315"/>
        <w:spacing w:after="0" w:line="264" w:lineRule="auto"/>
        <w:tabs>
          <w:tab w:leader="none" w:pos="1576" w:val="left"/>
        </w:tabs>
        <w:numPr>
          <w:ilvl w:val="0"/>
          <w:numId w:val="96"/>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8 is an Unimpaired Class, and the Holders of Claims in Class 8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the Plan.</w:t>
      </w:r>
    </w:p>
    <w:p>
      <w:pPr>
        <w:spacing w:after="0" w:line="181" w:lineRule="exact"/>
        <w:rPr>
          <w:sz w:val="20"/>
          <w:szCs w:val="20"/>
          <w:color w:val="auto"/>
        </w:rPr>
      </w:pPr>
    </w:p>
    <w:p>
      <w:pPr>
        <w:ind w:left="1972" w:hanging="675"/>
        <w:spacing w:after="0"/>
        <w:tabs>
          <w:tab w:leader="none" w:pos="197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Class 9 — Intercompany Claims</w:t>
      </w:r>
    </w:p>
    <w:p>
      <w:pPr>
        <w:spacing w:after="0" w:line="225" w:lineRule="exact"/>
        <w:rPr>
          <w:sz w:val="20"/>
          <w:szCs w:val="20"/>
          <w:color w:val="auto"/>
        </w:rPr>
      </w:pPr>
    </w:p>
    <w:p>
      <w:pPr>
        <w:ind w:left="1592" w:hanging="295"/>
        <w:spacing w:after="0"/>
        <w:tabs>
          <w:tab w:leader="none" w:pos="1592" w:val="left"/>
        </w:tabs>
        <w:numPr>
          <w:ilvl w:val="0"/>
          <w:numId w:val="98"/>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612" w:right="20" w:hanging="315"/>
        <w:spacing w:after="0" w:line="308" w:lineRule="auto"/>
        <w:tabs>
          <w:tab w:leader="none" w:pos="1576" w:val="left"/>
        </w:tabs>
        <w:numPr>
          <w:ilvl w:val="0"/>
          <w:numId w:val="98"/>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Restructuring Transactions, the Intercompany Claims will be adjusted, reinstated, compromised, or cancelled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determined appropriate by the Debtors, with the consent of the Required Consenting Noteholders.</w:t>
      </w:r>
    </w:p>
    <w:p>
      <w:pPr>
        <w:spacing w:after="0" w:line="146" w:lineRule="exact"/>
        <w:rPr>
          <w:rFonts w:ascii="Arial" w:cs="Arial" w:eastAsia="Arial" w:hAnsi="Arial"/>
          <w:sz w:val="17"/>
          <w:szCs w:val="17"/>
          <w:color w:val="auto"/>
        </w:rPr>
      </w:pPr>
    </w:p>
    <w:p>
      <w:pPr>
        <w:ind w:left="1612" w:right="220" w:hanging="315"/>
        <w:spacing w:after="0" w:line="264" w:lineRule="auto"/>
        <w:tabs>
          <w:tab w:leader="none" w:pos="1576" w:val="left"/>
        </w:tabs>
        <w:numPr>
          <w:ilvl w:val="0"/>
          <w:numId w:val="98"/>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9 is an Unimpaired Class and the Holders of Claims in Class 9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the Plan.</w:t>
      </w:r>
    </w:p>
    <w:p>
      <w:pPr>
        <w:spacing w:after="0" w:line="181" w:lineRule="exact"/>
        <w:rPr>
          <w:sz w:val="20"/>
          <w:szCs w:val="20"/>
          <w:color w:val="auto"/>
        </w:rPr>
      </w:pPr>
    </w:p>
    <w:p>
      <w:pPr>
        <w:ind w:left="1952" w:hanging="655"/>
        <w:spacing w:after="0"/>
        <w:tabs>
          <w:tab w:leader="none" w:pos="195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Class 10 — Existing Common Stock</w:t>
      </w:r>
    </w:p>
    <w:p>
      <w:pPr>
        <w:spacing w:after="0" w:line="225" w:lineRule="exact"/>
        <w:rPr>
          <w:sz w:val="20"/>
          <w:szCs w:val="20"/>
          <w:color w:val="auto"/>
        </w:rPr>
      </w:pPr>
    </w:p>
    <w:p>
      <w:pPr>
        <w:ind w:left="1592" w:hanging="295"/>
        <w:spacing w:after="0"/>
        <w:tabs>
          <w:tab w:leader="none" w:pos="1592" w:val="left"/>
        </w:tabs>
        <w:numPr>
          <w:ilvl w:val="1"/>
          <w:numId w:val="100"/>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10 consists of the Existing Common Stock.</w:t>
      </w:r>
      <w:r>
        <w:rPr>
          <w:rFonts w:ascii="Arial" w:cs="Arial" w:eastAsia="Arial" w:hAnsi="Arial"/>
          <w:sz w:val="23"/>
          <w:szCs w:val="23"/>
          <w:color w:val="auto"/>
          <w:vertAlign w:val="superscript"/>
        </w:rPr>
        <w:t>(6)</w:t>
      </w:r>
    </w:p>
    <w:p>
      <w:pPr>
        <w:spacing w:after="0" w:line="167" w:lineRule="exact"/>
        <w:rPr>
          <w:rFonts w:ascii="Arial" w:cs="Arial" w:eastAsia="Arial" w:hAnsi="Arial"/>
          <w:sz w:val="18"/>
          <w:szCs w:val="18"/>
          <w:color w:val="auto"/>
        </w:rPr>
      </w:pPr>
    </w:p>
    <w:p>
      <w:pPr>
        <w:ind w:left="1612" w:right="80" w:hanging="315"/>
        <w:spacing w:after="0" w:line="277" w:lineRule="auto"/>
        <w:tabs>
          <w:tab w:leader="none" w:pos="1576" w:val="left"/>
        </w:tabs>
        <w:numPr>
          <w:ilvl w:val="1"/>
          <w:numId w:val="100"/>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On the Effective Date, the Existing Common Stock will be cancelled without further notice to, approval of or action by any</w:t>
      </w:r>
      <w:r>
        <w:rPr>
          <w:rFonts w:ascii="Arial" w:cs="Arial" w:eastAsia="Arial" w:hAnsi="Arial"/>
          <w:sz w:val="18"/>
          <w:szCs w:val="18"/>
          <w:i w:val="1"/>
          <w:iCs w:val="1"/>
          <w:color w:val="auto"/>
        </w:rPr>
        <w:t xml:space="preserve"> </w:t>
      </w:r>
      <w:r>
        <w:rPr>
          <w:rFonts w:ascii="Arial" w:cs="Arial" w:eastAsia="Arial" w:hAnsi="Arial"/>
          <w:sz w:val="18"/>
          <w:szCs w:val="18"/>
          <w:color w:val="auto"/>
        </w:rPr>
        <w:t>Entity. On the</w:t>
      </w:r>
    </w:p>
    <w:p>
      <w:pPr>
        <w:spacing w:after="0" w:line="370" w:lineRule="exact"/>
        <w:rPr>
          <w:rFonts w:ascii="Arial" w:cs="Arial" w:eastAsia="Arial" w:hAnsi="Arial"/>
          <w:sz w:val="18"/>
          <w:szCs w:val="18"/>
          <w:color w:val="auto"/>
        </w:rPr>
      </w:pPr>
    </w:p>
    <w:p>
      <w:pPr>
        <w:ind w:left="172" w:hanging="172"/>
        <w:spacing w:after="0"/>
        <w:tabs>
          <w:tab w:leader="none" w:pos="172" w:val="left"/>
        </w:tabs>
        <w:numPr>
          <w:ilvl w:val="0"/>
          <w:numId w:val="100"/>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52" w:name="page53"/>
    <w:bookmarkEnd w:id="52"/>
    <w:p>
      <w:pPr>
        <w:jc w:val="both"/>
        <w:ind w:left="1620" w:right="380"/>
        <w:spacing w:after="0" w:line="312" w:lineRule="auto"/>
        <w:rPr>
          <w:sz w:val="20"/>
          <w:szCs w:val="20"/>
          <w:color w:val="auto"/>
        </w:rPr>
      </w:pPr>
      <w:r>
        <w:rPr>
          <w:rFonts w:ascii="Arial" w:cs="Arial" w:eastAsia="Arial" w:hAnsi="Arial"/>
          <w:sz w:val="16"/>
          <w:szCs w:val="16"/>
          <w:color w:val="auto"/>
        </w:rPr>
        <w:t>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the Plan and the occurrence of the Effective Date.</w:t>
      </w:r>
    </w:p>
    <w:p>
      <w:pPr>
        <w:spacing w:after="0" w:line="170" w:lineRule="exact"/>
        <w:rPr>
          <w:sz w:val="20"/>
          <w:szCs w:val="20"/>
          <w:color w:val="auto"/>
        </w:rPr>
      </w:pPr>
    </w:p>
    <w:p>
      <w:pPr>
        <w:ind w:left="1600" w:hanging="295"/>
        <w:spacing w:after="0"/>
        <w:tabs>
          <w:tab w:leader="none" w:pos="1600" w:val="left"/>
        </w:tabs>
        <w:numPr>
          <w:ilvl w:val="0"/>
          <w:numId w:val="101"/>
        </w:numPr>
        <w:rPr>
          <w:rFonts w:ascii="Arial" w:cs="Arial" w:eastAsia="Arial" w:hAnsi="Arial"/>
          <w:sz w:val="16"/>
          <w:szCs w:val="16"/>
          <w:color w:val="auto"/>
        </w:rPr>
      </w:pPr>
      <w:r>
        <w:rPr>
          <w:rFonts w:ascii="Arial" w:cs="Arial" w:eastAsia="Arial" w:hAnsi="Arial"/>
          <w:sz w:val="16"/>
          <w:szCs w:val="16"/>
          <w:i w:val="1"/>
          <w:iCs w:val="1"/>
          <w:u w:val="single" w:color="auto"/>
          <w:color w:val="auto"/>
        </w:rPr>
        <w:t>Voting</w:t>
      </w:r>
      <w:r>
        <w:rPr>
          <w:rFonts w:ascii="Arial" w:cs="Arial" w:eastAsia="Arial" w:hAnsi="Arial"/>
          <w:sz w:val="16"/>
          <w:szCs w:val="16"/>
          <w:color w:val="auto"/>
        </w:rPr>
        <w:t>: Class 10 is Impaired, and the Holders of Existing Common Stock in Class 10 are entitled to vote to accept or reject the Plan.</w:t>
      </w:r>
    </w:p>
    <w:p>
      <w:pPr>
        <w:spacing w:after="0" w:line="248" w:lineRule="exact"/>
        <w:rPr>
          <w:sz w:val="20"/>
          <w:szCs w:val="20"/>
          <w:color w:val="auto"/>
        </w:rPr>
      </w:pPr>
    </w:p>
    <w:p>
      <w:pPr>
        <w:ind w:left="1960" w:hanging="655"/>
        <w:spacing w:after="0"/>
        <w:tabs>
          <w:tab w:leader="none" w:pos="19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Class 11 — Intercompany Equity Interests</w:t>
      </w:r>
    </w:p>
    <w:p>
      <w:pPr>
        <w:spacing w:after="0" w:line="225" w:lineRule="exact"/>
        <w:rPr>
          <w:sz w:val="20"/>
          <w:szCs w:val="20"/>
          <w:color w:val="auto"/>
        </w:rPr>
      </w:pPr>
    </w:p>
    <w:p>
      <w:pPr>
        <w:ind w:left="1600" w:hanging="295"/>
        <w:spacing w:after="0"/>
        <w:tabs>
          <w:tab w:leader="none" w:pos="1600" w:val="left"/>
        </w:tabs>
        <w:numPr>
          <w:ilvl w:val="0"/>
          <w:numId w:val="103"/>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11 consists of Intercompany Equity Interests.</w:t>
      </w:r>
    </w:p>
    <w:p>
      <w:pPr>
        <w:spacing w:after="0" w:line="225" w:lineRule="exact"/>
        <w:rPr>
          <w:rFonts w:ascii="Arial" w:cs="Arial" w:eastAsia="Arial" w:hAnsi="Arial"/>
          <w:sz w:val="18"/>
          <w:szCs w:val="18"/>
          <w:color w:val="auto"/>
        </w:rPr>
      </w:pPr>
    </w:p>
    <w:p>
      <w:pPr>
        <w:ind w:left="1620" w:right="180" w:hanging="315"/>
        <w:spacing w:after="0" w:line="264" w:lineRule="auto"/>
        <w:tabs>
          <w:tab w:leader="none" w:pos="1584" w:val="left"/>
        </w:tabs>
        <w:numPr>
          <w:ilvl w:val="0"/>
          <w:numId w:val="103"/>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ind w:left="1620" w:right="60" w:hanging="315"/>
        <w:spacing w:after="0" w:line="264" w:lineRule="auto"/>
        <w:tabs>
          <w:tab w:leader="none" w:pos="1584" w:val="left"/>
        </w:tabs>
        <w:numPr>
          <w:ilvl w:val="0"/>
          <w:numId w:val="103"/>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11 is an Unimpaired Class and the Holders of Claims in Class 11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the Plan.</w:t>
      </w:r>
    </w:p>
    <w:p>
      <w:pPr>
        <w:spacing w:after="0" w:line="181" w:lineRule="exact"/>
        <w:rPr>
          <w:sz w:val="20"/>
          <w:szCs w:val="20"/>
          <w:color w:val="auto"/>
        </w:rPr>
      </w:pPr>
    </w:p>
    <w:p>
      <w:pPr>
        <w:ind w:left="1980" w:hanging="675"/>
        <w:spacing w:after="0"/>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Class 12 — Unexercised Equity Interests</w:t>
      </w:r>
    </w:p>
    <w:p>
      <w:pPr>
        <w:spacing w:after="0" w:line="225" w:lineRule="exact"/>
        <w:rPr>
          <w:sz w:val="20"/>
          <w:szCs w:val="20"/>
          <w:color w:val="auto"/>
        </w:rPr>
      </w:pPr>
    </w:p>
    <w:p>
      <w:pPr>
        <w:ind w:left="1600" w:hanging="295"/>
        <w:spacing w:after="0"/>
        <w:tabs>
          <w:tab w:leader="none" w:pos="1600" w:val="left"/>
        </w:tabs>
        <w:numPr>
          <w:ilvl w:val="1"/>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12 consists of Unexercised Equity Interests.</w:t>
      </w:r>
    </w:p>
    <w:p>
      <w:pPr>
        <w:spacing w:after="0" w:line="225" w:lineRule="exact"/>
        <w:rPr>
          <w:rFonts w:ascii="Arial" w:cs="Arial" w:eastAsia="Arial" w:hAnsi="Arial"/>
          <w:sz w:val="18"/>
          <w:szCs w:val="18"/>
          <w:color w:val="auto"/>
        </w:rPr>
      </w:pPr>
    </w:p>
    <w:p>
      <w:pPr>
        <w:ind w:left="1620" w:right="260" w:hanging="315"/>
        <w:spacing w:after="0" w:line="308" w:lineRule="auto"/>
        <w:tabs>
          <w:tab w:leader="none" w:pos="1584" w:val="left"/>
        </w:tabs>
        <w:numPr>
          <w:ilvl w:val="1"/>
          <w:numId w:val="105"/>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jc w:val="both"/>
        <w:ind w:left="1620" w:hanging="315"/>
        <w:spacing w:after="0" w:line="264" w:lineRule="auto"/>
        <w:tabs>
          <w:tab w:leader="none" w:pos="1584" w:val="left"/>
        </w:tabs>
        <w:numPr>
          <w:ilvl w:val="1"/>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12 is Impaired, and the Holders of Unexercised Equity Interests in Class 12 will be conclusively deemed to have rejected</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pursuant to section 1126(g) of the Bankruptcy Code. Therefore, Holders of Unexercised Equity Interests in Class 12 will not be entitled to vote to accept or reject the Plan.</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Special Provision Governing Unimpaired Claims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Except as otherwise provided herein, nothing under the Plan will affect or limit the Debtors’ or the Reorganized Debtors’ rights and defenses (whether legal or equitable) in respect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53" w:name="page54"/>
    <w:bookmarkEnd w:id="53"/>
    <w:p>
      <w:pPr>
        <w:ind w:right="320"/>
        <w:spacing w:after="0" w:line="277" w:lineRule="auto"/>
        <w:rPr>
          <w:sz w:val="20"/>
          <w:szCs w:val="20"/>
          <w:color w:val="auto"/>
        </w:rPr>
      </w:pPr>
      <w:r>
        <w:rPr>
          <w:rFonts w:ascii="Arial" w:cs="Arial" w:eastAsia="Arial" w:hAnsi="Arial"/>
          <w:sz w:val="18"/>
          <w:szCs w:val="18"/>
          <w:color w:val="auto"/>
        </w:rPr>
        <w:t>of any Unimpaired Claims, including, without limitation, all rights in respect of legal and equitable defenses to or setoffs or recoupments against any such Unimpaired Claims.</w:t>
      </w:r>
    </w:p>
    <w:p>
      <w:pPr>
        <w:spacing w:after="0" w:line="166"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Elimination of Vacant Classes</w:t>
      </w:r>
    </w:p>
    <w:p>
      <w:pPr>
        <w:spacing w:after="0" w:line="229" w:lineRule="exact"/>
        <w:rPr>
          <w:sz w:val="20"/>
          <w:szCs w:val="20"/>
          <w:color w:val="auto"/>
        </w:rPr>
      </w:pPr>
    </w:p>
    <w:p>
      <w:pPr>
        <w:ind w:right="20" w:firstLine="662"/>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the Plan for purposes of voting to accept or reject the Plan and for purposes of determining acceptance or rejection of the Plan by such Class pursuant to section 1129(a)(8) of the Bankruptcy Code.</w:t>
      </w:r>
    </w:p>
    <w:p>
      <w:pPr>
        <w:spacing w:after="0" w:line="162"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OR REJECTION OF THE PLAN</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Presumed Acceptance of Plan</w:t>
      </w:r>
    </w:p>
    <w:p>
      <w:pPr>
        <w:spacing w:after="0" w:line="229"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Classes 1-6 and 8, 9, and 11 are Unimpaired under the Plan. Therefore, the Holders of Claims or Equity Interests in such Classes are deemed to have accepted the Plan pursuant to section 1126(f) of the Bankruptcy Code and are not entitled to vote to accept or reject the Plan.</w:t>
      </w:r>
    </w:p>
    <w:p>
      <w:pPr>
        <w:spacing w:after="0" w:line="166"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Presumed Rejection of Plan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the Plan. Accordingly, under section 1126(g) of the Bankruptcy Code, the votes of Holders of Unexercised Equity Interests in Class 12 will not be solicited and such Holders are deemed to reject the Plan.</w:t>
      </w:r>
    </w:p>
    <w:p>
      <w:pPr>
        <w:spacing w:after="0" w:line="177"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Voting Classes</w:t>
      </w:r>
    </w:p>
    <w:p>
      <w:pPr>
        <w:spacing w:after="0" w:line="229"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color w:val="auto"/>
        </w:rPr>
        <w:t>Classes 7 and 10 are Impaired and entitled to vote under the Plan. The Holders of Claims in Class 7 and Existing Common Stock in Class 10 as of the Voting Record Date are entitled to vote to accept or reject the Plan.</w:t>
      </w:r>
    </w:p>
    <w:p>
      <w:pPr>
        <w:spacing w:after="0" w:line="166"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by Impaired Class of Claims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the Plan if the Holders of at least two-thirds (2/3) in dollar amount and more than one-half (1/2) in number of the Allowed Claims in such Class actually voting have voted to accept the Plan.</w:t>
      </w:r>
    </w:p>
    <w:p>
      <w:pPr>
        <w:spacing w:after="0" w:line="181"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the Plan if the Holders of at least two-thirds (2/3) in amount of the Allowed Equity Interests in such Class actually have voted to accept the Plan.</w:t>
      </w:r>
    </w:p>
    <w:p>
      <w:pPr>
        <w:spacing w:after="0" w:line="177"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Pursuant to Sections 1129(a)(10) and 1129(b) of the Bankruptcy Code; Cram Down</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Section 1129(a)(10) of the Bankruptcy Code will be satisfied for purposes of Confirmation by acceptance of the Plan by Class 7. The Debtors request confirmation of the Plan under section 1129(b) of the Bankruptcy Code with respect to any Impaired Class that does not accept the Plan pursuant to section 1126 of the Bankruptcy Code. The Debtors reserve the right, in accordance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340"/>
        <w:spacing w:after="0" w:line="277" w:lineRule="auto"/>
        <w:rPr>
          <w:sz w:val="20"/>
          <w:szCs w:val="20"/>
          <w:color w:val="auto"/>
        </w:rPr>
      </w:pPr>
      <w:r>
        <w:rPr>
          <w:rFonts w:ascii="Arial" w:cs="Arial" w:eastAsia="Arial" w:hAnsi="Arial"/>
          <w:sz w:val="18"/>
          <w:szCs w:val="18"/>
          <w:color w:val="auto"/>
        </w:rPr>
        <w:t>with the terms of the Restructuring Support Agreement, to modify the Plan or any Exhibit or Plan Schedule in order to satisfy the requirements of section 1129(b) of the Bankruptcy Code, if necessary.</w:t>
      </w:r>
    </w:p>
    <w:p>
      <w:pPr>
        <w:spacing w:after="0" w:line="166"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Votes Solicited in Good Faith</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the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Parties will be entitled to, and upon the Confirmation Date are hereby granted, the protections of section 1125(e) of the Bankruptcy Code.</w:t>
      </w:r>
    </w:p>
    <w:p>
      <w:pPr>
        <w:spacing w:after="0" w:line="184"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MEANS FOR IMPLEMENTATION OF THE PLAN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Restructuring Transactions</w:t>
      </w:r>
    </w:p>
    <w:p>
      <w:pPr>
        <w:spacing w:after="0" w:line="229"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Without limiting any rights and remedies of the Debtors or Reorganized Debtors under the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the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 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the Plan, the DIP Financing Documents (if applicable), and the Restructuring Documents and any consents or approvals required hereunder or thereunder (collectively, the “</w:t>
      </w:r>
      <w:r>
        <w:rPr>
          <w:rFonts w:ascii="Arial" w:cs="Arial" w:eastAsia="Arial" w:hAnsi="Arial"/>
          <w:sz w:val="17"/>
          <w:szCs w:val="17"/>
          <w:b w:val="1"/>
          <w:bCs w:val="1"/>
          <w:u w:val="single" w:color="auto"/>
          <w:color w:val="auto"/>
        </w:rPr>
        <w:t>Restructuring Transactions</w:t>
      </w:r>
      <w:r>
        <w:rPr>
          <w:rFonts w:ascii="Arial" w:cs="Arial" w:eastAsia="Arial" w:hAnsi="Arial"/>
          <w:sz w:val="17"/>
          <w:szCs w:val="17"/>
          <w:color w:val="auto"/>
        </w:rPr>
        <w:t>”).</w:t>
      </w:r>
    </w:p>
    <w:p>
      <w:pPr>
        <w:spacing w:after="0" w:line="180"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the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the Plan and having such other terms to which the applicable Entities may agree; (iii) the filing of appropriate certificates or articles of merger, amalgamation,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ind w:right="60"/>
        <w:spacing w:after="0" w:line="302" w:lineRule="auto"/>
        <w:rPr>
          <w:sz w:val="20"/>
          <w:szCs w:val="20"/>
          <w:color w:val="auto"/>
        </w:rPr>
      </w:pPr>
      <w:r>
        <w:rPr>
          <w:rFonts w:ascii="Arial" w:cs="Arial" w:eastAsia="Arial" w:hAnsi="Arial"/>
          <w:sz w:val="16"/>
          <w:szCs w:val="16"/>
          <w:color w:val="auto"/>
        </w:rPr>
        <w:t>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the Plan, the DIP Financing Documents (if applicable), and the Restructuring Documents and any consents or approvals required thereunder.</w:t>
      </w:r>
    </w:p>
    <w:p>
      <w:pPr>
        <w:spacing w:after="0" w:line="150"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Corporate Existence</w:t>
      </w:r>
    </w:p>
    <w:p>
      <w:pPr>
        <w:spacing w:after="0" w:line="229" w:lineRule="exact"/>
        <w:rPr>
          <w:sz w:val="20"/>
          <w:szCs w:val="20"/>
          <w:color w:val="auto"/>
        </w:rPr>
      </w:pPr>
    </w:p>
    <w:p>
      <w:pPr>
        <w:ind w:right="20" w:firstLine="662"/>
        <w:spacing w:after="0" w:line="284" w:lineRule="auto"/>
        <w:rPr>
          <w:sz w:val="20"/>
          <w:szCs w:val="20"/>
          <w:color w:val="auto"/>
        </w:rPr>
      </w:pPr>
      <w:r>
        <w:rPr>
          <w:rFonts w:ascii="Arial" w:cs="Arial" w:eastAsia="Arial" w:hAnsi="Arial"/>
          <w:sz w:val="16"/>
          <w:szCs w:val="16"/>
          <w:color w:val="auto"/>
        </w:rPr>
        <w:t xml:space="preserve">Subject to the Restructuring Transactions permitted by </w:t>
      </w:r>
      <w:r>
        <w:rPr>
          <w:rFonts w:ascii="Arial" w:cs="Arial" w:eastAsia="Arial" w:hAnsi="Arial"/>
          <w:sz w:val="16"/>
          <w:szCs w:val="16"/>
          <w:u w:val="single" w:color="auto"/>
          <w:color w:val="auto"/>
        </w:rPr>
        <w:t>Article V.A</w:t>
      </w:r>
      <w:r>
        <w:rPr>
          <w:rFonts w:ascii="Arial" w:cs="Arial" w:eastAsia="Arial" w:hAnsi="Arial"/>
          <w:sz w:val="16"/>
          <w:szCs w:val="16"/>
          <w:color w:val="auto"/>
        </w:rPr>
        <w:t xml:space="preserve"> of the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the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the Plan or the Chapter</w:t>
      </w:r>
    </w:p>
    <w:p>
      <w:pPr>
        <w:spacing w:after="0" w:line="1" w:lineRule="exact"/>
        <w:rPr>
          <w:sz w:val="20"/>
          <w:szCs w:val="20"/>
          <w:color w:val="auto"/>
        </w:rPr>
      </w:pPr>
    </w:p>
    <w:p>
      <w:pPr>
        <w:ind w:left="220" w:hanging="212"/>
        <w:spacing w:after="0"/>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Cases.</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Assets in the Reorganized Debtors Free and Clear of Liens and Claims</w:t>
      </w:r>
    </w:p>
    <w:p>
      <w:pPr>
        <w:spacing w:after="0" w:line="229"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 xml:space="preserve">Except as otherwise expressly provided in the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the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the Plan (including, without limitation, the Liens that secure the Exit 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the Plan or the Confirmation Order.</w:t>
      </w:r>
    </w:p>
    <w:p>
      <w:pPr>
        <w:spacing w:after="0" w:line="174"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Exit Facility Loan Documents</w:t>
      </w:r>
    </w:p>
    <w:p>
      <w:pPr>
        <w:spacing w:after="0" w:line="229" w:lineRule="exact"/>
        <w:rPr>
          <w:sz w:val="20"/>
          <w:szCs w:val="20"/>
          <w:color w:val="auto"/>
        </w:rPr>
      </w:pPr>
    </w:p>
    <w:p>
      <w:pPr>
        <w:ind w:right="320" w:firstLine="662"/>
        <w:spacing w:after="0" w:line="277" w:lineRule="auto"/>
        <w:rPr>
          <w:sz w:val="20"/>
          <w:szCs w:val="20"/>
          <w:color w:val="auto"/>
        </w:rPr>
      </w:pPr>
      <w:r>
        <w:rPr>
          <w:rFonts w:ascii="Arial" w:cs="Arial" w:eastAsia="Arial" w:hAnsi="Arial"/>
          <w:sz w:val="18"/>
          <w:szCs w:val="18"/>
          <w:color w:val="auto"/>
        </w:rPr>
        <w:t>On the Effective Date, the Debtors and the Reorganized Debtors, as applicable, will be authorized to execute and deliver, and to consummate the transactions contemplated by, the Exit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spacing w:after="0" w:line="255" w:lineRule="auto"/>
        <w:rPr>
          <w:sz w:val="20"/>
          <w:szCs w:val="20"/>
          <w:color w:val="auto"/>
        </w:rPr>
      </w:pPr>
      <w:r>
        <w:rPr>
          <w:rFonts w:ascii="Arial" w:cs="Arial" w:eastAsia="Arial" w:hAnsi="Arial"/>
          <w:sz w:val="18"/>
          <w:szCs w:val="18"/>
          <w:color w:val="auto"/>
        </w:rPr>
        <w:t>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the Plan, the Confirmation Order or on account of the Confirmation or Consummation of the Plan.</w:t>
      </w:r>
    </w:p>
    <w:p>
      <w:pPr>
        <w:spacing w:after="0" w:line="185"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New Senior Unsecured Notes Indentures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the Plan, the Confirmation Order or on account of the Confirmation or Consummation of the Plan.</w:t>
      </w:r>
    </w:p>
    <w:p>
      <w:pPr>
        <w:spacing w:after="0" w:line="178"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New Common Stock; Book Entry</w:t>
      </w:r>
    </w:p>
    <w:p>
      <w:pPr>
        <w:spacing w:after="0" w:line="229"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On the Effective Date, subject to the terms and conditions of the Plan and the Restructuring Transactions and as described more fully in the Reorganization Steps Overview, Reorganized Parent will issue the New Common Stock pursuant to the Plan and the Amended/New Corporate Governance Documents.</w:t>
      </w:r>
    </w:p>
    <w:p>
      <w:pPr>
        <w:spacing w:after="0" w:line="181"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the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83"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New Securities and Transfer Restrictions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Securities Exchange Act of 1934, as amended. Each share of New Common Stock will have the same rights,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7" w:name="page58"/>
    <w:bookmarkEnd w:id="57"/>
    <w:p>
      <w:pPr>
        <w:ind w:right="60"/>
        <w:spacing w:after="0" w:line="259" w:lineRule="auto"/>
        <w:rPr>
          <w:sz w:val="20"/>
          <w:szCs w:val="20"/>
          <w:color w:val="auto"/>
        </w:rPr>
      </w:pPr>
      <w:r>
        <w:rPr>
          <w:rFonts w:ascii="Arial" w:cs="Arial" w:eastAsia="Arial" w:hAnsi="Arial"/>
          <w:sz w:val="18"/>
          <w:szCs w:val="18"/>
          <w:color w:val="auto"/>
        </w:rPr>
        <w:t>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3"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New Registration Rights Agreement</w:t>
      </w:r>
    </w:p>
    <w:p>
      <w:pPr>
        <w:spacing w:after="0" w:line="229"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the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67"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New Management Incentive Plan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3"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New Warrants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0"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Plan Securities and Related Documentation; Exemption from Securities Laws</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 and after the Effective Date, the Debtors and the Reorganized Debtors, as applicable, are authorized to and will provide or issue, as applicable, the New Common Stock, the New Warrants, and the New Senior Unsecured Notes to be distributed and issued under the Plan (collectively,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and any and all other notes, stock, instruments, certificates, and other documents or agreements required to be distributed, issued, executed 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or in connection with the Plan (collectively, the “</w:t>
      </w:r>
      <w:r>
        <w:rPr>
          <w:rFonts w:ascii="Arial" w:cs="Arial" w:eastAsia="Arial" w:hAnsi="Arial"/>
          <w:sz w:val="16"/>
          <w:szCs w:val="16"/>
          <w:b w:val="1"/>
          <w:bCs w:val="1"/>
          <w:u w:val="single" w:color="auto"/>
          <w:color w:val="auto"/>
        </w:rPr>
        <w:t>Plan Securities and Documents</w:t>
      </w:r>
      <w:r>
        <w:rPr>
          <w:rFonts w:ascii="Arial" w:cs="Arial" w:eastAsia="Arial" w:hAnsi="Arial"/>
          <w:sz w:val="16"/>
          <w:szCs w:val="16"/>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ind w:firstLine="648"/>
        <w:spacing w:after="0" w:line="269" w:lineRule="auto"/>
        <w:rPr>
          <w:sz w:val="20"/>
          <w:szCs w:val="20"/>
          <w:color w:val="auto"/>
        </w:rPr>
      </w:pPr>
      <w:r>
        <w:rPr>
          <w:rFonts w:ascii="Arial" w:cs="Arial" w:eastAsia="Arial" w:hAnsi="Arial"/>
          <w:sz w:val="17"/>
          <w:szCs w:val="17"/>
          <w:color w:val="auto"/>
        </w:rPr>
        <w:t xml:space="preserve">The offer, distribution, and issuance, as applicable, of the Plan Securities and Documents under the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 delivery of a prospectus for offer or sale of a security or registration or licensing of an issuer of a security) pursuant to section 1145(a) of the Bankruptcy Code and/or other applicable exemptions;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the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8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69"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Liens and Claims</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To the fullest extent provided under section 1141(c) and other applicable provisions of the Bankruptcy Code, except as otherwise provided herein (including, without limitation, Article V.D, V.E, V.F, and V.G of the Plan) or in any contract, instrument, release or other agreement or document entered into or delivered in connection with the Plan, on the Effective Date and concurrently with the applicable distributions made pursuant to Article VII of the Plan,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Liens at the sole cost and expense of the Reorganized Debtors, promptly execute and deliver to the Reorganized Debtors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such instruments of termination, release, satisfaction and/or assignment (in recordable form) as may be reasonably requested by the Reorganized Debtors.</w:t>
      </w:r>
    </w:p>
    <w:p>
      <w:pPr>
        <w:spacing w:after="0" w:line="244"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 Documents of the Reorganized Debtors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respective corporate governance documents of each of the Debtors will be amended and restated or replaced (as applicable) by the New/Amended Corporate Governance Documents (subject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the Plan (including as a result of the exercise of New Warrants); and (iii) to the extent necessary or appropriate, include such provisions as may be needed to effectuate and consummate the Plan and the transactions contemplated herein. After the Effective Date, the Reorganized Debtors may, subject to the terms and conditions of the New/Amended Corporate Governance Documents, amend and restate their respective corporate governance documents as permitted thereby and by applicable law.</w:t>
      </w:r>
    </w:p>
    <w:p>
      <w:pPr>
        <w:spacing w:after="0" w:line="163"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of the Reorganized Debtors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Corporate Governance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63"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Action</w:t>
      </w:r>
    </w:p>
    <w:p>
      <w:pPr>
        <w:spacing w:after="0" w:line="229" w:lineRule="exact"/>
        <w:rPr>
          <w:sz w:val="20"/>
          <w:szCs w:val="20"/>
          <w:color w:val="auto"/>
        </w:rPr>
      </w:pPr>
    </w:p>
    <w:p>
      <w:pPr>
        <w:ind w:right="620" w:firstLine="662"/>
        <w:spacing w:after="0" w:line="342" w:lineRule="auto"/>
        <w:rPr>
          <w:sz w:val="20"/>
          <w:szCs w:val="20"/>
          <w:color w:val="auto"/>
        </w:rPr>
      </w:pPr>
      <w:r>
        <w:rPr>
          <w:rFonts w:ascii="Arial" w:cs="Arial" w:eastAsia="Arial" w:hAnsi="Arial"/>
          <w:sz w:val="16"/>
          <w:szCs w:val="16"/>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right="100"/>
        <w:spacing w:after="0" w:line="255" w:lineRule="auto"/>
        <w:rPr>
          <w:sz w:val="20"/>
          <w:szCs w:val="20"/>
          <w:color w:val="auto"/>
        </w:rPr>
      </w:pPr>
      <w:r>
        <w:rPr>
          <w:rFonts w:ascii="Arial" w:cs="Arial" w:eastAsia="Arial" w:hAnsi="Arial"/>
          <w:sz w:val="18"/>
          <w:szCs w:val="18"/>
          <w:color w:val="auto"/>
        </w:rPr>
        <w:t>provisions of the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 such actions being in accordance with the law of the Debtor’s jurisdiction of incorporation to the extent such non-bankruptcy law is applicable).</w:t>
      </w:r>
    </w:p>
    <w:p>
      <w:pPr>
        <w:spacing w:after="0" w:line="193" w:lineRule="exact"/>
        <w:rPr>
          <w:sz w:val="20"/>
          <w:szCs w:val="20"/>
          <w:color w:val="auto"/>
        </w:rPr>
      </w:pPr>
    </w:p>
    <w:p>
      <w:pPr>
        <w:ind w:right="100" w:firstLine="662"/>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the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As of the Effective Date, all matters provided for in the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the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the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85"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of Notes, Certificates and Instruments</w:t>
      </w:r>
    </w:p>
    <w:p>
      <w:pPr>
        <w:spacing w:after="0" w:line="229" w:lineRule="exact"/>
        <w:rPr>
          <w:sz w:val="20"/>
          <w:szCs w:val="20"/>
          <w:color w:val="auto"/>
        </w:rPr>
      </w:pPr>
    </w:p>
    <w:p>
      <w:pPr>
        <w:ind w:right="200" w:firstLine="662"/>
        <w:spacing w:after="0" w:line="308" w:lineRule="auto"/>
        <w:rPr>
          <w:sz w:val="20"/>
          <w:szCs w:val="20"/>
          <w:color w:val="auto"/>
        </w:rPr>
      </w:pPr>
      <w:r>
        <w:rPr>
          <w:rFonts w:ascii="Arial" w:cs="Arial" w:eastAsia="Arial" w:hAnsi="Arial"/>
          <w:sz w:val="17"/>
          <w:szCs w:val="17"/>
          <w:color w:val="auto"/>
        </w:rPr>
        <w:t>On the Effective Date, except to the extent otherwise provided in the Plan (including, without limitation, Article II.B, Article V.B, Article V.E, and Article V.K of the Plan), all notes, indentures, instruments, certificates, agreements and other documents evidencing or relating to any Impaired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spacing w:after="0" w:line="285" w:lineRule="auto"/>
        <w:rPr>
          <w:sz w:val="20"/>
          <w:szCs w:val="20"/>
          <w:color w:val="auto"/>
        </w:rPr>
      </w:pPr>
      <w:r>
        <w:rPr>
          <w:rFonts w:ascii="Arial" w:cs="Arial" w:eastAsia="Arial" w:hAnsi="Arial"/>
          <w:sz w:val="16"/>
          <w:szCs w:val="16"/>
          <w:color w:val="auto"/>
        </w:rPr>
        <w:t>Claim (including, for the avoidance of doubt and without limitation, the Prepetition Notes Indentures and the Prepetition Notes, or any Claim being paid in full in Cash under the Plan, will be fully released, terminated, extinguished and discharged (including, in respect of DIP Facility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the Plan; provided that the Prepetition Debt Documents and the DIP Facility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the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the Plan, and (iv) preserving the DIP Contingent Claims as contemplated by Article II.B of the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For the avoidance of doubt, nothing in this paragraph will affect or impair the Prepetition Notes Indenture Trustee Charging Lien, which will remain in full force and effect as of and after the Effective Date. For the avoidance of doubt, nothing contained in the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the Plan or otherwise.</w:t>
      </w:r>
    </w:p>
    <w:p>
      <w:pPr>
        <w:spacing w:after="0" w:line="171"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Existing Equity Interests</w:t>
      </w:r>
    </w:p>
    <w:p>
      <w:pPr>
        <w:spacing w:after="0" w:line="229"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the Plan, where such amendment or modification is permitted under the law of the Parent Subsidiary’s jurisdiction of incorporation to the extent such non-bankruptcy law is applicable.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ind w:left="1300" w:hanging="644"/>
        <w:spacing w:after="0"/>
        <w:tabs>
          <w:tab w:leader="none" w:pos="13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Sources of Cash for Plan Distributions</w:t>
      </w:r>
    </w:p>
    <w:p>
      <w:pPr>
        <w:spacing w:after="0" w:line="229" w:lineRule="exact"/>
        <w:rPr>
          <w:sz w:val="20"/>
          <w:szCs w:val="20"/>
          <w:color w:val="auto"/>
        </w:rPr>
      </w:pPr>
    </w:p>
    <w:p>
      <w:pPr>
        <w:ind w:right="40" w:firstLine="662"/>
        <w:spacing w:after="0" w:line="272" w:lineRule="auto"/>
        <w:rPr>
          <w:sz w:val="20"/>
          <w:szCs w:val="20"/>
          <w:color w:val="auto"/>
        </w:rPr>
      </w:pPr>
      <w:r>
        <w:rPr>
          <w:rFonts w:ascii="Arial" w:cs="Arial" w:eastAsia="Arial" w:hAnsi="Arial"/>
          <w:sz w:val="17"/>
          <w:szCs w:val="17"/>
          <w:color w:val="auto"/>
        </w:rPr>
        <w:t>All Cash necessary for the Debtors or the Reorganized Debtors, as applicable, to make payments required pursuant to the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 considered prepetition claims of Weatherford Parent in the Irish Scheme of Arrangement so long as such payments are in the ordinary course of business and otherwise in accordance with the terms of the Plan and the DIP Orders.</w:t>
      </w:r>
    </w:p>
    <w:p>
      <w:pPr>
        <w:spacing w:after="0" w:line="174"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Funding and Use of Professional Fee Claim Reserve</w:t>
      </w:r>
    </w:p>
    <w:p>
      <w:pPr>
        <w:spacing w:after="0" w:line="229"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20" w:firstLine="662"/>
        <w:spacing w:after="0" w:line="279" w:lineRule="auto"/>
        <w:rPr>
          <w:sz w:val="20"/>
          <w:szCs w:val="20"/>
          <w:color w:val="auto"/>
        </w:rPr>
      </w:pPr>
      <w:r>
        <w:rPr>
          <w:rFonts w:ascii="Arial" w:cs="Arial" w:eastAsia="Arial" w:hAnsi="Arial"/>
          <w:sz w:val="17"/>
          <w:szCs w:val="17"/>
          <w:color w:val="auto"/>
        </w:rPr>
        <w:t>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the Plan.</w:t>
      </w:r>
    </w:p>
    <w:p>
      <w:pPr>
        <w:spacing w:after="0" w:line="171" w:lineRule="exact"/>
        <w:rPr>
          <w:sz w:val="20"/>
          <w:szCs w:val="20"/>
          <w:color w:val="auto"/>
        </w:rPr>
      </w:pPr>
    </w:p>
    <w:p>
      <w:pPr>
        <w:jc w:val="both"/>
        <w:ind w:right="140" w:firstLine="662"/>
        <w:spacing w:after="0" w:line="257" w:lineRule="auto"/>
        <w:rPr>
          <w:sz w:val="20"/>
          <w:szCs w:val="20"/>
          <w:color w:val="auto"/>
        </w:rPr>
      </w:pPr>
      <w:r>
        <w:rPr>
          <w:rFonts w:ascii="Arial" w:cs="Arial" w:eastAsia="Arial" w:hAnsi="Arial"/>
          <w:sz w:val="18"/>
          <w:szCs w:val="18"/>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4"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Fees and Expenses of Certain Creditors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3" w:name="page64"/>
    <w:bookmarkEnd w:id="63"/>
    <w:p>
      <w:pPr>
        <w:ind w:right="380"/>
        <w:spacing w:after="0" w:line="277" w:lineRule="auto"/>
        <w:rPr>
          <w:sz w:val="20"/>
          <w:szCs w:val="20"/>
          <w:color w:val="auto"/>
        </w:rPr>
      </w:pPr>
      <w:r>
        <w:rPr>
          <w:rFonts w:ascii="Arial" w:cs="Arial" w:eastAsia="Arial" w:hAnsi="Arial"/>
          <w:sz w:val="18"/>
          <w:szCs w:val="18"/>
          <w:color w:val="auto"/>
        </w:rPr>
        <w:t>during the Chapter 11 Cases), without the need for application by any such parties to the Bankruptcy Court, and without notice and a hearing pursuant to section 1129(a)(4) of the Bankruptcy Code or otherwise.</w:t>
      </w:r>
    </w:p>
    <w:p>
      <w:pPr>
        <w:spacing w:after="0" w:line="166"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Fees and Expenses of the Prepetition Notes Indenture Trustee</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 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the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63"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Tranche B Equity Conversion and Overallotment Rights</w:t>
      </w:r>
    </w:p>
    <w:p>
      <w:pPr>
        <w:spacing w:after="0" w:line="229"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the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 Notes that were not subscribed for by Holders of the Prepetition Notes (the “</w:t>
      </w:r>
      <w:r>
        <w:rPr>
          <w:rFonts w:ascii="Arial" w:cs="Arial" w:eastAsia="Arial" w:hAnsi="Arial"/>
          <w:sz w:val="17"/>
          <w:szCs w:val="17"/>
          <w:b w:val="1"/>
          <w:bCs w:val="1"/>
          <w:u w:val="single" w:color="auto"/>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83"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Holders of the Prepetition Notes will be able to elect to receive New Common Stock in lieu of New Tranche B Senior Unsecured Notes by using the subscription form that will be delivered during the Chapter 11 Cases. The subscription form must be returned to the Voting and Claims Agent on or before the Business Day that is not less than ten (10) Business Days 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 Amount</w:t>
      </w:r>
      <w:r>
        <w:rPr>
          <w:rFonts w:ascii="Arial" w:cs="Arial" w:eastAsia="Arial" w:hAnsi="Arial"/>
          <w:sz w:val="18"/>
          <w:szCs w:val="18"/>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4" w:name="page65"/>
    <w:bookmarkEnd w:id="64"/>
    <w:p>
      <w:pPr>
        <w:ind w:right="360" w:firstLine="662"/>
        <w:spacing w:after="0" w:line="279" w:lineRule="auto"/>
        <w:rPr>
          <w:sz w:val="20"/>
          <w:szCs w:val="20"/>
          <w:color w:val="auto"/>
        </w:rPr>
      </w:pPr>
      <w:r>
        <w:rPr>
          <w:rFonts w:ascii="Arial" w:cs="Arial" w:eastAsia="Arial" w:hAnsi="Arial"/>
          <w:sz w:val="17"/>
          <w:szCs w:val="17"/>
          <w:color w:val="auto"/>
        </w:rPr>
        <w:t>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together with the other Plan Securities to be issued to the Holders of the Prepetition Notes under Article III of the Plan.</w:t>
      </w:r>
    </w:p>
    <w:p>
      <w:pPr>
        <w:spacing w:after="0" w:line="167"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the Plan and the Rights Offering Procedures. Pursuant to the Rights Offering Procedures and the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the Plan, the Reorganized Debtors will be authorized to issue the New Tranche A Senior Unsecured Notes on the Effective Date in accordance with the Plan and the Rights Offering Procedures. Pursuant to the Backstop Commitment Agreement, the Backstop Commitment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3"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EXECUTORY CONTRACTS AND UNEXPIRED LEASES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 of Executory Contracts and Unexpired Leases</w:t>
      </w:r>
    </w:p>
    <w:p>
      <w:pPr>
        <w:spacing w:after="0" w:line="229" w:lineRule="exact"/>
        <w:rPr>
          <w:sz w:val="20"/>
          <w:szCs w:val="20"/>
          <w:color w:val="auto"/>
        </w:rPr>
      </w:pPr>
    </w:p>
    <w:p>
      <w:pPr>
        <w:ind w:firstLine="662"/>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940" w:hanging="635"/>
        <w:spacing w:after="0"/>
        <w:tabs>
          <w:tab w:leader="none" w:pos="19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left="1960" w:hanging="655"/>
        <w:spacing w:after="0" w:line="279" w:lineRule="auto"/>
        <w:tabs>
          <w:tab w:leader="none" w:pos="197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(are identified by the Debtors (with the consent of the Required Consenting Noteholders) and Filed in the Plan Supplement, which Plan Schedule may be amended by the Debtors (with the consent of the Required Consenting Noteholders) to add or remove Executory Contracts and Unexpired Leases by filing with the Bankruptcy Court an amended Plan Schedule and serving it on the affected non-Debtor contract parties at least seven (7) days prior to the Plan Objection Deadline; or</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5" w:name="page66"/>
    <w:bookmarkEnd w:id="65"/>
    <w:p>
      <w:pPr>
        <w:ind w:right="20" w:firstLine="662"/>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ind w:right="20" w:firstLine="662"/>
        <w:spacing w:after="0" w:line="268" w:lineRule="auto"/>
        <w:rPr>
          <w:sz w:val="20"/>
          <w:szCs w:val="20"/>
          <w:color w:val="auto"/>
        </w:rPr>
      </w:pPr>
      <w:r>
        <w:rPr>
          <w:rFonts w:ascii="Arial" w:cs="Arial" w:eastAsia="Arial" w:hAnsi="Arial"/>
          <w:sz w:val="17"/>
          <w:szCs w:val="17"/>
          <w:color w:val="auto"/>
        </w:rPr>
        <w:t>To the extent any provision in any Executory Contract or Unexpired Lease assumed or assumed and assigned (as applicable) pursuant to the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the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the Plan, in each case subject to the remaining terms and conditions of Article VI of the Plan.</w:t>
      </w:r>
    </w:p>
    <w:p>
      <w:pPr>
        <w:spacing w:after="0" w:line="185"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the Plan will revest in and be fully enforceable by the applicable Reorganized Debtor or the applicable assignee in accordance with its terms and conditions, except as modified by the provisions of the Plan, any order of the Bankruptcy Court approving its assumption and/or assignment, or applicable law.</w:t>
      </w:r>
    </w:p>
    <w:p>
      <w:pPr>
        <w:spacing w:after="0" w:line="181" w:lineRule="exact"/>
        <w:rPr>
          <w:sz w:val="20"/>
          <w:szCs w:val="20"/>
          <w:color w:val="auto"/>
        </w:rPr>
      </w:pPr>
    </w:p>
    <w:p>
      <w:pPr>
        <w:ind w:right="20" w:firstLine="662"/>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66"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Cure of Defaults; Assignment of Executory Contracts and Unexpired Leases</w:t>
      </w:r>
    </w:p>
    <w:p>
      <w:pPr>
        <w:spacing w:after="0" w:line="229" w:lineRule="exact"/>
        <w:rPr>
          <w:sz w:val="20"/>
          <w:szCs w:val="20"/>
          <w:color w:val="auto"/>
        </w:rPr>
      </w:pPr>
    </w:p>
    <w:p>
      <w:pPr>
        <w:ind w:right="280" w:firstLine="662"/>
        <w:spacing w:after="0" w:line="279" w:lineRule="auto"/>
        <w:rPr>
          <w:sz w:val="20"/>
          <w:szCs w:val="20"/>
          <w:color w:val="auto"/>
        </w:rPr>
      </w:pPr>
      <w:r>
        <w:rPr>
          <w:rFonts w:ascii="Arial" w:cs="Arial" w:eastAsia="Arial" w:hAnsi="Arial"/>
          <w:sz w:val="17"/>
          <w:szCs w:val="17"/>
          <w:color w:val="auto"/>
        </w:rPr>
        <w:t>Any defaults under each Executory Contract and Unexpired Lease to be assumed, or assumed and assigned, pursuant to the Plan will be satisfied, pursuant to and to the extent required by section 365(b)(1) of the Bankruptcy Code, by payment of the applicable default amount in Cash on the Effective Date or on such other terms as the Bankruptcy Court may order or the parties to such Executory Contracts or Unexpired Leases may otherwise agree in writing (with the consent of the Required Consenting Noteholders) (the “</w:t>
      </w:r>
      <w:r>
        <w:rPr>
          <w:rFonts w:ascii="Arial" w:cs="Arial" w:eastAsia="Arial" w:hAnsi="Arial"/>
          <w:sz w:val="17"/>
          <w:szCs w:val="17"/>
          <w:b w:val="1"/>
          <w:bCs w:val="1"/>
          <w:u w:val="single" w:color="auto"/>
          <w:color w:val="auto"/>
        </w:rPr>
        <w:t>Cure Claim Amount</w:t>
      </w:r>
      <w:r>
        <w:rPr>
          <w:rFonts w:ascii="Arial" w:cs="Arial" w:eastAsia="Arial" w:hAnsi="Arial"/>
          <w:sz w:val="17"/>
          <w:szCs w:val="17"/>
          <w:color w:val="auto"/>
        </w:rPr>
        <w:t>”).</w:t>
      </w:r>
    </w:p>
    <w:p>
      <w:pPr>
        <w:spacing w:after="0" w:line="171"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In the event of an assumption, or an assumption and assignment, of an Executory Contract or Unexpired Lease under the Plan, at least twenty-one (21) days prior to the Plan Objection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right="220"/>
        <w:spacing w:after="0" w:line="257" w:lineRule="auto"/>
        <w:rPr>
          <w:sz w:val="20"/>
          <w:szCs w:val="20"/>
          <w:color w:val="auto"/>
        </w:rPr>
      </w:pPr>
      <w:r>
        <w:rPr>
          <w:rFonts w:ascii="Arial" w:cs="Arial" w:eastAsia="Arial" w:hAnsi="Arial"/>
          <w:sz w:val="18"/>
          <w:szCs w:val="18"/>
          <w:color w:val="auto"/>
        </w:rPr>
        <w:t>Deadline (or, in the case of an Executory Contract or Unexpired Lease removed from the Plan Schedule after such date, no later than one (1) Business Day after such removal), the Debtors will File and serve upon counterparties to such Executory Contracts and Unexpired Leases, a notice of the proposed assumption, or proposed assumption and assignment, which will: (a) list the applicable Cure Claim Amount, if any; (b) if applicable, identify the party to which the Executory Contract or Unexpired Lease will be assigned; (c) describe the procedures for filing objections thereto; and (d) explain the process by which related disputes will be resolved by the Bankruptcy Court.</w:t>
      </w:r>
    </w:p>
    <w:p>
      <w:pPr>
        <w:spacing w:after="0" w:line="188" w:lineRule="exact"/>
        <w:rPr>
          <w:sz w:val="20"/>
          <w:szCs w:val="20"/>
          <w:color w:val="auto"/>
        </w:rPr>
      </w:pPr>
    </w:p>
    <w:p>
      <w:pPr>
        <w:ind w:firstLine="662"/>
        <w:spacing w:after="0" w:line="291" w:lineRule="auto"/>
        <w:rPr>
          <w:sz w:val="20"/>
          <w:szCs w:val="20"/>
          <w:color w:val="auto"/>
        </w:rPr>
      </w:pPr>
      <w:r>
        <w:rPr>
          <w:rFonts w:ascii="Arial" w:cs="Arial" w:eastAsia="Arial" w:hAnsi="Arial"/>
          <w:sz w:val="16"/>
          <w:szCs w:val="16"/>
          <w:color w:val="auto"/>
        </w:rPr>
        <w:t>Any objection by a counterparty to an Executory Contract or Unexpired Lease to a proposed assumption, or proposed assumption and assignment under the Plan, or any related cure amount, must be Filed, served and actually received by the Debtors prior to the Plan Objection Deadline (notwithstanding anything in the Schedules or a proof of Claim to the contrary). Any counterparty to an Executory Contract or Unexpired Lease that fails to object timely to the proposed assumption, or proposed assumption and assignment, or cure amount will be deemed to have consented to such matters and will be deemed to have forever released and waived any objection to such proposed assumption, proposed assumption and assignment, and cure amount. The Confirmation Order will constitute an order of the Bankruptcy Court approving each proposed assumption, or proposed assumption and assignment, of Executory Contracts and Unexpired Leases pursuant to sections 365 and 1123 of the Bankruptcy Code as of the Effective Date.</w:t>
      </w:r>
    </w:p>
    <w:p>
      <w:pPr>
        <w:spacing w:after="0" w:line="167" w:lineRule="exact"/>
        <w:rPr>
          <w:sz w:val="20"/>
          <w:szCs w:val="20"/>
          <w:color w:val="auto"/>
        </w:rPr>
      </w:pPr>
    </w:p>
    <w:p>
      <w:pPr>
        <w:ind w:right="180" w:firstLine="662"/>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00" w:firstLine="662"/>
        <w:spacing w:after="0" w:line="291" w:lineRule="auto"/>
        <w:rPr>
          <w:sz w:val="20"/>
          <w:szCs w:val="20"/>
          <w:color w:val="auto"/>
        </w:rPr>
      </w:pPr>
      <w:r>
        <w:rPr>
          <w:rFonts w:ascii="Arial" w:cs="Arial" w:eastAsia="Arial" w:hAnsi="Arial"/>
          <w:sz w:val="16"/>
          <w:szCs w:val="16"/>
          <w:color w:val="auto"/>
        </w:rPr>
        <w:t>Subject to any cure claims Filed with respect thereto, assumption or assumption and assignment of any Executory Contract or Unexpired Lease pursuant to the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Article VI the Plan.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ind w:right="480" w:firstLine="662"/>
        <w:spacing w:after="0" w:line="308" w:lineRule="auto"/>
        <w:rPr>
          <w:sz w:val="20"/>
          <w:szCs w:val="20"/>
          <w:color w:val="auto"/>
        </w:rPr>
      </w:pPr>
      <w:r>
        <w:rPr>
          <w:rFonts w:ascii="Arial" w:cs="Arial" w:eastAsia="Arial" w:hAnsi="Arial"/>
          <w:sz w:val="17"/>
          <w:szCs w:val="17"/>
          <w:color w:val="auto"/>
        </w:rPr>
        <w:t>With respect to any Executory Contract or Unexpired Lease assumed and assigned pursuant to the Plan, upon and as of the Effective Date, the applicable assignee will be deemed to be substituted as a party thereto for the applicable Debtor party to such assigned Executory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7" w:name="page68"/>
    <w:bookmarkEnd w:id="67"/>
    <w:p>
      <w:pPr>
        <w:ind w:right="340"/>
        <w:spacing w:after="0" w:line="277" w:lineRule="auto"/>
        <w:rPr>
          <w:sz w:val="20"/>
          <w:szCs w:val="20"/>
          <w:color w:val="auto"/>
        </w:rPr>
      </w:pPr>
      <w:r>
        <w:rPr>
          <w:rFonts w:ascii="Arial" w:cs="Arial" w:eastAsia="Arial" w:hAnsi="Arial"/>
          <w:sz w:val="18"/>
          <w:szCs w:val="18"/>
          <w:color w:val="auto"/>
        </w:rPr>
        <w:t>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66" w:lineRule="exact"/>
        <w:rPr>
          <w:sz w:val="20"/>
          <w:szCs w:val="20"/>
          <w:color w:val="auto"/>
        </w:rPr>
      </w:pPr>
    </w:p>
    <w:p>
      <w:pPr>
        <w:ind w:left="1300" w:hanging="644"/>
        <w:spacing w:after="0"/>
        <w:tabs>
          <w:tab w:leader="none" w:pos="13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Rejection of Executory Contracts and Unexpired Leases</w:t>
      </w:r>
    </w:p>
    <w:p>
      <w:pPr>
        <w:spacing w:after="0" w:line="22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w:t>
      </w:r>
      <w:r>
        <w:rPr>
          <w:rFonts w:ascii="Arial" w:cs="Arial" w:eastAsia="Arial" w:hAnsi="Arial"/>
          <w:sz w:val="18"/>
          <w:szCs w:val="18"/>
          <w:u w:val="single" w:color="auto"/>
          <w:color w:val="auto"/>
        </w:rPr>
        <w:t>Plan Schedule</w:t>
      </w:r>
      <w:r>
        <w:rPr>
          <w:rFonts w:ascii="Arial" w:cs="Arial" w:eastAsia="Arial" w:hAnsi="Arial"/>
          <w:sz w:val="18"/>
          <w:szCs w:val="18"/>
          <w:color w:val="auto"/>
        </w:rPr>
        <w:t xml:space="preserve"> will be deemed rejected as of the Effective Date. The Confirmation Order will constitute an order of the Bankruptcy Court approving the rejections described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 Plan pursuant to sections 365 and 1123 of the Bankruptcy Code as of the Effective Date. Rejection of any Executory Contract or Unexpired Lease pursuant to the Plan or otherwise will not constitute a termination of any preexisting obligations owed to the Debtors or the Reorganized Debtors, as applicable, under such Executory Contracts or Unexpired Leases.</w:t>
      </w:r>
    </w:p>
    <w:p>
      <w:pPr>
        <w:spacing w:after="0" w:line="185" w:lineRule="exact"/>
        <w:rPr>
          <w:sz w:val="20"/>
          <w:szCs w:val="20"/>
          <w:color w:val="auto"/>
        </w:rPr>
      </w:pPr>
    </w:p>
    <w:p>
      <w:pPr>
        <w:ind w:left="1300" w:hanging="644"/>
        <w:spacing w:after="0"/>
        <w:tabs>
          <w:tab w:leader="none" w:pos="13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Claims on Account of the Rejection of Executory Contracts or Unexpired Leases</w:t>
      </w:r>
    </w:p>
    <w:p>
      <w:pPr>
        <w:spacing w:after="0" w:line="229" w:lineRule="exact"/>
        <w:rPr>
          <w:sz w:val="20"/>
          <w:szCs w:val="20"/>
          <w:color w:val="auto"/>
        </w:rPr>
      </w:pPr>
    </w:p>
    <w:p>
      <w:pPr>
        <w:ind w:right="200" w:firstLine="662"/>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the Plan or the Confirmation Order, if any, must be filed with the Bankruptcy Court within thirty (30) days after service of an order of the Bankruptcy Court (including the Confirmation Order) approving such rejection.</w:t>
      </w:r>
    </w:p>
    <w:p>
      <w:pPr>
        <w:spacing w:after="0" w:line="181" w:lineRule="exact"/>
        <w:rPr>
          <w:sz w:val="20"/>
          <w:szCs w:val="20"/>
          <w:color w:val="auto"/>
        </w:rPr>
      </w:pPr>
    </w:p>
    <w:p>
      <w:pPr>
        <w:ind w:right="60" w:firstLine="662"/>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of the Plan.</w:t>
      </w:r>
    </w:p>
    <w:p>
      <w:pPr>
        <w:spacing w:after="0" w:line="154"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D&amp;O Liability Insurance Policies</w:t>
      </w:r>
    </w:p>
    <w:p>
      <w:pPr>
        <w:spacing w:after="0" w:line="229" w:lineRule="exact"/>
        <w:rPr>
          <w:sz w:val="20"/>
          <w:szCs w:val="20"/>
          <w:color w:val="auto"/>
        </w:rPr>
      </w:pPr>
    </w:p>
    <w:p>
      <w:pPr>
        <w:ind w:right="60" w:firstLine="662"/>
        <w:spacing w:after="0" w:line="290"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8" w:name="page69"/>
    <w:bookmarkEnd w:id="68"/>
    <w:p>
      <w:pPr>
        <w:spacing w:after="0" w:line="255" w:lineRule="auto"/>
        <w:rPr>
          <w:sz w:val="20"/>
          <w:szCs w:val="20"/>
          <w:color w:val="auto"/>
        </w:rPr>
      </w:pPr>
      <w:r>
        <w:rPr>
          <w:rFonts w:ascii="Arial" w:cs="Arial" w:eastAsia="Arial" w:hAnsi="Arial"/>
          <w:sz w:val="18"/>
          <w:szCs w:val="18"/>
          <w:color w:val="auto"/>
        </w:rPr>
        <w:t>nothing in the Plan otherwise alters the terms and conditions of the D&amp;O Liability Insurance Policies. Confirmation and Consummation of the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 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85"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Provisions</w:t>
      </w:r>
    </w:p>
    <w:p>
      <w:pPr>
        <w:spacing w:after="0" w:line="229" w:lineRule="exact"/>
        <w:rPr>
          <w:sz w:val="20"/>
          <w:szCs w:val="20"/>
          <w:color w:val="auto"/>
        </w:rPr>
      </w:pPr>
    </w:p>
    <w:p>
      <w:pPr>
        <w:ind w:right="20" w:firstLine="662"/>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the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5"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Plans</w:t>
      </w:r>
    </w:p>
    <w:p>
      <w:pPr>
        <w:spacing w:after="0" w:line="229" w:lineRule="exact"/>
        <w:rPr>
          <w:sz w:val="20"/>
          <w:szCs w:val="20"/>
          <w:color w:val="auto"/>
        </w:rPr>
      </w:pPr>
    </w:p>
    <w:p>
      <w:pPr>
        <w:ind w:right="120" w:firstLine="662"/>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4"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Contracts</w:t>
      </w:r>
    </w:p>
    <w:p>
      <w:pPr>
        <w:spacing w:after="0" w:line="229" w:lineRule="exact"/>
        <w:rPr>
          <w:sz w:val="20"/>
          <w:szCs w:val="20"/>
          <w:color w:val="auto"/>
        </w:rPr>
      </w:pPr>
    </w:p>
    <w:p>
      <w:pPr>
        <w:ind w:right="160" w:firstLine="662"/>
        <w:spacing w:after="0" w:line="257"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right="640"/>
        <w:spacing w:after="0" w:line="277" w:lineRule="auto"/>
        <w:rPr>
          <w:sz w:val="20"/>
          <w:szCs w:val="20"/>
          <w:color w:val="auto"/>
        </w:rPr>
      </w:pPr>
      <w:r>
        <w:rPr>
          <w:rFonts w:ascii="Arial" w:cs="Arial" w:eastAsia="Arial" w:hAnsi="Arial"/>
          <w:sz w:val="18"/>
          <w:szCs w:val="18"/>
          <w:color w:val="auto"/>
        </w:rPr>
        <w:t>Consummation of the Plan will not impair or otherwise modify any available defenses of the Reorganized Debtors or any insurer under the Insurance Contracts.</w:t>
      </w:r>
    </w:p>
    <w:p>
      <w:pPr>
        <w:spacing w:after="0" w:line="166"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Time to Assume or Reject</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the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the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4"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 Amendments, Supplements, Restatements, or Other Agreements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Unless otherwise provided in the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DISTRIBUTIONS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Distributions for Claims Allowed as of the Effective Date</w:t>
      </w:r>
    </w:p>
    <w:p>
      <w:pPr>
        <w:spacing w:after="0" w:line="22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the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Plan.</w:t>
      </w:r>
    </w:p>
    <w:p>
      <w:pPr>
        <w:spacing w:after="0" w:line="184"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No Postpetition Interest on Claims</w:t>
      </w:r>
    </w:p>
    <w:p>
      <w:pPr>
        <w:spacing w:after="0" w:line="229" w:lineRule="exact"/>
        <w:rPr>
          <w:sz w:val="20"/>
          <w:szCs w:val="20"/>
          <w:color w:val="auto"/>
        </w:rPr>
      </w:pPr>
    </w:p>
    <w:p>
      <w:pPr>
        <w:jc w:val="both"/>
        <w:ind w:right="300" w:firstLine="662"/>
        <w:spacing w:after="0" w:line="264" w:lineRule="auto"/>
        <w:rPr>
          <w:sz w:val="20"/>
          <w:szCs w:val="20"/>
          <w:color w:val="auto"/>
        </w:rPr>
      </w:pPr>
      <w:r>
        <w:rPr>
          <w:rFonts w:ascii="Arial" w:cs="Arial" w:eastAsia="Arial" w:hAnsi="Arial"/>
          <w:sz w:val="18"/>
          <w:szCs w:val="18"/>
          <w:color w:val="auto"/>
        </w:rPr>
        <w:t>Unless otherwise specifically provided for in the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Holder of a Claim (except a DIP Facility Claim) will be entitled to interest accruing on or after the Petition Date on any Claim.</w:t>
      </w:r>
    </w:p>
    <w:p>
      <w:pPr>
        <w:spacing w:after="0" w:line="221"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by the Reorganized Debtors or Other Applicable Distribution Agent</w:t>
      </w:r>
    </w:p>
    <w:p>
      <w:pPr>
        <w:spacing w:after="0" w:line="229" w:lineRule="exact"/>
        <w:rPr>
          <w:sz w:val="20"/>
          <w:szCs w:val="20"/>
          <w:color w:val="auto"/>
        </w:rPr>
      </w:pPr>
    </w:p>
    <w:p>
      <w:pPr>
        <w:ind w:right="20" w:firstLine="662"/>
        <w:spacing w:after="0" w:line="288" w:lineRule="auto"/>
        <w:rPr>
          <w:sz w:val="20"/>
          <w:szCs w:val="20"/>
          <w:color w:val="auto"/>
        </w:rPr>
      </w:pPr>
      <w:r>
        <w:rPr>
          <w:rFonts w:ascii="Arial" w:cs="Arial" w:eastAsia="Arial" w:hAnsi="Arial"/>
          <w:sz w:val="16"/>
          <w:szCs w:val="16"/>
          <w:color w:val="auto"/>
        </w:rPr>
        <w:t>Other than as specifically set forth below or as otherwise provided in the Plan, the Reorganized Debtors or other applicable Distribution Agent will make all distributions required to be distributed under the Plan. Distributions on account of the Allowed Prepetition Debt Claims and Allowed DIP Facility Claims will be made to the Prepetition Agents, the Prepetition Notes Indenture Trustee, and the DIP Facility Agent, respectively, and such agent or trustee will be, and will act as, the Distribution Agent with respect to its respective Class of Claims in accordance with the terms and conditions of the Plan and the applicable debt documents. All distributions to Holders of Prepetition Debt Claims and DIP Facility Claims will be deemed completed when made by the Reorganized Debtors to the Prepetition Agents, the Prepetition Notes Indenture Trustee (or as directed by the Prepetition Notes Indenture Trustee), and the DIP Facility Agent, or as otherwise provided in the Plan, as applicable. The Reorganized Debtors may employ or contract with other Entities to assist in or make the distributions required by the Plan and may pay the reasonable fees and expenses of such Entities and the Distribution Agents in the ordinary course of business. No Distribution Agent will be required to give any bond or surety or other security for the performance of its duties unless otherwise ordered by the Bankruptcy Court. The DIP Agent shall not have any liability to any person with respect to distributions made or directed to be made by the DIP Agent.</w:t>
      </w:r>
    </w:p>
    <w:p>
      <w:pPr>
        <w:spacing w:after="0" w:line="169" w:lineRule="exact"/>
        <w:rPr>
          <w:sz w:val="20"/>
          <w:szCs w:val="20"/>
          <w:color w:val="auto"/>
        </w:rPr>
      </w:pPr>
    </w:p>
    <w:p>
      <w:pPr>
        <w:ind w:firstLine="662"/>
        <w:spacing w:after="0" w:line="286" w:lineRule="auto"/>
        <w:rPr>
          <w:sz w:val="20"/>
          <w:szCs w:val="20"/>
          <w:color w:val="auto"/>
        </w:rPr>
      </w:pPr>
      <w:r>
        <w:rPr>
          <w:rFonts w:ascii="Arial" w:cs="Arial" w:eastAsia="Arial" w:hAnsi="Arial"/>
          <w:sz w:val="16"/>
          <w:szCs w:val="16"/>
          <w:color w:val="auto"/>
        </w:rPr>
        <w:t>The distributions of New Common Stock and New Tranche B Senior Unsecured Notes to be made under the Plan to Holders of Allowed Prepetition Notes Claims shall be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Holders of Allowed Prepetition Notes Claims in accordance with the Prepetition Notes Indenture or as set forth below. Notwithstanding anything to the contrary in the Plan, the Prepetition Notes Indenture Trustee may transfer or direct the transfer of such distributions through the facilities of DTC and, in such event, will be entitled to recognize and deal for all purposes under the Plan with Holders of the Prepetition Notes to the extent consistent with the policies or customary practices of DTC. If such distributions cannot be made through the facilities of DTC, the Debtors or Reorganized Debtors, as applicable, shall implement procedures in consultation with the Prepetition Notes Indenture Trustee to make distributions with respect to the Prepetition Notes. The Debtors or Reorganized Debtors (as applicable) shall use their best efforts to make the New Common Stock and New Tranche B Senior Unsecured Notes to be distributed to Holders of the Prepetition Notes eligible for distribution through the facilities of DTC. The distributions of Subscription Rights under the Plan to Holders of Allowed Prepetition Notes Claims shall be made by the Voting and Claims Agent as provided in the Rights Offering Procedures. The obligations of the Prepetition Notes Indenture Trustee under the Prepetition Notes Indentures, the Prepetition Notes, and the Plan shall be deemed fully satisfied upon DTC’s receipt of the distributions with respect to the Prepetition Notes.</w:t>
      </w:r>
    </w:p>
    <w:p>
      <w:pPr>
        <w:spacing w:after="0" w:line="17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distributions of New Common Stock and New Warrants to be made under the Plan to Holders of Allowed Existing Common Stock shall be made by the Debtors or Reorganized Debtors, as applicable, and may include the distribution of that New Common Stock and New</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1" w:name="page72"/>
    <w:bookmarkEnd w:id="71"/>
    <w:p>
      <w:pPr>
        <w:ind w:right="80"/>
        <w:spacing w:after="0" w:line="308" w:lineRule="auto"/>
        <w:rPr>
          <w:sz w:val="20"/>
          <w:szCs w:val="20"/>
          <w:color w:val="auto"/>
        </w:rPr>
      </w:pPr>
      <w:r>
        <w:rPr>
          <w:rFonts w:ascii="Arial" w:cs="Arial" w:eastAsia="Arial" w:hAnsi="Arial"/>
          <w:sz w:val="17"/>
          <w:szCs w:val="17"/>
          <w:color w:val="auto"/>
        </w:rPr>
        <w:t>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43"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Distributions; Undeliverable or Unclaimed Distributions</w:t>
      </w:r>
    </w:p>
    <w:p>
      <w:pPr>
        <w:spacing w:after="0" w:line="229" w:lineRule="exact"/>
        <w:rPr>
          <w:sz w:val="20"/>
          <w:szCs w:val="20"/>
          <w:color w:val="auto"/>
        </w:rPr>
      </w:pPr>
    </w:p>
    <w:p>
      <w:pPr>
        <w:ind w:left="1940" w:hanging="635"/>
        <w:spacing w:after="0"/>
        <w:tabs>
          <w:tab w:leader="none" w:pos="19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60" w:firstLine="729"/>
        <w:spacing w:after="0" w:line="270" w:lineRule="auto"/>
        <w:rPr>
          <w:sz w:val="20"/>
          <w:szCs w:val="20"/>
          <w:color w:val="auto"/>
        </w:rPr>
      </w:pPr>
      <w:r>
        <w:rPr>
          <w:rFonts w:ascii="Arial" w:cs="Arial" w:eastAsia="Arial" w:hAnsi="Arial"/>
          <w:sz w:val="17"/>
          <w:szCs w:val="17"/>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the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1960" w:hanging="655"/>
        <w:spacing w:after="0"/>
        <w:tabs>
          <w:tab w:leader="none" w:pos="19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960" w:hanging="655"/>
        <w:spacing w:after="0"/>
        <w:tabs>
          <w:tab w:leader="none" w:pos="19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the Plan would otherwise be called for, the actual payment or distribution will reflect a rounding of such fraction down to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p>
      <w:pPr>
        <w:ind w:right="100"/>
        <w:spacing w:after="0" w:line="308" w:lineRule="auto"/>
        <w:rPr>
          <w:sz w:val="20"/>
          <w:szCs w:val="20"/>
          <w:color w:val="auto"/>
        </w:rPr>
      </w:pPr>
      <w:r>
        <w:rPr>
          <w:rFonts w:ascii="Arial" w:cs="Arial" w:eastAsia="Arial" w:hAnsi="Arial"/>
          <w:sz w:val="17"/>
          <w:szCs w:val="17"/>
          <w:color w:val="auto"/>
        </w:rPr>
        <w:t>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47"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the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of the Plan.</w:t>
      </w:r>
    </w:p>
    <w:p>
      <w:pPr>
        <w:spacing w:after="0" w:line="188" w:lineRule="exact"/>
        <w:rPr>
          <w:sz w:val="20"/>
          <w:szCs w:val="20"/>
          <w:color w:val="auto"/>
        </w:rPr>
      </w:pPr>
    </w:p>
    <w:p>
      <w:pPr>
        <w:ind w:left="1960" w:hanging="655"/>
        <w:spacing w:after="0"/>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sz w:val="20"/>
          <w:szCs w:val="20"/>
          <w:color w:val="auto"/>
        </w:rPr>
      </w:pPr>
    </w:p>
    <w:p>
      <w:pPr>
        <w:ind w:left="1620" w:right="40" w:hanging="315"/>
        <w:spacing w:after="0" w:line="271" w:lineRule="auto"/>
        <w:tabs>
          <w:tab w:leader="none" w:pos="1584" w:val="left"/>
        </w:tabs>
        <w:numPr>
          <w:ilvl w:val="0"/>
          <w:numId w:val="156"/>
        </w:numPr>
        <w:rPr>
          <w:rFonts w:ascii="Arial" w:cs="Arial" w:eastAsia="Arial" w:hAnsi="Arial"/>
          <w:sz w:val="17"/>
          <w:szCs w:val="17"/>
          <w:color w:val="auto"/>
        </w:rPr>
      </w:pPr>
      <w:r>
        <w:rPr>
          <w:rFonts w:ascii="Arial" w:cs="Arial" w:eastAsia="Arial" w:hAnsi="Arial"/>
          <w:sz w:val="17"/>
          <w:szCs w:val="17"/>
          <w:i w:val="1"/>
          <w:iCs w:val="1"/>
          <w:u w:val="single" w:color="auto"/>
          <w:color w:val="auto"/>
        </w:rPr>
        <w:t>Holding of Certain Undeliverable Distributions</w:t>
      </w:r>
      <w:r>
        <w:rPr>
          <w:rFonts w:ascii="Arial" w:cs="Arial" w:eastAsia="Arial" w:hAnsi="Arial"/>
          <w:sz w:val="17"/>
          <w:szCs w:val="17"/>
          <w:color w:val="auto"/>
        </w:rPr>
        <w:t>: If the distribution to any Holder of an Allowed Claim or an Allowed Equity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7"/>
          <w:szCs w:val="17"/>
          <w:u w:val="single" w:color="auto"/>
          <w:color w:val="auto"/>
        </w:rPr>
        <w:t>Article VII.D.4(b)</w:t>
      </w:r>
      <w:r>
        <w:rPr>
          <w:rFonts w:ascii="Arial" w:cs="Arial" w:eastAsia="Arial" w:hAnsi="Arial"/>
          <w:sz w:val="17"/>
          <w:szCs w:val="17"/>
          <w:color w:val="auto"/>
        </w:rPr>
        <w:t xml:space="preserve"> of the Plan,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7"/>
          <w:szCs w:val="17"/>
          <w:u w:val="single" w:color="auto"/>
          <w:color w:val="auto"/>
        </w:rPr>
        <w:t>Article VII.D.4(b)</w:t>
      </w:r>
      <w:r>
        <w:rPr>
          <w:rFonts w:ascii="Arial" w:cs="Arial" w:eastAsia="Arial" w:hAnsi="Arial"/>
          <w:sz w:val="17"/>
          <w:szCs w:val="17"/>
          <w:color w:val="auto"/>
        </w:rPr>
        <w:t xml:space="preserve"> of the Plan, until such time as any such distributions become deliverable. Undeliverable distributions will not be entitled to any additional interest, dividends or other accruals of any kind on account of their distribution being undeliverable.</w:t>
      </w:r>
    </w:p>
    <w:p>
      <w:pPr>
        <w:spacing w:after="0" w:line="178" w:lineRule="exact"/>
        <w:rPr>
          <w:rFonts w:ascii="Arial" w:cs="Arial" w:eastAsia="Arial" w:hAnsi="Arial"/>
          <w:sz w:val="17"/>
          <w:szCs w:val="17"/>
          <w:color w:val="auto"/>
        </w:rPr>
      </w:pPr>
    </w:p>
    <w:p>
      <w:pPr>
        <w:ind w:left="1620" w:hanging="315"/>
        <w:spacing w:after="0" w:line="287" w:lineRule="auto"/>
        <w:tabs>
          <w:tab w:leader="none" w:pos="1584" w:val="left"/>
        </w:tabs>
        <w:numPr>
          <w:ilvl w:val="0"/>
          <w:numId w:val="156"/>
        </w:numPr>
        <w:rPr>
          <w:rFonts w:ascii="Arial" w:cs="Arial" w:eastAsia="Arial" w:hAnsi="Arial"/>
          <w:sz w:val="16"/>
          <w:szCs w:val="16"/>
          <w:color w:val="auto"/>
        </w:rPr>
      </w:pPr>
      <w:r>
        <w:rPr>
          <w:rFonts w:ascii="Arial" w:cs="Arial" w:eastAsia="Arial" w:hAnsi="Arial"/>
          <w:sz w:val="16"/>
          <w:szCs w:val="16"/>
          <w:i w:val="1"/>
          <w:iCs w:val="1"/>
          <w:u w:val="single" w:color="auto"/>
          <w:color w:val="auto"/>
        </w:rPr>
        <w:t>Failure to Claim Undeliverable Distributions</w:t>
      </w:r>
      <w:r>
        <w:rPr>
          <w:rFonts w:ascii="Arial" w:cs="Arial" w:eastAsia="Arial" w:hAnsi="Arial"/>
          <w:sz w:val="16"/>
          <w:szCs w:val="16"/>
          <w:color w:val="auto"/>
        </w:rPr>
        <w:t>: Any Holder of an Allowed Claim or an Allowed Equity Interest (or any successor or</w:t>
      </w:r>
      <w:r>
        <w:rPr>
          <w:rFonts w:ascii="Arial" w:cs="Arial" w:eastAsia="Arial" w:hAnsi="Arial"/>
          <w:sz w:val="16"/>
          <w:szCs w:val="16"/>
          <w:i w:val="1"/>
          <w:iCs w:val="1"/>
          <w:color w:val="auto"/>
        </w:rPr>
        <w:t xml:space="preserve"> </w:t>
      </w:r>
      <w:r>
        <w:rPr>
          <w:rFonts w:ascii="Arial" w:cs="Arial" w:eastAsia="Arial" w:hAnsi="Arial"/>
          <w:sz w:val="16"/>
          <w:szCs w:val="16"/>
          <w:color w:val="auto"/>
        </w:rPr>
        <w:t>assignee or other Person or Entity claiming by, through, or on behalf of, such Holder) that does not assert a right pursuant to the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the Plan. Nothing contained in the Plan will require the Debtors, the Reorganized Debtors, or any Distribution Agent to attempt to locate any Holder of an Allowed Claim or an Allowed Equity Interest.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3" w:name="page74"/>
    <w:bookmarkEnd w:id="73"/>
    <w:p>
      <w:pPr>
        <w:ind w:left="1620" w:right="80" w:hanging="315"/>
        <w:spacing w:after="0" w:line="288" w:lineRule="auto"/>
        <w:tabs>
          <w:tab w:leader="none" w:pos="1584" w:val="left"/>
        </w:tabs>
        <w:numPr>
          <w:ilvl w:val="1"/>
          <w:numId w:val="157"/>
        </w:numPr>
        <w:rPr>
          <w:rFonts w:ascii="Arial" w:cs="Arial" w:eastAsia="Arial" w:hAnsi="Arial"/>
          <w:sz w:val="16"/>
          <w:szCs w:val="16"/>
          <w:color w:val="auto"/>
        </w:rPr>
      </w:pPr>
      <w:r>
        <w:rPr>
          <w:rFonts w:ascii="Arial" w:cs="Arial" w:eastAsia="Arial" w:hAnsi="Arial"/>
          <w:sz w:val="16"/>
          <w:szCs w:val="16"/>
          <w:i w:val="1"/>
          <w:iCs w:val="1"/>
          <w:u w:val="single" w:color="auto"/>
          <w:color w:val="auto"/>
        </w:rPr>
        <w:t>Failure to Present Checks</w:t>
      </w:r>
      <w:r>
        <w:rPr>
          <w:rFonts w:ascii="Arial" w:cs="Arial" w:eastAsia="Arial" w:hAnsi="Arial"/>
          <w:sz w:val="16"/>
          <w:szCs w:val="16"/>
          <w:color w:val="auto"/>
        </w:rPr>
        <w:t>: Checks issued by the Distribution Agent on account of Allowed Claims or Allowed Equity Interests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 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the Plan.</w:t>
      </w:r>
    </w:p>
    <w:p>
      <w:pPr>
        <w:spacing w:after="0" w:line="165" w:lineRule="exact"/>
        <w:rPr>
          <w:rFonts w:ascii="Arial" w:cs="Arial" w:eastAsia="Arial" w:hAnsi="Arial"/>
          <w:sz w:val="16"/>
          <w:szCs w:val="16"/>
          <w:color w:val="auto"/>
        </w:rPr>
      </w:pPr>
    </w:p>
    <w:p>
      <w:pPr>
        <w:ind w:left="1300" w:hanging="644"/>
        <w:spacing w:after="0"/>
        <w:tabs>
          <w:tab w:leader="none" w:pos="13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Tax Requirements</w:t>
      </w:r>
    </w:p>
    <w:p>
      <w:pPr>
        <w:spacing w:after="0" w:line="229" w:lineRule="exact"/>
        <w:rPr>
          <w:sz w:val="20"/>
          <w:szCs w:val="20"/>
          <w:color w:val="auto"/>
        </w:rPr>
      </w:pPr>
    </w:p>
    <w:p>
      <w:pPr>
        <w:ind w:right="80" w:firstLine="662"/>
        <w:spacing w:after="0" w:line="270" w:lineRule="auto"/>
        <w:rPr>
          <w:sz w:val="20"/>
          <w:szCs w:val="20"/>
          <w:color w:val="auto"/>
        </w:rPr>
      </w:pPr>
      <w:r>
        <w:rPr>
          <w:rFonts w:ascii="Arial" w:cs="Arial" w:eastAsia="Arial" w:hAnsi="Arial"/>
          <w:sz w:val="17"/>
          <w:szCs w:val="17"/>
          <w:color w:val="auto"/>
        </w:rPr>
        <w:t>In connection with the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the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Article VII.E of the Plan will be treated as if distributed to the Holder of the Allowed Claim.</w:t>
      </w:r>
    </w:p>
    <w:p>
      <w:pPr>
        <w:spacing w:after="0" w:line="178"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Means of Cash Payment</w:t>
      </w:r>
    </w:p>
    <w:p>
      <w:pPr>
        <w:spacing w:after="0" w:line="229"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Payments of Cash made pursuant to the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the Plan to the DIP Agent on account of the DIP Facility Claims shall be made by wire transfer.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p>
      <w:pPr>
        <w:ind w:left="1300" w:hanging="644"/>
        <w:spacing w:after="0"/>
        <w:tabs>
          <w:tab w:leader="none" w:pos="130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Calculation of Amounts to Be Distributed</w:t>
      </w:r>
    </w:p>
    <w:p>
      <w:pPr>
        <w:spacing w:after="0" w:line="229" w:lineRule="exact"/>
        <w:rPr>
          <w:sz w:val="20"/>
          <w:szCs w:val="20"/>
          <w:color w:val="auto"/>
        </w:rPr>
      </w:pPr>
    </w:p>
    <w:p>
      <w:pPr>
        <w:ind w:right="80" w:firstLine="652"/>
        <w:spacing w:after="0" w:line="255"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the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Plan. Except as otherwise provided herein, Holders of Claims will not be entitled to interest, dividends or accruals on the distributions provided for herein, regardless of whether such distributions are delivered on or at any time after the Effective Date.</w:t>
      </w:r>
    </w:p>
    <w:p>
      <w:pPr>
        <w:spacing w:after="0" w:line="185"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Setoffs</w:t>
      </w:r>
    </w:p>
    <w:p>
      <w:pPr>
        <w:spacing w:after="0" w:line="229" w:lineRule="exact"/>
        <w:rPr>
          <w:sz w:val="20"/>
          <w:szCs w:val="20"/>
          <w:color w:val="auto"/>
        </w:rPr>
      </w:pPr>
    </w:p>
    <w:p>
      <w:pPr>
        <w:ind w:firstLine="652"/>
        <w:spacing w:after="0" w:line="286" w:lineRule="auto"/>
        <w:rPr>
          <w:sz w:val="20"/>
          <w:szCs w:val="20"/>
          <w:color w:val="auto"/>
        </w:rPr>
      </w:pPr>
      <w:r>
        <w:rPr>
          <w:rFonts w:ascii="Arial" w:cs="Arial" w:eastAsia="Arial" w:hAnsi="Arial"/>
          <w:sz w:val="16"/>
          <w:szCs w:val="16"/>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the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5" w:name="page76"/>
    <w:bookmarkEnd w:id="75"/>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RESOLVING CONTINGENT, UNLIQUIDATED AND DISPUTED CLAIMS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Disputed Claims and Equity Interests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2"/>
          <w:numId w:val="161"/>
        </w:numPr>
        <w:rPr>
          <w:rFonts w:ascii="Arial" w:cs="Arial" w:eastAsia="Arial" w:hAnsi="Arial"/>
          <w:sz w:val="18"/>
          <w:szCs w:val="18"/>
          <w:color w:val="auto"/>
        </w:rPr>
      </w:pPr>
      <w:r>
        <w:rPr>
          <w:rFonts w:ascii="Arial" w:cs="Arial" w:eastAsia="Arial" w:hAnsi="Arial"/>
          <w:sz w:val="18"/>
          <w:szCs w:val="18"/>
          <w:u w:val="single" w:color="auto"/>
          <w:color w:val="auto"/>
        </w:rPr>
        <w:t>Allowance of Claims and Equity Interests</w:t>
      </w:r>
    </w:p>
    <w:p>
      <w:pPr>
        <w:spacing w:after="0" w:line="225" w:lineRule="exact"/>
        <w:rPr>
          <w:sz w:val="20"/>
          <w:szCs w:val="20"/>
          <w:color w:val="auto"/>
        </w:rPr>
      </w:pPr>
    </w:p>
    <w:p>
      <w:pPr>
        <w:ind w:right="40" w:firstLine="652"/>
        <w:spacing w:after="0" w:line="276" w:lineRule="auto"/>
        <w:rPr>
          <w:sz w:val="20"/>
          <w:szCs w:val="20"/>
          <w:color w:val="auto"/>
        </w:rPr>
      </w:pPr>
      <w:r>
        <w:rPr>
          <w:rFonts w:ascii="Arial" w:cs="Arial" w:eastAsia="Arial" w:hAnsi="Arial"/>
          <w:sz w:val="17"/>
          <w:szCs w:val="17"/>
          <w:color w:val="auto"/>
        </w:rPr>
        <w:t>After the Effective Date, and except as otherwise provided in the Plan, the Reorganized Debtors will have and will retain any and all available rights and defenses that the Debtors had 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73" w:lineRule="exact"/>
        <w:rPr>
          <w:sz w:val="20"/>
          <w:szCs w:val="20"/>
          <w:color w:val="auto"/>
        </w:rPr>
      </w:pPr>
    </w:p>
    <w:p>
      <w:pPr>
        <w:ind w:left="1960" w:hanging="655"/>
        <w:spacing w:after="0"/>
        <w:tabs>
          <w:tab w:leader="none" w:pos="19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firstLine="652"/>
        <w:spacing w:after="0" w:line="290" w:lineRule="auto"/>
        <w:rPr>
          <w:sz w:val="20"/>
          <w:szCs w:val="20"/>
          <w:color w:val="auto"/>
        </w:rPr>
      </w:pPr>
      <w:r>
        <w:rPr>
          <w:rFonts w:ascii="Arial" w:cs="Arial" w:eastAsia="Arial" w:hAnsi="Arial"/>
          <w:sz w:val="16"/>
          <w:szCs w:val="16"/>
          <w:color w:val="auto"/>
        </w:rPr>
        <w:t xml:space="preserve">After the Confirmation Date but before the Effective Date, the Debtors (in consultation with the Ad Hoc Noteholder Committee), and after the Effective Date, the Reorganized Debtors, will have the authority to File objections to Claims and Equity Interests (other than those that are Allowed under the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66" w:lineRule="exact"/>
        <w:rPr>
          <w:sz w:val="20"/>
          <w:szCs w:val="20"/>
          <w:color w:val="auto"/>
        </w:rPr>
      </w:pPr>
    </w:p>
    <w:p>
      <w:pPr>
        <w:ind w:left="1960" w:hanging="655"/>
        <w:spacing w:after="0"/>
        <w:tabs>
          <w:tab w:leader="none" w:pos="19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20" w:firstLine="652"/>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6" w:name="page77"/>
    <w:bookmarkEnd w:id="76"/>
    <w:p>
      <w:pPr>
        <w:ind w:left="1960" w:hanging="655"/>
        <w:spacing w:after="0"/>
        <w:tabs>
          <w:tab w:leader="none" w:pos="19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Except as otherwise provided in the Plan, including, without limitation Article VI.G,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Debtors and the Reorganized Debtors, as applicable, reserve the right to object to any Claim or Equity Interest that is entitled, or deemed to be entitled, to a distribution under the Plan or is rendered Unimpaired under the Plan. Instead, the Debtors intend to make distributions, as required by the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or any other appropriate motion or adversary proceeding with respect thereto. All such objections will be litigated to Final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Debtors may, with the consent of the Required Consenting Noteholders, compromise, settle, withdraw or resolve by any other method approved by the Bankruptcy Court any objections to Claims or Equity Interests.</w:t>
      </w:r>
    </w:p>
    <w:p>
      <w:pPr>
        <w:spacing w:after="0" w:line="165" w:lineRule="exact"/>
        <w:rPr>
          <w:sz w:val="20"/>
          <w:szCs w:val="20"/>
          <w:color w:val="auto"/>
        </w:rPr>
      </w:pPr>
    </w:p>
    <w:p>
      <w:pPr>
        <w:ind w:left="1300" w:hanging="644"/>
        <w:spacing w:after="0"/>
        <w:tabs>
          <w:tab w:leader="none" w:pos="130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No Distributions Pending Allowance</w:t>
      </w:r>
    </w:p>
    <w:p>
      <w:pPr>
        <w:spacing w:after="0" w:line="229" w:lineRule="exact"/>
        <w:rPr>
          <w:sz w:val="20"/>
          <w:szCs w:val="20"/>
          <w:color w:val="auto"/>
        </w:rPr>
      </w:pPr>
    </w:p>
    <w:p>
      <w:pPr>
        <w:ind w:firstLine="652"/>
        <w:spacing w:after="0" w:line="276" w:lineRule="auto"/>
        <w:rPr>
          <w:sz w:val="20"/>
          <w:szCs w:val="20"/>
          <w:color w:val="auto"/>
        </w:rPr>
      </w:pPr>
      <w:r>
        <w:rPr>
          <w:rFonts w:ascii="Arial" w:cs="Arial" w:eastAsia="Arial" w:hAnsi="Arial"/>
          <w:sz w:val="17"/>
          <w:szCs w:val="17"/>
          <w:color w:val="auto"/>
        </w:rPr>
        <w:t xml:space="preserve">Notwithstanding any other provision of the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the Plan to Holders of Allowed Prepetition Notes Claims will be made in full on the Initial Distribution Date, regardless of whether such Holders hold any Disputed Claims.</w:t>
      </w:r>
    </w:p>
    <w:p>
      <w:pPr>
        <w:spacing w:after="0" w:line="169" w:lineRule="exact"/>
        <w:rPr>
          <w:sz w:val="20"/>
          <w:szCs w:val="20"/>
          <w:color w:val="auto"/>
        </w:rPr>
      </w:pPr>
    </w:p>
    <w:p>
      <w:pPr>
        <w:ind w:left="1300" w:right="180" w:hanging="644"/>
        <w:spacing w:after="0" w:line="282" w:lineRule="auto"/>
        <w:tabs>
          <w:tab w:leader="none" w:pos="13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on Account of Disputed Claims and Disputed Equity Interests Once They Are Allowed and Additional Distributions on Account of Previously Allowed Claims and Allowed Equity Interests</w:t>
      </w:r>
    </w:p>
    <w:p>
      <w:pPr>
        <w:spacing w:after="0" w:line="166" w:lineRule="exact"/>
        <w:rPr>
          <w:sz w:val="20"/>
          <w:szCs w:val="20"/>
          <w:color w:val="auto"/>
        </w:rPr>
      </w:pPr>
    </w:p>
    <w:p>
      <w:pPr>
        <w:ind w:right="200" w:firstLine="652"/>
        <w:spacing w:after="0" w:line="279" w:lineRule="auto"/>
        <w:rPr>
          <w:sz w:val="20"/>
          <w:szCs w:val="20"/>
          <w:color w:val="auto"/>
        </w:rPr>
      </w:pPr>
      <w:r>
        <w:rPr>
          <w:rFonts w:ascii="Arial" w:cs="Arial" w:eastAsia="Arial" w:hAnsi="Arial"/>
          <w:sz w:val="17"/>
          <w:szCs w:val="17"/>
          <w:color w:val="auto"/>
        </w:rPr>
        <w:t>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right="100"/>
        <w:spacing w:after="0" w:line="273" w:lineRule="auto"/>
        <w:rPr>
          <w:sz w:val="20"/>
          <w:szCs w:val="20"/>
          <w:color w:val="auto"/>
        </w:rPr>
      </w:pPr>
      <w:r>
        <w:rPr>
          <w:rFonts w:ascii="Arial" w:cs="Arial" w:eastAsia="Arial" w:hAnsi="Arial"/>
          <w:sz w:val="17"/>
          <w:szCs w:val="17"/>
          <w:color w:val="auto"/>
        </w:rPr>
        <w:t xml:space="preserve">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the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of the Plan, any dividends or other distributions arising from property distributed to holders of Allowed Claims and Allowed Equity Interests in a Class and paid to such Holders under the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4" w:lineRule="exact"/>
        <w:rPr>
          <w:sz w:val="20"/>
          <w:szCs w:val="20"/>
          <w:color w:val="auto"/>
        </w:rPr>
      </w:pPr>
    </w:p>
    <w:p>
      <w:pPr>
        <w:ind w:left="1300" w:hanging="644"/>
        <w:spacing w:after="0"/>
        <w:tabs>
          <w:tab w:leader="none" w:pos="130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Reserve for Disputed Claims and Disputed Equity Interests</w:t>
      </w:r>
    </w:p>
    <w:p>
      <w:pPr>
        <w:spacing w:after="0" w:line="229" w:lineRule="exact"/>
        <w:rPr>
          <w:sz w:val="20"/>
          <w:szCs w:val="20"/>
          <w:color w:val="auto"/>
        </w:rPr>
      </w:pPr>
    </w:p>
    <w:p>
      <w:pPr>
        <w:ind w:firstLine="652"/>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the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5"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CONFIRMATION AND CONSUMMATION OF THE PLAN</w:t>
      </w:r>
    </w:p>
    <w:p>
      <w:pPr>
        <w:spacing w:after="0" w:line="225"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Confirmation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of the Plan, the following are conditions precedent to Confirmation of the Plan.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ind w:left="1960" w:hanging="655"/>
        <w:spacing w:after="0" w:line="257" w:lineRule="auto"/>
        <w:tabs>
          <w:tab w:leader="none" w:pos="195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 otherwise consistent with the Restructuring Term Sheet and the Restructuring Support Agreement;</w:t>
      </w:r>
    </w:p>
    <w:p>
      <w:pPr>
        <w:spacing w:after="0" w:line="188" w:lineRule="exact"/>
        <w:rPr>
          <w:rFonts w:ascii="Arial" w:cs="Arial" w:eastAsia="Arial" w:hAnsi="Arial"/>
          <w:sz w:val="18"/>
          <w:szCs w:val="18"/>
          <w:color w:val="auto"/>
        </w:rPr>
      </w:pPr>
    </w:p>
    <w:p>
      <w:pPr>
        <w:ind w:left="1960" w:right="120" w:hanging="655"/>
        <w:spacing w:after="0" w:line="297" w:lineRule="auto"/>
        <w:tabs>
          <w:tab w:leader="none" w:pos="1967"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Restructuring Support Agreement is in full force and effect and has not been terminated in accordance with its terms.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Conditions Precedent to Consummation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of the Plan, the following are conditions precedent to Consummation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940" w:hanging="635"/>
        <w:spacing w:after="0"/>
        <w:tabs>
          <w:tab w:leader="none" w:pos="19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Confirmation Order has become a Final Order and such order has not been amended, modified, vacated, stayed, or reversed;</w:t>
      </w:r>
    </w:p>
    <w:p>
      <w:pPr>
        <w:spacing w:after="0" w:line="248" w:lineRule="exact"/>
        <w:rPr>
          <w:rFonts w:ascii="Arial" w:cs="Arial" w:eastAsia="Arial" w:hAnsi="Arial"/>
          <w:sz w:val="16"/>
          <w:szCs w:val="16"/>
          <w:color w:val="auto"/>
        </w:rPr>
      </w:pPr>
    </w:p>
    <w:p>
      <w:pPr>
        <w:ind w:left="1960" w:right="100" w:hanging="655"/>
        <w:spacing w:after="0" w:line="312" w:lineRule="auto"/>
        <w:tabs>
          <w:tab w:leader="none" w:pos="196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the Plan and the Plan Supplement;</w:t>
      </w:r>
    </w:p>
    <w:p>
      <w:pPr>
        <w:spacing w:after="0" w:line="146" w:lineRule="exact"/>
        <w:rPr>
          <w:rFonts w:ascii="Arial" w:cs="Arial" w:eastAsia="Arial" w:hAnsi="Arial"/>
          <w:sz w:val="16"/>
          <w:szCs w:val="16"/>
          <w:color w:val="auto"/>
        </w:rPr>
      </w:pPr>
    </w:p>
    <w:p>
      <w:pPr>
        <w:ind w:left="1960" w:right="40" w:hanging="655"/>
        <w:spacing w:after="0" w:line="257" w:lineRule="auto"/>
        <w:tabs>
          <w:tab w:leader="none" w:pos="197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Credit Agreement, in form and substance satisfactory or reasonably satisfactory, as applicable, to the DIP Agent and the DIP Required Lenders in the manner set forth in the DIP Facility Documents;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9" w:name="page80"/>
    <w:bookmarkEnd w:id="79"/>
    <w:p>
      <w:pPr>
        <w:ind w:left="760" w:right="100" w:hanging="655"/>
        <w:spacing w:after="0" w:line="255" w:lineRule="auto"/>
        <w:tabs>
          <w:tab w:leader="none" w:pos="76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the Plan;</w:t>
      </w:r>
    </w:p>
    <w:p>
      <w:pPr>
        <w:spacing w:after="0" w:line="193" w:lineRule="exact"/>
        <w:rPr>
          <w:rFonts w:ascii="Arial" w:cs="Arial" w:eastAsia="Arial" w:hAnsi="Arial"/>
          <w:sz w:val="18"/>
          <w:szCs w:val="18"/>
          <w:color w:val="auto"/>
        </w:rPr>
      </w:pPr>
    </w:p>
    <w:p>
      <w:pPr>
        <w:ind w:left="760" w:right="200" w:hanging="655"/>
        <w:spacing w:after="0" w:line="302" w:lineRule="auto"/>
        <w:tabs>
          <w:tab w:leader="none" w:pos="77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the Plan and all conditions precedent to issuance of the New Tranche A Senior Unsecured Notes have been satisfied or waived;</w:t>
      </w:r>
    </w:p>
    <w:p>
      <w:pPr>
        <w:spacing w:after="0" w:line="154" w:lineRule="exact"/>
        <w:rPr>
          <w:rFonts w:ascii="Arial" w:cs="Arial" w:eastAsia="Arial" w:hAnsi="Arial"/>
          <w:sz w:val="16"/>
          <w:szCs w:val="16"/>
          <w:color w:val="auto"/>
        </w:rPr>
      </w:pPr>
    </w:p>
    <w:p>
      <w:pPr>
        <w:ind w:left="760" w:right="40" w:hanging="655"/>
        <w:spacing w:after="0" w:line="312" w:lineRule="auto"/>
        <w:tabs>
          <w:tab w:leader="none" w:pos="76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documents governing the New Tranche B Senior Unsecured Notes, which shall be in form and substance acceptable to the Debtors and the Required Consenting Noteholders, have become effective or will become effective concurrently with effectiveness of the Plan and all conditions precedent to issuance of the New Tranche B Senior Unsecured Notes have been satisfied or waived;</w:t>
      </w:r>
    </w:p>
    <w:p>
      <w:pPr>
        <w:spacing w:after="0" w:line="146" w:lineRule="exact"/>
        <w:rPr>
          <w:rFonts w:ascii="Arial" w:cs="Arial" w:eastAsia="Arial" w:hAnsi="Arial"/>
          <w:sz w:val="16"/>
          <w:szCs w:val="16"/>
          <w:color w:val="auto"/>
        </w:rPr>
      </w:pPr>
    </w:p>
    <w:p>
      <w:pPr>
        <w:ind w:left="760" w:right="80" w:hanging="655"/>
        <w:spacing w:after="0" w:line="277" w:lineRule="auto"/>
        <w:tabs>
          <w:tab w:leader="none" w:pos="78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the Plan, in accordance with the terms of the DIP Credit Agreement;</w:t>
      </w:r>
    </w:p>
    <w:p>
      <w:pPr>
        <w:spacing w:after="0" w:line="170" w:lineRule="exact"/>
        <w:rPr>
          <w:rFonts w:ascii="Arial" w:cs="Arial" w:eastAsia="Arial" w:hAnsi="Arial"/>
          <w:sz w:val="18"/>
          <w:szCs w:val="18"/>
          <w:color w:val="auto"/>
        </w:rPr>
      </w:pPr>
    </w:p>
    <w:p>
      <w:pPr>
        <w:ind w:left="760" w:hanging="655"/>
        <w:spacing w:after="0" w:line="342" w:lineRule="auto"/>
        <w:tabs>
          <w:tab w:leader="none" w:pos="76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23" w:lineRule="exact"/>
        <w:rPr>
          <w:rFonts w:ascii="Arial" w:cs="Arial" w:eastAsia="Arial" w:hAnsi="Arial"/>
          <w:sz w:val="16"/>
          <w:szCs w:val="16"/>
          <w:color w:val="auto"/>
        </w:rPr>
      </w:pPr>
    </w:p>
    <w:p>
      <w:pPr>
        <w:ind w:left="760" w:hanging="655"/>
        <w:spacing w:after="0" w:line="264" w:lineRule="auto"/>
        <w:tabs>
          <w:tab w:leader="none" w:pos="78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Amended/New Corporate Governance Documents, which shall be in form and substance acceptable to the Required Consenting Noteholders in their sole discretion, have become effective or will become effective concurrently with the effectiveness of the Plan;</w:t>
      </w:r>
    </w:p>
    <w:p>
      <w:pPr>
        <w:spacing w:after="0" w:line="181" w:lineRule="exact"/>
        <w:rPr>
          <w:rFonts w:ascii="Arial" w:cs="Arial" w:eastAsia="Arial" w:hAnsi="Arial"/>
          <w:sz w:val="18"/>
          <w:szCs w:val="18"/>
          <w:color w:val="auto"/>
        </w:rPr>
      </w:pPr>
    </w:p>
    <w:p>
      <w:pPr>
        <w:ind w:left="760" w:right="240" w:hanging="655"/>
        <w:spacing w:after="0" w:line="259" w:lineRule="auto"/>
        <w:tabs>
          <w:tab w:leader="none" w:pos="7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Irish Scheme of Arrangement has been approved by the High Court of Ireland,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the Plan;</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80" w:name="page81"/>
    <w:bookmarkEnd w:id="80"/>
    <w:p>
      <w:pPr>
        <w:ind w:left="1960" w:hanging="655"/>
        <w:spacing w:after="0" w:line="257" w:lineRule="auto"/>
        <w:tabs>
          <w:tab w:leader="none" w:pos="196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the Plan.</w:t>
      </w:r>
    </w:p>
    <w:p>
      <w:pPr>
        <w:spacing w:after="0" w:line="188" w:lineRule="exact"/>
        <w:rPr>
          <w:rFonts w:ascii="Arial" w:cs="Arial" w:eastAsia="Arial" w:hAnsi="Arial"/>
          <w:sz w:val="18"/>
          <w:szCs w:val="18"/>
          <w:color w:val="auto"/>
        </w:rPr>
      </w:pPr>
    </w:p>
    <w:p>
      <w:pPr>
        <w:ind w:left="1960" w:right="120" w:hanging="655"/>
        <w:spacing w:after="0" w:line="259" w:lineRule="auto"/>
        <w:tabs>
          <w:tab w:leader="none" w:pos="198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consents, actions, documents, certificates and agreements necessary to implement the Plan and the transactions contemplated by the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86" w:lineRule="exact"/>
        <w:rPr>
          <w:rFonts w:ascii="Arial" w:cs="Arial" w:eastAsia="Arial" w:hAnsi="Arial"/>
          <w:sz w:val="18"/>
          <w:szCs w:val="18"/>
          <w:color w:val="auto"/>
        </w:rPr>
      </w:pPr>
    </w:p>
    <w:p>
      <w:pPr>
        <w:ind w:left="1960" w:right="140" w:hanging="655"/>
        <w:spacing w:after="0" w:line="259" w:lineRule="auto"/>
        <w:tabs>
          <w:tab w:leader="none" w:pos="1963"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the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left="1960" w:right="380" w:hanging="655"/>
        <w:spacing w:after="0" w:line="277" w:lineRule="auto"/>
        <w:tabs>
          <w:tab w:leader="none" w:pos="196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Restructuring Support Agreement is in full force and effect and has not been terminated in accordance with its terms;</w:t>
      </w:r>
    </w:p>
    <w:p>
      <w:pPr>
        <w:spacing w:after="0" w:line="236" w:lineRule="exact"/>
        <w:rPr>
          <w:rFonts w:ascii="Arial" w:cs="Arial" w:eastAsia="Arial" w:hAnsi="Arial"/>
          <w:sz w:val="17"/>
          <w:szCs w:val="17"/>
          <w:color w:val="auto"/>
        </w:rPr>
      </w:pPr>
    </w:p>
    <w:p>
      <w:pPr>
        <w:ind w:left="1960" w:hanging="655"/>
        <w:spacing w:after="0" w:line="277" w:lineRule="auto"/>
        <w:tabs>
          <w:tab w:leader="none" w:pos="196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Professional Fee Claim Reserve has been funded in full in Cash by the Debtors in accordance with the terms and conditions of the Plan;</w:t>
      </w:r>
    </w:p>
    <w:p>
      <w:pPr>
        <w:spacing w:after="0" w:line="170" w:lineRule="exact"/>
        <w:rPr>
          <w:rFonts w:ascii="Arial" w:cs="Arial" w:eastAsia="Arial" w:hAnsi="Arial"/>
          <w:sz w:val="18"/>
          <w:szCs w:val="18"/>
          <w:color w:val="auto"/>
        </w:rPr>
      </w:pPr>
    </w:p>
    <w:p>
      <w:pPr>
        <w:ind w:left="1960" w:right="200" w:hanging="655"/>
        <w:spacing w:after="0" w:line="277" w:lineRule="auto"/>
        <w:tabs>
          <w:tab w:leader="none" w:pos="197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left="1960" w:right="220" w:hanging="655"/>
        <w:spacing w:after="0" w:line="277" w:lineRule="auto"/>
        <w:tabs>
          <w:tab w:leader="none" w:pos="197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To the extent invoiced, all Ad Hoc Noteholder Committee Fees and Expenses and Prepetition Notes Indenture Trustee Fees and Expenses have been paid in full in Cash.</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p>
    <w:p>
      <w:pPr>
        <w:spacing w:after="0" w:line="229" w:lineRule="exact"/>
        <w:rPr>
          <w:sz w:val="20"/>
          <w:szCs w:val="20"/>
          <w:color w:val="auto"/>
        </w:rPr>
      </w:pPr>
    </w:p>
    <w:p>
      <w:pPr>
        <w:ind w:right="260" w:firstLine="652"/>
        <w:spacing w:after="0" w:line="277" w:lineRule="auto"/>
        <w:rPr>
          <w:sz w:val="20"/>
          <w:szCs w:val="20"/>
          <w:color w:val="auto"/>
        </w:rPr>
      </w:pPr>
      <w:r>
        <w:rPr>
          <w:rFonts w:ascii="Arial" w:cs="Arial" w:eastAsia="Arial" w:hAnsi="Arial"/>
          <w:sz w:val="18"/>
          <w:szCs w:val="18"/>
          <w:color w:val="auto"/>
        </w:rPr>
        <w:t xml:space="preserve">Subject to section 1127 of the Bankruptcy Code, the conditions to Confirmation and Consummation of the Plan set forth in </w:t>
      </w:r>
      <w:r>
        <w:rPr>
          <w:rFonts w:ascii="Arial" w:cs="Arial" w:eastAsia="Arial" w:hAnsi="Arial"/>
          <w:sz w:val="18"/>
          <w:szCs w:val="18"/>
          <w:u w:val="single" w:color="auto"/>
          <w:color w:val="auto"/>
        </w:rPr>
        <w:t>Article IX of the Plan</w:t>
      </w:r>
      <w:r>
        <w:rPr>
          <w:rFonts w:ascii="Arial" w:cs="Arial" w:eastAsia="Arial" w:hAnsi="Arial"/>
          <w:sz w:val="18"/>
          <w:szCs w:val="18"/>
          <w:color w:val="auto"/>
        </w:rPr>
        <w:t xml:space="preserve"> may be waived by the Debtors,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1" w:name="page82"/>
    <w:bookmarkEnd w:id="81"/>
    <w:p>
      <w:pPr>
        <w:ind w:right="20"/>
        <w:spacing w:after="0" w:line="279" w:lineRule="auto"/>
        <w:rPr>
          <w:sz w:val="20"/>
          <w:szCs w:val="20"/>
          <w:color w:val="auto"/>
        </w:rPr>
      </w:pPr>
      <w:r>
        <w:rPr>
          <w:rFonts w:ascii="Arial" w:cs="Arial" w:eastAsia="Arial" w:hAnsi="Arial"/>
          <w:sz w:val="17"/>
          <w:szCs w:val="17"/>
          <w:color w:val="auto"/>
        </w:rPr>
        <w:t>consent of the Required Consenting Noteholders in the manner set forth in the Restructuring Support Agreement, or, in the case of Article IX. B.15, B.19 and B.9 of the Plan, the Required Consenting Noteholders in their sole discretion, without notice, leave or order of the Bankruptcy Court or any formal action other than proceeding to confirm or consummate the Plan. The failure of the Debtors or Reorganized Debtors to exercise any of the foregoing rights will not be deemed a waiver of any other rights, and each right will be deemed an ongoing right that may be asserted at any time.</w:t>
      </w:r>
    </w:p>
    <w:p>
      <w:pPr>
        <w:spacing w:after="0" w:line="167"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Non-Occurrence of Conditions to Confirmation or Consummation</w:t>
      </w:r>
    </w:p>
    <w:p>
      <w:pPr>
        <w:spacing w:after="0" w:line="229" w:lineRule="exact"/>
        <w:rPr>
          <w:sz w:val="20"/>
          <w:szCs w:val="20"/>
          <w:color w:val="auto"/>
        </w:rPr>
      </w:pPr>
    </w:p>
    <w:p>
      <w:pPr>
        <w:ind w:right="80" w:firstLine="652"/>
        <w:spacing w:after="0" w:line="257" w:lineRule="auto"/>
        <w:rPr>
          <w:sz w:val="20"/>
          <w:szCs w:val="20"/>
          <w:color w:val="auto"/>
        </w:rPr>
      </w:pPr>
      <w:r>
        <w:rPr>
          <w:rFonts w:ascii="Arial" w:cs="Arial" w:eastAsia="Arial" w:hAnsi="Arial"/>
          <w:sz w:val="18"/>
          <w:szCs w:val="18"/>
          <w:color w:val="auto"/>
        </w:rPr>
        <w:t>If the Confirmation or the Consummation of the Plan does not occur with respect to one or more of the Debtors, then the Plan will, with respect to such applicable Debtor or Debtors, be null and void in all respects and nothing contained in the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RELEASE, DISCHARGE, INJUNCTION AND RELATED PROVISIONS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General</w:t>
      </w:r>
    </w:p>
    <w:p>
      <w:pPr>
        <w:spacing w:after="0" w:line="229" w:lineRule="exact"/>
        <w:rPr>
          <w:sz w:val="20"/>
          <w:szCs w:val="20"/>
          <w:color w:val="auto"/>
        </w:rPr>
      </w:pPr>
    </w:p>
    <w:p>
      <w:pPr>
        <w:ind w:firstLine="652"/>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the Plan, upon the Effective Date, the provisions of the Plan shall constitute a good faith compromise and settlement of all Claims and Equity Interests and controversies resolved pursuant to the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20" w:firstLine="652"/>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the Plan and the contracts, instruments, releases, indentures, and other agreements or documents delivered under or in connection with the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2" w:name="page83"/>
    <w:bookmarkEnd w:id="82"/>
    <w:p>
      <w:pPr>
        <w:ind w:left="644" w:hanging="644"/>
        <w:spacing w:after="0"/>
        <w:tabs>
          <w:tab w:leader="none" w:pos="644"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 and Causes of Action</w:t>
      </w:r>
    </w:p>
    <w:p>
      <w:pPr>
        <w:spacing w:after="0" w:line="225" w:lineRule="exact"/>
        <w:rPr>
          <w:rFonts w:ascii="Arial" w:cs="Arial" w:eastAsia="Arial" w:hAnsi="Arial"/>
          <w:sz w:val="18"/>
          <w:szCs w:val="18"/>
          <w:b w:val="1"/>
          <w:bCs w:val="1"/>
          <w:color w:val="auto"/>
        </w:rPr>
      </w:pPr>
    </w:p>
    <w:p>
      <w:pPr>
        <w:ind w:left="1304" w:hanging="655"/>
        <w:spacing w:after="0" w:line="302" w:lineRule="auto"/>
        <w:tabs>
          <w:tab w:leader="none" w:pos="1328" w:val="left"/>
        </w:tabs>
        <w:numPr>
          <w:ilvl w:val="1"/>
          <w:numId w:val="178"/>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Release by the Debtors and their Estates</w:t>
      </w:r>
      <w:r>
        <w:rPr>
          <w:rFonts w:ascii="Arial" w:cs="Arial" w:eastAsia="Arial" w:hAnsi="Arial"/>
          <w:sz w:val="15"/>
          <w:szCs w:val="15"/>
          <w:b w:val="1"/>
          <w:bCs w:val="1"/>
          <w:u w:val="single" w:color="auto"/>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Pursuant to section 1123(b) and any other applicable provisions of the Bankruptcy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Code, and except as otherwise expressly provided in the Plan, effective as of the Effective Date, for good and valuable consideration provided by each of the Released Parties, the adequacy and sufficiency of which is hereby confirmed, the Debtors and the Reorganized Debtors, in their respective individual 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5"/>
          <w:szCs w:val="15"/>
          <w:b w:val="1"/>
          <w:bCs w:val="1"/>
          <w:u w:val="single" w:color="auto"/>
          <w:color w:val="auto"/>
        </w:rPr>
        <w:t>Debtor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Releasing Parties</w:t>
      </w:r>
      <w:r>
        <w:rPr>
          <w:rFonts w:ascii="Arial" w:cs="Arial" w:eastAsia="Arial" w:hAnsi="Arial"/>
          <w:sz w:val="15"/>
          <w:szCs w:val="15"/>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5"/>
          <w:szCs w:val="15"/>
          <w:b w:val="1"/>
          <w:bCs w:val="1"/>
          <w:u w:val="single" w:color="auto"/>
          <w:color w:val="auto"/>
        </w:rPr>
        <w:t>Debtor Release</w:t>
      </w:r>
      <w:r>
        <w:rPr>
          <w:rFonts w:ascii="Arial" w:cs="Arial" w:eastAsia="Arial" w:hAnsi="Arial"/>
          <w:sz w:val="15"/>
          <w:szCs w:val="15"/>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w:t>
      </w:r>
    </w:p>
    <w:p>
      <w:pPr>
        <w:spacing w:after="0" w:line="3" w:lineRule="exact"/>
        <w:rPr>
          <w:rFonts w:ascii="Arial" w:cs="Arial" w:eastAsia="Arial" w:hAnsi="Arial"/>
          <w:sz w:val="15"/>
          <w:szCs w:val="15"/>
          <w:color w:val="auto"/>
        </w:rPr>
      </w:pPr>
    </w:p>
    <w:p>
      <w:pPr>
        <w:ind w:left="1304" w:right="80"/>
        <w:spacing w:after="0" w:line="285" w:lineRule="auto"/>
        <w:rPr>
          <w:rFonts w:ascii="Arial" w:cs="Arial" w:eastAsia="Arial" w:hAnsi="Arial"/>
          <w:sz w:val="15"/>
          <w:szCs w:val="15"/>
          <w:color w:val="auto"/>
        </w:rPr>
      </w:pPr>
      <w:r>
        <w:rPr>
          <w:rFonts w:ascii="Arial" w:cs="Arial" w:eastAsia="Arial" w:hAnsi="Arial"/>
          <w:sz w:val="16"/>
          <w:szCs w:val="16"/>
          <w:b w:val="1"/>
          <w:bCs w:val="1"/>
          <w:color w:val="auto"/>
        </w:rPr>
        <w:t>(i) the Chapter 11 Cases, the Disclosure Statement, the Plan, the Restructuring Support Agreement, the Restructuring Documents, and the DIP Financing Documents, (ii) the subject matter of, or the transactions or events giving rise to, any Claim or Equity Interest that is treated in the Plan, (iii) the business or contractual arrangements between any Debtor and any Released Parties, (iv) the negotiation, formulation or preparation of the Restructuring Support Agreement, the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the Plan or the solicitation of votes on the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37" w:right="239" w:bottom="1440" w:gutter="0" w:footer="0" w:header="0"/>
        </w:sectPr>
      </w:pPr>
    </w:p>
    <w:bookmarkStart w:id="83" w:name="page84"/>
    <w:bookmarkEnd w:id="83"/>
    <w:p>
      <w:pPr>
        <w:ind w:left="760" w:right="20"/>
        <w:spacing w:after="0" w:line="285" w:lineRule="auto"/>
        <w:rPr>
          <w:sz w:val="20"/>
          <w:szCs w:val="20"/>
          <w:color w:val="auto"/>
        </w:rPr>
      </w:pPr>
      <w:r>
        <w:rPr>
          <w:rFonts w:ascii="Arial" w:cs="Arial" w:eastAsia="Arial" w:hAnsi="Arial"/>
          <w:sz w:val="16"/>
          <w:szCs w:val="16"/>
          <w:b w:val="1"/>
          <w:bCs w:val="1"/>
          <w:color w:val="auto"/>
        </w:rPr>
        <w:t xml:space="preserve">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xml:space="preserve">, that the foregoing provisions of this Debtor Release shall not operate to waive or release: (i) any Causes of Action arising from willful misconduct, actual fraud, or gross negligence of such applicable Released Party as determined by Final Order of the Bankruptcy Court or any other court of competent jurisdiction; and/or (ii) the rights of such Debtor Releasing Party to enforce the Plan and the contracts, instruments, releases, indentures, and other agreements or documents delivered under or in connection with the Plan or assumed pursuant to the Plan or assumed pursuant to Final Order of the Bankruptcy Court.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w:t>
      </w:r>
      <w:r>
        <w:rPr>
          <w:rFonts w:ascii="Arial" w:cs="Arial" w:eastAsia="Arial" w:hAnsi="Arial"/>
          <w:sz w:val="16"/>
          <w:szCs w:val="16"/>
          <w:b w:val="1"/>
          <w:bCs w:val="1"/>
          <w:u w:val="single" w:color="auto"/>
          <w:color w:val="auto"/>
        </w:rPr>
        <w:t>Article X.B</w:t>
      </w:r>
      <w:r>
        <w:rPr>
          <w:rFonts w:ascii="Arial" w:cs="Arial" w:eastAsia="Arial" w:hAnsi="Arial"/>
          <w:sz w:val="16"/>
          <w:szCs w:val="16"/>
          <w:b w:val="1"/>
          <w:bCs w:val="1"/>
          <w:color w:val="auto"/>
        </w:rPr>
        <w:t xml:space="preserve"> of the Plan shall or shall be deemed to (i)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the Plan.</w:t>
      </w:r>
    </w:p>
    <w:p>
      <w:pPr>
        <w:spacing w:after="0" w:line="175" w:lineRule="exact"/>
        <w:rPr>
          <w:sz w:val="20"/>
          <w:szCs w:val="20"/>
          <w:color w:val="auto"/>
        </w:rPr>
      </w:pPr>
    </w:p>
    <w:p>
      <w:pPr>
        <w:ind w:left="760" w:firstLine="648"/>
        <w:spacing w:after="0" w:line="274"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74" w:lineRule="exact"/>
        <w:rPr>
          <w:sz w:val="20"/>
          <w:szCs w:val="20"/>
          <w:color w:val="auto"/>
        </w:rPr>
      </w:pPr>
    </w:p>
    <w:p>
      <w:pPr>
        <w:ind w:left="760" w:right="220" w:hanging="655"/>
        <w:spacing w:after="0" w:line="261" w:lineRule="auto"/>
        <w:tabs>
          <w:tab w:leader="none" w:pos="794"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Release By Third Parties</w:t>
      </w:r>
      <w:r>
        <w:rPr>
          <w:rFonts w:ascii="Arial" w:cs="Arial" w:eastAsia="Arial" w:hAnsi="Arial"/>
          <w:sz w:val="18"/>
          <w:szCs w:val="18"/>
          <w:b w:val="1"/>
          <w:bCs w:val="1"/>
          <w:color w:val="auto"/>
        </w:rPr>
        <w:t>. Except as otherwise expressly provided in the Plan, effective as of the Effective Date,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fullest extent permitted by applicable law, for good and valuable consideration provided by each of the Released Parties, the adequacy and sufficiency of which is hereby confirmed, and without limiting or otherwise modifying the scope of the Debtor Release provided by the Debtor Releasing Parties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37" w:right="279" w:bottom="1440" w:gutter="0" w:footer="0" w:header="0"/>
        </w:sectPr>
      </w:pPr>
    </w:p>
    <w:bookmarkStart w:id="84" w:name="page85"/>
    <w:bookmarkEnd w:id="84"/>
    <w:p>
      <w:pPr>
        <w:ind w:left="760"/>
        <w:spacing w:after="0" w:line="284" w:lineRule="auto"/>
        <w:rPr>
          <w:sz w:val="20"/>
          <w:szCs w:val="20"/>
          <w:color w:val="auto"/>
        </w:rPr>
      </w:pPr>
      <w:r>
        <w:rPr>
          <w:rFonts w:ascii="Arial" w:cs="Arial" w:eastAsia="Arial" w:hAnsi="Arial"/>
          <w:sz w:val="16"/>
          <w:szCs w:val="16"/>
          <w:b w:val="1"/>
          <w:bCs w:val="1"/>
          <w:color w:val="auto"/>
        </w:rPr>
        <w:t>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w:t>
      </w:r>
    </w:p>
    <w:p>
      <w:pPr>
        <w:spacing w:after="0" w:line="2" w:lineRule="exact"/>
        <w:rPr>
          <w:sz w:val="20"/>
          <w:szCs w:val="20"/>
          <w:color w:val="auto"/>
        </w:rPr>
      </w:pPr>
    </w:p>
    <w:p>
      <w:pPr>
        <w:ind w:left="760" w:right="60" w:hanging="7"/>
        <w:spacing w:after="0" w:line="284" w:lineRule="auto"/>
        <w:tabs>
          <w:tab w:leader="none" w:pos="975"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Chapter 11 Cases, the Disclosure Statement, the Plan, the Restructuring Support Agreement, the Restructuring Documents, and the DIP Financing Documents, (ii) the subject matter of, or the transactions or events giving rise to, any Claim or Equity Interest that is treated in the Plan, (iii) the business or contractual arrangements between any Debtor and any Released Parties, (iv) the negotiation, formulation or preparation of the Restructuring Support Agreement, the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the Plan or the solicitation of votes on the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 Release shall not operate to waive or release (i) any Causes of Action arising from willful misconduct, actual fraud, or gross negligence of such applicable Released Party as determined by Final Order of the Bankruptcy Court or any other court of competent jurisdiction; (ii) the rights of such Non-Debtor Releasing Party to enforce the Plan and the contracts, instruments, releases, indentures, and other agreements and documents delivered under or in connection with the Plan or assumed pursuant to the Plan or Final Order of the Bankruptcy Court; and/or (iii) any obligations of any Entity arising after the Effective Date under the Exit Facility Loan Documents or any document, instrument or agreement set forth in the Plan Supplement. The foregoing release</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85" w:name="page86"/>
    <w:bookmarkEnd w:id="85"/>
    <w:p>
      <w:pPr>
        <w:ind w:left="1960"/>
        <w:spacing w:after="0" w:line="277" w:lineRule="auto"/>
        <w:rPr>
          <w:sz w:val="20"/>
          <w:szCs w:val="20"/>
          <w:color w:val="auto"/>
        </w:rPr>
      </w:pPr>
      <w:r>
        <w:rPr>
          <w:rFonts w:ascii="Arial" w:cs="Arial" w:eastAsia="Arial" w:hAnsi="Arial"/>
          <w:sz w:val="17"/>
          <w:szCs w:val="17"/>
          <w:b w:val="1"/>
          <w:bCs w:val="1"/>
          <w:color w:val="auto"/>
        </w:rPr>
        <w:t>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68" w:lineRule="exact"/>
        <w:rPr>
          <w:sz w:val="20"/>
          <w:szCs w:val="20"/>
          <w:color w:val="auto"/>
        </w:rPr>
      </w:pPr>
    </w:p>
    <w:p>
      <w:pPr>
        <w:ind w:left="1960" w:right="40" w:firstLine="648"/>
        <w:spacing w:after="0" w:line="274"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4" w:lineRule="exact"/>
        <w:rPr>
          <w:sz w:val="20"/>
          <w:szCs w:val="20"/>
          <w:color w:val="auto"/>
        </w:rPr>
      </w:pPr>
    </w:p>
    <w:p>
      <w:pPr>
        <w:ind w:left="1300" w:hanging="644"/>
        <w:spacing w:after="0"/>
        <w:tabs>
          <w:tab w:leader="none" w:pos="130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Statutory Limitations on Releases</w:t>
      </w:r>
    </w:p>
    <w:p>
      <w:pPr>
        <w:spacing w:after="0" w:line="229" w:lineRule="exact"/>
        <w:rPr>
          <w:sz w:val="20"/>
          <w:szCs w:val="20"/>
          <w:color w:val="auto"/>
        </w:rPr>
      </w:pPr>
    </w:p>
    <w:p>
      <w:pPr>
        <w:ind w:right="20" w:firstLine="652"/>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the Plan are effective regardless of whether those released matters are presently known, unknown, suspected or unsuspected, foreseen or unforeseen.</w:t>
      </w:r>
    </w:p>
    <w:p>
      <w:pPr>
        <w:spacing w:after="0" w:line="167" w:lineRule="exact"/>
        <w:rPr>
          <w:sz w:val="20"/>
          <w:szCs w:val="20"/>
          <w:color w:val="auto"/>
        </w:rPr>
      </w:pPr>
    </w:p>
    <w:p>
      <w:pPr>
        <w:ind w:left="1300" w:hanging="644"/>
        <w:spacing w:after="0"/>
        <w:tabs>
          <w:tab w:leader="none" w:pos="130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Discharge of Claims and Equity Interests</w:t>
      </w:r>
    </w:p>
    <w:p>
      <w:pPr>
        <w:spacing w:after="0" w:line="225" w:lineRule="exact"/>
        <w:rPr>
          <w:sz w:val="20"/>
          <w:szCs w:val="20"/>
          <w:color w:val="auto"/>
        </w:rPr>
      </w:pPr>
    </w:p>
    <w:p>
      <w:pPr>
        <w:ind w:firstLine="652"/>
        <w:spacing w:after="0" w:line="293" w:lineRule="auto"/>
        <w:rPr>
          <w:sz w:val="20"/>
          <w:szCs w:val="20"/>
          <w:color w:val="auto"/>
        </w:rPr>
      </w:pPr>
      <w:r>
        <w:rPr>
          <w:rFonts w:ascii="Arial" w:cs="Arial" w:eastAsia="Arial" w:hAnsi="Arial"/>
          <w:sz w:val="16"/>
          <w:szCs w:val="16"/>
          <w:color w:val="auto"/>
        </w:rPr>
        <w:t xml:space="preserve">To the fullest extent provided under section 1141(d)(1)(A) and other applicable provisions of the Bankruptcy Code, except as otherwise expressly provided by the Plan (including, without limitation, </w:t>
      </w:r>
      <w:r>
        <w:rPr>
          <w:rFonts w:ascii="Arial" w:cs="Arial" w:eastAsia="Arial" w:hAnsi="Arial"/>
          <w:sz w:val="16"/>
          <w:szCs w:val="16"/>
          <w:u w:val="single" w:color="auto"/>
          <w:color w:val="auto"/>
        </w:rPr>
        <w:t>Article V.D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V.E</w:t>
      </w:r>
      <w:r>
        <w:rPr>
          <w:rFonts w:ascii="Arial" w:cs="Arial" w:eastAsia="Arial" w:hAnsi="Arial"/>
          <w:sz w:val="16"/>
          <w:szCs w:val="16"/>
          <w:color w:val="auto"/>
        </w:rPr>
        <w:t xml:space="preserve"> of the Plan) or the Confirmation Order, effective as of the Effective Date, all consideration distributed under the Plan shall be in exchange for, and in complete satisfaction, settlement, discharge, and release of, all Claims, Equity Interests and Causes 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the Plan on account of such Claims, Equity Interests or Causes of 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ind w:right="80" w:firstLine="652"/>
        <w:spacing w:after="0" w:line="255" w:lineRule="auto"/>
        <w:rPr>
          <w:sz w:val="20"/>
          <w:szCs w:val="20"/>
          <w:color w:val="auto"/>
        </w:rPr>
      </w:pPr>
      <w:r>
        <w:rPr>
          <w:rFonts w:ascii="Arial" w:cs="Arial" w:eastAsia="Arial" w:hAnsi="Arial"/>
          <w:sz w:val="18"/>
          <w:szCs w:val="18"/>
          <w:color w:val="auto"/>
        </w:rPr>
        <w:t xml:space="preserve">Except as otherwise expressly provided by the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the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60" w:firstLine="652"/>
        <w:spacing w:after="0" w:line="271" w:lineRule="auto"/>
        <w:rPr>
          <w:sz w:val="20"/>
          <w:szCs w:val="20"/>
          <w:color w:val="auto"/>
        </w:rPr>
      </w:pPr>
      <w:r>
        <w:rPr>
          <w:rFonts w:ascii="Arial" w:cs="Arial" w:eastAsia="Arial" w:hAnsi="Arial"/>
          <w:sz w:val="17"/>
          <w:szCs w:val="17"/>
          <w:color w:val="auto"/>
        </w:rPr>
        <w:t xml:space="preserve">Except as otherwise expressly provided by the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the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1300" w:hanging="644"/>
        <w:spacing w:after="0"/>
        <w:tabs>
          <w:tab w:leader="none" w:pos="130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Exculpation</w:t>
      </w:r>
    </w:p>
    <w:p>
      <w:pPr>
        <w:spacing w:after="0" w:line="225" w:lineRule="exact"/>
        <w:rPr>
          <w:sz w:val="20"/>
          <w:szCs w:val="20"/>
          <w:color w:val="auto"/>
        </w:rPr>
      </w:pPr>
    </w:p>
    <w:p>
      <w:pPr>
        <w:ind w:firstLine="652"/>
        <w:spacing w:after="0" w:line="268" w:lineRule="auto"/>
        <w:rPr>
          <w:sz w:val="20"/>
          <w:szCs w:val="20"/>
          <w:color w:val="auto"/>
        </w:rPr>
      </w:pPr>
      <w:r>
        <w:rPr>
          <w:rFonts w:ascii="Arial" w:cs="Arial" w:eastAsia="Arial" w:hAnsi="Arial"/>
          <w:sz w:val="17"/>
          <w:szCs w:val="17"/>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the Plan, the Disclosure Statement, the Restructuring Documents, the DIP Financing Documents, or any contract, instrument, release or other agreement or document created or entered into in connection with the Plan, including the Restructuring Support Agreement, or any other prepetition or postpetition act taken or omitted to be taken in connection with or in contemplation of the restructuring of the Debtors, the approval of the Disclosure Statement or Confirmation or Consummation of the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the Plan and the contracts, instruments, releases, indentures, and other agreements and documents delivered under or in connection with the Plan or assumed pursuant to the Plan or Final Order of the Bankruptcy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w:t>
      </w:r>
      <w:r>
        <w:rPr>
          <w:rFonts w:ascii="Arial" w:cs="Arial" w:eastAsia="Arial" w:hAnsi="Arial"/>
          <w:sz w:val="17"/>
          <w:szCs w:val="17"/>
          <w:u w:val="single" w:color="auto"/>
          <w:color w:val="auto"/>
        </w:rPr>
        <w:t>Article X.E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7" w:name="page88"/>
    <w:bookmarkEnd w:id="87"/>
    <w:p>
      <w:pPr>
        <w:ind w:right="140" w:firstLine="45"/>
        <w:spacing w:after="0" w:line="312" w:lineRule="auto"/>
        <w:rPr>
          <w:sz w:val="20"/>
          <w:szCs w:val="20"/>
          <w:color w:val="auto"/>
        </w:rPr>
      </w:pPr>
      <w:r>
        <w:rPr>
          <w:rFonts w:ascii="Arial" w:cs="Arial" w:eastAsia="Arial" w:hAnsi="Arial"/>
          <w:sz w:val="16"/>
          <w:szCs w:val="16"/>
          <w:color w:val="auto"/>
        </w:rPr>
        <w:t>of the Plan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the Plan.</w:t>
      </w:r>
    </w:p>
    <w:p>
      <w:pPr>
        <w:spacing w:after="0" w:line="143" w:lineRule="exact"/>
        <w:rPr>
          <w:sz w:val="20"/>
          <w:szCs w:val="20"/>
          <w:color w:val="auto"/>
        </w:rPr>
      </w:pPr>
    </w:p>
    <w:p>
      <w:pPr>
        <w:ind w:left="1300" w:hanging="644"/>
        <w:spacing w:after="0"/>
        <w:tabs>
          <w:tab w:leader="none" w:pos="130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Preservation of Causes of Action</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20" w:firstLine="652"/>
        <w:spacing w:after="0" w:line="255" w:lineRule="auto"/>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(including, without limitation, and for the avoidance of doubt, the Releases contained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of the Plan and Exculpation contained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of the Plan) or elsewhere in the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89" w:lineRule="exact"/>
        <w:rPr>
          <w:sz w:val="20"/>
          <w:szCs w:val="20"/>
          <w:color w:val="auto"/>
        </w:rPr>
      </w:pPr>
    </w:p>
    <w:p>
      <w:pPr>
        <w:ind w:left="1960" w:hanging="655"/>
        <w:spacing w:after="0"/>
        <w:tabs>
          <w:tab w:leader="none" w:pos="196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firstLine="652"/>
        <w:spacing w:after="0" w:line="269"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xml:space="preserve">, collateral estoppel, issue preclusion, claim preclusion, waiver, estoppel (judicial, equitable or otherwise) or laches shall apply to such Causes of Action or Litigation Claims upon or after the Confirmation or Consummation of the Plan based on the Disclosure Statement, the Plan or the Confirmation Order, except in each case where such Causes of Action or Litigation Claims have been expressly waived, relinquished, released, compromised or settled in the Plan (including, without limitation, and for the avoidance of doubt, the Releases contained in </w:t>
      </w:r>
      <w:r>
        <w:rPr>
          <w:rFonts w:ascii="Arial" w:cs="Arial" w:eastAsia="Arial" w:hAnsi="Arial"/>
          <w:sz w:val="17"/>
          <w:szCs w:val="17"/>
          <w:u w:val="single" w:color="auto"/>
          <w:color w:val="auto"/>
        </w:rPr>
        <w:t>Article X.B</w:t>
      </w:r>
      <w:r>
        <w:rPr>
          <w:rFonts w:ascii="Arial" w:cs="Arial" w:eastAsia="Arial" w:hAnsi="Arial"/>
          <w:sz w:val="17"/>
          <w:szCs w:val="17"/>
          <w:color w:val="auto"/>
        </w:rPr>
        <w:t xml:space="preserve"> of the Plan and Exculpation contained in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of the Plan)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79"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Injunction</w:t>
      </w:r>
    </w:p>
    <w:p>
      <w:pPr>
        <w:spacing w:after="0" w:line="225" w:lineRule="exact"/>
        <w:rPr>
          <w:sz w:val="20"/>
          <w:szCs w:val="20"/>
          <w:color w:val="auto"/>
        </w:rPr>
      </w:pPr>
    </w:p>
    <w:p>
      <w:pPr>
        <w:ind w:right="160" w:firstLine="652"/>
        <w:spacing w:after="0" w:line="261" w:lineRule="auto"/>
        <w:rPr>
          <w:sz w:val="20"/>
          <w:szCs w:val="20"/>
          <w:color w:val="auto"/>
        </w:rPr>
      </w:pPr>
      <w:r>
        <w:rPr>
          <w:rFonts w:ascii="Arial" w:cs="Arial" w:eastAsia="Arial" w:hAnsi="Arial"/>
          <w:sz w:val="18"/>
          <w:szCs w:val="18"/>
          <w:b w:val="1"/>
          <w:bCs w:val="1"/>
          <w:color w:val="auto"/>
        </w:rPr>
        <w:t>EXCEPT AS OTHERWISE EXPRESSLY PROVIDED IN THE PLAN OR THE CONFIRMATION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8" w:name="page89"/>
    <w:bookmarkEnd w:id="88"/>
    <w:p>
      <w:pPr>
        <w:ind w:left="320" w:hanging="312"/>
        <w:spacing w:after="0"/>
        <w:tabs>
          <w:tab w:leader="none" w:pos="32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ENFORCING, ATTACHING, COLLECTING, OR RECOVERING IN ANY MANNER ANY JUDGMENT, AWARD, DECREE, OR ORDER;</w:t>
      </w:r>
    </w:p>
    <w:p>
      <w:pPr>
        <w:spacing w:after="0" w:line="27" w:lineRule="exact"/>
        <w:rPr>
          <w:rFonts w:ascii="Arial" w:cs="Arial" w:eastAsia="Arial" w:hAnsi="Arial"/>
          <w:sz w:val="18"/>
          <w:szCs w:val="18"/>
          <w:b w:val="1"/>
          <w:bCs w:val="1"/>
          <w:color w:val="auto"/>
        </w:rPr>
      </w:pPr>
    </w:p>
    <w:p>
      <w:pPr>
        <w:ind w:right="80" w:firstLine="8"/>
        <w:spacing w:after="0" w:line="251" w:lineRule="auto"/>
        <w:tabs>
          <w:tab w:leader="none" w:pos="375"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CREATING, PERFECTING, OR ENFORCING ANY LIEN OR ENCUMBRANCE; (IV) ASSERTING A SETOFF OR RIGHT OF SUBROGATION OF ANY KIND; OR (V) 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THE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4"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Binding Nature Of Plan</w:t>
      </w:r>
    </w:p>
    <w:p>
      <w:pPr>
        <w:spacing w:after="0" w:line="225" w:lineRule="exact"/>
        <w:rPr>
          <w:sz w:val="20"/>
          <w:szCs w:val="20"/>
          <w:color w:val="auto"/>
        </w:rPr>
      </w:pPr>
    </w:p>
    <w:p>
      <w:pPr>
        <w:ind w:firstLine="652"/>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THE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THE PLAN, EACH PERSON AND ENTITY ACQUIRING PROPERTY UNDER THE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THE PLAN, (II) HAS FILED A PROOF OF CLAIM OR INTEREST IN THE CHAPTER 11 CASES OR (III) FAILED TO VOTE TO ACCEPT OR REJECT THE PLAN, AFFIRMATIVELY VOTED TO REJECT THE PLAN OR IS CONCLUSIVELY PRESUMED TO REJECT THE PLAN.</w:t>
      </w:r>
    </w:p>
    <w:p>
      <w:pPr>
        <w:spacing w:after="0" w:line="186"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Against Discriminatory Treatment</w:t>
      </w:r>
    </w:p>
    <w:p>
      <w:pPr>
        <w:spacing w:after="0" w:line="229" w:lineRule="exact"/>
        <w:rPr>
          <w:sz w:val="20"/>
          <w:szCs w:val="20"/>
          <w:color w:val="auto"/>
        </w:rPr>
      </w:pPr>
    </w:p>
    <w:p>
      <w:pPr>
        <w:jc w:val="both"/>
        <w:ind w:right="80" w:firstLine="652"/>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ind w:left="1300" w:hanging="644"/>
        <w:spacing w:after="0"/>
        <w:tabs>
          <w:tab w:leader="none" w:pos="13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Integral Part of Plan</w:t>
      </w:r>
    </w:p>
    <w:p>
      <w:pPr>
        <w:spacing w:after="0" w:line="229" w:lineRule="exact"/>
        <w:rPr>
          <w:sz w:val="20"/>
          <w:szCs w:val="20"/>
          <w:color w:val="auto"/>
        </w:rPr>
      </w:pPr>
    </w:p>
    <w:p>
      <w:pPr>
        <w:ind w:firstLine="652"/>
        <w:spacing w:after="0" w:line="259" w:lineRule="auto"/>
        <w:rPr>
          <w:sz w:val="20"/>
          <w:szCs w:val="20"/>
          <w:color w:val="auto"/>
        </w:rPr>
      </w:pPr>
      <w:r>
        <w:rPr>
          <w:rFonts w:ascii="Arial" w:cs="Arial" w:eastAsia="Arial" w:hAnsi="Arial"/>
          <w:sz w:val="18"/>
          <w:szCs w:val="18"/>
          <w:color w:val="auto"/>
        </w:rPr>
        <w:t>Each of the provisions set forth in the Plan with respect to the settlement, release, discharge, exculpation, injunction, indemnification and insurance of, for or with respect to Claims and/or Causes of Action are an integral part of the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right="20" w:firstLine="652"/>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the Plan as legally permissible, including, without limitation, jurisdiction to:</w:t>
      </w:r>
    </w:p>
    <w:p>
      <w:pPr>
        <w:spacing w:after="0" w:line="166" w:lineRule="exact"/>
        <w:rPr>
          <w:sz w:val="20"/>
          <w:szCs w:val="20"/>
          <w:color w:val="auto"/>
        </w:rPr>
      </w:pPr>
    </w:p>
    <w:p>
      <w:pPr>
        <w:ind w:left="1960" w:right="420" w:hanging="655"/>
        <w:spacing w:after="0" w:line="286" w:lineRule="auto"/>
        <w:tabs>
          <w:tab w:leader="none" w:pos="1957"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65" w:lineRule="exact"/>
        <w:rPr>
          <w:rFonts w:ascii="Arial" w:cs="Arial" w:eastAsia="Arial" w:hAnsi="Arial"/>
          <w:sz w:val="17"/>
          <w:szCs w:val="17"/>
          <w:color w:val="auto"/>
        </w:rPr>
      </w:pPr>
    </w:p>
    <w:p>
      <w:pPr>
        <w:ind w:left="1960" w:right="20" w:hanging="655"/>
        <w:spacing w:after="0" w:line="259" w:lineRule="auto"/>
        <w:tabs>
          <w:tab w:leader="none" w:pos="196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the Plan, for periods ending on or before the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left="1960" w:right="100" w:hanging="655"/>
        <w:spacing w:after="0" w:line="259" w:lineRule="auto"/>
        <w:tabs>
          <w:tab w:leader="none" w:pos="197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the Plan after the Effective Date to add Executory Contracts or Unexpired Leases to the list of Executory Contracts and Unexpired Leases to be assumed or rejected (as applicable);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rFonts w:ascii="Arial" w:cs="Arial" w:eastAsia="Arial" w:hAnsi="Arial"/>
          <w:sz w:val="18"/>
          <w:szCs w:val="18"/>
          <w:color w:val="auto"/>
        </w:rPr>
      </w:pPr>
    </w:p>
    <w:p>
      <w:pPr>
        <w:ind w:left="1960" w:right="40" w:hanging="655"/>
        <w:spacing w:after="0" w:line="277" w:lineRule="auto"/>
        <w:tabs>
          <w:tab w:leader="none" w:pos="197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ensure that distributions to Holders of Allowed Claims or Allowed Equity Interests are accomplished pursuant to the provisions of the Plan;</w:t>
      </w:r>
    </w:p>
    <w:p>
      <w:pPr>
        <w:spacing w:after="0" w:line="170" w:lineRule="exact"/>
        <w:rPr>
          <w:rFonts w:ascii="Arial" w:cs="Arial" w:eastAsia="Arial" w:hAnsi="Arial"/>
          <w:sz w:val="18"/>
          <w:szCs w:val="18"/>
          <w:color w:val="auto"/>
        </w:rPr>
      </w:pPr>
    </w:p>
    <w:p>
      <w:pPr>
        <w:ind w:left="1960" w:right="20" w:hanging="655"/>
        <w:spacing w:after="0" w:line="264" w:lineRule="auto"/>
        <w:tabs>
          <w:tab w:leader="none" w:pos="196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0" w:name="page91"/>
    <w:bookmarkEnd w:id="90"/>
    <w:p>
      <w:pPr>
        <w:ind w:left="1960" w:right="520"/>
        <w:spacing w:after="0" w:line="277" w:lineRule="auto"/>
        <w:rPr>
          <w:sz w:val="20"/>
          <w:szCs w:val="20"/>
          <w:color w:val="auto"/>
        </w:rPr>
      </w:pPr>
      <w:r>
        <w:rPr>
          <w:rFonts w:ascii="Arial" w:cs="Arial" w:eastAsia="Arial" w:hAnsi="Arial"/>
          <w:sz w:val="18"/>
          <w:szCs w:val="18"/>
          <w:color w:val="auto"/>
        </w:rPr>
        <w:t xml:space="preserve">Date or instituted by the Reorganized Debtors after the Effective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70" w:lineRule="exact"/>
        <w:rPr>
          <w:sz w:val="20"/>
          <w:szCs w:val="20"/>
          <w:color w:val="auto"/>
        </w:rPr>
      </w:pPr>
    </w:p>
    <w:p>
      <w:pPr>
        <w:ind w:left="1960" w:right="460" w:hanging="655"/>
        <w:spacing w:after="0" w:line="264" w:lineRule="auto"/>
        <w:tabs>
          <w:tab w:leader="none" w:pos="198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enter such orders as may be necessary or appropriate to implement or consummate the provisions of the Plan and all other contracts, instruments, releases, indentures and other agreements or documents adopted in connection with the Plan, the Plan Supplement or the Disclosure Statement;</w:t>
      </w:r>
    </w:p>
    <w:p>
      <w:pPr>
        <w:spacing w:after="0" w:line="181" w:lineRule="exact"/>
        <w:rPr>
          <w:rFonts w:ascii="Arial" w:cs="Arial" w:eastAsia="Arial" w:hAnsi="Arial"/>
          <w:sz w:val="18"/>
          <w:szCs w:val="18"/>
          <w:color w:val="auto"/>
        </w:rPr>
      </w:pPr>
    </w:p>
    <w:p>
      <w:pPr>
        <w:ind w:left="1960" w:right="780" w:hanging="655"/>
        <w:spacing w:after="0" w:line="308" w:lineRule="auto"/>
        <w:tabs>
          <w:tab w:leader="none" w:pos="1967"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resolve any cases, controversies, suits or disputes that may arise in connection with the Consummation, interpretation or enforcement of the Plan or any Person or Entity’s obligations incurred in connection with the Plan;</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hear and determine all Causes of Action that are pending as of the Effective Date or that may be commenced in the future;</w:t>
      </w:r>
    </w:p>
    <w:p>
      <w:pPr>
        <w:spacing w:after="0" w:line="236" w:lineRule="exact"/>
        <w:rPr>
          <w:rFonts w:ascii="Arial" w:cs="Arial" w:eastAsia="Arial" w:hAnsi="Arial"/>
          <w:sz w:val="17"/>
          <w:szCs w:val="17"/>
          <w:color w:val="auto"/>
        </w:rPr>
      </w:pPr>
    </w:p>
    <w:p>
      <w:pPr>
        <w:ind w:left="1960" w:hanging="655"/>
        <w:spacing w:after="0" w:line="277" w:lineRule="auto"/>
        <w:tabs>
          <w:tab w:leader="none" w:pos="196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enforce the terms and conditions of the Plan, the Confirmation Order, and the Restructuring Documents;</w:t>
      </w:r>
    </w:p>
    <w:p>
      <w:pPr>
        <w:spacing w:after="0" w:line="225" w:lineRule="exact"/>
        <w:rPr>
          <w:rFonts w:ascii="Arial" w:cs="Arial" w:eastAsia="Arial" w:hAnsi="Arial"/>
          <w:sz w:val="18"/>
          <w:szCs w:val="18"/>
          <w:color w:val="auto"/>
        </w:rPr>
      </w:pPr>
    </w:p>
    <w:p>
      <w:pPr>
        <w:ind w:left="1960" w:right="120" w:hanging="655"/>
        <w:spacing w:after="0" w:line="264" w:lineRule="auto"/>
        <w:tabs>
          <w:tab w:leader="none" w:pos="198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with respect to the Release, the Exculpation, the indemnification and other provisions contained in Article X of the Plan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left="1960" w:right="580" w:hanging="655"/>
        <w:spacing w:after="0" w:line="277" w:lineRule="auto"/>
        <w:tabs>
          <w:tab w:leader="none" w:pos="196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6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the Plan, the Disclosure Statement, the Confirmation Order or any release or exculpation adopted in connection with the Plan;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enter an order concluding or closing the Chapter 11 Cases.</w:t>
      </w:r>
    </w:p>
    <w:p>
      <w:pPr>
        <w:spacing w:after="0" w:line="225" w:lineRule="exact"/>
        <w:rPr>
          <w:sz w:val="20"/>
          <w:szCs w:val="20"/>
          <w:color w:val="auto"/>
        </w:rPr>
      </w:pPr>
    </w:p>
    <w:p>
      <w:pPr>
        <w:ind w:right="280" w:firstLine="652"/>
        <w:spacing w:after="0" w:line="279" w:lineRule="auto"/>
        <w:rPr>
          <w:sz w:val="20"/>
          <w:szCs w:val="20"/>
          <w:color w:val="auto"/>
        </w:rPr>
      </w:pPr>
      <w:r>
        <w:rPr>
          <w:rFonts w:ascii="Arial" w:cs="Arial" w:eastAsia="Arial" w:hAnsi="Arial"/>
          <w:sz w:val="17"/>
          <w:szCs w:val="17"/>
          <w:color w:val="auto"/>
        </w:rPr>
        <w:t>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 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1" w:name="page92"/>
    <w:bookmarkEnd w:id="91"/>
    <w:p>
      <w:pPr>
        <w:ind w:right="240"/>
        <w:spacing w:after="0" w:line="277" w:lineRule="auto"/>
        <w:rPr>
          <w:sz w:val="20"/>
          <w:szCs w:val="20"/>
          <w:color w:val="auto"/>
        </w:rPr>
      </w:pPr>
      <w:r>
        <w:rPr>
          <w:rFonts w:ascii="Arial" w:cs="Arial" w:eastAsia="Arial" w:hAnsi="Arial"/>
          <w:sz w:val="18"/>
          <w:szCs w:val="18"/>
          <w:color w:val="auto"/>
        </w:rPr>
        <w:t xml:space="preserve">to the Chapter 11 Cases, including the matters set forth in this Article of the Plan,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of the Plan will have no effect upon and will not control, prohibit, or limit the exercise of jurisdiction by any other court having jurisdiction with respect to such matter.</w:t>
      </w:r>
    </w:p>
    <w:p>
      <w:pPr>
        <w:spacing w:after="0" w:line="166"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Substantial Consummation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“Substantial Consummation” of the Plan, as defined in 11 U.S.C. § 1101(2), will be deemed to occur on the Effective Date.</w:t>
      </w:r>
    </w:p>
    <w:p>
      <w:pPr>
        <w:spacing w:after="0" w:line="221" w:lineRule="exact"/>
        <w:rPr>
          <w:sz w:val="20"/>
          <w:szCs w:val="20"/>
          <w:color w:val="auto"/>
        </w:rPr>
      </w:pPr>
    </w:p>
    <w:p>
      <w:pPr>
        <w:ind w:left="1300" w:hanging="644"/>
        <w:spacing w:after="0"/>
        <w:tabs>
          <w:tab w:leader="none" w:pos="13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Statutory Fees; Post-Effective Date Fees and Expenses</w:t>
      </w:r>
    </w:p>
    <w:p>
      <w:pPr>
        <w:spacing w:after="0" w:line="229" w:lineRule="exact"/>
        <w:rPr>
          <w:sz w:val="20"/>
          <w:szCs w:val="20"/>
          <w:color w:val="auto"/>
        </w:rPr>
      </w:pPr>
    </w:p>
    <w:p>
      <w:pPr>
        <w:ind w:firstLine="652"/>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20" w:firstLine="652"/>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the Plan and the Restructuring Documents.</w:t>
      </w:r>
    </w:p>
    <w:p>
      <w:pPr>
        <w:spacing w:after="0" w:line="154" w:lineRule="exact"/>
        <w:rPr>
          <w:sz w:val="20"/>
          <w:szCs w:val="20"/>
          <w:color w:val="auto"/>
        </w:rPr>
      </w:pPr>
    </w:p>
    <w:p>
      <w:pPr>
        <w:ind w:left="1300" w:hanging="644"/>
        <w:spacing w:after="0"/>
        <w:tabs>
          <w:tab w:leader="none" w:pos="130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Committee</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the Effective Date, the current and former members of the Committee, if any,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limited purpose of pursuing claims and final fee applications filed pursuant to sections 330 and 331 of the Bankruptcy Code. Following the completion of the 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61" w:lineRule="exact"/>
        <w:rPr>
          <w:sz w:val="20"/>
          <w:szCs w:val="20"/>
          <w:color w:val="auto"/>
        </w:rPr>
      </w:pPr>
    </w:p>
    <w:p>
      <w:pPr>
        <w:ind w:left="1300" w:hanging="644"/>
        <w:spacing w:after="0"/>
        <w:tabs>
          <w:tab w:leader="none" w:pos="130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Conflicts</w:t>
      </w:r>
    </w:p>
    <w:p>
      <w:pPr>
        <w:spacing w:after="0" w:line="229" w:lineRule="exact"/>
        <w:rPr>
          <w:sz w:val="20"/>
          <w:szCs w:val="20"/>
          <w:color w:val="auto"/>
        </w:rPr>
      </w:pPr>
    </w:p>
    <w:p>
      <w:pPr>
        <w:ind w:right="40" w:firstLine="652"/>
        <w:spacing w:after="0" w:line="264"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the Plan or the Confirmation Order, the provision of the Plan and the Confirmation Order (as applicable) will govern and control to the extent of such conflict. In the event that a provision of the Plan conflicts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with a provision of the Confirmation Order, the provision of the Confirmation Order will govern and control to the extent of such conflict.</w:t>
      </w:r>
    </w:p>
    <w:p>
      <w:pPr>
        <w:spacing w:after="0" w:line="221" w:lineRule="exact"/>
        <w:rPr>
          <w:sz w:val="20"/>
          <w:szCs w:val="20"/>
          <w:color w:val="auto"/>
        </w:rPr>
      </w:pPr>
    </w:p>
    <w:p>
      <w:pPr>
        <w:ind w:left="1300" w:hanging="644"/>
        <w:spacing w:after="0"/>
        <w:tabs>
          <w:tab w:leader="none" w:pos="130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Plan</w:t>
      </w:r>
    </w:p>
    <w:p>
      <w:pPr>
        <w:spacing w:after="0" w:line="229" w:lineRule="exact"/>
        <w:rPr>
          <w:sz w:val="20"/>
          <w:szCs w:val="20"/>
          <w:color w:val="auto"/>
        </w:rPr>
      </w:pPr>
    </w:p>
    <w:p>
      <w:pPr>
        <w:ind w:right="60" w:firstLine="652"/>
        <w:spacing w:after="0" w:line="268" w:lineRule="auto"/>
        <w:rPr>
          <w:sz w:val="20"/>
          <w:szCs w:val="20"/>
          <w:color w:val="auto"/>
        </w:rPr>
      </w:pPr>
      <w:r>
        <w:rPr>
          <w:rFonts w:ascii="Arial" w:cs="Arial" w:eastAsia="Arial" w:hAnsi="Arial"/>
          <w:sz w:val="17"/>
          <w:szCs w:val="17"/>
          <w:color w:val="auto"/>
        </w:rPr>
        <w:t>Effective as of the date hereof and subject to the limitations and rights contained in the Plan: (a) the Debtors reserve the right, in accordance with the Bankruptcy Code and the Bankruptcy Rules, to amend or modify the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1127(a) of the Bankruptcy Code; and (b) after the entry of the Confirmation Order, the Debtors or the Reorganized Debtors, as applicable, may, upon order of the Bankruptcy Court, amend or modify the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1127(b) of the Bankruptcy Code or to remedy any defect or omission or reconcile any inconsistency in the Plan in such manner as may be necessary to carry out the purpose and intent of the Plan. A Holder of a Claim or Equity Interest that has accepted the Plan will be deemed to have accepted the Plan, as altered, amended or modified, if the proposed alteration, amendment or modification does not materially and adversely change the treatment of the Claim or Equity Interest of such Holder.</w:t>
      </w:r>
    </w:p>
    <w:p>
      <w:pPr>
        <w:spacing w:after="0" w:line="181" w:lineRule="exact"/>
        <w:rPr>
          <w:sz w:val="20"/>
          <w:szCs w:val="20"/>
          <w:color w:val="auto"/>
        </w:rPr>
      </w:pPr>
    </w:p>
    <w:p>
      <w:pPr>
        <w:ind w:left="1300" w:hanging="644"/>
        <w:spacing w:after="0"/>
        <w:tabs>
          <w:tab w:leader="none" w:pos="13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 or Withdrawal of Plan</w:t>
      </w:r>
    </w:p>
    <w:p>
      <w:pPr>
        <w:spacing w:after="0" w:line="229" w:lineRule="exact"/>
        <w:rPr>
          <w:sz w:val="20"/>
          <w:szCs w:val="20"/>
          <w:color w:val="auto"/>
        </w:rPr>
      </w:pPr>
    </w:p>
    <w:p>
      <w:pPr>
        <w:ind w:firstLine="652"/>
        <w:spacing w:after="0" w:line="253" w:lineRule="auto"/>
        <w:rPr>
          <w:sz w:val="20"/>
          <w:szCs w:val="20"/>
          <w:color w:val="auto"/>
        </w:rPr>
      </w:pPr>
      <w:r>
        <w:rPr>
          <w:rFonts w:ascii="Arial" w:cs="Arial" w:eastAsia="Arial" w:hAnsi="Arial"/>
          <w:sz w:val="18"/>
          <w:szCs w:val="18"/>
          <w:color w:val="auto"/>
        </w:rPr>
        <w:t>The Debtors reserve the right to revoke or withdraw the Plan prior to the Effective Date and/or to File subsequent chapter 11 plans, with respect to one or more of the Debtors. If the Debtors revoke or withdraw the Plan, or if Confirmation or Consummation of the Plan does not occur with respect to one or more of the Debtors, then with respect to the applicable Debtor or Debtors for which the Plan was revoked or withdrawn or for which Confirmation or Consummation of the Plan did not occur: (1) the Plan will be null and void in all respects; (2) any settlement or compromise embodied in the Plan, assumption or rejection of Executory Contracts or Unexpired Leases effected by the Plan and any document or agreement executed pursuant hereto will be deemed null and void except as may be set forth in a separate order entered by the Bankruptcy Court; and (3) nothing contained in the Plan will: (a) 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193" w:lineRule="exact"/>
        <w:rPr>
          <w:sz w:val="20"/>
          <w:szCs w:val="20"/>
          <w:color w:val="auto"/>
        </w:rPr>
      </w:pPr>
    </w:p>
    <w:p>
      <w:pPr>
        <w:ind w:left="1300" w:hanging="644"/>
        <w:spacing w:after="0"/>
        <w:tabs>
          <w:tab w:leader="none" w:pos="13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29" w:lineRule="exact"/>
        <w:rPr>
          <w:sz w:val="20"/>
          <w:szCs w:val="20"/>
          <w:color w:val="auto"/>
        </w:rPr>
      </w:pPr>
    </w:p>
    <w:p>
      <w:pPr>
        <w:ind w:right="40" w:firstLine="652"/>
        <w:spacing w:after="0" w:line="277" w:lineRule="auto"/>
        <w:rPr>
          <w:sz w:val="20"/>
          <w:szCs w:val="20"/>
          <w:color w:val="auto"/>
        </w:rPr>
      </w:pPr>
      <w:r>
        <w:rPr>
          <w:rFonts w:ascii="Arial" w:cs="Arial" w:eastAsia="Arial" w:hAnsi="Arial"/>
          <w:sz w:val="18"/>
          <w:szCs w:val="18"/>
          <w:color w:val="auto"/>
        </w:rPr>
        <w:t>The Plan will be binding upon and inure to the benefit of the Debtors, the Reorganized Debtors, all present and former Holders of Claims and Equity Interests, other parties-in-interest,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ind w:right="120"/>
        <w:spacing w:after="0" w:line="342" w:lineRule="auto"/>
        <w:rPr>
          <w:sz w:val="20"/>
          <w:szCs w:val="20"/>
          <w:color w:val="auto"/>
        </w:rPr>
      </w:pPr>
      <w:r>
        <w:rPr>
          <w:rFonts w:ascii="Arial" w:cs="Arial" w:eastAsia="Arial" w:hAnsi="Arial"/>
          <w:sz w:val="16"/>
          <w:szCs w:val="16"/>
          <w:color w:val="auto"/>
        </w:rPr>
        <w:t>and their respective heirs, executors, administrators, successors, and assigns. The rights, benefits, and obligations of any Person or Entity named or referred to in the Plan will be binding on, and will inure to the benefit of, any heir, executor, administrator, successor, or assign of such Person or Entity.</w:t>
      </w:r>
    </w:p>
    <w:p>
      <w:pPr>
        <w:spacing w:after="0" w:line="120" w:lineRule="exact"/>
        <w:rPr>
          <w:sz w:val="20"/>
          <w:szCs w:val="20"/>
          <w:color w:val="auto"/>
        </w:rPr>
      </w:pPr>
    </w:p>
    <w:p>
      <w:pPr>
        <w:ind w:left="1300" w:hanging="644"/>
        <w:spacing w:after="0"/>
        <w:tabs>
          <w:tab w:leader="none" w:pos="13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Rights</w:t>
      </w:r>
    </w:p>
    <w:p>
      <w:pPr>
        <w:spacing w:after="0" w:line="229" w:lineRule="exact"/>
        <w:rPr>
          <w:sz w:val="20"/>
          <w:szCs w:val="20"/>
          <w:color w:val="auto"/>
        </w:rPr>
      </w:pPr>
    </w:p>
    <w:p>
      <w:pPr>
        <w:ind w:firstLine="652"/>
        <w:spacing w:after="0" w:line="279" w:lineRule="auto"/>
        <w:rPr>
          <w:sz w:val="20"/>
          <w:szCs w:val="20"/>
          <w:color w:val="auto"/>
        </w:rPr>
      </w:pPr>
      <w:r>
        <w:rPr>
          <w:rFonts w:ascii="Arial" w:cs="Arial" w:eastAsia="Arial" w:hAnsi="Arial"/>
          <w:sz w:val="17"/>
          <w:szCs w:val="17"/>
          <w:color w:val="auto"/>
        </w:rPr>
        <w:t>Except as expressly set forth herein, the Plan will have no force or effect unless and until the Bankruptcy Court enters the Confirmation Order and the Plan is Consummated. Neither the filing of the Plan, any statement or provision contained herein, nor the taking of any action by the Debtors or any other Entity with respect to the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67" w:lineRule="exact"/>
        <w:rPr>
          <w:sz w:val="20"/>
          <w:szCs w:val="20"/>
          <w:color w:val="auto"/>
        </w:rPr>
      </w:pPr>
    </w:p>
    <w:p>
      <w:pPr>
        <w:ind w:left="1300" w:hanging="644"/>
        <w:spacing w:after="0"/>
        <w:tabs>
          <w:tab w:leader="none" w:pos="130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229" w:lineRule="exact"/>
        <w:rPr>
          <w:sz w:val="20"/>
          <w:szCs w:val="20"/>
          <w:color w:val="auto"/>
        </w:rPr>
      </w:pPr>
    </w:p>
    <w:p>
      <w:pPr>
        <w:ind w:right="40" w:firstLine="652"/>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the Plan or the Confirmation Order.</w:t>
      </w:r>
    </w:p>
    <w:p>
      <w:pPr>
        <w:spacing w:after="0" w:line="177"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firstLine="652"/>
        <w:spacing w:after="0" w:line="272" w:lineRule="auto"/>
        <w:rPr>
          <w:sz w:val="20"/>
          <w:szCs w:val="20"/>
          <w:color w:val="auto"/>
        </w:rPr>
      </w:pPr>
      <w:r>
        <w:rPr>
          <w:rFonts w:ascii="Arial" w:cs="Arial" w:eastAsia="Arial" w:hAnsi="Arial"/>
          <w:sz w:val="17"/>
          <w:szCs w:val="17"/>
          <w:color w:val="auto"/>
        </w:rPr>
        <w:t>If, prior to the Confirmation Date, any term or provision of the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the Plan will remain in full force and effect and will in no way be affected, impaired, or invalidated by such holding, alteration, or interpretation. The Confirmation Order will constitute a judicial determination and will provide that each term and provision of the Plan, as it may have been altered or interpreted in accordance with the foregoing, is valid and enforceable pursuant to its terms.</w:t>
      </w:r>
    </w:p>
    <w:p>
      <w:pPr>
        <w:spacing w:after="0" w:line="174" w:lineRule="exact"/>
        <w:rPr>
          <w:sz w:val="20"/>
          <w:szCs w:val="20"/>
          <w:color w:val="auto"/>
        </w:rPr>
      </w:pPr>
    </w:p>
    <w:p>
      <w:pPr>
        <w:ind w:left="1300" w:hanging="644"/>
        <w:spacing w:after="0"/>
        <w:tabs>
          <w:tab w:leader="none" w:pos="13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Documents</w:t>
      </w:r>
    </w:p>
    <w:p>
      <w:pPr>
        <w:spacing w:after="0" w:line="225" w:lineRule="exact"/>
        <w:rPr>
          <w:sz w:val="20"/>
          <w:szCs w:val="20"/>
          <w:color w:val="auto"/>
        </w:rPr>
      </w:pPr>
    </w:p>
    <w:p>
      <w:pPr>
        <w:ind w:right="200" w:firstLine="652"/>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the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If to the Debtors:</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4" w:name="page95"/>
    <w:bookmarkEnd w:id="94"/>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If to the Ad Hoc Noteholder Committee:</w:t>
      </w:r>
    </w:p>
    <w:p>
      <w:pPr>
        <w:spacing w:after="0" w:line="22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ind w:left="1300" w:hanging="644"/>
        <w:spacing w:after="0"/>
        <w:tabs>
          <w:tab w:leader="none" w:pos="13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Exemption from Transfer Taxes Pursuant to Section 1146(a) of the Bankruptcy Code</w:t>
      </w:r>
    </w:p>
    <w:p>
      <w:pPr>
        <w:spacing w:after="0" w:line="229" w:lineRule="exact"/>
        <w:rPr>
          <w:sz w:val="20"/>
          <w:szCs w:val="20"/>
          <w:color w:val="auto"/>
        </w:rPr>
      </w:pPr>
    </w:p>
    <w:p>
      <w:pPr>
        <w:ind w:firstLine="652"/>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the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the Plan or the Restructuring Documents, (ii) the issuance and distribution of the New Common Stock or Plan Securities and Documents, and (iii) the maintenance or creation of security interests or any Lien as contemplated by the Plan or the Restructuring Documents.</w:t>
      </w:r>
    </w:p>
    <w:p>
      <w:pPr>
        <w:spacing w:after="0" w:line="178"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180" w:firstLine="652"/>
        <w:spacing w:after="0" w:line="286" w:lineRule="auto"/>
        <w:rPr>
          <w:sz w:val="20"/>
          <w:szCs w:val="20"/>
          <w:color w:val="auto"/>
        </w:rPr>
      </w:pPr>
      <w:r>
        <w:rPr>
          <w:rFonts w:ascii="Arial" w:cs="Arial" w:eastAsia="Arial" w:hAnsi="Arial"/>
          <w:sz w:val="17"/>
          <w:szCs w:val="17"/>
          <w:color w:val="auto"/>
        </w:rPr>
        <w:t>Except to the extent that the Bankruptcy Code, the Bankruptcy Rules or other federal law is applicable, or to the extent that a Restructuring Document or an exhibit or schedule to the Plan provides otherwise, the rights and obligations arising under the Plan will be governed by, and construed and enforced in accordance with, the laws of New York, without giving effect to the principles of conflicts of law of such jurisdiction.</w:t>
      </w:r>
    </w:p>
    <w:p>
      <w:pPr>
        <w:spacing w:after="0" w:line="162"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Tax Reporting and Compliance</w:t>
      </w:r>
    </w:p>
    <w:p>
      <w:pPr>
        <w:spacing w:after="0" w:line="229" w:lineRule="exact"/>
        <w:rPr>
          <w:sz w:val="20"/>
          <w:szCs w:val="20"/>
          <w:color w:val="auto"/>
        </w:rPr>
      </w:pPr>
    </w:p>
    <w:p>
      <w:pPr>
        <w:ind w:right="640" w:firstLine="652"/>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0"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right="100" w:firstLine="652"/>
        <w:spacing w:after="0" w:line="277" w:lineRule="auto"/>
        <w:rPr>
          <w:sz w:val="20"/>
          <w:szCs w:val="20"/>
          <w:color w:val="auto"/>
        </w:rPr>
      </w:pPr>
      <w:r>
        <w:rPr>
          <w:rFonts w:ascii="Arial" w:cs="Arial" w:eastAsia="Arial" w:hAnsi="Arial"/>
          <w:sz w:val="18"/>
          <w:szCs w:val="18"/>
          <w:color w:val="auto"/>
        </w:rPr>
        <w:t>All exhibits and schedules to the Plan, including the Exhibits and Plan Schedules, are incorporated herein and are a part of the Plan as if set forth in full herein.</w:t>
      </w:r>
    </w:p>
    <w:p>
      <w:pPr>
        <w:spacing w:after="0" w:line="166"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No Strict Construction</w:t>
      </w:r>
    </w:p>
    <w:p>
      <w:pPr>
        <w:spacing w:after="0" w:line="229" w:lineRule="exact"/>
        <w:rPr>
          <w:sz w:val="20"/>
          <w:szCs w:val="20"/>
          <w:color w:val="auto"/>
        </w:rPr>
      </w:pPr>
    </w:p>
    <w:p>
      <w:pPr>
        <w:ind w:right="40" w:firstLine="652"/>
        <w:spacing w:after="0" w:line="273" w:lineRule="auto"/>
        <w:rPr>
          <w:sz w:val="20"/>
          <w:szCs w:val="20"/>
          <w:color w:val="auto"/>
        </w:rPr>
      </w:pPr>
      <w:r>
        <w:rPr>
          <w:rFonts w:ascii="Arial" w:cs="Arial" w:eastAsia="Arial" w:hAnsi="Arial"/>
          <w:sz w:val="17"/>
          <w:szCs w:val="17"/>
          <w:color w:val="auto"/>
        </w:rPr>
        <w:t xml:space="preserve">The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the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the Plan, the Disclosure Statement, the Exhibits or the Plan Schedules, or the documents ancillary and related thereto.</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6" w:name="page97"/>
    <w:bookmarkEnd w:id="96"/>
    <w:p>
      <w:pPr>
        <w:ind w:left="1300" w:hanging="644"/>
        <w:spacing w:after="0"/>
        <w:tabs>
          <w:tab w:leader="none" w:pos="13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right="20" w:firstLine="652"/>
        <w:spacing w:after="0" w:line="264" w:lineRule="auto"/>
        <w:rPr>
          <w:sz w:val="20"/>
          <w:szCs w:val="20"/>
          <w:color w:val="auto"/>
        </w:rPr>
      </w:pPr>
      <w:r>
        <w:rPr>
          <w:rFonts w:ascii="Arial" w:cs="Arial" w:eastAsia="Arial" w:hAnsi="Arial"/>
          <w:sz w:val="18"/>
          <w:szCs w:val="18"/>
          <w:color w:val="auto"/>
        </w:rPr>
        <w:t>Except as otherwise provided herein or therein, the Plan and the Restructuring Documents supersede all previous and contemporaneous negotiations, promises, covenants, agreements, understandings, and representations on such subjects, all of which have become merged and integrated into the Plan and the Restructuring Documents.</w:t>
      </w:r>
    </w:p>
    <w:p>
      <w:pPr>
        <w:spacing w:after="0" w:line="177" w:lineRule="exact"/>
        <w:rPr>
          <w:sz w:val="20"/>
          <w:szCs w:val="20"/>
          <w:color w:val="auto"/>
        </w:rPr>
      </w:pPr>
    </w:p>
    <w:p>
      <w:pPr>
        <w:ind w:left="1300" w:hanging="644"/>
        <w:spacing w:after="0"/>
        <w:tabs>
          <w:tab w:leader="none" w:pos="13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Closing of Chapter 11 Cases</w:t>
      </w:r>
    </w:p>
    <w:p>
      <w:pPr>
        <w:spacing w:after="0" w:line="229" w:lineRule="exact"/>
        <w:rPr>
          <w:sz w:val="20"/>
          <w:szCs w:val="20"/>
          <w:color w:val="auto"/>
        </w:rPr>
      </w:pPr>
    </w:p>
    <w:p>
      <w:pPr>
        <w:ind w:firstLine="652"/>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66"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2002 Notice Parties</w:t>
      </w:r>
    </w:p>
    <w:p>
      <w:pPr>
        <w:spacing w:after="0" w:line="229" w:lineRule="exact"/>
        <w:rPr>
          <w:sz w:val="20"/>
          <w:szCs w:val="20"/>
          <w:color w:val="auto"/>
        </w:rPr>
      </w:pPr>
    </w:p>
    <w:p>
      <w:pPr>
        <w:ind w:right="380" w:firstLine="652"/>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PLAN-RELATED RISK FACTORS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PRIOR TO VOTING TO ACCEPT OR REJECT THE PLAN, ALL HOLDERS OF CLAIMS OR EQUITY INTERESTS THAT ARE IMPAIRED SHOULD READ AND CONSIDER CAREFULLY THE FACTORS SET FORTH HEREIN, AS WELL AS ALL OTHER INFORMATION SET FORTH OR OTHERWISE REFERENCED IN THIS DISCLOSURE STATEMENT. ALTHOUGH THESE RISK FACTORS ARE MANY, THESE FACTORS SHOULD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REGARDED AS CONSTITUTING THE ONLY RISKS PRESENT IN CONNECTION WITH THE DEBTORS’ BUSINESSES, THE PLAN OR THE IMPLEMENTATION OF THE PLAN.</w:t>
      </w:r>
    </w:p>
    <w:p>
      <w:pPr>
        <w:spacing w:after="0" w:line="184" w:lineRule="exact"/>
        <w:rPr>
          <w:sz w:val="20"/>
          <w:szCs w:val="20"/>
          <w:color w:val="auto"/>
        </w:rPr>
      </w:pPr>
    </w:p>
    <w:p>
      <w:pPr>
        <w:ind w:left="660" w:hanging="652"/>
        <w:spacing w:after="0"/>
        <w:tabs>
          <w:tab w:leader="none" w:pos="6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CERTAIN BANKRUPTCY LAW CONSIDERATIONS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Although the Debtors believe that the Chapter 11 Cases will be of short duration and will not be materially disruptive to their businesses, the Debtors cannot be certain that this will be the case. Although the Plan is designed to minimize the length of the Chapter 11 Cases, it is impossible to predict with certainty the amount of time that one or more of the Debtors may spend in bankruptcy or to assure parties in interest that the Plan will be confirmed. Even if confirmed on a timely basis, the Chapter 11 Cases could have an adverse effect on the Debtors’ businesses. Among other things, it is possible that bankruptcy proceedings could adversely affect the Debtors’ relationships with their key customers and employees. The cases will also involve additional expense and may divert some of the attention of the Debtors’ management away from business operations.</w:t>
      </w:r>
    </w:p>
    <w:p>
      <w:pPr>
        <w:spacing w:after="0" w:line="174"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Debtors’ Classification of Claims and Equity Interests.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Section 1122 of the Bankruptcy Code provides that a plan may place a claim or an equity interest in a particular class only if such claim or equity interest is substantially similar to the other claims or equity interests in such class. The Debtors believe that the classification of Claims and Equity Interests under the Plan complies with the requirements set forth in the Bankruptcy Code because the Debtors created Classes of Claims and Equity Interests, each encompassing Claims or Equity Interests, as applicable, that are substantially similar to the other Claims and Equity Interests in each such Class. Nevertheless, there can be no assurance that the Bankruptcy Court will reach the same conclusion.</w:t>
      </w:r>
    </w:p>
    <w:p>
      <w:pPr>
        <w:spacing w:after="0" w:line="169" w:lineRule="exact"/>
        <w:rPr>
          <w:sz w:val="20"/>
          <w:szCs w:val="20"/>
          <w:color w:val="auto"/>
        </w:rPr>
      </w:pPr>
    </w:p>
    <w:p>
      <w:pPr>
        <w:ind w:left="1300" w:hanging="644"/>
        <w:spacing w:after="0"/>
        <w:tabs>
          <w:tab w:leader="none" w:pos="13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Fail to Satisfy the Vote Requirement.</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If votes are received in number and amount sufficient to enable the Bankruptcy Court to confirm the Plan, the Debtors intend to seek, as promptly as practicable thereafter, confirmation of the Plan. In the event that sufficient votes are not received, the Debtors may seek to accomplish an alternative chapter 11 plan of reorganization. There can be no assurance that the terms of any such alternative chapter 11 plan would be similar or as favorable to the Holders of Allowed Claims as those proposed in the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ind w:left="1300" w:hanging="644"/>
        <w:spacing w:after="0"/>
        <w:tabs>
          <w:tab w:leader="none" w:pos="13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Able to Secure Confirmation of the Plan.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 the event that any impaired class of claims or equity interests does not accept or is deemed not to accept a plan of reorganization, a bankruptcy court may nevertheless confirm such plan at the proponent’s request if at least one impaired class has voted to accept the plan (with such acceptance being determined without including the vote of any “insider” in such class), and as to each impaired class that has not accepted the plan, the bankruptcy court determines that the plan “does not discriminate unfairly” and is “fair and equitable” with respect to the dissenting impaired classes. Should any Class vote to reject the Plan, then these requirements must be satisfied with respect to </w:t>
      </w:r>
      <w:r>
        <w:rPr>
          <w:rFonts w:ascii="Arial" w:cs="Arial" w:eastAsia="Arial" w:hAnsi="Arial"/>
          <w:sz w:val="17"/>
          <w:szCs w:val="17"/>
          <w:i w:val="1"/>
          <w:iCs w:val="1"/>
          <w:color w:val="auto"/>
        </w:rPr>
        <w:t>such</w:t>
      </w:r>
      <w:r>
        <w:rPr>
          <w:rFonts w:ascii="Arial" w:cs="Arial" w:eastAsia="Arial" w:hAnsi="Arial"/>
          <w:sz w:val="17"/>
          <w:szCs w:val="17"/>
          <w:color w:val="auto"/>
        </w:rPr>
        <w:t xml:space="preserve"> rejecting Classes.</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Even if the requisite acceptances are received, there can be no assurance that the Bankruptcy Court will confirm the Plan. A non-accepting Holder of an Allowed Claim or Equity Interest might challenge either the adequacy of this Disclosure Statement or whether the balloting procedures and voting results satisfy the requirements of the Bankruptcy Code or Bankruptcy Rules. Even if the Bankruptcy Court determined that the Disclosure Statement, the balloting procedures and voting results were appropriate, the Bankruptcy Court could still decline to confirm the Plan if it found that any of the statutory requirements for confirmation were not met, including the requirement that the terms of the Plan do not “unfairly discriminate” and are “fair and equitable” to non-accepting Classes. If the Plan is not confirmed, it is unclear what distributions holders of Claims or Equity Interests ultimately would receive with respect to their Claims or Equity Interests in a subsequent plan of reorganization.</w:t>
      </w:r>
    </w:p>
    <w:p>
      <w:pPr>
        <w:spacing w:after="0" w:line="174" w:lineRule="exact"/>
        <w:rPr>
          <w:sz w:val="20"/>
          <w:szCs w:val="20"/>
          <w:color w:val="auto"/>
        </w:rPr>
      </w:pPr>
    </w:p>
    <w:p>
      <w:pPr>
        <w:ind w:left="1300" w:hanging="644"/>
        <w:spacing w:after="0"/>
        <w:tabs>
          <w:tab w:leader="none" w:pos="13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Non-Consensual Confirmation of the Plan May Be Necessary.</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event that any impaired class of claims or equity interests does not accept a chapter 11 plan, a bankruptcy court may nevertheless confirm such a plan at the proponents’ request if at least one impaired class has accepted the plan (with such acceptance being determined without including the vote of any “insider” in such class), and, as to each impaired class that has not accepted the plan, the bankruptcy court determines that the plan “does not discriminate unfairly” and is “fair and equitable” with respect to the dissenting impaired classes. The Debtors believe that the Plan satisfies these requirements and the Debtors may request such non-consensual confirmation in accordance with subsection 1129(b) of the Bankruptcy Code. Nevertheless, in the event that the Voting Classes do not accept the Plan, there can be no assurance that the Bankruptcy Court will reach this conclusion.</w:t>
      </w:r>
    </w:p>
    <w:p>
      <w:pPr>
        <w:spacing w:after="0" w:line="161" w:lineRule="exact"/>
        <w:rPr>
          <w:sz w:val="20"/>
          <w:szCs w:val="20"/>
          <w:color w:val="auto"/>
        </w:rPr>
      </w:pPr>
    </w:p>
    <w:p>
      <w:pPr>
        <w:ind w:left="1300" w:hanging="644"/>
        <w:spacing w:after="0"/>
        <w:tabs>
          <w:tab w:leader="none" w:pos="130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Risk of Termination of the Restructuring Support Agreement.</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more fully set forth in sections 9-11 of the Restructuring Support Agreement, the Restructuring Support Agreement contains certain provisions that give the Required Consenting Noteholders (as defined in the Restructuring Support Agreement) the ability to terminate the Restructuring Support Agreement upon the occurrence of certain events or conditions. In the event the Restructuring Support Agreement is terminated, the Debtors may be forced to file an alternative plan that lacks the same broad noteholder support. The termination of the Restructuring Support Agreement could result in protracted Chapter 11 Cases, which could significantly and detrimentally impact the Debtors’ relationships with vendors, suppliers, and major customers.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9" w:name="page100"/>
    <w:bookmarkEnd w:id="99"/>
    <w:p>
      <w:pPr>
        <w:ind w:left="1300" w:hanging="644"/>
        <w:spacing w:after="0"/>
        <w:tabs>
          <w:tab w:leader="none" w:pos="130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The Effective Date May Not Occur.</w:t>
      </w:r>
    </w:p>
    <w:p>
      <w:pPr>
        <w:spacing w:after="0" w:line="229"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 xml:space="preserve">As more fully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the Plan, the Effective Date is subject to a number of conditions precedent. If such conditions precedent are not met or waived, the Effective Date will not take place. There can be no assurance as to such timing or as to whether the Effective Date will, in fact, occur.</w:t>
      </w:r>
    </w:p>
    <w:p>
      <w:pPr>
        <w:spacing w:after="0" w:line="120"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The Exit Facility Credit Agreement and the Transactions Contemplated Thereby, May Not Become Effective.</w:t>
      </w:r>
    </w:p>
    <w:p>
      <w:pPr>
        <w:spacing w:after="0" w:line="229"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Although the Debtors believe that the Exit Facility Credit Agreement will become effective shortly after the Confirmation Date, there can be no assurance as to such timing or as to whether the Exit Facility Credit Agreement and the transactions contemplated thereunder, will become effective.</w:t>
      </w:r>
    </w:p>
    <w:p>
      <w:pPr>
        <w:spacing w:after="0" w:line="120" w:lineRule="exact"/>
        <w:rPr>
          <w:sz w:val="20"/>
          <w:szCs w:val="20"/>
          <w:color w:val="auto"/>
        </w:rPr>
      </w:pPr>
    </w:p>
    <w:p>
      <w:pPr>
        <w:ind w:left="1300" w:hanging="644"/>
        <w:spacing w:after="0"/>
        <w:tabs>
          <w:tab w:leader="none" w:pos="13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Will Not Affect Votes of the Voting Classes to Accept or Reject the Plan.</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distributions available to Holders of Allowed Claims and Equity Interests under the Plan can be affected by a variety of contingencies. The occurrence of any and all such contingencies, which could affect distributions available to Holders of Allowed Claims and Equity Interests under the Plan, will not affect the validity of the vote taken by the Voting Classes to accept or reject the Plan or require any sort of revote by the Impaired Classes.</w:t>
      </w:r>
    </w:p>
    <w:p>
      <w:pPr>
        <w:spacing w:after="0" w:line="143" w:lineRule="exact"/>
        <w:rPr>
          <w:sz w:val="20"/>
          <w:szCs w:val="20"/>
          <w:color w:val="auto"/>
        </w:rPr>
      </w:pPr>
    </w:p>
    <w:p>
      <w:pPr>
        <w:ind w:left="1300" w:hanging="644"/>
        <w:spacing w:after="0"/>
        <w:tabs>
          <w:tab w:leader="none" w:pos="1300"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The Debtors Cannot State with Certainty What Recovery Will be Available to Holders of Allowed Prepetition Notes Claims.</w:t>
      </w:r>
    </w:p>
    <w:p>
      <w:pPr>
        <w:spacing w:after="0" w:line="24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estimated Claims and recoveries set forth in this Disclosure Statement are based on various assumptions, and the actual Allowed amounts of Claims may significantly differ from the estimates. Should one or more of the underlying assumptions ultimately prove to be incorrect, the actual Allowed amounts of Claims may vary from the estimated amounts contained in this Disclosure Statement. Moreover, the Debtors cannot determine with any certainty at this time the number or amount of Claims that will ultimately be Allowed. Accordingly, because certain Claims under the Plan will be paid on a Pro Rata basis, the Debtors cannot state with certainty what recoveries will be available to Holders of Allowed Prepetition Notes Claims.</w:t>
      </w:r>
    </w:p>
    <w:p>
      <w:pPr>
        <w:spacing w:after="0" w:line="154" w:lineRule="exact"/>
        <w:rPr>
          <w:sz w:val="20"/>
          <w:szCs w:val="20"/>
          <w:color w:val="auto"/>
        </w:rPr>
      </w:pPr>
    </w:p>
    <w:p>
      <w:pPr>
        <w:ind w:left="1300" w:hanging="644"/>
        <w:spacing w:after="0"/>
        <w:tabs>
          <w:tab w:leader="none" w:pos="130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into Chapter 7 Cases.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If no plan of reorganization can be confirmed, or if the Bankruptcy Court otherwise finds that it would be in the best interest of holders of Claims and Interests, the Chapter 11 Cases may be converted to cases under chapter 7 of the Bankruptcy Code, pursuant to which a trustee would be appointed or elected to liquidate the Debtors’ assets for distribution in accordance with the priorities established by the Bankruptcy Code. </w:t>
      </w:r>
      <w:r>
        <w:rPr>
          <w:rFonts w:ascii="Arial" w:cs="Arial" w:eastAsia="Arial" w:hAnsi="Arial"/>
          <w:sz w:val="18"/>
          <w:szCs w:val="18"/>
          <w:i w:val="1"/>
          <w:iCs w:val="1"/>
          <w:color w:val="auto"/>
        </w:rPr>
        <w:t>See</w:t>
      </w:r>
      <w:r>
        <w:rPr>
          <w:rFonts w:ascii="Arial" w:cs="Arial" w:eastAsia="Arial" w:hAnsi="Arial"/>
          <w:sz w:val="18"/>
          <w:szCs w:val="18"/>
          <w:color w:val="auto"/>
        </w:rPr>
        <w:t xml:space="preserve"> Section XI.A hereof, as well as the Liquidation Analysis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for a discussion of the effects that a chapter 7 liquidation would have on the recoveries of holders of Claims and Equity Interests.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0" w:name="page101"/>
    <w:bookmarkEnd w:id="100"/>
    <w:p>
      <w:pPr>
        <w:ind w:left="1300" w:hanging="644"/>
        <w:spacing w:after="0"/>
        <w:tabs>
          <w:tab w:leader="none" w:pos="13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Releases, Injunctions, and Exculpation Provisions May Not Be Approved.</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Plan provides for certain releases, injunctions, and exculpations. However, such releases, injunctions, and exculpations are subject to objection by parties in interest and may not be approved. If the releases are not approved, certain Released Parties may not support the Plan.</w:t>
      </w:r>
    </w:p>
    <w:p>
      <w:pPr>
        <w:spacing w:after="0" w:line="143"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FACTORS AFFECTING THE VALUE OF THE REORGANIZED DEBTORS</w:t>
      </w:r>
    </w:p>
    <w:p>
      <w:pPr>
        <w:spacing w:after="0" w:line="225" w:lineRule="exact"/>
        <w:rPr>
          <w:sz w:val="20"/>
          <w:szCs w:val="20"/>
          <w:color w:val="auto"/>
        </w:rPr>
      </w:pPr>
    </w:p>
    <w:p>
      <w:pPr>
        <w:ind w:left="1300" w:hanging="644"/>
        <w:spacing w:after="0"/>
        <w:tabs>
          <w:tab w:leader="none" w:pos="13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Claims Could be More than Projected.</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There can be no assurance that the estimated Allowed amount of Claims in certain Classes will not be significantly more than projected, which in turn, could cause the value of distributions to be reduced substantially. Inevitably, some assumptions will not materialize, and unanticipated events and circumstances may affect the ultimate results. Therefore, the actual amount of Allowed Claims may vary materially from the Debtors’ projections and feasibility analysis.</w:t>
      </w:r>
    </w:p>
    <w:p>
      <w:pPr>
        <w:spacing w:after="0" w:line="183"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Projections and other Forward-Looking Statements Are Not Assured and Actual Results May Vary.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Certain of the information contained in the Disclosure Statement, including the Financial Projections in </w:t>
      </w:r>
      <w:r>
        <w:rPr>
          <w:rFonts w:ascii="Arial" w:cs="Arial" w:eastAsia="Arial" w:hAnsi="Arial"/>
          <w:sz w:val="18"/>
          <w:szCs w:val="18"/>
          <w:u w:val="single" w:color="auto"/>
          <w:color w:val="auto"/>
        </w:rPr>
        <w:t>Exhibit D</w:t>
      </w:r>
      <w:r>
        <w:rPr>
          <w:rFonts w:ascii="Arial" w:cs="Arial" w:eastAsia="Arial" w:hAnsi="Arial"/>
          <w:sz w:val="18"/>
          <w:szCs w:val="18"/>
          <w:color w:val="auto"/>
        </w:rPr>
        <w:t>, is, by nature, forward-looking, and contains estimates and assumptions, which might ultimately prove to be incorrect, and projections, which may be materially different from actual future experiences. There are uncertainties associated with any projections and estimates, and they should not be considered assurances or guarantees of the amount of funds or the amount of Claims in the various Classes that might be allowed.</w:t>
      </w:r>
    </w:p>
    <w:p>
      <w:pPr>
        <w:spacing w:after="0" w:line="183"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Post-Effective Date Indebtedness.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Following the Effective Date, the Reorganized Debtors will have approximately $1 billion of secured funded indebtedness and a $500 million letter of credit from the Exit Facility, and up to $2.500 billion of unsecured funded indebtedness composed of up to $1.250 billion principal amount of New Tranche A Senior Unsecured Notes and up to $1.250 billion principal amount of New Tranche B Senior Unsecured Notes. The Reorganized Debtors’ ability to service their debt obligations will depend, among other things, on their future operating performance, which depends partly on economic, financial, competitive, and other factors beyond the Reorganized Debtors’ control. The Reorganized Debtors may not be able to generate sufficient cash from operations to meet their debt service obligations as well as fund necessary capital expenditures and investments in sales and marketing. In addition, if the Reorganized Debtors need to refinance their debt, obtain additional financing, or sell assets or equity, they may not be able to do so on commercially reasonable terms, if at all.</w:t>
      </w:r>
    </w:p>
    <w:p>
      <w:pPr>
        <w:spacing w:after="0" w:line="188"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 of Indebtedness.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financing agreements governing the Reorganized Debtors’ indebtedness will contain various covenants that may limit the discretion of the Reorganized Debtors’ management by restricting the Reorganized Debtors’ ability to, among other things, incur additional indebtedness, incur liens, pay dividends or make certain restricted payments, consummate certain asset sales, enter into certain transactions with affiliates, merge, consolidate and/or sell or dispose of all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ind w:right="360"/>
        <w:spacing w:after="0" w:line="264" w:lineRule="auto"/>
        <w:rPr>
          <w:sz w:val="20"/>
          <w:szCs w:val="20"/>
          <w:color w:val="auto"/>
        </w:rPr>
      </w:pPr>
      <w:r>
        <w:rPr>
          <w:rFonts w:ascii="Arial" w:cs="Arial" w:eastAsia="Arial" w:hAnsi="Arial"/>
          <w:sz w:val="18"/>
          <w:szCs w:val="18"/>
          <w:color w:val="auto"/>
        </w:rPr>
        <w:t>substantially all of their assets. In addition, it is expected that certain of the agreements will require the Reorganized Debtors to meet certain financial covenants. As a result of these covenants, the Reorganized Debtors will be limited in the manner in which they conduct their businesses and they may be unable to engage in favorable business activities or finance future operations or capital needs.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failure to comply with the restrictions of the financing agreements may result in an event of default. An event of default may allow the creditors to accelerate the related debt as well as any other debt to which a cross-acceleration or cross-default provision applies. If the Reorganized Debtors are unable to repay amounts outstanding under their financing agreements when due, the lenders thereunder could, subject to the terms of the financing agreements, seek to foreclose on the collateral that is pledged to secure the indebtedness outstanding under such facility.</w:t>
      </w:r>
    </w:p>
    <w:p>
      <w:pPr>
        <w:spacing w:after="0" w:line="167" w:lineRule="exact"/>
        <w:rPr>
          <w:sz w:val="20"/>
          <w:szCs w:val="20"/>
          <w:color w:val="auto"/>
        </w:rPr>
      </w:pPr>
    </w:p>
    <w:p>
      <w:pPr>
        <w:ind w:left="1300" w:right="200" w:hanging="644"/>
        <w:spacing w:after="0" w:line="266" w:lineRule="auto"/>
        <w:tabs>
          <w:tab w:leader="none" w:pos="13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or Issuances Of Existing Common Stock or New Common Stock, Before or in Connection with the Debtors’ Chapter 11 Cases, May Impair The Debtors’ Ability To Utilize Their U.S. Federal Income Tax Net Operating Loss Carryforwards In Future Years.</w:t>
      </w:r>
    </w:p>
    <w:p>
      <w:pPr>
        <w:spacing w:after="0" w:line="18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Under U.S. federal income tax law, a corporation is generally permitted to deduct from taxable income net operating losses carried forward from prior years. The Debtors’ U.S. consolidated group, of which Weatherford Delaware will become the parent prior to the Effective Date, had consolidated net operating losses and net operating loss carryforwards of approximately $2 billion as of December 31, 2017, of which approximately 85% will be allocable to Weatherford Delaware. The Debtors believe that their U.S. consolidated group generated additional net operating losses for the 2018 taxable year. The U.S. group’s ability to utilize its net operating loss carryforwards to offset future taxable income and to reduce its U.S. federal income tax liability is subject to certain requirements and restrictions. Since the Weatherford Parent (and indirectly the U.S. group) will experience an “ownership change,” as defined in Section 382 of the U.S. Internal Revenue Code of 1986, as amended (the “</w:t>
      </w:r>
      <w:r>
        <w:rPr>
          <w:rFonts w:ascii="Arial" w:cs="Arial" w:eastAsia="Arial" w:hAnsi="Arial"/>
          <w:sz w:val="16"/>
          <w:szCs w:val="16"/>
          <w:b w:val="1"/>
          <w:bCs w:val="1"/>
          <w:u w:val="single" w:color="auto"/>
          <w:color w:val="auto"/>
        </w:rPr>
        <w:t>IRC</w:t>
      </w:r>
      <w:r>
        <w:rPr>
          <w:rFonts w:ascii="Arial" w:cs="Arial" w:eastAsia="Arial" w:hAnsi="Arial"/>
          <w:sz w:val="16"/>
          <w:szCs w:val="16"/>
          <w:color w:val="auto"/>
        </w:rPr>
        <w:t>”), the U.S. group’s ability to use its net operating loss carryforwards may be substantially limited, which could have a negative impact on its financial position and results of operations. Generally, there is an “ownership change” if one or more stockholders owning 5% or more of a corporation’s common stock have aggregate increases in their ownership of such stock of more than 50 percentage points over the prior three-year period. Under IRC Section 382, absent an applicable exception, if a corporation undergoes an “ownership change,” the amount of its net operating losses that may be utilized to offset future table income generally is subject to an annual limitation. Even if the net operating loss carryforwards are subject to limitation under IRC Section 382, the net operating losses can be further reduced by the amount of discharge of indebtedness arising in a Chapter 11 Case under IRC Section 108. The Debtors intend to request that the Bankruptcy Court approve restrictions on certain transfers of Existing Common Stock to limit the risk of an “ownership change” occurring prior to the issuance of New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p>
      <w:pPr>
        <w:ind w:left="1300" w:hanging="644"/>
        <w:spacing w:after="0" w:line="313" w:lineRule="auto"/>
        <w:tabs>
          <w:tab w:leader="none" w:pos="1300"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Transfers of Prepetition Note Claims During the Debtors’ Chapter 11 Cases, May Impair The Debtors’ Ability To Utilize Their U.S. Federal Income Tax Net Operating Loss Carryforwards In Future Years, and May be Subject to a Sell Down Order.</w:t>
      </w:r>
    </w:p>
    <w:p>
      <w:pPr>
        <w:spacing w:after="0" w:line="14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Under the Plan, each Holder of an Allowed Prepetition Notes Claim will receive its Pro Rata share of (i) 99% of the New Common Stock, subject to dilution on account of equity issued pursuant to the New Management Incentive Plan, the New Tranche B Equity Conversion, and the New Common Stock issuable pursuant to the New Warrants, (ii) the New Tranche B Senior Unsecured Notes and (iii) Subscription Rights to purchase its Pro Rata share of New Tranche A Senior Unsecured Notes pursuant to the Rights Offering. As a result, the consummation of the Plan is expected to result in an “ownership change” of Weatherford Delaware and all other members of the U.S. Group. The Debtors believe that the application of IRC Section 382(l)(5) could result in significant future savings and are seeking to protect the continued existence of the their significant tax attributes (including net operating losses ranging between $1.5 billion to $2 billion that are expected to remain after taking into account the impact of the Restructuring Transactions) without annual limitations on the use of its net operating losses and net unrealized built-in loss pursuant to IRC Section 382(l)(5). Refer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under the caption “Certain U.S. Federal Income Tax Consequences of the Plan—Consequences to the Debtors—Section 382 Limitation on Net Operating Losses and Built-In Losses” for a discussion on IRC Section 382 and the exception under IRC Section 382(l)(5).</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Accordingly, the Debtors will file a First Day Motion to seek an order establishing a record date and sell-down procedures for trading claims.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First Day Motion:</w:t>
      </w:r>
    </w:p>
    <w:p>
      <w:pPr>
        <w:spacing w:after="0" w:line="211" w:lineRule="exact"/>
        <w:rPr>
          <w:sz w:val="20"/>
          <w:szCs w:val="20"/>
          <w:color w:val="auto"/>
        </w:rPr>
      </w:pPr>
    </w:p>
    <w:p>
      <w:pPr>
        <w:ind w:left="1260" w:hanging="280"/>
        <w:spacing w:after="0"/>
        <w:tabs>
          <w:tab w:leader="none" w:pos="12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Record Date will be set as of the date the First Day Motion is filed.</w:t>
      </w:r>
    </w:p>
    <w:p>
      <w:pPr>
        <w:spacing w:after="0" w:line="221" w:lineRule="exact"/>
        <w:rPr>
          <w:rFonts w:ascii="Arial" w:cs="Arial" w:eastAsia="Arial" w:hAnsi="Arial"/>
          <w:sz w:val="18"/>
          <w:szCs w:val="18"/>
          <w:color w:val="auto"/>
        </w:rPr>
      </w:pPr>
    </w:p>
    <w:p>
      <w:pPr>
        <w:ind w:left="1240" w:right="120" w:hanging="260"/>
        <w:spacing w:after="0" w:line="273" w:lineRule="auto"/>
        <w:tabs>
          <w:tab w:leader="none" w:pos="126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 date will be set in August 2019 (the “</w:t>
      </w:r>
      <w:r>
        <w:rPr>
          <w:rFonts w:ascii="Arial" w:cs="Arial" w:eastAsia="Arial" w:hAnsi="Arial"/>
          <w:sz w:val="17"/>
          <w:szCs w:val="17"/>
          <w:b w:val="1"/>
          <w:bCs w:val="1"/>
          <w:u w:val="single" w:color="auto"/>
          <w:color w:val="auto"/>
        </w:rPr>
        <w:t>Reporting Deadline</w:t>
      </w:r>
      <w:r>
        <w:rPr>
          <w:rFonts w:ascii="Arial" w:cs="Arial" w:eastAsia="Arial" w:hAnsi="Arial"/>
          <w:sz w:val="17"/>
          <w:szCs w:val="17"/>
          <w:color w:val="auto"/>
        </w:rPr>
        <w:t xml:space="preserve">”), at which time the Holder of any Prepetition Notes Claim who would own more than 4.75% of the New Common Stock on emergence shall be required to provide notice of its Prepetition Note Claims, including the amount of such Claims and date of acquisition. For this purpose, the person or Entity required to file such notice is the beneficial owner determined under the rules set forth in IRC Section 382 and the regulations thereunder, described below in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under the caption “Certain U.S. Federal Income Tax Consequences of the Plan—Consequences to the Debtors—Section 382 Limitation on Net Operating Losses and Built-In Losses.” If, after the Reporting Deadline, the Holder acquires or disposes of Prepetition Notes Claims, it is required to report such changes in ownership within the time period specified in the motion.</w:t>
      </w:r>
    </w:p>
    <w:p>
      <w:pPr>
        <w:spacing w:after="0" w:line="176" w:lineRule="exact"/>
        <w:rPr>
          <w:rFonts w:ascii="Arial" w:cs="Arial" w:eastAsia="Arial" w:hAnsi="Arial"/>
          <w:sz w:val="17"/>
          <w:szCs w:val="17"/>
          <w:color w:val="auto"/>
        </w:rPr>
      </w:pPr>
    </w:p>
    <w:p>
      <w:pPr>
        <w:ind w:left="1280" w:hanging="300"/>
        <w:spacing w:after="0"/>
        <w:tabs>
          <w:tab w:leader="none" w:pos="12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In connection with confirmation of the Plan, the Debtors will seek an additional motion requiring a Holder who would own more than</w:t>
      </w:r>
    </w:p>
    <w:p>
      <w:pPr>
        <w:spacing w:after="0" w:line="35" w:lineRule="exact"/>
        <w:rPr>
          <w:sz w:val="20"/>
          <w:szCs w:val="20"/>
          <w:color w:val="auto"/>
        </w:rPr>
      </w:pPr>
    </w:p>
    <w:p>
      <w:pPr>
        <w:ind w:left="1240" w:right="20"/>
        <w:spacing w:after="0" w:line="253" w:lineRule="auto"/>
        <w:rPr>
          <w:sz w:val="20"/>
          <w:szCs w:val="20"/>
          <w:color w:val="auto"/>
        </w:rPr>
      </w:pPr>
      <w:r>
        <w:rPr>
          <w:rFonts w:ascii="Arial" w:cs="Arial" w:eastAsia="Arial" w:hAnsi="Arial"/>
          <w:sz w:val="18"/>
          <w:szCs w:val="18"/>
          <w:color w:val="auto"/>
        </w:rPr>
        <w:t>4.75% of the New Common Stock at emergence (A) to not make any purchases of Prepetition Notes Claims without providing notice before such acquisition and obtaining advance approval of the Debtors, (B) to notify the Debtors of any sale of Prepetition Note Claims within a specified time period of such sale, and (C) giving Debtors the authority (but not requiring Debtors) to require such Holders to sell down their holdings of Prepetition Note Claims to an amount determined by the Debtors that will permit the Debtors to qualify for the benefits of IRC section 382(l)(5).</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3" w:name="page104"/>
    <w:bookmarkEnd w:id="103"/>
    <w:p>
      <w:pPr>
        <w:ind w:right="180" w:firstLine="648"/>
        <w:spacing w:after="0" w:line="277" w:lineRule="auto"/>
        <w:rPr>
          <w:sz w:val="20"/>
          <w:szCs w:val="20"/>
          <w:color w:val="auto"/>
        </w:rPr>
      </w:pPr>
      <w:r>
        <w:rPr>
          <w:rFonts w:ascii="Arial" w:cs="Arial" w:eastAsia="Arial" w:hAnsi="Arial"/>
          <w:sz w:val="18"/>
          <w:szCs w:val="18"/>
          <w:color w:val="auto"/>
        </w:rPr>
        <w:t>For purposes of this section, the amounts of Prepetition Notes Claims required to be sold in a sell down procedure may depend, in part, on whether such Claims were acquired more than eighteen months before the Petition Date.</w:t>
      </w:r>
    </w:p>
    <w:p>
      <w:pPr>
        <w:spacing w:after="0" w:line="166"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The New Common Stock Will be Subject to Trading Restrictions in Order to Protect the Reorganized Debtors’ Tax Attributes.</w:t>
      </w:r>
    </w:p>
    <w:p>
      <w:pPr>
        <w:spacing w:after="0" w:line="24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order to preserve the Debtors’ tax attributes post-emergence, the Debtors intend to impose trading restrictions on the New Common Stock in a form similar to those used by U.S. debtor corporations emerging from bankruptcy.</w:t>
      </w:r>
    </w:p>
    <w:p>
      <w:pPr>
        <w:spacing w:after="0" w:line="166" w:lineRule="exact"/>
        <w:rPr>
          <w:sz w:val="20"/>
          <w:szCs w:val="20"/>
          <w:color w:val="auto"/>
        </w:rPr>
      </w:pPr>
    </w:p>
    <w:p>
      <w:pPr>
        <w:ind w:left="660" w:right="240" w:hanging="652"/>
        <w:spacing w:after="0" w:line="282" w:lineRule="auto"/>
        <w:tabs>
          <w:tab w:leader="none" w:pos="673"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 THAT MAY AFFECT THE VALUE OF SECURITIES TO BE ISSUED UNDER THE PLAN AND/OR RECOVERIES UNDER THE PLAN</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The Valuation of the Reorganized Debtors May Not Be Adopted by the Bankruptcy Court.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Parties in interest in these Chapter 11 Cases may oppose confirmation of the Plan by alleging that the value of the Reorganized Debtors is higher than estimated by the Debtors and that the Plan thereby improperly limits or extinguishes their rights to recoveries under the Plan. At the Confirmation Hearing, the Bankruptcy Court will hear evidence regarding the views of the Debtors and opposing parties, if any, with respect to the valuation of the Reorganized Debtors. Based on that evidence, the Bankruptcy Court will determine the appropriate valuation for the Reorganized Debtors for purposes of the Plan.</w:t>
      </w:r>
    </w:p>
    <w:p>
      <w:pPr>
        <w:spacing w:after="0" w:line="184" w:lineRule="exact"/>
        <w:rPr>
          <w:sz w:val="20"/>
          <w:szCs w:val="20"/>
          <w:color w:val="auto"/>
        </w:rPr>
      </w:pPr>
    </w:p>
    <w:p>
      <w:pPr>
        <w:jc w:val="both"/>
        <w:ind w:left="1300" w:right="160" w:hanging="644"/>
        <w:spacing w:after="0" w:line="266" w:lineRule="auto"/>
        <w:tabs>
          <w:tab w:leader="none" w:pos="13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The Estimated Valuation of the Reorganized Debtors, the New Common Stock, the New Warrants, and the New Senior Unsecured Notes and the Estimated Recoveries to Holders of Allowed Claims and Equity Interests Are Not Intended to Represent the Private or Public Sale Values.</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Debtors’ estimated recoveries to Holders of Allowed Claims and Allowed Equity Interests are not intended to represent the private or public sale values of the Reorganized Debtors’ securities. The estimated recoveries are based on numerous assumptions (the realization of many of which is beyond the control of Reorganized Debtors), including, without limitation: (a) the successful reorganization of the Debtors; (b) an assumed date for the occurrence of the Effective Date; (c) the Debtors’ ability to achieve the operating and financial results included in the Financial Projections; and (d) the Debtors’ ability to maintain adequate liquidity to fund operations.</w:t>
      </w:r>
    </w:p>
    <w:p>
      <w:pPr>
        <w:spacing w:after="0" w:line="184" w:lineRule="exact"/>
        <w:rPr>
          <w:sz w:val="20"/>
          <w:szCs w:val="20"/>
          <w:color w:val="auto"/>
        </w:rPr>
      </w:pPr>
    </w:p>
    <w:p>
      <w:pPr>
        <w:ind w:left="1300" w:hanging="644"/>
        <w:spacing w:after="0"/>
        <w:tabs>
          <w:tab w:leader="none" w:pos="130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There May Be a Lack of a Trading Market For the New Common Stock.</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Although Weatherford Parent will use commercially reasonable efforts to list the New Common Stock on a national securities exchange, there can be no assurance that there will be an active trading market for the New Common Stock or the other Plan Securities. In addition, there may be trading restrictions on shares of New Common Stock (or any interest therein) following the Effective Time. Accordingly, there can be no assurance that any market will develop or as to the liquidity of any market that may develop for any such securities.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p>
      <w:pPr>
        <w:ind w:left="1300" w:hanging="644"/>
        <w:spacing w:after="0"/>
        <w:tabs>
          <w:tab w:leader="none" w:pos="1300"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The New Common Stock Will be Subordinated to the New Senior Unsecured Notes and Other Indebtedness of Reorganized Parent.</w:t>
      </w:r>
    </w:p>
    <w:p>
      <w:pPr>
        <w:spacing w:after="0" w:line="25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any subsequent liquidation, dissolution, or winding up of Reorganized Parent, the New Common Stock would rank below all debt claims against Reorganized Parent. As a result, holders of the New Common Stock would not be entitled to receive any payment or other distribution of assets upon the liquidation, dissolution, or winding up of Reorganized Parent until after all applicable holders of debt have been paid in full.</w:t>
      </w:r>
    </w:p>
    <w:p>
      <w:pPr>
        <w:spacing w:after="0" w:line="162" w:lineRule="exact"/>
        <w:rPr>
          <w:sz w:val="20"/>
          <w:szCs w:val="20"/>
          <w:color w:val="auto"/>
        </w:rPr>
      </w:pPr>
    </w:p>
    <w:p>
      <w:pPr>
        <w:ind w:left="1300" w:hanging="644"/>
        <w:spacing w:after="0"/>
        <w:tabs>
          <w:tab w:leader="none" w:pos="130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The New Warrants May Not Become Exercisable Prior to Expiration.</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can be no assurance that the total enterprise value of the Reorganized Debtors will ever reach the thresholds at which the New Warrants become exercisable prior to the expiration of the New Warrants.</w:t>
      </w:r>
    </w:p>
    <w:p>
      <w:pPr>
        <w:spacing w:after="0" w:line="166"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The Reorganized Debtors May Not Be Able to Achieve Projected Financial Results or Service Their Debt.</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Although the Financial Projections represent management’s view based on current known facts and assumptions about the future operations of the Reorganized Debtors there is no guarantee that the Financial Projections will be realized. The Reorganized Debtors may not be able to meet their projected financial results or achieve projected revenues and Cash flows assumed in projecting future business prospects. To the extent the Reorganized Debtors do not meet their projected financial results or achieve projected revenues and Cash flows, the Reorganized Debtors may lack sufficient liquidity to continue operating as planned after the Effective Date, may be unable to service their debt obligations as they come due or may not be able to meet their operational needs. Any one of these failures may preclude the Reorganized Debtors from, among other things: (a) taking advantage of future opportunities; (b) growing their businesses; or (c) responding to future changes in the oil and gas industry. Further, a failure of the Reorganized Debtors to meet their projected financial results or achieve projected revenues and cash flows could lead to cash flow and working capital constraints, which constraints may require the Reorganized Debtors to seek additional working capital. The Reorganized Debtors may not be able to obtain such working capital when it is required.</w:t>
      </w:r>
    </w:p>
    <w:p>
      <w:pPr>
        <w:spacing w:after="0" w:line="163" w:lineRule="exact"/>
        <w:rPr>
          <w:sz w:val="20"/>
          <w:szCs w:val="20"/>
          <w:color w:val="auto"/>
        </w:rPr>
      </w:pPr>
    </w:p>
    <w:p>
      <w:pPr>
        <w:ind w:left="1300" w:hanging="644"/>
        <w:spacing w:after="0"/>
        <w:tabs>
          <w:tab w:leader="none" w:pos="130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 Small Number of Holders Will Own a Significant Percentage of the New Common Stock.</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Consummation of the Plan will result in a small number of holders owning a significant percentage of the outstanding New Common Stock. Accordingly, these holders may, among other things, have significant influence over the business and affairs of the Reorganized Debtors and have the power to elect directors or managers and approve or disapprove of proposed mergers and other material corporate transactions.</w:t>
      </w:r>
    </w:p>
    <w:p>
      <w:pPr>
        <w:spacing w:after="0" w:line="162" w:lineRule="exact"/>
        <w:rPr>
          <w:sz w:val="20"/>
          <w:szCs w:val="20"/>
          <w:color w:val="auto"/>
        </w:rPr>
      </w:pPr>
    </w:p>
    <w:p>
      <w:pPr>
        <w:ind w:left="1300" w:right="140" w:hanging="644"/>
        <w:spacing w:after="0" w:line="282" w:lineRule="auto"/>
        <w:tabs>
          <w:tab w:leader="none" w:pos="13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If a United States Person is Treated as Owning At Least 10% of the New Common Stock, Such Holder May be Subject to Adverse U.S. Federal Income Tax Consequences.</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Many of Weatherford Parent’s non-U.S. subsidiaries are classified as “controlled foreign corporations” for U.S. federal income tax purposes due to the application of certain ownership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5" w:name="page106"/>
    <w:bookmarkEnd w:id="105"/>
    <w:p>
      <w:pPr>
        <w:ind w:right="20"/>
        <w:spacing w:after="0" w:line="286" w:lineRule="auto"/>
        <w:rPr>
          <w:sz w:val="20"/>
          <w:szCs w:val="20"/>
          <w:color w:val="auto"/>
        </w:rPr>
      </w:pPr>
      <w:r>
        <w:rPr>
          <w:rFonts w:ascii="Arial" w:cs="Arial" w:eastAsia="Arial" w:hAnsi="Arial"/>
          <w:sz w:val="16"/>
          <w:szCs w:val="16"/>
          <w:color w:val="auto"/>
        </w:rPr>
        <w:t>attribution rules within a multinational corporate group (although there is a legislative proposal to significantly limit the application of these rules). If a United States person is treated as owning (directly, indirectly or constructively) at least 10% of the value or voting power of Weatherford Parent’s shares, such person may be treated as a “United States shareholder” with respect to one or more of Weatherford Parent’s controlled foreign corporation subsidiaries. In addition, if Weatherford Parent’s shares are treated as owned more than 50% (by voting power or value) by United States shareholders, Weatherford Parent itself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Weatherford Parent makes any distributions to such United States shareholder. An individual United States shareholder generally would not be allowed certain tax deductions or foreign tax credits that would be allowed to a corporate United States shareholder.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Weatherford Parent cannot provide any assurances that it will assist investors in determining whether it or any of its non-U.S. subsidiaries are controlled foreign corporations. Weatherford Parent also cannot guarantee that it will furnish to United States shareholders information that may be necessary for them to comply with the aforementioned obligations. The risk of being subject to increased reporting and compliance obligations and taxation could impact the demand for, and value of, New Common Stock.</w:t>
      </w:r>
    </w:p>
    <w:p>
      <w:pPr>
        <w:spacing w:after="0" w:line="168" w:lineRule="exact"/>
        <w:rPr>
          <w:sz w:val="20"/>
          <w:szCs w:val="20"/>
          <w:color w:val="auto"/>
        </w:rPr>
      </w:pPr>
    </w:p>
    <w:p>
      <w:pPr>
        <w:ind w:left="660" w:right="440" w:hanging="652"/>
        <w:spacing w:after="0" w:line="295" w:lineRule="auto"/>
        <w:tabs>
          <w:tab w:leader="none" w:pos="673"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 THAT COULD NEGATIVELY IMPACT THE DEBTORS’ AND REORGANIZED DEBTORS’ BUSINESSES AND FINANCIAL CONDITION</w:t>
      </w:r>
      <w:r>
        <w:rPr>
          <w:rFonts w:ascii="Arial" w:cs="Arial" w:eastAsia="Arial" w:hAnsi="Arial"/>
          <w:sz w:val="23"/>
          <w:szCs w:val="23"/>
          <w:color w:val="auto"/>
          <w:vertAlign w:val="superscript"/>
        </w:rPr>
        <w:t>(7)</w:t>
      </w:r>
    </w:p>
    <w:p>
      <w:pPr>
        <w:spacing w:after="0" w:line="69" w:lineRule="exact"/>
        <w:rPr>
          <w:sz w:val="20"/>
          <w:szCs w:val="20"/>
          <w:color w:val="auto"/>
        </w:rPr>
      </w:pPr>
    </w:p>
    <w:p>
      <w:pPr>
        <w:ind w:left="1300" w:hanging="644"/>
        <w:spacing w:after="0"/>
        <w:tabs>
          <w:tab w:leader="none" w:pos="130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DIP Facility.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DIP Facility is intended to provide liquidity to the Debtors during the pendency of the Chapter 11 Cases. If the Chapter 11 Cases take longer than expected to conclude, or in the event of a breach of a milestone or another event of default under the DIP Facility, which could occur if the Plan is not confirmed on the proposed timeline, the Debtors may exhaust or lose access to their financing. There is no assurance that they will be able to obtain additional financing from their existing lenders or otherwise. In either such case, the liquidity necessary for the orderly functioning of the Debtors’ businesses may be materially impaired.</w:t>
      </w:r>
    </w:p>
    <w:p>
      <w:pPr>
        <w:spacing w:after="0" w:line="184" w:lineRule="exact"/>
        <w:rPr>
          <w:sz w:val="20"/>
          <w:szCs w:val="20"/>
          <w:color w:val="auto"/>
        </w:rPr>
      </w:pPr>
    </w:p>
    <w:p>
      <w:pPr>
        <w:ind w:left="1300" w:right="700" w:hanging="644"/>
        <w:spacing w:after="0" w:line="282" w:lineRule="auto"/>
        <w:tabs>
          <w:tab w:leader="none" w:pos="130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Fluctuations in Oil and Gas Prices May Continue to Adversely Affect the Debtors’ and the Reorganized Debtors’ Financial Condition, Financial Results, Cash Flows, Access to Capital and Ability to Grow.</w:t>
      </w:r>
    </w:p>
    <w:p>
      <w:pPr>
        <w:spacing w:after="0" w:line="166"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Demand for the Debtors’ services and products is tied to the level of exploration, development and production activity and the corresponding capital expenditures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7" w:lineRule="exact"/>
        <w:rPr>
          <w:sz w:val="20"/>
          <w:szCs w:val="20"/>
          <w:color w:val="auto"/>
        </w:rPr>
      </w:pPr>
    </w:p>
    <w:p>
      <w:pPr>
        <w:ind w:left="180" w:hanging="172"/>
        <w:spacing w:after="0"/>
        <w:tabs>
          <w:tab w:leader="none" w:pos="180" w:val="left"/>
        </w:tabs>
        <w:numPr>
          <w:ilvl w:val="0"/>
          <w:numId w:val="245"/>
        </w:numPr>
        <w:rPr>
          <w:rFonts w:ascii="Arial" w:cs="Arial" w:eastAsia="Arial" w:hAnsi="Arial"/>
          <w:sz w:val="18"/>
          <w:szCs w:val="18"/>
          <w:color w:val="auto"/>
          <w:vertAlign w:val="superscript"/>
        </w:rPr>
      </w:pPr>
      <w:r>
        <w:rPr>
          <w:rFonts w:ascii="Arial" w:cs="Arial" w:eastAsia="Arial" w:hAnsi="Arial"/>
          <w:sz w:val="14"/>
          <w:szCs w:val="14"/>
          <w:color w:val="auto"/>
        </w:rPr>
        <w:t>Additional factors are provided in the Company’s 10-K and 10-Q, filed with the Securities and Exchange Commission on February 15, 2019 and May 10,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jc w:val="both"/>
        <w:ind w:right="80"/>
        <w:spacing w:after="0" w:line="264" w:lineRule="auto"/>
        <w:rPr>
          <w:sz w:val="20"/>
          <w:szCs w:val="20"/>
          <w:color w:val="auto"/>
        </w:rPr>
      </w:pPr>
      <w:r>
        <w:rPr>
          <w:rFonts w:ascii="Arial" w:cs="Arial" w:eastAsia="Arial" w:hAnsi="Arial"/>
          <w:sz w:val="18"/>
          <w:szCs w:val="18"/>
          <w:color w:val="auto"/>
        </w:rPr>
        <w:t>given current geopolitical and economic conditions. Therefore, declines in oil and natural gas prices or sustained low oil and natural gas prices or customer perceptions that oil and natural gas prices will remain depressed or will further decrease in the future could result in a continued reduction in the demand and pricing for the Debtors’ equipment and will likely continue at lower rates for the Debtors’ services.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Prices for oil and natural gas are highly volatile and are subject to large fluctuations in response to relatively minor changes in the supply of and demand for oil and natural gas. Factors that can or could cause these price fluctuations include: excess supply of crude oil relative to demand; domestic and international drilling activity; global market uncertainty; the risk of slowing economic growth or recession in the United States, China, Europe or emerging markets; the ability of the Organization of the Petroleum Exporting Countries (“</w:t>
      </w:r>
      <w:r>
        <w:rPr>
          <w:rFonts w:ascii="Arial" w:cs="Arial" w:eastAsia="Arial" w:hAnsi="Arial"/>
          <w:sz w:val="17"/>
          <w:szCs w:val="17"/>
          <w:b w:val="1"/>
          <w:bCs w:val="1"/>
          <w:u w:val="single" w:color="auto"/>
          <w:color w:val="auto"/>
        </w:rPr>
        <w:t>OPEC</w:t>
      </w:r>
      <w:r>
        <w:rPr>
          <w:rFonts w:ascii="Arial" w:cs="Arial" w:eastAsia="Arial" w:hAnsi="Arial"/>
          <w:sz w:val="17"/>
          <w:szCs w:val="17"/>
          <w:color w:val="auto"/>
        </w:rPr>
        <w:t>”) to set and maintain production levels for oil; the decision of OPEC to abandon production quotas and/or member-country quota compliance within OPEC; oil and gas production levels by non-OPEC countries; the nature and extent of governmental regulation, including environmental regulation; technological advances affecting energy consumption; adverse weather conditions and a variety of other economic factors that are beyond the Debtors’ control. Any perceived or actual further reduction in oil and natural gas prices will depress the immediate levels of exploration, development and production activity and decrease spending by the Debtors’ customers, which could have a material adverse effect on the Debtors’ businesses, financial conditions and results of operations.</w:t>
      </w:r>
    </w:p>
    <w:p>
      <w:pPr>
        <w:spacing w:after="0" w:line="18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Sustained lower oil and natural gas prices have led to a significant decrease in spending by the Debtors’ customers over the past several years, and thus significant decreases in the Debtors’ revenues. Further decreases in oil and natural gas prices could lead to further cuts in spending and lower revenues. The Debtors’ customers also take into account the volatility of energy prices and other risk factors when determining whether to pursue capital projects and higher perceived risks generally mandate higher required returns. Any of these factors could affect the demand for oil and natural gas and could have a material adverse effect on the Debtors’ businesses, financial conditions, results of operations and cash flow.</w:t>
      </w:r>
    </w:p>
    <w:p>
      <w:pPr>
        <w:spacing w:after="0" w:line="169" w:lineRule="exact"/>
        <w:rPr>
          <w:sz w:val="20"/>
          <w:szCs w:val="20"/>
          <w:color w:val="auto"/>
        </w:rPr>
      </w:pPr>
    </w:p>
    <w:p>
      <w:pPr>
        <w:ind w:left="1300" w:right="520" w:hanging="644"/>
        <w:spacing w:after="0" w:line="282" w:lineRule="auto"/>
        <w:tabs>
          <w:tab w:leader="none" w:pos="130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The Credit Risks of the Debtors’ Concentrated Customer Base in the Energy Industry Could Result in Operating Losses and Negatively Impact Liquidity.</w:t>
      </w:r>
    </w:p>
    <w:p>
      <w:pPr>
        <w:spacing w:after="0" w:line="16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concentration of the Debtors’ customer base in the energy industry may impact the Debtors overall exposure to credit risk as customers may be similarly affected by prolonged changes in economic and industry conditions. Some of the Debtors’ customers are experiencing financial distress as a result of continued low commodity prices and may be forced to seek protection under applicable bankruptcy laws. Furthermore, countries that rely heavily upon income from hydrocarbon exports have been negatively and significantly affected by low oil prices, which could affect the Debtors’ ability to collect from customers in these countries, particularly national oil companies. Laws in some jurisdictions in which the Debtors operate could make collection difficult or time consuming. The Debtors perform on-going credit evaluations of customers and do not generally require collateral in support of trade receivables. While the Debtors maintain reserves for potential credit losses, the Debtors cannot assure such reserves will be sufficient to meet write-offs of uncollectible receivables or that losses from such receivables will be consistent with the Debtors’ expectations. Additionally, in the event of a bankruptcy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7" w:name="page108"/>
    <w:bookmarkEnd w:id="107"/>
    <w:p>
      <w:pPr>
        <w:ind w:right="280"/>
        <w:spacing w:after="0" w:line="277" w:lineRule="auto"/>
        <w:rPr>
          <w:sz w:val="20"/>
          <w:szCs w:val="20"/>
          <w:color w:val="auto"/>
        </w:rPr>
      </w:pPr>
      <w:r>
        <w:rPr>
          <w:rFonts w:ascii="Arial" w:cs="Arial" w:eastAsia="Arial" w:hAnsi="Arial"/>
          <w:sz w:val="18"/>
          <w:szCs w:val="18"/>
          <w:color w:val="auto"/>
        </w:rPr>
        <w:t>any of the Debtors’ customers, the Debtors may be treated as an unsecured creditor and may collect substantially less, or none, of the amounts owed to the Debtors by such customer.</w:t>
      </w:r>
    </w:p>
    <w:p>
      <w:pPr>
        <w:spacing w:after="0" w:line="166" w:lineRule="exact"/>
        <w:rPr>
          <w:sz w:val="20"/>
          <w:szCs w:val="20"/>
          <w:color w:val="auto"/>
        </w:rPr>
      </w:pPr>
    </w:p>
    <w:p>
      <w:pPr>
        <w:ind w:left="1300" w:right="480" w:hanging="644"/>
        <w:spacing w:after="0" w:line="282" w:lineRule="auto"/>
        <w:tabs>
          <w:tab w:leader="none" w:pos="130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Capital Spending by Customers May Continue to Have an Adverse Effect on the Debtors’ and the Reorganized Debtors’ Business, Financial Condition and Financial Results.</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Sustained low oil and natural gas prices have led to lower capital expenditures by the Debtors’ customers. Most of the Debtors’ contracts can be cancelled by a customer at any time. Low commodity prices, the short-term tenor of most of the Debtors’ contracts and the extreme financial stress experienced by customers (some of whom may have to seek bankruptcy protection) have combined to generate demands by many of the Debtors’ customers for reductions in the prices of the Debtors’ products and services. Further reductions in capital spending or requests for further cost reductions by the Debtors’ customers could directly impact the Debtors’ business by reducing demand for services and products and have a material adverse effect on the Debtors’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will curtail drilling programs as well as discretionary spending on well services, which may result in a reduction in the demand for the Debtors’ services, the rates the Debtors can charge and the utilization of their assets. Moreover, reduced discovery rates of new oil and natural gas reserves or a decrease in the development rate of reserves in the Debtors’ market areas, whether due to increased governmental regulation, limitations on exploration and drilling activity or other factors, could also have a material adverse impact on the Debtors’ businesses, even in a stronger oil and natural gas price environment. With respect to national oil company customers, the Debtors are also subject to risk of policy, regime, currency and budgetary changes all of which may affect their capital expenditures.</w:t>
      </w:r>
    </w:p>
    <w:p>
      <w:pPr>
        <w:spacing w:after="0" w:line="181" w:lineRule="exact"/>
        <w:rPr>
          <w:sz w:val="20"/>
          <w:szCs w:val="20"/>
          <w:color w:val="auto"/>
        </w:rPr>
      </w:pPr>
    </w:p>
    <w:p>
      <w:pPr>
        <w:ind w:left="1300" w:right="460" w:hanging="644"/>
        <w:spacing w:after="0" w:line="282" w:lineRule="auto"/>
        <w:tabs>
          <w:tab w:leader="none" w:pos="130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Severe or Unseasonable Weather Could Adversely Affect Demand for the Debtors’ or the Reorganized Debtors’ Products and Services.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Variation from normal weather patterns, such as cooler or warmer summers and winters, can have a significant impact on demand. Adverse weather conditions, such as hurricanes in the Gulf of Mexico or extreme winter conditions in Canada, Russia and the North Sea, may interrupt or curtail operations, or the Debtors’ customers’ operations, cause supply disruptions or loss of productivity or result in a loss of revenue or damage to equipment and facilities, which may or may not be insured. Any of these outcomes could have a material adverse effect on the Debtors’ business, financial condition and results of operations.</w:t>
      </w:r>
    </w:p>
    <w:p>
      <w:pPr>
        <w:spacing w:after="0" w:line="184" w:lineRule="exact"/>
        <w:rPr>
          <w:sz w:val="20"/>
          <w:szCs w:val="20"/>
          <w:color w:val="auto"/>
        </w:rPr>
      </w:pPr>
    </w:p>
    <w:p>
      <w:pPr>
        <w:ind w:left="1300" w:right="120" w:hanging="644"/>
        <w:spacing w:after="0" w:line="282" w:lineRule="auto"/>
        <w:tabs>
          <w:tab w:leader="none" w:pos="130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 in the Oilfield Services Industry Is Intense and Many of the Debtors’ Competitors Have Greater Financial and Other Resources Than The Debtors Do.</w:t>
      </w:r>
    </w:p>
    <w:p>
      <w:pPr>
        <w:spacing w:after="0" w:line="16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Debtors’ businesses are highly competitive, particularly with respect to the marketing of products and services to customers as well as securing equipment and trained personnel. Currently the oilfield service industry has excess capacity relative to customer demand, and,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8" w:name="page109"/>
    <w:bookmarkEnd w:id="108"/>
    <w:p>
      <w:pPr>
        <w:ind w:right="20"/>
        <w:spacing w:after="0" w:line="271" w:lineRule="auto"/>
        <w:rPr>
          <w:sz w:val="20"/>
          <w:szCs w:val="20"/>
          <w:color w:val="auto"/>
        </w:rPr>
      </w:pPr>
      <w:r>
        <w:rPr>
          <w:rFonts w:ascii="Arial" w:cs="Arial" w:eastAsia="Arial" w:hAnsi="Arial"/>
          <w:sz w:val="17"/>
          <w:szCs w:val="17"/>
          <w:color w:val="auto"/>
        </w:rPr>
        <w:t>most cases, multiple sources of comparable oilfield services are available from a number of different competitors. This competitive environment could impact the Debtors’ ability to maintain market share, defend, maintain or increase pricing for products and services and negotiate acceptable contract terms with customers and suppliers. In order to remain competitive, the Debtors must continue to add value for customers by providing, relative to their peers, new technologies, reliable products and services and competent personnel. The anticipated timing and cost of the development of competitive technology and new product introductions can impact the Debtors’ financial results, particularly if one of the Debtors’ competitors were to develop competing technology that accelerates the obsolescence of any of the Debtors’ products or services. Additionally, the Debtors may be disadvantaged competitively and financially by a significant movement of exploration and production operations to areas of the world in which they are not currently active, particularly if one or more of the Debtors’ competitors is already operating in that area of the world.</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Mergers, combinations and consolidations in the Debtors’ industry could result in existing competitors increasing their market share and may result in stronger competitors, which in turn, could have a material adverse effect on the Debtors’ business, financial condition and results of operations. The Debtors may not be able to compete successfully in an increasingly consolidated industry and cannot predict with certainty how industry consolidation will affect other competitors or the Debtors.</w:t>
      </w:r>
    </w:p>
    <w:p>
      <w:pPr>
        <w:spacing w:after="0" w:line="183" w:lineRule="exact"/>
        <w:rPr>
          <w:sz w:val="20"/>
          <w:szCs w:val="20"/>
          <w:color w:val="auto"/>
        </w:rPr>
      </w:pPr>
    </w:p>
    <w:p>
      <w:pPr>
        <w:ind w:left="1300" w:right="980" w:hanging="644"/>
        <w:spacing w:after="0" w:line="282" w:lineRule="auto"/>
        <w:tabs>
          <w:tab w:leader="none" w:pos="130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Claims Resulting From Catastrophic Incidents Could Have a Material Adverse Effect on the Debtors’ and the Reorganized Debtors’ Business, Financial Condition and Financial Results.</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Drilling for and producing hydrocarbons, and the associated products and services that the Debtors provide, include inherent dangers that may lead to property damage, personal injury, death or the discharge of hazardous materials into the environment. Many of these events are outside the Debtors’ control. Typically, the Debtors provide products and services at a well site where personnel and equipment are located together with personnel and equipment of the Debtors’ customer and third parties, such as other service providers. At many sites, the Debtors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products and services are deployed on more challenging prospects both onshore and offshore, where the occurrence of the types of events mentioned above can have an even more catastrophic impact on people, equipment and the environment. Such events may expose the Debtors to significant potential losses.</w:t>
      </w:r>
    </w:p>
    <w:p>
      <w:pPr>
        <w:spacing w:after="0" w:line="163" w:lineRule="exact"/>
        <w:rPr>
          <w:sz w:val="20"/>
          <w:szCs w:val="20"/>
          <w:color w:val="auto"/>
        </w:rPr>
      </w:pPr>
    </w:p>
    <w:p>
      <w:pPr>
        <w:ind w:left="1300" w:hanging="644"/>
        <w:spacing w:after="0" w:line="282" w:lineRule="auto"/>
        <w:tabs>
          <w:tab w:leader="none" w:pos="130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As is customary in the Debtors’ industry, the Debtors’ contracts typically require that customers and other third parties indemnify the Debtors for claims arising from the injury or death of their employees (and those of their other contractors), the loss or damage of their equipment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ind w:right="40"/>
        <w:spacing w:after="0" w:line="302" w:lineRule="auto"/>
        <w:rPr>
          <w:sz w:val="20"/>
          <w:szCs w:val="20"/>
          <w:color w:val="auto"/>
        </w:rPr>
      </w:pPr>
      <w:r>
        <w:rPr>
          <w:rFonts w:ascii="Arial" w:cs="Arial" w:eastAsia="Arial" w:hAnsi="Arial"/>
          <w:sz w:val="16"/>
          <w:szCs w:val="16"/>
          <w:color w:val="auto"/>
        </w:rPr>
        <w:t>(and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the Debtors typically indemnify their customers and certain other third parties for claims arising from the injury or death of the Debtors’ employees, the loss or damage of the Debtors’ equipment (other than equipment lost in the hole) or pollution originating from the Debtors’ equipment.</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Debtors’ indemnification arrangements may not protect the Debtors in every case. For example, from time to time the Debtors may enter into contracts with less favorable indemnities or perform work without a contract that provides protection. The Debtors’ indemnity arrangements may also be held to be overly broad in some courts and/or contrary to public policy in some jurisdictions, and to that extent may be unenforceable. Additionally, some jurisdictions which permit indemnification nonetheless limit its scope by statute. The Debtors may be subject to claims brought by third parties or government agencies with respect to which they are not indemnified. Furthermore, the parties from which indemnity is sought may not be solvent, may become bankrupt, may lack resources or insurance to honor their indemnities or may not otherwise be able to satisfy their indemnity obligations to the Debtors. The lack of enforceable indemnification could expose the Debtors to significant potential losses.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Further, the Debtors’ assets are generally are not insured against loss from political violence such as war, terrorism or civil commotion. If assets are damaged or destroyed as a result of an uninsured cause, the Debtors could recognize a loss of those assets.</w:t>
      </w:r>
    </w:p>
    <w:p>
      <w:pPr>
        <w:spacing w:after="0" w:line="166" w:lineRule="exact"/>
        <w:rPr>
          <w:sz w:val="20"/>
          <w:szCs w:val="20"/>
          <w:color w:val="auto"/>
        </w:rPr>
      </w:pPr>
    </w:p>
    <w:p>
      <w:pPr>
        <w:ind w:left="1300" w:right="140" w:hanging="644"/>
        <w:spacing w:after="0" w:line="282" w:lineRule="auto"/>
        <w:tabs>
          <w:tab w:leader="none" w:pos="130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Businesses May Be Exposed To Uninsured Claims And, As A Result, Litigation Might Result In Significant Potential Losses. The Cost Of The Debtors’ Insured Risk Management Program May Increase.</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the ordinary course of business, the Debtors become the subject of various claims and litigation. The Debtors maintain liability insurance, which includes insurance against damage to people, property and the environment, up to maximum limits of $435 million, subject to self-insured retentions and deductibles.</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These insurance policies are subject to exclusions, limitations and other conditions and may not apply in all cases, for example where willful wrongdoing on the Debtors part is alleged. It is possible an unexpected judgment could be rendered against the Debtors in cases in which the Debtors could be uninsured and beyond the amounts the Debtors currently have reserved or anticipate incurring, and in some cases those potential losses could be material.</w:t>
      </w:r>
    </w:p>
    <w:p>
      <w:pPr>
        <w:spacing w:after="0" w:line="14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Debtors’ insurance may not be sufficient to cover any particular loss or insurance may not cover all losses. For example, although the Debtors maintain product liability insurance, this type of insurance is limited in coverage and it is possible an adverse claim could arise in excess of that coverage. Additionally, insurance rates have in the past been subject to wide fluctuation and may be unavailable on terms that the Debtors or the Debtors’ customers believe are economically acceptable. Reductions in coverage, changes in the insurance markets and accidents affecting the Debtors’ industry may result in further cost increases and higher deductibles and retentions in future years and may also result in reduced activity levels in certain markets. Any of these events would have an adverse impact on the Debtors’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ind w:left="1300" w:right="80" w:hanging="644"/>
        <w:spacing w:after="0" w:line="313" w:lineRule="auto"/>
        <w:tabs>
          <w:tab w:leader="none" w:pos="1295"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The Debtors’ Operations Are Subject To Numerous Laws And Regulations, Including Environmental Laws And Regulations, That May Expose The Debtors To Significant Liabilities And Could Reduce Business Opportunities And Revenues.</w:t>
      </w:r>
    </w:p>
    <w:p>
      <w:pPr>
        <w:spacing w:after="0" w:line="14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Debtors are subject to various laws and regulations relating to the energy industry in general and the environment in particular. These laws are often complex and may not always be applied consistently in emerging markets. These laws and regulations often change and can cover broad subject matters, including tax, trade, customs (import/export) and the environment. In the case of environmental regulations, an environmental claim could arise with respect to one or more of the Debtors’ current businesses, products or services, or a business or property that one of the Debtors’ predecessors owned or used, and such claims could involve material expenditures. Generally, environmental laws have in recent years become more stringent and have sought to impose greater liability on a larger number of potentially responsible parties. The scope of regulation of the Debtors’ industry and the Debtors’ products and services may increase further, including possible increases in liabilities or funding requirements imposed by governmental agencies. The Debtors also cannot ensure that future business in the deepwater Gulf of Mexico, if any, will be profitable in light of regulations that have been, and may continue to be, promulgated and in light of the current risk environment and insurance markets. Additional regulations on deepwater drilling elsewhere in the world could be imposed, and those regulations could limit the Debtors’ business where they are imposed.</w:t>
      </w:r>
    </w:p>
    <w:p>
      <w:pPr>
        <w:spacing w:after="0" w:line="16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addition, members of the U.S. Congress, the U.S. Environmental Protection Agency and various agencies of several states within the U.S. frequently review, consider and propose more stringent regulation of hydraulic fracturing, a service the Debtors previously provided (and may, in the future, resume providing) to clients. Regulators are investigating whether any chemicals used in the fracturing process might adversely affect groundwater or whether the fracturing processes could lead to other unintended effects or damages.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the costs of providing services or could materially reduce potential business opportunities and revenues if the Debtors’ customers decrease their levels of activity in response to such regulation or if the Debtors are not able to pass along any cost increases to customers. The Debtors are unable to predict whether changes in laws or regulations or any other governmental proposals or responses will ultimately occur, and accordingly, are unable to assess the potential financial or operational impact they may have on the Debtors’ businesses.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1" w:name="page112"/>
    <w:bookmarkEnd w:id="111"/>
    <w:p>
      <w:pPr>
        <w:ind w:left="1300" w:right="260" w:hanging="644"/>
        <w:spacing w:after="0" w:line="282" w:lineRule="auto"/>
        <w:tabs>
          <w:tab w:leader="none" w:pos="1285"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A Significant Portion of the Debtors’ Revenue is Derived From the Debtors’ Non-United States Operations, Which Exposes the Debtors to Risks Inherent in Doing Business in the Over 80 Countries in Which They Operate.</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Debtors’ non-United States operations accounted for approximately $4.1 billion of their consolidated revenue in both 2018 and 2017 and $4.2 billion in 2016. Operations in countries other than the United States are subject to various risks, including:</w:t>
      </w:r>
    </w:p>
    <w:p>
      <w:pPr>
        <w:spacing w:after="0" w:line="170" w:lineRule="exact"/>
        <w:rPr>
          <w:sz w:val="20"/>
          <w:szCs w:val="20"/>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exposure to expropriation of the Debtors’ assets or other governmental 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exposure under the United States Foreign Corrupt Practices Act or similar legislation;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221" w:lineRule="exact"/>
        <w:rPr>
          <w:sz w:val="20"/>
          <w:szCs w:val="20"/>
          <w:color w:val="auto"/>
        </w:rPr>
      </w:pPr>
    </w:p>
    <w:p>
      <w:pPr>
        <w:ind w:left="1300" w:right="360" w:hanging="644"/>
        <w:spacing w:after="0" w:line="282" w:lineRule="auto"/>
        <w:tabs>
          <w:tab w:leader="none" w:pos="1295"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Able To Complete Their Strategic Divestitures And May Not Achieve The Intended Benefits Of Any Acquisition, Divestiture Or Joint Venture.</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From time to time, the Debtors may pursue strategic divestitures, acquisitions, investments and joint ventures “transactions”. Such divestitures can be complex in nature and may be affected by unanticipated developments, such as the recent significant and sustained decrease in the price of crude oil, delays in obtaining regulatory, governmental, customer or other third party approvals and challenges in establishing processes and infrastructure for both the underlying business and for potential investors or buyers of the business, which may result in such divestiture being delayed, or in limited circumstances not being completed at all, any of which could have a negative impact on the Debtors’ ability to repay indebtedness or their liquidity and otherwise expose the Debtors to increased competitive pressures and additional risks.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Even if successful, any of these contemplated or other future transactions may reduce earnings for a number of reasons, and pose many other risks that could adversely affect the Debtors’ operations or financial results, including:</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112" w:name="page113"/>
    <w:bookmarkEnd w:id="112"/>
    <w:p>
      <w:pPr>
        <w:ind w:left="980" w:right="480" w:hanging="324"/>
        <w:spacing w:after="0" w:line="302" w:lineRule="auto"/>
        <w:tabs>
          <w:tab w:leader="none" w:pos="94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these transactions have and do require significant investment of time and resources, may disrupt business, distract management from other responsibilities and may result in losses on disposal or continued financial involvement in any divested business, including through indemnification, guarantee or other financial arrangements, for a period of time following the transaction, which may adversely affect the Debtors’ financial results, including cash flow, repayment of indebtedness or compliance with debt covenants;</w:t>
      </w:r>
    </w:p>
    <w:p>
      <w:pPr>
        <w:spacing w:after="0" w:line="154" w:lineRule="exact"/>
        <w:rPr>
          <w:rFonts w:ascii="Arial" w:cs="Arial" w:eastAsia="Arial" w:hAnsi="Arial"/>
          <w:sz w:val="16"/>
          <w:szCs w:val="16"/>
          <w:color w:val="auto"/>
        </w:rPr>
      </w:pPr>
    </w:p>
    <w:p>
      <w:pPr>
        <w:ind w:left="980" w:right="480" w:hanging="324"/>
        <w:spacing w:after="0" w:line="277" w:lineRule="auto"/>
        <w:tabs>
          <w:tab w:leader="none" w:pos="94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acquired entities or joint ventures may not operate profitably, which could adversely affect operating income or operating margins, and the Debtors may be unable to recover their investments;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Debtors may not be able to effectively influence the operations of joint ventures, or may be exposed to certain liabilities if the Debtors’ joint venture partners do not fulfill their obligations; and</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Debtors may not be able to fully realize the intended or expected benefits of consummating such transactions, including receiving the expected cash proceeds.</w:t>
      </w:r>
    </w:p>
    <w:p>
      <w:pPr>
        <w:spacing w:after="0" w:line="166" w:lineRule="exact"/>
        <w:rPr>
          <w:sz w:val="20"/>
          <w:szCs w:val="20"/>
          <w:color w:val="auto"/>
        </w:rPr>
      </w:pPr>
    </w:p>
    <w:p>
      <w:pPr>
        <w:ind w:left="1300" w:right="640" w:hanging="644"/>
        <w:spacing w:after="0" w:line="282" w:lineRule="auto"/>
        <w:tabs>
          <w:tab w:leader="none" w:pos="1295"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to Retain or Attract Employees, Including Executive Officers and Other Key Personnel, Could Have a Material Adverse Effect on the Debtors’ Businesses.</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Debtors’ businesses are dependent on their ability to attract, develop, and retain qualified employees and workers. The Debtors’ ability to meet employment and staffing needs is subject to external and internal factors such as the current and future prices of oil and natural gas, the demand for workers by companies in the Debtors’ industry, the Debtors’ reputation within the labor market (particularly in a highly competitive industry), and the Debtors’ workers’ perception of opportunities with the Debtors as compared to the Debtors’ peers (including as to financial performance and incentives related thereto). If the Debtors are unable to attract and retain adequate numbers and an appropriate mix of qualified workers, the quality of products and services provided to customers may decrease and financial performance may be adversely affected. Further, the Debtors depend on the contributions of key personnel for future success. Departures of key employees can cause disruptions to, and uncertainty in, the Debtors’ businesses and operations. Future departures of key employees, including changes in senior management, could disrupt the Debtors’ businesses and have a materially adverse effect on the Debtors’ financial condition and results of operations.</w:t>
      </w:r>
    </w:p>
    <w:p>
      <w:pPr>
        <w:spacing w:after="0" w:line="178" w:lineRule="exact"/>
        <w:rPr>
          <w:sz w:val="20"/>
          <w:szCs w:val="20"/>
          <w:color w:val="auto"/>
        </w:rPr>
      </w:pPr>
    </w:p>
    <w:p>
      <w:pPr>
        <w:ind w:left="1300" w:hanging="644"/>
        <w:spacing w:after="0" w:line="282" w:lineRule="auto"/>
        <w:tabs>
          <w:tab w:leader="none" w:pos="1295"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If Another Party Claims That the Debtors Have Infringed its Intellectual Property Rights, the Debtors May be Subject to Litigation or May Need to Take Remedial Steps to Eliminate or Mitigate Liability.</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 third party may claim that the Debtors sell equipment or perform services that infringes upon the third party’s patent rights or unlawfully uses the third party’s trade secrets. Addressing such claims of patent infringement or trade secret misappropriation could result in significant legal and other costs and may adversely impact the Debtors’ businesses. To resolve such claims, the Debtors may be required to enter into license agreements that require them to make royalty payments to continue selling equipment or providing of services. Alternatively, the development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3" w:name="page114"/>
    <w:bookmarkEnd w:id="113"/>
    <w:p>
      <w:pPr>
        <w:spacing w:after="0" w:line="264" w:lineRule="auto"/>
        <w:rPr>
          <w:sz w:val="20"/>
          <w:szCs w:val="20"/>
          <w:color w:val="auto"/>
        </w:rPr>
      </w:pPr>
      <w:r>
        <w:rPr>
          <w:rFonts w:ascii="Arial" w:cs="Arial" w:eastAsia="Arial" w:hAnsi="Arial"/>
          <w:sz w:val="18"/>
          <w:szCs w:val="18"/>
          <w:color w:val="auto"/>
        </w:rPr>
        <w:t>of non-infringing technologies could be costly. If an allegation of patent infringement or trade secret misappropriation cannot be resolved through a license agreement, the Debtors might not be able to continue selling particular equipment or providing particular services, which could adversely affect their financial conditions, results of operations, and cash flow.</w:t>
      </w:r>
    </w:p>
    <w:p>
      <w:pPr>
        <w:spacing w:after="0" w:line="177" w:lineRule="exact"/>
        <w:rPr>
          <w:sz w:val="20"/>
          <w:szCs w:val="20"/>
          <w:color w:val="auto"/>
        </w:rPr>
      </w:pPr>
    </w:p>
    <w:p>
      <w:pPr>
        <w:ind w:left="1300" w:right="880" w:hanging="644"/>
        <w:spacing w:after="0" w:line="282" w:lineRule="auto"/>
        <w:tabs>
          <w:tab w:leader="none" w:pos="1295"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and Holders of Allowed Claims and Allowed Equity Interests May Suffer Adverse U.S. Federal Income Tax Consequences as a Result of the Implementation of the Plan</w:t>
      </w:r>
    </w:p>
    <w:p>
      <w:pPr>
        <w:spacing w:after="0" w:line="16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Following the Effective Date, the Reorganized Debtors intend to continue to operate under Weatherford Parent, which is expected to be an Irish tax resident following the Irish Migration (as defined below). The United States Internal Revenue Service (the “</w:t>
      </w:r>
      <w:r>
        <w:rPr>
          <w:rFonts w:ascii="Arial" w:cs="Arial" w:eastAsia="Arial" w:hAnsi="Arial"/>
          <w:sz w:val="17"/>
          <w:szCs w:val="17"/>
          <w:b w:val="1"/>
          <w:bCs w:val="1"/>
          <w:u w:val="single" w:color="auto"/>
          <w:color w:val="auto"/>
        </w:rPr>
        <w:t>IRS</w:t>
      </w:r>
      <w:r>
        <w:rPr>
          <w:rFonts w:ascii="Arial" w:cs="Arial" w:eastAsia="Arial" w:hAnsi="Arial"/>
          <w:sz w:val="17"/>
          <w:szCs w:val="17"/>
          <w:color w:val="auto"/>
        </w:rPr>
        <w:t>”) may, however, assert that Weatherford Parent should be treated as a U.S. corporation for U.S. federal income tax purposes pursuant to IRC Section 7874. For U.S. federal tax purposes, a corporation generally is classified as either a U.S. corporation or a foreign corporation by reference to the jurisdiction of its organization or incorporation. Because Weatherford Parent is an Irish incorporated entity, it would generally be classified as a foreign corporation under these rules. IRC Section 7874 provides (i) an exception to this general rule under which a foreign incorporated entity may, in certain circumstances, be treated as a U.S. corporation for U.S. federal income tax purposes, or, in the alternative, (ii) for certain adverse tax consequences in certain cases where a foreign incorporated entity is treated as a non-U.S. corporation for U.S. federal income tax purposes.</w:t>
      </w:r>
    </w:p>
    <w:p>
      <w:pPr>
        <w:spacing w:after="0" w:line="1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The application of IRC Section 7874 to Weatherford Parent is unclear and subject to factual uncertainty and may result in significant adverse tax consequences. For additional information regarding the application of IRC Section 7874, see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below.</w:t>
      </w:r>
    </w:p>
    <w:p>
      <w:pPr>
        <w:spacing w:after="0" w:line="166" w:lineRule="exact"/>
        <w:rPr>
          <w:sz w:val="20"/>
          <w:szCs w:val="20"/>
          <w:color w:val="auto"/>
        </w:rPr>
      </w:pPr>
    </w:p>
    <w:p>
      <w:pPr>
        <w:ind w:left="1300" w:right="140" w:hanging="644"/>
        <w:spacing w:after="0" w:line="282" w:lineRule="auto"/>
        <w:tabs>
          <w:tab w:leader="none" w:pos="129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The Rights Of The Debtors’ Shareholders Are Governed By Irish Law; Irish Law Differs From The Laws In Effect In The United States And May Afford Less Protection To Holders Of The Debtors’ Securities.</w:t>
      </w:r>
    </w:p>
    <w:p>
      <w:pPr>
        <w:spacing w:after="0" w:line="16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As an Irish company, Weatherford Parent is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alone, as a separate legal entity, and not to individual shareholders (save in the case of insolvency, where the directors will primarily owe their duties to a company’s creditors). Shareholders of Irish companies generally do not have a personal right of action against directors or officers of the company and may exercise such rights of action on behalf of the company only in limited circumstances. Accordingly, holders of the Debtors’ securities may have more difficulty protecting their interests than would holders of securities of a corporation incorporated in a jurisdiction of the United States. Additionally, while Weatherford Parent is an Irish company, Weatherford Parent currently holds shareholders meetings in Switzerland, and in the future may hold shareholders meetings in Ireland which may make attendance in person more difficult for some investors.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4" w:name="page115"/>
    <w:bookmarkEnd w:id="114"/>
    <w:p>
      <w:pPr>
        <w:ind w:left="1300" w:right="340" w:hanging="644"/>
        <w:spacing w:after="0" w:line="266" w:lineRule="auto"/>
        <w:tabs>
          <w:tab w:leader="none" w:pos="1295"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 Parent Is Incorporated In Ireland and a Significant Portion of the Debtors’ Assets are Located Outside the United States. As a Result, it Might Not Be Possible For Shareholders to Enforce Civil Liability Provisions of the Federal or State Securities Laws of the United States.</w:t>
      </w:r>
    </w:p>
    <w:p>
      <w:pPr>
        <w:spacing w:after="0" w:line="18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Weatherford Parent is organized under the laws of Ireland, and a significant portion of the Debtors’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the Debtors in Ireland. In addition, there is some doubt as to whether the courts of Ireland and other countries would recognize or enforce judgments of U.S. courts obtained against the Debtors or the Debtors’ directors or officers based on the civil liabilities provisions of the federal or state securities laws of the United States or would hear actions against the Debtors or those persons based on those laws. The laws of Ireland do, however, as a general rule, provide that if an order of recognition by the Irish Court is granted, the judgments of the courts of the United States have the same validity in Ireland as if rendered by Irish Courts. Certain important requirements must be satisfied before the Irish Courts will recognize the U.S. judgment. These include the following: the judgment must be a money judgment for a liquidated sum,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76" w:lineRule="exact"/>
        <w:rPr>
          <w:sz w:val="20"/>
          <w:szCs w:val="20"/>
          <w:color w:val="auto"/>
        </w:rPr>
      </w:pPr>
    </w:p>
    <w:p>
      <w:pPr>
        <w:ind w:left="1300" w:right="80" w:hanging="644"/>
        <w:spacing w:after="0" w:line="282" w:lineRule="auto"/>
        <w:tabs>
          <w:tab w:leader="none" w:pos="1295"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 Parent Will Require “Profits Available for Distribution” to Pay Dividends and Generally to Make Share Repurchases and Redemptions.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Irish law, dividends may only be paid, and share repurchases and redemptions may generally only be made, by Weatherford Parent from its “profits available for distribution”. Immediately following the Effective Date, Weatherford Parent may not have any profits available for distribution. In such circumstances, no dividends, other distributions, share repurchases or redemptions will be permitted under Irish law until such time as Weatherford Parent has generated sufficient profits available for distribution from its business activities or, to the extent possible, reorganized its capital structure to create such profits.</w:t>
      </w:r>
    </w:p>
    <w:p>
      <w:pPr>
        <w:spacing w:after="0" w:line="184"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 FACTORS RELATING TO THE IRISH EXAMINERSHIP PROCEEDING</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General.</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Irish proceeding, the examinership in relation to Weatherford Parent, will be of shorter duration than the Chapter 11 Cases and will run concurrently with the Chapter 11 Cases. It will entail the same risks with regard to the Debtors’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5" w:name="page116"/>
    <w:bookmarkEnd w:id="115"/>
    <w:p>
      <w:pPr>
        <w:ind w:left="1300" w:hanging="644"/>
        <w:spacing w:after="0"/>
        <w:tabs>
          <w:tab w:leader="none" w:pos="130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Appointment of an Examiner to the Weatherford Parent.</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509 of the Companies Act 2014 (Ireland) provides that the High Court of Ireland may appoint an examiner to an Irish registered company if it is insolvent, has not been put into liquidation, no receiver has been appointed for three consecutive days prior to the presentation of the petition and that there is a reasonable prospect of the survival of both the company and its undertaking. In the case of the latter proof, Weatherford Parent, as the ultimate parent company of the Weatherford group, will be required to satisfy the High Court of Ireland that it has an undertaking in its own right and that there is a reasonable prospect of survival of its undertaking as a going concern. Weatherford Parent believes that it will be possible to satisfy each of these proofs but there can be no assurance that the High Court of Ireland will reach the same conclusion.</w:t>
      </w:r>
    </w:p>
    <w:p>
      <w:pPr>
        <w:spacing w:after="0" w:line="174" w:lineRule="exact"/>
        <w:rPr>
          <w:sz w:val="20"/>
          <w:szCs w:val="20"/>
          <w:color w:val="auto"/>
        </w:rPr>
      </w:pPr>
    </w:p>
    <w:p>
      <w:pPr>
        <w:ind w:left="1300" w:right="200" w:hanging="644"/>
        <w:spacing w:after="0" w:line="282" w:lineRule="auto"/>
        <w:tabs>
          <w:tab w:leader="none" w:pos="130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Not Put the Proposals Before the Members and Creditors of Weatherford Parent and Seek their Approval by the High Court of Ireland.</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examiner, when appointed, will be an independent officer of the High Court of Ireland and will be free to adopt or decline to adopt the terms of the proposals for a scheme of arrangement accompanying the petition to have an examiner appointed to Weatherford Parent. Weatherford Parent believes that the examiner will adopt and put the proposals before meetings of Weatherford Parent’s shareholders and creditors and subsequently seek their approval by the High Court of Ireland, because the proposals will, insofar as Weatherford Parent is concerned, mirror the Plan and the Plan represents the best solution achievable for the Debtors, their creditors and shareholders. There can be no assurance however that the examiner will reach the same conclusion.</w:t>
      </w:r>
    </w:p>
    <w:p>
      <w:pPr>
        <w:spacing w:after="0" w:line="154" w:lineRule="exact"/>
        <w:rPr>
          <w:sz w:val="20"/>
          <w:szCs w:val="20"/>
          <w:color w:val="auto"/>
        </w:rPr>
      </w:pPr>
    </w:p>
    <w:p>
      <w:pPr>
        <w:ind w:left="1300" w:hanging="644"/>
        <w:spacing w:after="0"/>
        <w:tabs>
          <w:tab w:leader="none" w:pos="13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Fail to Satisfy the Vote Requirement.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541 of the Companies Act 2014 (Ireland) provides that at least one class of creditors whose claims would be impaired by the scheme of arrangement must have voted in favor of the scheme of arrangement. A class is deemed to vote in favor if a majority in number and value of claims of those present and voting at the class meeting convened by the examiner votes in favor. In the event that the only class which will be impaired, the Prepetition Notes Claims creditors (entitled to claim pursuant to guarantees provided by Weatherford Parent), do not vote in favor of the scheme of arrangement it cannot be approved by the High Court of Ireland and will therefore not become effective. In such circumstances, such alternative structure as is approved by the Required Consenting Noteholders may be put in place.</w:t>
      </w:r>
    </w:p>
    <w:p>
      <w:pPr>
        <w:spacing w:after="0" w:line="189" w:lineRule="exact"/>
        <w:rPr>
          <w:sz w:val="20"/>
          <w:szCs w:val="20"/>
          <w:color w:val="auto"/>
        </w:rPr>
      </w:pPr>
    </w:p>
    <w:p>
      <w:pPr>
        <w:ind w:left="1300" w:hanging="644"/>
        <w:spacing w:after="0"/>
        <w:tabs>
          <w:tab w:leader="none" w:pos="130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Examiner’s Classification of Claims.</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examiner will be required, pursuant to section 539 of the Companies Act 2014 (Ireland), to place creditors in classes of creditors and provide equal treatment for each claim within a particular class unless the holder of a particular claim agrees to less favorable treatment. It is likely that in considering any objection to the basis upon which classes have been formulated the High Court of Ireland would take the view that each class must be confined to those parties whose rights are not so dissimilar as to make it impossible for them to consult together with a view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to their common interest. There can be no assurance that the High Court of Ireland will decide that the examiner’s formulation of classes was correct.</w:t>
      </w:r>
    </w:p>
    <w:p>
      <w:pPr>
        <w:spacing w:after="0" w:line="233" w:lineRule="exact"/>
        <w:rPr>
          <w:sz w:val="20"/>
          <w:szCs w:val="20"/>
          <w:color w:val="auto"/>
        </w:rPr>
      </w:pPr>
    </w:p>
    <w:p>
      <w:pPr>
        <w:ind w:left="1300" w:hanging="644"/>
        <w:spacing w:after="0"/>
        <w:tabs>
          <w:tab w:leader="none" w:pos="130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Not Be Able to Secure Confirmation of the Proposals for a Scheme of Arrangement.</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541 of the Companies Act 2014 (Ireland) provides that the High Court of Ireland is precluded from confirming proposals for a scheme of arrangement unless it is satisfied that the proposals are fair and equitable in relation to any class of members or creditors that has not accepted the proposals and whose interests or claims would be impaired by implementation of the proposals and not unfairly prejudicial to the interests of any interested party. Whether proposals are fair and equitable or not unfairly prejudicial to any party will usually be assessed by reference to how such party would be treated in a liquidation, pursuant to Part 11 of the Companies Act 2014 (Ireland), of Weatherford Parent. A shareholder or creditor should not be unfairly prejudiced and a class of shareholders or creditors should not be considered to have been treated unfairly or inequitably if that party’s treatment approximates to, or is better than, the manner in which such party would be treated in a liquidation of Weatherford Parent. Any creditor or shareholder whose interests would be impaired by the proposals if implemented and who did not vote in favor of the proposals may object to the proposals in the High Court of Ireland at the hearing convened to confirm the proposals. Weatherford Parent believes that the terms of the Plan insofar as they relate to Weatherford Parent would not, if mirrored in a scheme of arrangement pursuant to Part 10 of the Companies Act 2014 (Ireland), be unfair or inequitable to any class of shareholders or creditors of Weatherford Parent and would not be unfairly prejudicial to the interests of any interested party. There is no assurance however that the High Court of Ireland will reach the same conclusion.</w:t>
      </w:r>
    </w:p>
    <w:p>
      <w:pPr>
        <w:spacing w:after="0" w:line="176" w:lineRule="exact"/>
        <w:rPr>
          <w:sz w:val="20"/>
          <w:szCs w:val="20"/>
          <w:color w:val="auto"/>
        </w:rPr>
      </w:pPr>
    </w:p>
    <w:p>
      <w:pPr>
        <w:ind w:left="640" w:hanging="632"/>
        <w:spacing w:after="0"/>
        <w:tabs>
          <w:tab w:leader="none" w:pos="6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 FACTORS RELATING TO THE BERMUDA PROCEEDING</w:t>
      </w:r>
    </w:p>
    <w:p>
      <w:pPr>
        <w:spacing w:after="0" w:line="225" w:lineRule="exact"/>
        <w:rPr>
          <w:sz w:val="20"/>
          <w:szCs w:val="20"/>
          <w:color w:val="auto"/>
        </w:rPr>
      </w:pPr>
    </w:p>
    <w:p>
      <w:pPr>
        <w:ind w:left="1300" w:hanging="644"/>
        <w:spacing w:after="0"/>
        <w:tabs>
          <w:tab w:leader="none" w:pos="13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Risk that the Bermuda Court Will Not Sanction the Bermuda Scheme or Grant Recognition of the Confirmation Order.</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Prior to the Effective Date, the Bermuda Debtor intends to put forward the Bermuda Scheme in Bermuda or alternatively seek recognition of the Confirmation Order in Bermuda. In the event that the Bermuda Scheme is put forward, the Bermuda Court is expected to direct that a meeting of creditors affected by the Bermuda Scheme be convened at which point such creditors are expected to approve the Bermuda Scheme. There is a risk that the creditors will not approve the Bermuda Scheme in accordance with the requisite majority under Bermuda law (a majority of those present and voting and seventy-five percent in value of those present and voting. There is a risk that the Bermuda Court will not sanction the scheme, which may affect the Bermuda Debtor’s ability to ensure that certain creditors are bound by the terms of the Confirmation order. There is a risk that, in the event that the Bermuda Debtor applies for recognition of the Confirmation Order, the Bermuda Court will not grant such recognition, which may affect the Bermuda Debtor’s ability to effectuate certain relief granted pursuant to the Confirmation Order in Bermuda.</w:t>
      </w:r>
    </w:p>
    <w:p>
      <w:pPr>
        <w:spacing w:after="0" w:line="175" w:lineRule="exact"/>
        <w:rPr>
          <w:sz w:val="20"/>
          <w:szCs w:val="20"/>
          <w:color w:val="auto"/>
        </w:rPr>
      </w:pPr>
    </w:p>
    <w:p>
      <w:pPr>
        <w:ind w:left="1300" w:right="200" w:hanging="644"/>
        <w:spacing w:after="0" w:line="282" w:lineRule="auto"/>
        <w:tabs>
          <w:tab w:leader="none" w:pos="130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The Bermuda Debtor’s Bye-Laws Restrict Shareholders From Bringing Legal Action Against the Bermuda Debtor’s Officers and Directors.</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Bermuda Debtor’s bye-laws contain a broad waiver by its shareholders of any claim or right of action, both individually and on the Bermuda Debtor’s behalf, against any of its officers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7" w:name="page118"/>
    <w:bookmarkEnd w:id="117"/>
    <w:p>
      <w:pPr>
        <w:ind w:right="160"/>
        <w:spacing w:after="0" w:line="312" w:lineRule="auto"/>
        <w:rPr>
          <w:sz w:val="20"/>
          <w:szCs w:val="20"/>
          <w:color w:val="auto"/>
        </w:rPr>
      </w:pPr>
      <w:r>
        <w:rPr>
          <w:rFonts w:ascii="Arial" w:cs="Arial" w:eastAsia="Arial" w:hAnsi="Arial"/>
          <w:sz w:val="16"/>
          <w:szCs w:val="16"/>
          <w:color w:val="auto"/>
        </w:rPr>
        <w:t>or directors. The waiver applies to any action taken by an officer or director, or the failure of an officer or director to take any action, in the performance of his or her duties, except with respect to any matter involving any fraud or dishonesty on the part of the officer or director. This waiver limits the right of shareholders to assert claims against the Bermuda Debtor’s officers and directors unless the act or failure to act involves fraud or dishonesty.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SOLICITATION AND VOTING PROCEDURES</w:t>
      </w:r>
    </w:p>
    <w:p>
      <w:pPr>
        <w:spacing w:after="0" w:line="207"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SOLICITATION PROCEDURES</w:t>
      </w:r>
    </w:p>
    <w:p>
      <w:pPr>
        <w:spacing w:after="0" w:line="225"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Each Eligible Holder</w:t>
      </w:r>
      <w:r>
        <w:rPr>
          <w:rFonts w:ascii="Arial" w:cs="Arial" w:eastAsia="Arial" w:hAnsi="Arial"/>
          <w:sz w:val="22"/>
          <w:szCs w:val="22"/>
          <w:color w:val="auto"/>
          <w:vertAlign w:val="superscript"/>
        </w:rPr>
        <w:t>(8)</w:t>
      </w:r>
      <w:r>
        <w:rPr>
          <w:rFonts w:ascii="Arial" w:cs="Arial" w:eastAsia="Arial" w:hAnsi="Arial"/>
          <w:sz w:val="17"/>
          <w:szCs w:val="17"/>
          <w:color w:val="auto"/>
        </w:rPr>
        <w:t xml:space="preserve"> of a Prepetition Notes Claim as of June 24, 2019 (the “</w:t>
      </w:r>
      <w:r>
        <w:rPr>
          <w:rFonts w:ascii="Arial" w:cs="Arial" w:eastAsia="Arial" w:hAnsi="Arial"/>
          <w:sz w:val="17"/>
          <w:szCs w:val="17"/>
          <w:b w:val="1"/>
          <w:bCs w:val="1"/>
          <w:u w:val="single" w:color="auto"/>
          <w:color w:val="auto"/>
        </w:rPr>
        <w:t>Prepetition Notes Voting Record Date</w:t>
      </w:r>
      <w:r>
        <w:rPr>
          <w:rFonts w:ascii="Arial" w:cs="Arial" w:eastAsia="Arial" w:hAnsi="Arial"/>
          <w:sz w:val="17"/>
          <w:szCs w:val="17"/>
          <w:color w:val="auto"/>
        </w:rPr>
        <w:t>”) is entitled to vote to accept or reject the Plan and shall receive the Solicitation Package (as defined below) in accordance with the solicitation procedures described herein.</w:t>
      </w:r>
    </w:p>
    <w:p>
      <w:pPr>
        <w:spacing w:after="0" w:line="19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Each Holder of Existing Common Stock as of July 2, 2019 (the “</w:t>
      </w:r>
      <w:r>
        <w:rPr>
          <w:rFonts w:ascii="Arial" w:cs="Arial" w:eastAsia="Arial" w:hAnsi="Arial"/>
          <w:sz w:val="18"/>
          <w:szCs w:val="18"/>
          <w:b w:val="1"/>
          <w:bCs w:val="1"/>
          <w:u w:val="single" w:color="auto"/>
          <w:color w:val="auto"/>
        </w:rPr>
        <w:t>Common Stock Voting Record Date</w:t>
      </w:r>
      <w:r>
        <w:rPr>
          <w:rFonts w:ascii="Arial" w:cs="Arial" w:eastAsia="Arial" w:hAnsi="Arial"/>
          <w:sz w:val="18"/>
          <w:szCs w:val="18"/>
          <w:color w:val="auto"/>
        </w:rPr>
        <w:t>” and together with the Prepetition Notes Voting Record Date, the “</w:t>
      </w:r>
      <w:r>
        <w:rPr>
          <w:rFonts w:ascii="Arial" w:cs="Arial" w:eastAsia="Arial" w:hAnsi="Arial"/>
          <w:sz w:val="18"/>
          <w:szCs w:val="18"/>
          <w:b w:val="1"/>
          <w:bCs w:val="1"/>
          <w:u w:val="single" w:color="auto"/>
          <w:color w:val="auto"/>
        </w:rPr>
        <w:t>Record Date</w:t>
      </w:r>
      <w:r>
        <w:rPr>
          <w:rFonts w:ascii="Arial" w:cs="Arial" w:eastAsia="Arial" w:hAnsi="Arial"/>
          <w:sz w:val="18"/>
          <w:szCs w:val="18"/>
          <w:color w:val="auto"/>
        </w:rPr>
        <w:t>”) is entitled to vote to accept or reject the Plan and shall receive the Solicitation Package (as defined below) in accordance with the solicitation procedures described herein.</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The discussion of the procedures below is a summary of the solicitation and voting process</w:t>
      </w:r>
      <w:r>
        <w:rPr>
          <w:rFonts w:ascii="Arial" w:cs="Arial" w:eastAsia="Arial" w:hAnsi="Arial"/>
          <w:sz w:val="18"/>
          <w:szCs w:val="18"/>
          <w:color w:val="auto"/>
        </w:rPr>
        <w:t>. Detailed voting instructions will be provided with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ballot.</w:t>
      </w:r>
    </w:p>
    <w:p>
      <w:pPr>
        <w:spacing w:after="0" w:line="162" w:lineRule="exact"/>
        <w:rPr>
          <w:sz w:val="20"/>
          <w:szCs w:val="20"/>
          <w:color w:val="auto"/>
        </w:rPr>
      </w:pPr>
    </w:p>
    <w:p>
      <w:pPr>
        <w:jc w:val="center"/>
        <w:ind w:left="280" w:right="2220"/>
        <w:spacing w:after="0" w:line="261" w:lineRule="auto"/>
        <w:rPr>
          <w:sz w:val="20"/>
          <w:szCs w:val="20"/>
          <w:color w:val="auto"/>
        </w:rPr>
      </w:pPr>
      <w:r>
        <w:rPr>
          <w:rFonts w:ascii="Arial" w:cs="Arial" w:eastAsia="Arial" w:hAnsi="Arial"/>
          <w:sz w:val="18"/>
          <w:szCs w:val="18"/>
          <w:b w:val="1"/>
          <w:bCs w:val="1"/>
          <w:color w:val="auto"/>
        </w:rPr>
        <w:t>PLEASE REFER TO THE INSTRUCTIONS ACCOMPANYING THE BALLOTS FOR MORE INFORMATION REGARDING VOTING REQUIREMENTS TO ENSURE THAT YOUR BALLOT IS PROPERLY AND TIMELY SUBMITTED SUCH THAT YOUR VOTE MAY BE COUNTED.</w:t>
      </w:r>
    </w:p>
    <w:p>
      <w:pPr>
        <w:spacing w:after="0" w:line="180" w:lineRule="exact"/>
        <w:rPr>
          <w:sz w:val="20"/>
          <w:szCs w:val="20"/>
          <w:color w:val="auto"/>
        </w:rPr>
      </w:pPr>
    </w:p>
    <w:p>
      <w:pPr>
        <w:ind w:left="1300" w:hanging="644"/>
        <w:spacing w:after="0"/>
        <w:tabs>
          <w:tab w:leader="none" w:pos="130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Debtors have sought authority to retain Prime Clerk LLC (“</w:t>
      </w:r>
      <w:r>
        <w:rPr>
          <w:rFonts w:ascii="Arial" w:cs="Arial" w:eastAsia="Arial" w:hAnsi="Arial"/>
          <w:sz w:val="18"/>
          <w:szCs w:val="18"/>
          <w:b w:val="1"/>
          <w:bCs w:val="1"/>
          <w:u w:val="single" w:color="auto"/>
          <w:color w:val="auto"/>
        </w:rPr>
        <w:t>Prime Clerk</w:t>
      </w:r>
      <w:r>
        <w:rPr>
          <w:rFonts w:ascii="Arial" w:cs="Arial" w:eastAsia="Arial" w:hAnsi="Arial"/>
          <w:sz w:val="18"/>
          <w:szCs w:val="18"/>
          <w:color w:val="auto"/>
        </w:rPr>
        <w:t>”) to, among other things, act as Voting and Claims Agent.</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Specifically, the Voting and Claims Agent will assist the Debtors with: (a) mailing notices of the Confirmation Hearing for the Plan; (b) mailing Solicitation Packages (as defined and described below); (c) soliciting votes on the Plan; (d) receiving, tabulating, and reporting on ballots cast for or against the Plan by Holders of Claims against and Equity Interests in the Debtors; (e) responding to inquiries from creditors and stakeholders relating to the Plan, the Disclosure Statement, the Ballots and matters related thereto, including, without limitation, the procedures and requirements for voting to accept or reject the Plan and objecting to the Plan; and (f) if necessary, contacting creditors regarding the Plan and their Ballots.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8" w:lineRule="exact"/>
        <w:rPr>
          <w:sz w:val="20"/>
          <w:szCs w:val="20"/>
          <w:color w:val="auto"/>
        </w:rPr>
      </w:pPr>
    </w:p>
    <w:p>
      <w:pPr>
        <w:ind w:firstLine="8"/>
        <w:spacing w:after="0" w:line="217" w:lineRule="auto"/>
        <w:tabs>
          <w:tab w:leader="none" w:pos="177" w:val="left"/>
        </w:tabs>
        <w:numPr>
          <w:ilvl w:val="0"/>
          <w:numId w:val="275"/>
        </w:numPr>
        <w:rPr>
          <w:rFonts w:ascii="Arial" w:cs="Arial" w:eastAsia="Arial" w:hAnsi="Arial"/>
          <w:sz w:val="18"/>
          <w:szCs w:val="18"/>
          <w:color w:val="auto"/>
          <w:vertAlign w:val="superscript"/>
        </w:rPr>
      </w:pPr>
      <w:r>
        <w:rPr>
          <w:rFonts w:ascii="Arial" w:cs="Arial" w:eastAsia="Arial" w:hAnsi="Arial"/>
          <w:sz w:val="14"/>
          <w:szCs w:val="14"/>
          <w:color w:val="auto"/>
        </w:rPr>
        <w:t>“</w:t>
      </w:r>
      <w:r>
        <w:rPr>
          <w:rFonts w:ascii="Arial" w:cs="Arial" w:eastAsia="Arial" w:hAnsi="Arial"/>
          <w:sz w:val="14"/>
          <w:szCs w:val="14"/>
          <w:u w:val="single" w:color="auto"/>
          <w:color w:val="auto"/>
        </w:rPr>
        <w:t>Eligible Holder</w:t>
      </w:r>
      <w:r>
        <w:rPr>
          <w:rFonts w:ascii="Arial" w:cs="Arial" w:eastAsia="Arial" w:hAnsi="Arial"/>
          <w:sz w:val="14"/>
          <w:szCs w:val="14"/>
          <w:color w:val="auto"/>
        </w:rPr>
        <w:t>” means a holder of Prepetition Notes who certifies that they are (i) located inside the United States and are (a) “qualified institutional buyers” (as defined in Rule 144A under the Securities Act) or (b) “accredited investors” (as defined in Rule 501(a) of Regulation D under the Securities Act) or (ii) located outside the United States and are persons other than “U.S. persons” (as defined in Rule 902 under the Securities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8" w:name="page119"/>
    <w:bookmarkEnd w:id="118"/>
    <w:p>
      <w:pPr>
        <w:ind w:left="1300" w:hanging="644"/>
        <w:spacing w:after="0"/>
        <w:tabs>
          <w:tab w:leader="none" w:pos="130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Contents of the Solicitation Package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and materials will collectively constitute the Solicitation Package:</w:t>
      </w:r>
    </w:p>
    <w:p>
      <w:pPr>
        <w:spacing w:after="0" w:line="225" w:lineRule="exact"/>
        <w:rPr>
          <w:sz w:val="20"/>
          <w:szCs w:val="20"/>
          <w:color w:val="auto"/>
        </w:rPr>
      </w:pPr>
    </w:p>
    <w:p>
      <w:pPr>
        <w:ind w:left="980" w:right="360" w:hanging="324"/>
        <w:spacing w:after="0" w:line="277" w:lineRule="auto"/>
        <w:tabs>
          <w:tab w:leader="none" w:pos="94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 cover letter from the Debtors explaining the solicitation process and urging Holders of Claims and Equity Interests in the Voting Classes to vote to accept the Plan;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this Disclosure Statement (and exhibits annexed thereto, including the Plan); and</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to the extent applicable, a ballot and/or notice, appropriate for the specific creditor (as may be modified for particular classes and with instruction attached thereto).</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VOTING PROCEDURES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Before voting to accept or reject the Plan, each eligible holder of a Prepetition Notes Claim and each holder of Existing Common Stock as of the</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applicable Record Date (each an “</w:t>
      </w:r>
      <w:r>
        <w:rPr>
          <w:rFonts w:ascii="Arial" w:cs="Arial" w:eastAsia="Arial" w:hAnsi="Arial"/>
          <w:sz w:val="18"/>
          <w:szCs w:val="18"/>
          <w:b w:val="1"/>
          <w:bCs w:val="1"/>
          <w:u w:val="single" w:color="auto"/>
          <w:color w:val="auto"/>
        </w:rPr>
        <w:t>Eligible Holder</w:t>
      </w:r>
      <w:r>
        <w:rPr>
          <w:rFonts w:ascii="Arial" w:cs="Arial" w:eastAsia="Arial" w:hAnsi="Arial"/>
          <w:sz w:val="18"/>
          <w:szCs w:val="18"/>
          <w:color w:val="auto"/>
        </w:rPr>
        <w:t xml:space="preserve">”) should carefully review the Plan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All descriptions of the Plan set forth in this Disclosure Statement are subject to the terms and conditions of the Plan.</w:t>
      </w:r>
    </w:p>
    <w:p>
      <w:pPr>
        <w:spacing w:after="0" w:line="180" w:lineRule="exact"/>
        <w:rPr>
          <w:sz w:val="20"/>
          <w:szCs w:val="20"/>
          <w:color w:val="auto"/>
        </w:rPr>
      </w:pPr>
    </w:p>
    <w:p>
      <w:pPr>
        <w:ind w:left="1300" w:hanging="644"/>
        <w:spacing w:after="0"/>
        <w:tabs>
          <w:tab w:leader="none" w:pos="13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Voting Deadline</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All Eligible Holders have been sent a Ballot together with this Disclosure Statement. Such holders should read the Ballot carefully and follow the instructions contained therein. Please use only the Ballot that accompanies this Disclosure Statement to cast your vote. Special procedures are set forth below for holders of securities through a broker, dealer, commercial bank, trust company, or other agent or nominee (“</w:t>
      </w:r>
      <w:r>
        <w:rPr>
          <w:rFonts w:ascii="Arial" w:cs="Arial" w:eastAsia="Arial" w:hAnsi="Arial"/>
          <w:sz w:val="17"/>
          <w:szCs w:val="17"/>
          <w:b w:val="1"/>
          <w:bCs w:val="1"/>
          <w:u w:val="single" w:color="auto"/>
          <w:color w:val="auto"/>
        </w:rPr>
        <w:t>Nominee</w:t>
      </w:r>
      <w:r>
        <w:rPr>
          <w:rFonts w:ascii="Arial" w:cs="Arial" w:eastAsia="Arial" w:hAnsi="Arial"/>
          <w:sz w:val="17"/>
          <w:szCs w:val="17"/>
          <w:color w:val="auto"/>
        </w:rPr>
        <w:t>”).</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YOU ARE AN ELIGIBLE HOLDER OF ALLOWED PREPETITION NOTES CLAIMS, FOR YOUR VOTE TO BE COUNTED, YOUR VOTE MUST BE RECEIVED BY THE VOTING AND CLAIMS AGENT AT THE ADDRESS SET FORTH BELOW ON OR BEFORE THE PREPETITION NOTES VOTING DEADLINE OF 5:00 P.M., PREVAILING CENTRAL TIME, ON AUGUST 1, 2019, UNLESS EXTENDED BY THE DEBTORS.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SET FORTH IN THE BALLOTS, A SEPARATE VOTING DEADLINE WILL BE ESTABLISHED FOR HOLDERS OF EXISTING COMMON STOCK. SUCH HOLDERS OF EXISTING COMMON STOCK WILL RECEIVE FURTHER INFORMATION AND INSTRUCTIONS FOR VOTING AT THAT TIME.</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 ELIGIBLE HOLDER HOLDING THE PREPETITION NOTES IN “STREET NAME” THROUGH A NOMINEE MAY VOTE AS FURTHER DESCRIBED BELOW.</w:t>
      </w:r>
    </w:p>
    <w:p>
      <w:pPr>
        <w:spacing w:after="0" w:line="170" w:lineRule="exact"/>
        <w:rPr>
          <w:sz w:val="20"/>
          <w:szCs w:val="20"/>
          <w:color w:val="auto"/>
        </w:rPr>
      </w:pPr>
    </w:p>
    <w:p>
      <w:pPr>
        <w:jc w:val="both"/>
        <w:ind w:right="360"/>
        <w:spacing w:after="0" w:line="308" w:lineRule="auto"/>
        <w:rPr>
          <w:sz w:val="20"/>
          <w:szCs w:val="20"/>
          <w:color w:val="auto"/>
        </w:rPr>
      </w:pPr>
      <w:r>
        <w:rPr>
          <w:rFonts w:ascii="Arial" w:cs="Arial" w:eastAsia="Arial" w:hAnsi="Arial"/>
          <w:sz w:val="17"/>
          <w:szCs w:val="17"/>
          <w:color w:val="auto"/>
        </w:rPr>
        <w:t>IF YOU MUST RETURN YOUR BALLOT TO YOUR NOMINEE, YOU MUST RETURN YOUR BALLOT TO THEM IN SUFFICIENT TIME FOR THEM TO PROCESS IT AND RETURN THE MASTER BALLOT TO THE VOTING AND CLAIMS AGENT BEFORE THE VOTING DEADLINE.</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A BALLOT IS DAMAGED OR LOST, YOU MAY CONTACT THE VOTING AND CLAIMS AGENT AT THE NUMBER SET FORTH BELOW TO RECEIVE A REPLACEMENT BALLOT. ANY BALLOT THAT IS EXECUTED AND RETURNED BUT WHICH DOES NOT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INDICATE A VOTE FOR ACCEPTANCE OR REJECTION OF THE PLAN WILL NOT BE COUNTED.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VOTING PROCEDURES, YOU MAY CONTACT THE VOTING AND CLAIMS AGENT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Weatherford International plc Balloting Center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Prime Clerk LLC</w:t>
      </w:r>
    </w:p>
    <w:p>
      <w:pPr>
        <w:ind w:left="1960"/>
        <w:spacing w:after="0" w:line="205" w:lineRule="auto"/>
        <w:rPr>
          <w:sz w:val="20"/>
          <w:szCs w:val="20"/>
          <w:color w:val="auto"/>
        </w:rPr>
      </w:pPr>
      <w:r>
        <w:rPr>
          <w:rFonts w:ascii="Arial" w:cs="Arial" w:eastAsia="Arial" w:hAnsi="Arial"/>
          <w:sz w:val="18"/>
          <w:szCs w:val="18"/>
          <w:color w:val="auto"/>
        </w:rPr>
        <w:t>One Grand Central Place, 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Suite 1440,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10165</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Weatherford International plc Ballot Processing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 844-233-5155 (domestic) or 917-942-6392 (international)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Questions (but not documents) may be directed to weatherfordballots@PrimeClerk.com (please reference “Weatherford” in the subject line).</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Additional copies of this Disclosure Statement are available upon request made to the Voting and Claims Agent, at the telephone numbers or e-mail address set forth immediately above.</w:t>
      </w:r>
    </w:p>
    <w:p>
      <w:pPr>
        <w:spacing w:after="0" w:line="166" w:lineRule="exact"/>
        <w:rPr>
          <w:sz w:val="20"/>
          <w:szCs w:val="20"/>
          <w:color w:val="auto"/>
        </w:rPr>
      </w:pPr>
    </w:p>
    <w:p>
      <w:pPr>
        <w:ind w:left="1300" w:hanging="644"/>
        <w:spacing w:after="0"/>
        <w:tabs>
          <w:tab w:leader="none" w:pos="130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Voting Instructions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Under the Plan, Eligible Holders of Claims and Holders Equity Interests in the Voting Classes are entitled to vote to accept or reject the Plan. Those Holders may so vote by completing a Ballot or a Beneficial Holder Ballot as applicable, and returning it to the Voting and Claims Agent prior to the Voting Deadline. Each Ballot will also allow Holders of Claims and Equity Interests in the Voting Classes to opt-out of the Third Party Release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Any Holder of Claims or Equity Interests in the Voting Classes that opts out of the Third Party Release will not receive a Debtor Release or a Third Party Release from the Releasing Parties.</w:t>
      </w:r>
    </w:p>
    <w:p>
      <w:pPr>
        <w:spacing w:after="0" w:line="184" w:lineRule="exact"/>
        <w:rPr>
          <w:sz w:val="20"/>
          <w:szCs w:val="20"/>
          <w:color w:val="auto"/>
        </w:rPr>
      </w:pPr>
    </w:p>
    <w:p>
      <w:pPr>
        <w:jc w:val="center"/>
        <w:ind w:left="300" w:right="220"/>
        <w:spacing w:after="0" w:line="266" w:lineRule="auto"/>
        <w:rPr>
          <w:sz w:val="20"/>
          <w:szCs w:val="20"/>
          <w:color w:val="auto"/>
        </w:rPr>
      </w:pPr>
      <w:r>
        <w:rPr>
          <w:rFonts w:ascii="Arial" w:cs="Arial" w:eastAsia="Arial" w:hAnsi="Arial"/>
          <w:sz w:val="18"/>
          <w:szCs w:val="18"/>
          <w:b w:val="1"/>
          <w:bCs w:val="1"/>
          <w:color w:val="auto"/>
        </w:rPr>
        <w:t>PLEASE REFER TO THE INSTRUCTIONS ATTACHED TO THE BALLOTS OR BENEFICIAL HOLDER BALLOTS THAT YOU HAVE RECEIVED FOR MORE DETAILED INFORMATION REGARDING THE VOTING REQUIREMENTS, RULES AND PROCEDURES APPLICABLE TO VOTING YOUR CLAIM.</w:t>
      </w:r>
    </w:p>
    <w:p>
      <w:pPr>
        <w:spacing w:after="0" w:line="18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To be counted as votes to accept or reject the Plan,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Ballots, pre-validated Beneficial Holder Ballots and Master Ballots, as applicable, (all of which will clearly indicate the appropriate return address) must be properly executed, completed, dated and delivered according to the instructions contained thereon, so that they are </w:t>
      </w:r>
      <w:r>
        <w:rPr>
          <w:rFonts w:ascii="Arial" w:cs="Arial" w:eastAsia="Arial" w:hAnsi="Arial"/>
          <w:sz w:val="17"/>
          <w:szCs w:val="17"/>
          <w:b w:val="1"/>
          <w:bCs w:val="1"/>
          <w:u w:val="single" w:color="auto"/>
          <w:color w:val="auto"/>
        </w:rPr>
        <w:t>actually received</w:t>
      </w:r>
      <w:r>
        <w:rPr>
          <w:rFonts w:ascii="Arial" w:cs="Arial" w:eastAsia="Arial" w:hAnsi="Arial"/>
          <w:sz w:val="17"/>
          <w:szCs w:val="17"/>
          <w:color w:val="auto"/>
        </w:rPr>
        <w:t xml:space="preserve"> on or before the Voting Deadline by the Voting and Claims Agent at the following address: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Weatherford Balloting Center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One Grand Central Place</w:t>
      </w:r>
    </w:p>
    <w:p>
      <w:pPr>
        <w:jc w:val="center"/>
        <w:ind w:right="-59"/>
        <w:spacing w:after="0" w:line="205" w:lineRule="auto"/>
        <w:rPr>
          <w:sz w:val="20"/>
          <w:szCs w:val="20"/>
          <w:color w:val="auto"/>
        </w:rPr>
      </w:pPr>
      <w:r>
        <w:rPr>
          <w:rFonts w:ascii="Arial" w:cs="Arial" w:eastAsia="Arial" w:hAnsi="Arial"/>
          <w:sz w:val="18"/>
          <w:szCs w:val="18"/>
          <w:color w:val="auto"/>
        </w:rPr>
        <w:t>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Suite 1440</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10165</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0" w:name="page121"/>
    <w:bookmarkEnd w:id="120"/>
    <w:p>
      <w:pPr>
        <w:ind w:left="1960"/>
        <w:spacing w:after="0" w:line="277" w:lineRule="auto"/>
        <w:rPr>
          <w:sz w:val="20"/>
          <w:szCs w:val="20"/>
          <w:color w:val="auto"/>
        </w:rPr>
      </w:pPr>
      <w:r>
        <w:rPr>
          <w:rFonts w:ascii="Arial" w:cs="Arial" w:eastAsia="Arial" w:hAnsi="Arial"/>
          <w:sz w:val="18"/>
          <w:szCs w:val="18"/>
          <w:color w:val="auto"/>
        </w:rPr>
        <w:t>If you have any questions on the procedures for voting on the Plan, please call the Voting and Claims Agent at: 844-233-5155 (Toll Free) 917-942-6392 (International)</w:t>
      </w:r>
    </w:p>
    <w:p>
      <w:pPr>
        <w:spacing w:after="0" w:line="166" w:lineRule="exact"/>
        <w:rPr>
          <w:sz w:val="20"/>
          <w:szCs w:val="20"/>
          <w:color w:val="auto"/>
        </w:rPr>
      </w:pPr>
    </w:p>
    <w:p>
      <w:pPr>
        <w:ind w:left="1300" w:hanging="644"/>
        <w:spacing w:after="0"/>
        <w:tabs>
          <w:tab w:leader="none" w:pos="130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Debtors are providing the Solicitation Packages to eligible holders of the Prepetition Notes Claims, which are defined as Holders who certified that they are (i) located inside the United States and are (a) “qualified institutional buyers” (as defined in Rule 144A under the Securities Act) or</w:t>
      </w:r>
    </w:p>
    <w:p>
      <w:pPr>
        <w:ind w:right="140" w:firstLine="8"/>
        <w:spacing w:after="0" w:line="292" w:lineRule="auto"/>
        <w:tabs>
          <w:tab w:leader="none" w:pos="25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“accredited investors” (as defined in Rule 501(a) of Regulation D under the Securities Act) or (ii) located outside the United States and are persons other than “U.S. persons” (as defined in Rule 902 under the Securities Act), and record holders of the Existing Common Stock. Record holders may include Nominees. If such entities do not hold Prepetition Notes Claims or Existing Common Stock for their own account, they must provide copies of the Solicitation Package to their customers that are the Eligible Holders thereof as of the Record Date. Any Eligible Holder of Prepetition Notes Claims or Existing Common Stock who has not received a Ballot should contact his, her, or its Nominee, or the Voting and Claims Agent.</w:t>
      </w:r>
    </w:p>
    <w:p>
      <w:pPr>
        <w:spacing w:after="0" w:line="16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Holders of Prepetition Notes Claims and Existing Common Stock should provide all of the information requested by the Ballot. Holders of Prepetition Notes Claims and Existing Common Stock should complete and return all Ballots received in the enclosed, self-addressed, postage-paid envelope provided with each such Ballot either to the Voting and Claims Agent or their Nominee, as applicable.</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applicable indenture trustee under the Prepetition Notes Claims will not vote on behalf of its respective holders. Holders of the Prepetition Notes Claims must submit their own Ballot.</w:t>
      </w:r>
    </w:p>
    <w:p>
      <w:pPr>
        <w:spacing w:after="0" w:line="166" w:lineRule="exact"/>
        <w:rPr>
          <w:sz w:val="20"/>
          <w:szCs w:val="20"/>
          <w:color w:val="auto"/>
        </w:rPr>
      </w:pPr>
    </w:p>
    <w:p>
      <w:pPr>
        <w:ind w:left="1300" w:hanging="644"/>
        <w:spacing w:after="0"/>
        <w:tabs>
          <w:tab w:leader="none" w:pos="130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Parties Entitled to Vote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 the Bankruptcy Code, only holders of claims or interests in “impaired” classes are entitled to vote on a plan. Under section 1124 of the Bankruptcy Code, a class of claims or interests is deemed to be “impaired” under a plan unless: (i) the plan leaves unaltered the legal, equitable, and contractual rights to which such claim or interest entitles the holder thereof; or (ii) notwithstanding any legal right to an accelerated payment of such claim or interest, the plan cures all existing defaults (other than defaults resulting from the occurrence of events of bankruptcy) and reinstates the maturity of such claim or interest as it existed before the default.</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however, the holder of an impaired claim or interest will not receive or retain any distribution under the plan on account of such claim or interest, the Bankruptcy Code deems such holder to have rejected the plan, and, accordingly, holders of such claims and interests do not actually vote on the plan. If a claim or interest is not impaired by the plan, the Bankruptcy Code deems the holder of such claim or interest to have accepted the plan and, accordingly, holders of such claims and interests are not entitled to vote on the Plan.</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vote may be disregarded if the Bankruptcy Court determines, pursuant to section 1126(e) of the Bankruptcy Code, that it was not solicited or procured in good faith or in accordance with the provisions of the Bankruptcy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1" w:name="page122"/>
    <w:bookmarkEnd w:id="121"/>
    <w:p>
      <w:pPr>
        <w:ind w:firstLine="648"/>
        <w:spacing w:after="0" w:line="277" w:lineRule="auto"/>
        <w:rPr>
          <w:sz w:val="20"/>
          <w:szCs w:val="20"/>
          <w:color w:val="auto"/>
        </w:rPr>
      </w:pPr>
      <w:r>
        <w:rPr>
          <w:rFonts w:ascii="Arial" w:cs="Arial" w:eastAsia="Arial" w:hAnsi="Arial"/>
          <w:sz w:val="18"/>
          <w:szCs w:val="18"/>
          <w:color w:val="auto"/>
        </w:rPr>
        <w:t>The Bankruptcy Code defines “acceptance” of a plan by a class of claims as acceptance by creditors in that class that hold at least two-thirds (2/3) in dollar amount and more than one-half (1/2) in number of the claims that cast ballots for acceptance or rejection of the plan.</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a plan if the holders of at least two-thirds (2/3) in amount of the allowed equity interests in such class actually have voted to accept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claims and equity interests in the following classes are impaired under the Plan and entitled to vote to accept or reject the Plan:</w:t>
      </w:r>
    </w:p>
    <w:p>
      <w:pPr>
        <w:spacing w:after="0" w:line="225" w:lineRule="exact"/>
        <w:rPr>
          <w:sz w:val="20"/>
          <w:szCs w:val="20"/>
          <w:color w:val="auto"/>
        </w:rPr>
      </w:pPr>
    </w:p>
    <w:p>
      <w:pPr>
        <w:ind w:left="940" w:hanging="284"/>
        <w:spacing w:after="0"/>
        <w:tabs>
          <w:tab w:leader="none" w:pos="9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sz w:val="20"/>
          <w:szCs w:val="20"/>
          <w:color w:val="auto"/>
        </w:rPr>
      </w:pPr>
    </w:p>
    <w:p>
      <w:pPr>
        <w:ind w:left="1940" w:hanging="635"/>
        <w:spacing w:after="0"/>
        <w:tabs>
          <w:tab w:leader="none" w:pos="194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Beneficial Holders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An Eligible Holder who holds Prepetition Notes Claims as a record holder in its own name should vote on the Plan by completing and signing a Ballot (a “</w:t>
      </w:r>
      <w:r>
        <w:rPr>
          <w:rFonts w:ascii="Arial" w:cs="Arial" w:eastAsia="Arial" w:hAnsi="Arial"/>
          <w:sz w:val="18"/>
          <w:szCs w:val="18"/>
          <w:b w:val="1"/>
          <w:bCs w:val="1"/>
          <w:u w:val="single" w:color="auto"/>
          <w:color w:val="auto"/>
        </w:rPr>
        <w:t>Beneficial Holder Ballot</w:t>
      </w:r>
      <w:r>
        <w:rPr>
          <w:rFonts w:ascii="Arial" w:cs="Arial" w:eastAsia="Arial" w:hAnsi="Arial"/>
          <w:sz w:val="18"/>
          <w:szCs w:val="18"/>
          <w:color w:val="auto"/>
        </w:rPr>
        <w:t>”) and returning it directly to the Voting and Claims Agent on or before the Voting Deadline using the enclosed self-addressed, postage paid envelope.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An Eligible Holder holding the Unsecured Notes Claims in “street name” through a Nominee may vote on the Plan by one of the following two methods (as selected by such Eligible Holder’s Nominee):</w:t>
      </w:r>
    </w:p>
    <w:p>
      <w:pPr>
        <w:spacing w:after="0" w:line="170" w:lineRule="exact"/>
        <w:rPr>
          <w:sz w:val="20"/>
          <w:szCs w:val="20"/>
          <w:color w:val="auto"/>
        </w:rPr>
      </w:pPr>
    </w:p>
    <w:p>
      <w:pPr>
        <w:ind w:left="980" w:right="60" w:hanging="324"/>
        <w:spacing w:after="0" w:line="259" w:lineRule="auto"/>
        <w:tabs>
          <w:tab w:leader="none" w:pos="94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Complete and sign the enclosed Beneficial Holder Ballot. Return the Beneficial Holder Ballot to your Nominee as promptly as possible and in sufficient time to allow such Nominee to process your instructions and return a completed Master Ballot to the Voting and Claims Agent by the Voting Deadline. If no self-addressed, postage-paid envelope was enclosed for this purpose, contact the Voting and Claims Agent for instructions; or</w:t>
      </w:r>
    </w:p>
    <w:p>
      <w:pPr>
        <w:spacing w:after="0" w:line="186" w:lineRule="exact"/>
        <w:rPr>
          <w:rFonts w:ascii="Arial" w:cs="Arial" w:eastAsia="Arial" w:hAnsi="Arial"/>
          <w:sz w:val="18"/>
          <w:szCs w:val="18"/>
          <w:color w:val="auto"/>
        </w:rPr>
      </w:pPr>
    </w:p>
    <w:p>
      <w:pPr>
        <w:ind w:left="980" w:right="20" w:hanging="324"/>
        <w:spacing w:after="0" w:line="342" w:lineRule="auto"/>
        <w:tabs>
          <w:tab w:leader="none" w:pos="94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Complete and sign the pre-validated Beneficial Holder Ballot (as described below) provided to you by your Nominee. Return the pre-validated Beneficial Holder Ballot to the Voting and Claims Agent by the Voting Deadline using the return envelope provided in the Solicitation Package.</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Beneficial Holder Ballot returned to a Nominee by an Eligible Holder will not be counted for purposes of acceptance or rejection of the Prepackaged Plan until such Nominee properly completes and delivers to the Voting and Claims Agent that Beneficial Holder Ballot (properly validated) or a Master Ballot casting the vote of such Eligible Holder.</w:t>
      </w:r>
    </w:p>
    <w:p>
      <w:pPr>
        <w:spacing w:after="0" w:line="181"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If any Eligible Holder owns the Prepetition Notes Claims through more than one Nominee, such Eligible Holder may receive multiple mailings containing the Beneficial Holder Ballots. The Eligible Holder should execute a separate Beneficial Holder Ballot for each block of the Prepetition Notes Claims that it holds through any particular Nominee and return each Beneficial Holder Ballot to the respective Nominee in the return envelope provided therewith. Eligible Holders who</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22" w:name="page123"/>
    <w:bookmarkEnd w:id="122"/>
    <w:p>
      <w:pPr>
        <w:ind w:right="80"/>
        <w:spacing w:after="0" w:line="342" w:lineRule="auto"/>
        <w:rPr>
          <w:sz w:val="20"/>
          <w:szCs w:val="20"/>
          <w:color w:val="auto"/>
        </w:rPr>
      </w:pPr>
      <w:r>
        <w:rPr>
          <w:rFonts w:ascii="Arial" w:cs="Arial" w:eastAsia="Arial" w:hAnsi="Arial"/>
          <w:sz w:val="16"/>
          <w:szCs w:val="16"/>
          <w:color w:val="auto"/>
        </w:rPr>
        <w:t>execute multiple Beneficial Holder Ballots with respect to the Prepetition Notes Claims in a single class held through more than one Nominee must indicate on each Beneficial Holder Ballot the names of all such other Nominees and the additional amounts of such Prepetition Notes Claims so held and voted.</w:t>
      </w:r>
    </w:p>
    <w:p>
      <w:pPr>
        <w:spacing w:after="0" w:line="124" w:lineRule="exact"/>
        <w:rPr>
          <w:sz w:val="20"/>
          <w:szCs w:val="20"/>
          <w:color w:val="auto"/>
        </w:rPr>
      </w:pPr>
    </w:p>
    <w:p>
      <w:pPr>
        <w:ind w:left="1960" w:hanging="655"/>
        <w:spacing w:after="0"/>
        <w:tabs>
          <w:tab w:leader="none" w:pos="196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Nominees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 Nominee that, on the Record Date, is the record holder of the Prepetition Notes Claims for one or more Eligible Holders can obtain the votes of the Eligible Holders of such Prepetition Notes Claims, consistent with customary practices for obtaining the votes of securities held in “street name,” in one of the following two ways:</w:t>
      </w:r>
    </w:p>
    <w:p>
      <w:pPr>
        <w:spacing w:after="0" w:line="181" w:lineRule="exact"/>
        <w:rPr>
          <w:sz w:val="20"/>
          <w:szCs w:val="20"/>
          <w:color w:val="auto"/>
        </w:rPr>
      </w:pPr>
    </w:p>
    <w:p>
      <w:pPr>
        <w:ind w:left="940" w:hanging="284"/>
        <w:spacing w:after="0"/>
        <w:tabs>
          <w:tab w:leader="none" w:pos="9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Pre-Validated Ballots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Nominee may “pre-validate” a Beneficial Holder Ballot by: (i) signing the Beneficial Holder Ballot and indicating on the Beneficial Holder Ballot the name of the Nominee and DTC Participant Number; (ii) the amount and the account number of the Prepetition Notes Claims held by the Nominee for the Eligible Holder; and (iii) forwarding such Beneficial Holder Ballot, together with this Disclosure Statement, a pre-addressed, postage-paid return envelope addressed to, and provided by, the Voting and Claims Agent, and other materials requested to be forwarded, to the Eligible Holder for voting.</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Eligible Holder must then complete the information requested in Item 2 and Item 3 of the Beneficial Holder Ballot, and return the Beneficial Holder Ballot directly to the Voting and Claims Agent in the pre-addressed, postage paid return envelope so that it is RECEIVED by the Voting and Claims Agent on or before the Voting Deadline. A list of the Eligible Holders to whom “pre-validated” Beneficial Holder Ballots were delivered should be maintained by Nominees for inspection for at least one year from the Voting Deadline.</w:t>
      </w:r>
    </w:p>
    <w:p>
      <w:pPr>
        <w:spacing w:after="0" w:line="187" w:lineRule="exact"/>
        <w:rPr>
          <w:sz w:val="20"/>
          <w:szCs w:val="20"/>
          <w:color w:val="auto"/>
        </w:rPr>
      </w:pPr>
    </w:p>
    <w:p>
      <w:pPr>
        <w:ind w:left="940" w:hanging="284"/>
        <w:spacing w:after="0"/>
        <w:tabs>
          <w:tab w:leader="none" w:pos="9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Master Ballots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Nominee elects not to pre-validate Beneficial Holder Ballots, the Nominee may obtain the votes of Eligible Holders by forwarding to the Eligible Holders the unsigned Beneficial Holder Ballots, together with this Disclosure Statement, a pre-addressed, postage-paid return envelope provided by, and addressed to, the Nominee, and other materials requested to be forwarded. Each such Eligible Holder must then indicate his, her, or its vote on the Beneficial Holder Ballot, complete the information requested on the Beneficial Holder Ballot, review the certifications contained on the Beneficial Holder Ballot, execute the Beneficial Holder Ballot, and return the Beneficial Holder Ballot to the Nominee. After collecting the Beneficial Holder Ballots, the Nominee should, in turn, complete a Master Ballot compiling the votes and other information from the Beneficial Holder Ballots, execute the Master Ballot, and deliver the Master Ballot to the Voting and Claims Agent so that it is RECEIVED by the Voting and Claims Agent on or before the Voting Deadline. All Beneficial Holder Ballots returned by Eligible Holders should either be forwarded to the Voting and Claims Agent (along with the Master Ballot) or retained by Nominees for inspection for at least one year from the Voting Deadline.</w:t>
      </w:r>
    </w:p>
    <w:p>
      <w:pPr>
        <w:spacing w:after="0" w:line="182"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EACH NOMINEE SHOULD ADVISE ITS ELIGIBLE HOLDERS TO RETURN THEIR BENEFICIAL HOLDER BALLOTS TO THE NOMINEE BY A DATE CALCULATED BY THE NOMINEE TO ALLOW IT TO PREPARE AND RETURN THE MASTER BALLOT TO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23" w:name="page124"/>
    <w:bookmarkEnd w:id="123"/>
    <w:p>
      <w:pPr>
        <w:ind w:right="680"/>
        <w:spacing w:after="0" w:line="277" w:lineRule="auto"/>
        <w:rPr>
          <w:sz w:val="20"/>
          <w:szCs w:val="20"/>
          <w:color w:val="auto"/>
        </w:rPr>
      </w:pPr>
      <w:r>
        <w:rPr>
          <w:rFonts w:ascii="Arial" w:cs="Arial" w:eastAsia="Arial" w:hAnsi="Arial"/>
          <w:sz w:val="18"/>
          <w:szCs w:val="18"/>
          <w:color w:val="auto"/>
        </w:rPr>
        <w:t>THE VOTING AND CLAIMS AGENT SO THAT IT IS RECEIVED BY THE VOTING AND CLAIMS AGENT ON OR BEFORE THE VOTING DEADLINE.</w:t>
      </w:r>
    </w:p>
    <w:p>
      <w:pPr>
        <w:spacing w:after="0" w:line="166" w:lineRule="exact"/>
        <w:rPr>
          <w:sz w:val="20"/>
          <w:szCs w:val="20"/>
          <w:color w:val="auto"/>
        </w:rPr>
      </w:pPr>
    </w:p>
    <w:p>
      <w:pPr>
        <w:ind w:left="1300" w:hanging="644"/>
        <w:spacing w:after="0"/>
        <w:tabs>
          <w:tab w:leader="none" w:pos="130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All Ballots must be signed by the holder of record of the Prepetition Notes Claims or the Existing Common Stock, as applicable, or any person who has obtained a properly completed Ballot proxy from the record holder of the Prepetition Notes Claims or the Existing Common Stock, as applicable, on such date. For purposes of voting to accept or reject the Plan, the Eligible Holders of the Prepetition Notes Claims and Existing Common Stock will be deemed to be the “holders” of the claims represented by such Prepetition Notes or Existing Common Stock. Unless otherwise ordered by the Bankruptcy Court, Ballots that are signed, dated, and timely received, but on which a vote to accept or reject the Plan has not been indicated, will not be counted. The Debtors, in their sole discretion, may request that the Voting and Claims Agent attempt to contact such voters to cure any such defects in the Ballots. Any ballot marked to both accept and reject the Plan will not be counted. If you return more than one Ballot voting different Prepetition Notes Claims or Existing Common Stock, the Ballots are not voted in the same manner, and you do not correct this before the Voting Deadline, those Ballots will not be counted. An otherwise properly executed Ballot (other than a Master Ballot) that attempts to partially accept and partially reject the Plan will likewise not be counted.</w:t>
      </w:r>
    </w:p>
    <w:p>
      <w:pPr>
        <w:spacing w:after="0" w:line="16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Ballots provided to Eligible Holders will reflect the principal amount of such Eligible Holder’s Claim; however, when tabulating votes, the Voting and Claims Agent may adjust the amount of such Eligible Holder’s Claim by multiplying the principal amount by a factor that reflects all amounts accrued between the Record Date and the Petition Date including, without limitation, interest.</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Nominees are authorized to collect votes to accept or to reject the Plan from Beneficial Holders in accordance with their customary practices, including the use of a “voting instruction form” in lieu of (or in addition to) a Beneficial Owner Ballot, as well as collecting votes from Beneficial Holders through online voting, by phone, facsimile, or other electronic means.</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Under the Bankruptcy Code, for purposes of determining whether the requisite votes for acceptance have been received, only holders of the Prepetition Notes Claims or Existing Common Stock, as applicable, who actually vote will be counted. The failure of a holder to deliver a duly executed Ballot to the Voting and Claims Agent or its Nominee will be deemed to constitute an abstention by such holder with respect to voting on the Plan and such abstentions will not be counted as votes for or against the Plan.</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Except as provided below, unless the Ballot is timely submitted to the Voting and Claims Agent before the Voting Deadline together with any other documents required by such Ballot, the Debtors may, in their sole discretion, reject such Ballot as invalid, and therefore decline to utilize it in connection with seeking confirmation of the Plan.</w:t>
      </w:r>
    </w:p>
    <w:p>
      <w:pPr>
        <w:spacing w:after="0" w:line="177" w:lineRule="exact"/>
        <w:rPr>
          <w:sz w:val="20"/>
          <w:szCs w:val="20"/>
          <w:color w:val="auto"/>
        </w:rPr>
      </w:pPr>
    </w:p>
    <w:p>
      <w:pPr>
        <w:ind w:left="1300" w:hanging="644"/>
        <w:spacing w:after="0"/>
        <w:tabs>
          <w:tab w:leader="none" w:pos="130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Fiduciaries and Other Representatives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a Beneficial Holder Ballot is signed by a trustee, executor, administrator, guardian, attorney-in-fact, officer of a corporation, or another, acting in a fiduciary or representative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4" w:name="page125"/>
    <w:bookmarkEnd w:id="124"/>
    <w:p>
      <w:pPr>
        <w:ind w:right="80"/>
        <w:spacing w:after="0" w:line="308" w:lineRule="auto"/>
        <w:rPr>
          <w:sz w:val="20"/>
          <w:szCs w:val="20"/>
          <w:color w:val="auto"/>
        </w:rPr>
      </w:pPr>
      <w:r>
        <w:rPr>
          <w:rFonts w:ascii="Arial" w:cs="Arial" w:eastAsia="Arial" w:hAnsi="Arial"/>
          <w:sz w:val="17"/>
          <w:szCs w:val="17"/>
          <w:color w:val="auto"/>
        </w:rPr>
        <w:t>capacity, such person should indicate such capacity when signing and, if requested, must submit proper evidence satisfactory to the Debtors of authority to so act. Authorized signatories should submit the separate Beneficial Holder Ballot of each Eligible Holder for whom they are voting.</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UNLESS THE BALLOT OR THE MASTER BALLOT IS SUBMITTED TO THE VOTING AND CLAIMS AGENT ON OR PRIOR TO THE APPLICABLE VOTING DEADLINE, SUCH BALLOT WILL BE REJECTED AS INVALID AND WILL NOT BE COUNTED AS AN ACCEPTANCE OR REJECTION OF THE PLAN; PROVIDED, HOWEVER, THAT THE DEBTORS RESERVE THE RIGHT, IN THEIR SOLE DISCRETION, TO REQUEST THE BANKRUPTCY COURT TO ALLOW SUCH BALLOT TO BE COUNTED.</w:t>
      </w:r>
    </w:p>
    <w:p>
      <w:pPr>
        <w:spacing w:after="0" w:line="183" w:lineRule="exact"/>
        <w:rPr>
          <w:sz w:val="20"/>
          <w:szCs w:val="20"/>
          <w:color w:val="auto"/>
        </w:rPr>
      </w:pPr>
    </w:p>
    <w:p>
      <w:pPr>
        <w:ind w:left="1300" w:hanging="644"/>
        <w:spacing w:after="0"/>
        <w:tabs>
          <w:tab w:leader="none" w:pos="13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Upon Furnishing Ballots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delivery of an accepting Ballot pursuant to one of the procedures set forth above will constitute the agreement of the creditor with respect to such Ballot to accept: (i) all of the terms of, and conditions to, this Solicitation; and (ii) the terms of the Plan including the injunction, releases, and exculpations set forth in sections 10.5, 10.6, 10.7, 10.8, and 10.9 therein. All parties in interest retain their rights under the Bankruptcy Code and the Plan, including, but not limited to the right to object to confirmation of the Plan pursuant to section 1128 of the Bankruptcy Code, subject to any applicable terms of the Restructuring Support Agreement.</w:t>
      </w:r>
    </w:p>
    <w:p>
      <w:pPr>
        <w:spacing w:after="0" w:line="184" w:lineRule="exact"/>
        <w:rPr>
          <w:sz w:val="20"/>
          <w:szCs w:val="20"/>
          <w:color w:val="auto"/>
        </w:rPr>
      </w:pPr>
    </w:p>
    <w:p>
      <w:pPr>
        <w:ind w:left="1300" w:hanging="644"/>
        <w:spacing w:after="0"/>
        <w:tabs>
          <w:tab w:leader="none" w:pos="130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Vote</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Any party who has previously submitted to the Voting and Claims Agent prior to the applicable Voting Deadline a properly completed Ballot may revoke such Ballot and change its vote by submitting to the Voting and Claims Agent prior to the applicable Voting Deadline a subsequent, properly completed Ballot voting for acceptance or rejection of the Plan.</w:t>
      </w:r>
    </w:p>
    <w:p>
      <w:pPr>
        <w:spacing w:after="0" w:line="177" w:lineRule="exact"/>
        <w:rPr>
          <w:sz w:val="20"/>
          <w:szCs w:val="20"/>
          <w:color w:val="auto"/>
        </w:rPr>
      </w:pPr>
    </w:p>
    <w:p>
      <w:pPr>
        <w:ind w:left="1300" w:hanging="644"/>
        <w:spacing w:after="0"/>
        <w:tabs>
          <w:tab w:leader="none" w:pos="130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Waivers of Defects, Irregularities, etc.</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Unless otherwise directed by the Bankruptcy Court, all questions as to the validity, form, eligibility (including time of receipt), acceptance, and revocation or withdrawals of Ballots will be determined by the Voting and Claims Agent and/or the Debtors, as applicable, in their sole discretion, which determination will be final and binding. The Debtors reserve the right, in consultation with the Required Consenting Noteholders, to reject any and all Ballots submitted by any of their respective creditors not in proper form, the acceptance of which would, in the opinion of the Debtors or their counsel, as applicable, be unlawful. The Debtors further reserve their respective rights, in consultation with the Required Consenting Noteholders, to waive any defects or irregularities or conditions of delivery as to any particular Ballot by any of their creditors. The interpretation (including the Ballot and the respective instructions thereto) by the applicable Debtor, unless otherwise directed by the Bankruptcy Court, will be final and binding on all parties. Unless waived, any defects or irregularities in connection with deliveries of Ballots must be cured within such time as the Debtors (or the Bankruptcy Court) determines. Neither the Debtors nor any other person will be under any duty to provide notification of defects or irregularities with respect to deliveries of Ballots nor will any of them incur any liabilities for failure to provide such notification. Unless otherwise directed by the Bankruptcy Court, delivery of such Ballots will not be deemed to have been made until such irregularities have been cured or waived. Ballots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previously furnished (and as to which any irregularities have not theretofore been cured or waived) will be invalidated.</w:t>
      </w:r>
    </w:p>
    <w:p>
      <w:pPr>
        <w:spacing w:after="0" w:line="221" w:lineRule="exact"/>
        <w:rPr>
          <w:sz w:val="20"/>
          <w:szCs w:val="20"/>
          <w:color w:val="auto"/>
        </w:rPr>
      </w:pPr>
    </w:p>
    <w:p>
      <w:pPr>
        <w:ind w:left="1300" w:hanging="644"/>
        <w:spacing w:after="0"/>
        <w:tabs>
          <w:tab w:leader="none" w:pos="130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 Additional Copies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you have any questions or require further information about the voting procedures for voting your Prepetition Notes Claims and/or Existing Common Stock as applicable, or about the packet of material you received, or if you wish to obtain an additional copy of the Plan, this Disclosure Statement, or any exhibits to such documents, please contact the Voting and Claims Agent.</w:t>
      </w:r>
    </w:p>
    <w:p>
      <w:pPr>
        <w:spacing w:after="0" w:line="177"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Filing of the Plan Supplement</w:t>
      </w:r>
    </w:p>
    <w:p>
      <w:pPr>
        <w:spacing w:after="0" w:line="229"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The Debtors will file the Plan Supplement no later than seven (7) days prior to the Confirmation Hearing. The Debtors will transmit a copy of the Plan Supplement to the Distribution List, as defined herein. Additionally, parties may request (and obtain at the Debtors’ expense) a copy of the Plan Supplement by: (a) calling the Voting and Claims Agent at 844-233-5155 (Toll Free) 917-942-6392 (International); (b) writing to Weatherford International plc Balloting Center, c/o Prime Clerk LLC, One Grand Central Place, 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Suite 1440, New York, NY 10165; and/or (c) visiting the Debtors’ restructuring website at: http://www.primeclerk.com/Weatherford. Parties may also obtain any documents filed in the Chapter 11 Cases </w:t>
      </w:r>
      <w:r>
        <w:rPr>
          <w:rFonts w:ascii="Arial" w:cs="Arial" w:eastAsia="Arial" w:hAnsi="Arial"/>
          <w:sz w:val="18"/>
          <w:szCs w:val="18"/>
          <w:u w:val="single" w:color="auto"/>
          <w:color w:val="auto"/>
        </w:rPr>
        <w:t>for a fee</w:t>
      </w:r>
      <w:r>
        <w:rPr>
          <w:rFonts w:ascii="Arial" w:cs="Arial" w:eastAsia="Arial" w:hAnsi="Arial"/>
          <w:sz w:val="18"/>
          <w:szCs w:val="18"/>
          <w:color w:val="auto"/>
        </w:rPr>
        <w:t xml:space="preserve"> via PACER at https://www.txs.uscourts.gov/bankruptcy.</w:t>
      </w:r>
    </w:p>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Plan Supplement will include all Exhibits and Plan Schedules that were not already filed as exhibits to the Plan or this Disclosure Statement, all of which are incorporated by reference into, and are an integral part of, the Plan, as all of the same may be amended, supplemented, or modified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herein, the term “</w:t>
      </w:r>
      <w:r>
        <w:rPr>
          <w:rFonts w:ascii="Arial" w:cs="Arial" w:eastAsia="Arial" w:hAnsi="Arial"/>
          <w:sz w:val="16"/>
          <w:szCs w:val="16"/>
          <w:b w:val="1"/>
          <w:bCs w:val="1"/>
          <w:u w:val="single" w:color="auto"/>
          <w:color w:val="auto"/>
        </w:rPr>
        <w:t>Distribution List</w:t>
      </w:r>
      <w:r>
        <w:rPr>
          <w:rFonts w:ascii="Arial" w:cs="Arial" w:eastAsia="Arial" w:hAnsi="Arial"/>
          <w:sz w:val="16"/>
          <w:szCs w:val="16"/>
          <w:color w:val="auto"/>
        </w:rPr>
        <w:t>” means (a) the Office of the United States Trustee, (b) counsel to the Ad Hoc Noteholders Committee,</w:t>
      </w:r>
    </w:p>
    <w:p>
      <w:pPr>
        <w:spacing w:after="0" w:line="50" w:lineRule="exact"/>
        <w:rPr>
          <w:sz w:val="20"/>
          <w:szCs w:val="20"/>
          <w:color w:val="auto"/>
        </w:rPr>
      </w:pPr>
    </w:p>
    <w:p>
      <w:pPr>
        <w:ind w:right="260" w:firstLine="8"/>
        <w:spacing w:after="0" w:line="323" w:lineRule="auto"/>
        <w:tabs>
          <w:tab w:leader="none" w:pos="24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counsel to the Prepetition Notes Indenture Trustee, (d) Depository Trust Company (the “</w:t>
      </w:r>
      <w:r>
        <w:rPr>
          <w:rFonts w:ascii="Arial" w:cs="Arial" w:eastAsia="Arial" w:hAnsi="Arial"/>
          <w:sz w:val="16"/>
          <w:szCs w:val="16"/>
          <w:b w:val="1"/>
          <w:bCs w:val="1"/>
          <w:u w:val="single" w:color="auto"/>
          <w:color w:val="auto"/>
        </w:rPr>
        <w:t>Transfer Agent</w:t>
      </w:r>
      <w:r>
        <w:rPr>
          <w:rFonts w:ascii="Arial" w:cs="Arial" w:eastAsia="Arial" w:hAnsi="Arial"/>
          <w:sz w:val="16"/>
          <w:szCs w:val="16"/>
          <w:color w:val="auto"/>
        </w:rPr>
        <w:t>”), (e) the Internal Revenue Service, and (f) all parties that, as of the applicable date of determination, have filed requests for notice in this Chapter 11 Cases pursuant to Bankruptcy Rule 2002.</w:t>
      </w:r>
    </w:p>
    <w:p>
      <w:pPr>
        <w:spacing w:after="0" w:line="134" w:lineRule="exact"/>
        <w:rPr>
          <w:rFonts w:ascii="Arial" w:cs="Arial" w:eastAsia="Arial" w:hAnsi="Arial"/>
          <w:sz w:val="16"/>
          <w:szCs w:val="16"/>
          <w:color w:val="auto"/>
        </w:rPr>
      </w:pPr>
    </w:p>
    <w:p>
      <w:pPr>
        <w:ind w:left="1300" w:hanging="644"/>
        <w:spacing w:after="0"/>
        <w:tabs>
          <w:tab w:leader="none" w:pos="1300"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Tabulation of Votes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FOLLOWING IS IMPORTANT INFORMATION REGARDING VOTING THAT SHOULD BE READ CAREFULLY BY ALL HOLDERS OF CLAIMS AND EQUITY INTERESTS IN THE VOTING CLASSES.</w:t>
      </w:r>
    </w:p>
    <w:p>
      <w:pPr>
        <w:spacing w:after="0" w:line="166" w:lineRule="exact"/>
        <w:rPr>
          <w:sz w:val="20"/>
          <w:szCs w:val="20"/>
          <w:color w:val="auto"/>
        </w:rPr>
      </w:pPr>
    </w:p>
    <w:p>
      <w:pPr>
        <w:ind w:left="980" w:hanging="324"/>
        <w:spacing w:after="0" w:line="264" w:lineRule="auto"/>
        <w:tabs>
          <w:tab w:leader="none" w:pos="94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FOR YOUR VOTE TO BE COUNTED, YOUR BALLOT, PRE-VALIDATED BENEFICIAL HOLDER BALLOT OR MASTER BALLOT, AS APPLICABLE, MUST BE PROPERLY EXECUTED, COMPLETED, DATED AND DELIVERED SUCH THAT IT IS </w:t>
      </w:r>
      <w:r>
        <w:rPr>
          <w:rFonts w:ascii="Arial" w:cs="Arial" w:eastAsia="Arial" w:hAnsi="Arial"/>
          <w:sz w:val="18"/>
          <w:szCs w:val="18"/>
          <w:b w:val="1"/>
          <w:bCs w:val="1"/>
          <w:u w:val="single" w:color="auto"/>
          <w:color w:val="auto"/>
        </w:rPr>
        <w:t>ACTUALLY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APPLICABLE VOTING DEADLINE BY THE VOTING AND CLAIMS AGENT.</w:t>
      </w:r>
    </w:p>
    <w:p>
      <w:pPr>
        <w:spacing w:after="0" w:line="181"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HOLDER OF A CLAIM OR EQUITY INTEREST MAY CAST ONLY ONE VOTE PER EACH CLAIM OR EQUITY INTEREST SO HELD. BY SIGNING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ind w:left="324" w:right="180"/>
        <w:spacing w:after="0" w:line="255" w:lineRule="auto"/>
        <w:rPr>
          <w:sz w:val="20"/>
          <w:szCs w:val="20"/>
          <w:color w:val="auto"/>
        </w:rPr>
      </w:pPr>
      <w:r>
        <w:rPr>
          <w:rFonts w:ascii="Arial" w:cs="Arial" w:eastAsia="Arial" w:hAnsi="Arial"/>
          <w:sz w:val="18"/>
          <w:szCs w:val="18"/>
          <w:color w:val="auto"/>
        </w:rPr>
        <w:t>RETURNING A BALLOT, BENEFICIAL HOLDER BALLOT OR MASTER BALLOT, EACH HOLDER OF A CLAIM OR EQUITY INTEREST WILL CERTIFY TO THE BANKRUPTCY COURT AND THE DEBTORS THAT NO OTHER BALLOTS, BENEFICIAL HOLDER BALLOTS OR MASTER BALLOTS WITH RESPECT TO SUCH CLAIM OR EQUITY INTEREST HAS BEEN CAST OR, IF ANY OTHER BALLOT, BENEFICIAL HOLDER BALLOTS OR MASTER BALLOTS HAVE BEEN CAST WITH RESPECT TO SUCH CLAIM OR EQUITY INTEREST, SUCH EARLIER BALLOT, BENEFICIAL HOLDER BALLOTS OR MASTER BALLOTS ARE THEREBY SUPERSEDED AND REVOKED.</w:t>
      </w:r>
    </w:p>
    <w:p>
      <w:pPr>
        <w:spacing w:after="0" w:line="189" w:lineRule="exact"/>
        <w:rPr>
          <w:sz w:val="20"/>
          <w:szCs w:val="20"/>
          <w:color w:val="auto"/>
        </w:rPr>
      </w:pPr>
    </w:p>
    <w:p>
      <w:pPr>
        <w:ind w:left="324" w:right="140" w:hanging="324"/>
        <w:spacing w:after="0" w:line="261" w:lineRule="auto"/>
        <w:tabs>
          <w:tab w:leader="none" w:pos="288"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 xml:space="preserve">ANY BALLOT, BENEFICIAL HOLDER BALLOT OR MASTER BALLOT THAT IS RECEIVED </w:t>
      </w:r>
      <w:r>
        <w:rPr>
          <w:rFonts w:ascii="Arial" w:cs="Arial" w:eastAsia="Arial" w:hAnsi="Arial"/>
          <w:sz w:val="18"/>
          <w:szCs w:val="18"/>
          <w:b w:val="1"/>
          <w:bCs w:val="1"/>
          <w:u w:val="single" w:color="auto"/>
          <w:color w:val="auto"/>
        </w:rPr>
        <w:t>AFTER</w:t>
      </w:r>
      <w:r>
        <w:rPr>
          <w:rFonts w:ascii="Arial" w:cs="Arial" w:eastAsia="Arial" w:hAnsi="Arial"/>
          <w:sz w:val="18"/>
          <w:szCs w:val="18"/>
          <w:b w:val="1"/>
          <w:bCs w:val="1"/>
          <w:color w:val="auto"/>
        </w:rPr>
        <w:t xml:space="preserve"> THE APPLICABLE VOTING DEADLINE WILL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BE COUNTED TOWARD CONFIRMATION OF THE PLAN UNLESS THE DEBTORS HAVE GRANTED AN EXTENSION OF THE VOTING DEADLINE IN WRITING WITH RESPECT TO SUCH BALLOT, BENEFICIAL HOLDER BALLOT OR MASTER BALLOT.</w:t>
      </w:r>
    </w:p>
    <w:p>
      <w:pPr>
        <w:spacing w:after="0" w:line="180" w:lineRule="exact"/>
        <w:rPr>
          <w:rFonts w:ascii="Arial" w:cs="Arial" w:eastAsia="Arial" w:hAnsi="Arial"/>
          <w:sz w:val="18"/>
          <w:szCs w:val="18"/>
          <w:color w:val="auto"/>
        </w:rPr>
      </w:pPr>
    </w:p>
    <w:p>
      <w:pPr>
        <w:ind w:left="324" w:right="100" w:hanging="324"/>
        <w:spacing w:after="0" w:line="282" w:lineRule="auto"/>
        <w:tabs>
          <w:tab w:leader="none" w:pos="288"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 xml:space="preserve">ADDITIONALLY, THE FOLLOWING BALLOTS, BENEFICIAL HOLDER BALLOTS AND MASTER BALLOTS WILL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BE COUNTED:</w:t>
      </w:r>
    </w:p>
    <w:p>
      <w:pPr>
        <w:spacing w:after="0" w:line="165" w:lineRule="exact"/>
        <w:rPr>
          <w:rFonts w:ascii="Arial" w:cs="Arial" w:eastAsia="Arial" w:hAnsi="Arial"/>
          <w:sz w:val="18"/>
          <w:szCs w:val="18"/>
          <w:color w:val="auto"/>
        </w:rPr>
      </w:pPr>
    </w:p>
    <w:p>
      <w:pPr>
        <w:ind w:left="1104" w:right="80" w:hanging="455"/>
        <w:spacing w:after="0" w:line="277" w:lineRule="auto"/>
        <w:tabs>
          <w:tab w:leader="none" w:pos="107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that is illegible or contains insufficient information to permit the identification of the Holder of the Claim or Equity Interest;</w:t>
      </w:r>
    </w:p>
    <w:p>
      <w:pPr>
        <w:spacing w:after="0" w:line="170" w:lineRule="exact"/>
        <w:rPr>
          <w:rFonts w:ascii="Arial" w:cs="Arial" w:eastAsia="Arial" w:hAnsi="Arial"/>
          <w:sz w:val="18"/>
          <w:szCs w:val="18"/>
          <w:color w:val="auto"/>
        </w:rPr>
      </w:pPr>
    </w:p>
    <w:p>
      <w:pPr>
        <w:ind w:left="1104" w:hanging="455"/>
        <w:spacing w:after="0" w:line="277" w:lineRule="auto"/>
        <w:tabs>
          <w:tab w:leader="none" w:pos="107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by or on behalf of an entity that does not hold a Claim or Equity Interest in one of the Voting Classes;</w:t>
      </w:r>
    </w:p>
    <w:p>
      <w:pPr>
        <w:spacing w:after="0" w:line="170" w:lineRule="exact"/>
        <w:rPr>
          <w:rFonts w:ascii="Arial" w:cs="Arial" w:eastAsia="Arial" w:hAnsi="Arial"/>
          <w:sz w:val="18"/>
          <w:szCs w:val="18"/>
          <w:color w:val="auto"/>
        </w:rPr>
      </w:pPr>
    </w:p>
    <w:p>
      <w:pPr>
        <w:ind w:left="1104" w:right="80" w:hanging="455"/>
        <w:spacing w:after="0" w:line="277" w:lineRule="auto"/>
        <w:tabs>
          <w:tab w:leader="none" w:pos="107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for a Claim listed in the Schedules as contingent, unliquidated or disputed for which the applicable bar date has passed and no proof of claim was timely filed;</w:t>
      </w:r>
    </w:p>
    <w:p>
      <w:pPr>
        <w:spacing w:after="0" w:line="170" w:lineRule="exact"/>
        <w:rPr>
          <w:rFonts w:ascii="Arial" w:cs="Arial" w:eastAsia="Arial" w:hAnsi="Arial"/>
          <w:sz w:val="18"/>
          <w:szCs w:val="18"/>
          <w:color w:val="auto"/>
        </w:rPr>
      </w:pPr>
    </w:p>
    <w:p>
      <w:pPr>
        <w:ind w:left="1104" w:right="100" w:hanging="455"/>
        <w:spacing w:after="0" w:line="264" w:lineRule="auto"/>
        <w:tabs>
          <w:tab w:leader="none" w:pos="107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that (a) is properly completed, executed and timely filed, but does not indicate an acceptance or rejection of the Plan, or (b) indicates both an acceptance and rejection of the Plan, or (c) partially accepts and partially rejects the Plan;</w:t>
      </w:r>
    </w:p>
    <w:p>
      <w:pPr>
        <w:spacing w:after="0" w:line="181" w:lineRule="exact"/>
        <w:rPr>
          <w:rFonts w:ascii="Arial" w:cs="Arial" w:eastAsia="Arial" w:hAnsi="Arial"/>
          <w:sz w:val="18"/>
          <w:szCs w:val="18"/>
          <w:color w:val="auto"/>
        </w:rPr>
      </w:pPr>
    </w:p>
    <w:p>
      <w:pPr>
        <w:ind w:left="1104" w:right="60" w:hanging="455"/>
        <w:spacing w:after="0" w:line="277" w:lineRule="auto"/>
        <w:tabs>
          <w:tab w:leader="none" w:pos="107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for a Claim that is subject to an objection pending as of the Voting Record Date (except as otherwise provided herein);</w:t>
      </w:r>
    </w:p>
    <w:p>
      <w:pPr>
        <w:spacing w:after="0" w:line="170" w:lineRule="exact"/>
        <w:rPr>
          <w:rFonts w:ascii="Arial" w:cs="Arial" w:eastAsia="Arial" w:hAnsi="Arial"/>
          <w:sz w:val="18"/>
          <w:szCs w:val="18"/>
          <w:color w:val="auto"/>
        </w:rPr>
      </w:pPr>
    </w:p>
    <w:p>
      <w:pPr>
        <w:ind w:left="1104" w:right="120" w:hanging="455"/>
        <w:spacing w:after="0" w:line="277" w:lineRule="auto"/>
        <w:tabs>
          <w:tab w:leader="none" w:pos="107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sent to the Debtors, the Debtors’ agents/representatives (other than the Voting and Claims Agent), any indenture trustee or the Debtors’ financial or legal advisors;</w:t>
      </w:r>
    </w:p>
    <w:p>
      <w:pPr>
        <w:spacing w:after="0" w:line="170" w:lineRule="exact"/>
        <w:rPr>
          <w:rFonts w:ascii="Arial" w:cs="Arial" w:eastAsia="Arial" w:hAnsi="Arial"/>
          <w:sz w:val="18"/>
          <w:szCs w:val="18"/>
          <w:color w:val="auto"/>
        </w:rPr>
      </w:pPr>
    </w:p>
    <w:p>
      <w:pPr>
        <w:ind w:left="1064" w:hanging="415"/>
        <w:spacing w:after="0"/>
        <w:tabs>
          <w:tab w:leader="none" w:pos="106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transmitted by facsimile, telecopy or electronic mail;</w:t>
      </w:r>
    </w:p>
    <w:p>
      <w:pPr>
        <w:spacing w:after="0" w:line="225" w:lineRule="exact"/>
        <w:rPr>
          <w:rFonts w:ascii="Arial" w:cs="Arial" w:eastAsia="Arial" w:hAnsi="Arial"/>
          <w:sz w:val="18"/>
          <w:szCs w:val="18"/>
          <w:color w:val="auto"/>
        </w:rPr>
      </w:pPr>
    </w:p>
    <w:p>
      <w:pPr>
        <w:ind w:left="1064" w:hanging="415"/>
        <w:spacing w:after="0"/>
        <w:tabs>
          <w:tab w:leader="none" w:pos="106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unsigned Ballot, Beneficial Holder Ballot or Master Ballot; or</w:t>
      </w:r>
    </w:p>
    <w:p>
      <w:pPr>
        <w:spacing w:after="0" w:line="225"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4"/>
          </w:cols>
          <w:pgMar w:left="896" w:top="341" w:right="339" w:bottom="1440" w:gutter="0" w:footer="0" w:header="0"/>
        </w:sectPr>
      </w:pPr>
    </w:p>
    <w:bookmarkStart w:id="127" w:name="page128"/>
    <w:bookmarkEnd w:id="127"/>
    <w:p>
      <w:pPr>
        <w:ind w:left="1720" w:hanging="415"/>
        <w:spacing w:after="0"/>
        <w:tabs>
          <w:tab w:leader="none" w:pos="17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not cast in accordance with the procedures described herein.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CONFIRMATION OF THE PLAN</w:t>
      </w:r>
    </w:p>
    <w:p>
      <w:pPr>
        <w:spacing w:after="0" w:line="207" w:lineRule="exact"/>
        <w:rPr>
          <w:sz w:val="20"/>
          <w:szCs w:val="20"/>
          <w:color w:val="auto"/>
        </w:rPr>
      </w:pPr>
    </w:p>
    <w:p>
      <w:pPr>
        <w:ind w:left="660" w:hanging="652"/>
        <w:spacing w:after="0"/>
        <w:tabs>
          <w:tab w:leader="none" w:pos="6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THE CONFIRMATION HEARING</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Debtors intend to file voluntary petitions to commence the Chapter 11 Cases and to request that the Bankruptcy Court schedule a hearing to consider approval of the Disclosure Statement and confirmation of the Plan (the “</w:t>
      </w:r>
      <w:r>
        <w:rPr>
          <w:rFonts w:ascii="Arial" w:cs="Arial" w:eastAsia="Arial" w:hAnsi="Arial"/>
          <w:sz w:val="18"/>
          <w:szCs w:val="18"/>
          <w:b w:val="1"/>
          <w:bCs w:val="1"/>
          <w:u w:val="single" w:color="auto"/>
          <w:color w:val="auto"/>
        </w:rPr>
        <w:t>Confirmation Hearing</w:t>
      </w:r>
      <w:r>
        <w:rPr>
          <w:rFonts w:ascii="Arial" w:cs="Arial" w:eastAsia="Arial" w:hAnsi="Arial"/>
          <w:sz w:val="18"/>
          <w:szCs w:val="18"/>
          <w:color w:val="auto"/>
        </w:rPr>
        <w:t>”) as soon as possible, at the United States Bankruptcy Court for the Southern District of Texas. Further information regarding the Confirmation Hearing, including the exact date and time on which it will be held and the timing and procedures for objecting to this Disclosure Statement or the Plan, will be included in the order scheduling the Confirmation Hearing.</w:t>
      </w:r>
    </w:p>
    <w:p>
      <w:pPr>
        <w:spacing w:after="0" w:line="184"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OBJECTIONS TO CONFIRMATION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1128(b) of the Bankruptcy Code provides that any party in interest may object to the confirmation of a plan of reorganization. Any objection to confirmation of the Plan must be in writing, must conform to the Bankruptcy Rules and the Local Rules, must set forth the name of the objector, the nature and amount of Claims or Equity Interests held or asserted by the objector against the Debtors’ estates or properties, the basis for the objection and the specific grounds therefore, and must be filed with the Bankruptcy Court.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AN OBJECTION TO CONFIRMATION IS TIMELY FILED, IT MAY NOT BE CONSIDERED BY THE BANKRUPTCY COURT.</w:t>
      </w:r>
    </w:p>
    <w:p>
      <w:pPr>
        <w:spacing w:after="0" w:line="225" w:lineRule="exact"/>
        <w:rPr>
          <w:sz w:val="20"/>
          <w:szCs w:val="20"/>
          <w:color w:val="auto"/>
        </w:rPr>
      </w:pPr>
    </w:p>
    <w:p>
      <w:pPr>
        <w:ind w:left="660" w:hanging="652"/>
        <w:spacing w:after="0"/>
        <w:tabs>
          <w:tab w:leader="none" w:pos="6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CONFIRMATION OF THE PLAN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contains certain provisions relating to (a) the compromise and settlement of Claims, (b) the release of the Released Parties by the Debtors and certain Holders of Claims and Equity Interests, and each of their respective Related Persons, and (c) exculpation of certain parties. </w:t>
      </w:r>
      <w:r>
        <w:rPr>
          <w:rFonts w:ascii="Arial" w:cs="Arial" w:eastAsia="Arial" w:hAnsi="Arial"/>
          <w:sz w:val="18"/>
          <w:szCs w:val="18"/>
          <w:b w:val="1"/>
          <w:bCs w:val="1"/>
          <w:color w:val="auto"/>
        </w:rPr>
        <w:t>It is</w:t>
      </w:r>
      <w:r>
        <w:rPr>
          <w:rFonts w:ascii="Arial" w:cs="Arial" w:eastAsia="Arial" w:hAnsi="Arial"/>
          <w:sz w:val="18"/>
          <w:szCs w:val="18"/>
          <w:color w:val="auto"/>
        </w:rPr>
        <w:t xml:space="preserve"> </w:t>
      </w:r>
      <w:r>
        <w:rPr>
          <w:rFonts w:ascii="Arial" w:cs="Arial" w:eastAsia="Arial" w:hAnsi="Arial"/>
          <w:sz w:val="18"/>
          <w:szCs w:val="18"/>
          <w:b w:val="1"/>
          <w:bCs w:val="1"/>
          <w:color w:val="auto"/>
        </w:rPr>
        <w:t>important to read such provisions carefully so that you understand the implications of these provisions with respect to your Claim or Equity Interest such that you may cast your vote accordingly</w:t>
      </w:r>
      <w:r>
        <w:rPr>
          <w:rFonts w:ascii="Arial" w:cs="Arial" w:eastAsia="Arial" w:hAnsi="Arial"/>
          <w:sz w:val="18"/>
          <w:szCs w:val="18"/>
          <w:color w:val="auto"/>
        </w:rPr>
        <w:t>.</w:t>
      </w:r>
    </w:p>
    <w:p>
      <w:pPr>
        <w:spacing w:after="0" w:line="183" w:lineRule="exact"/>
        <w:rPr>
          <w:sz w:val="20"/>
          <w:szCs w:val="20"/>
          <w:color w:val="auto"/>
        </w:rPr>
      </w:pPr>
    </w:p>
    <w:p>
      <w:pPr>
        <w:jc w:val="center"/>
        <w:ind w:left="280" w:right="120"/>
        <w:spacing w:after="0" w:line="258" w:lineRule="auto"/>
        <w:rPr>
          <w:sz w:val="20"/>
          <w:szCs w:val="20"/>
          <w:color w:val="auto"/>
        </w:rPr>
      </w:pPr>
      <w:r>
        <w:rPr>
          <w:rFonts w:ascii="Arial" w:cs="Arial" w:eastAsia="Arial" w:hAnsi="Arial"/>
          <w:sz w:val="18"/>
          <w:szCs w:val="18"/>
          <w:b w:val="1"/>
          <w:bCs w:val="1"/>
          <w:color w:val="auto"/>
        </w:rPr>
        <w:t>THE PLAN SHALL BIND ALL HOLDERS OF CLAIMS AGAINST AND EQUITY INTERESTS IN THE DEBTORS TO THE MAXIMUM EXTENT PERMITTED BY APPLICABLE LAW, NOTWITHSTANDING WHETHER OR NOT SUCH HOLDER (A) WILL RECEIVE OR RETAIN ANY PROPERTY OR INTEREST IN PROPERTY UNDER THE PLAN, (B) HAS FILED A PROOF OF CLAIM OR EQUITY INTEREST IN THE CHAPTER 11 CASES OR (C) FAILED TO VOTE TO ACCEPT OR REJECT THE PLAN OR VOTED TO REJECT THE PLAN.</w:t>
      </w:r>
    </w:p>
    <w:p>
      <w:pPr>
        <w:spacing w:after="0" w:line="184"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CONSUMMATION OF THE PLAN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It will be a condition to Confirmation of the Plan that all provisions, terms and conditions of the Plan are approved in the Confirmation Order unless otherwise satisfied or waived pursuant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 xml:space="preserve">to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the Plan. Following Confirmation, the Plan will be consummated on the Effective Date.</w:t>
      </w:r>
    </w:p>
    <w:p>
      <w:pPr>
        <w:spacing w:after="0" w:line="221" w:lineRule="exact"/>
        <w:rPr>
          <w:sz w:val="20"/>
          <w:szCs w:val="20"/>
          <w:color w:val="auto"/>
        </w:rPr>
      </w:pPr>
    </w:p>
    <w:p>
      <w:pPr>
        <w:ind w:left="660" w:hanging="652"/>
        <w:spacing w:after="0"/>
        <w:tabs>
          <w:tab w:leader="none" w:pos="6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PROCEDURES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1128(a) of the Bankruptcy Code requires the Bankruptcy Court, after appropriate notice, to hold a hearing on confirmation of a plan of reorganization. On the first day of the Debtors’ Chapter 11 Cases, the Debtors will request that the Bankruptcy Court schedule the Confirmation Hearing on shortened notice. Notice of the Confirmation Hearing will be provided to all known creditors and equity holders or their representatives. The Confirmation Hearing may be adjourned from time to time by the Bankruptcy Court without further notice except for an announcement of the adjourned or continued date made at the Confirmation Hearing or any subsequent adjourned Confirmation Hearing.</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Section 1128(b) of the Bankruptcy Code provides that any party in interest may object to confirmation of a plan. Any objection to confirmation of the Plan must be in writing, must conform to the Bankruptcy Rules, must set forth the name of the objecting party, the nature and amount of Claims or Equity Interests held or asserted by the objecting party against the Debtors’ Estates, the basis for the objection and the specific grounds therefor, and must be filed with the Bankruptcy Court so as to be actually received no later than the date and time designated in the notice of the Confirmation Hearing.</w:t>
      </w:r>
    </w:p>
    <w:p>
      <w:pPr>
        <w:spacing w:after="0" w:line="150" w:lineRule="exact"/>
        <w:rPr>
          <w:sz w:val="20"/>
          <w:szCs w:val="20"/>
          <w:color w:val="auto"/>
        </w:rPr>
      </w:pPr>
    </w:p>
    <w:p>
      <w:pPr>
        <w:ind w:left="640" w:hanging="632"/>
        <w:spacing w:after="0"/>
        <w:tabs>
          <w:tab w:leader="none" w:pos="64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REQUIREMENTS FOR CONFIRMATION OF THE PLAN</w:t>
      </w:r>
    </w:p>
    <w:p>
      <w:pPr>
        <w:spacing w:after="0" w:line="229"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At the Confirmation Hearing, the Bankruptcy Court will determine whether the Plan satisfies the requirements of section 1129 of the Bankruptcy Code. The Debtors believe that: (i) the Plan satisfies or will satisfy all of the statutory requirements of chapter 11 of the Bankruptcy Code; (ii) the Debtors have complied or will have complied with all of the requirements of chapter 11 of the Bankruptcy Code; and (iii) the Plan has been proposed in good faith. Specifically, the Debtors believe that the Plan satisfies or will satisfy the applicable confirmation requirements of section 1129 of the Bankruptcy Code set forth below:</w:t>
      </w:r>
    </w:p>
    <w:p>
      <w:pPr>
        <w:spacing w:after="0" w:line="188" w:lineRule="exact"/>
        <w:rPr>
          <w:sz w:val="20"/>
          <w:szCs w:val="20"/>
          <w:color w:val="auto"/>
        </w:rPr>
      </w:pPr>
    </w:p>
    <w:p>
      <w:pPr>
        <w:ind w:left="940" w:hanging="284"/>
        <w:spacing w:after="0"/>
        <w:tabs>
          <w:tab w:leader="none" w:pos="9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Plan complies with the applicable provisions of the Bankruptcy Code;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Debtors complied with the applicable provisions of the Bankruptcy Code;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Plan has been proposed in good faith and not by any means forbidden by law;</w:t>
      </w:r>
    </w:p>
    <w:p>
      <w:pPr>
        <w:spacing w:after="0" w:line="225" w:lineRule="exact"/>
        <w:rPr>
          <w:rFonts w:ascii="Arial" w:cs="Arial" w:eastAsia="Arial" w:hAnsi="Arial"/>
          <w:sz w:val="18"/>
          <w:szCs w:val="18"/>
          <w:color w:val="auto"/>
        </w:rPr>
      </w:pPr>
    </w:p>
    <w:p>
      <w:pPr>
        <w:ind w:left="980" w:right="360" w:hanging="324"/>
        <w:spacing w:after="0" w:line="259" w:lineRule="auto"/>
        <w:tabs>
          <w:tab w:leader="none" w:pos="94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payment made or promised under the Plan for services or for costs and expenses in, or in connection with, the Chapter 11 Cases, or in connection with the Plan and incident to the cases, has been or will be disclosed to the Bankruptcy Court, and any such payment: (a) made before the confirmation of the Plan is reasonable; or (b) if it is to be fixed after confirmation of the Plan, is subject to the approval of the Bankruptcy Court for the determination of reasonableness;</w:t>
      </w:r>
    </w:p>
    <w:p>
      <w:pPr>
        <w:spacing w:after="0" w:line="186"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Debtors have disclosed the identity and affiliations of any individual proposed to serve, after confirmation of the Plan, as a director, officer, or voting trustee of the Debtors, an affiliate of the Debtors participating in the Plan with the Debtors, or a successor to the Debtors under the Plan. The appointment to, or continuance in, such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29" w:name="page130"/>
    <w:bookmarkEnd w:id="129"/>
    <w:p>
      <w:pPr>
        <w:ind w:left="980" w:right="140"/>
        <w:spacing w:after="0" w:line="264" w:lineRule="auto"/>
        <w:rPr>
          <w:sz w:val="20"/>
          <w:szCs w:val="20"/>
          <w:color w:val="auto"/>
        </w:rPr>
      </w:pPr>
      <w:r>
        <w:rPr>
          <w:rFonts w:ascii="Arial" w:cs="Arial" w:eastAsia="Arial" w:hAnsi="Arial"/>
          <w:sz w:val="18"/>
          <w:szCs w:val="18"/>
          <w:color w:val="auto"/>
        </w:rPr>
        <w:t>office by such individual, will be consistent with the interests of creditors and equity security holders and with public policy and the Debtors will have disclosed the identity of any insider that the Reorganized Debtors will employ or retain, and the nature of any compensation for such insider;</w:t>
      </w:r>
    </w:p>
    <w:p>
      <w:pPr>
        <w:spacing w:after="0" w:line="181" w:lineRule="exact"/>
        <w:rPr>
          <w:sz w:val="20"/>
          <w:szCs w:val="20"/>
          <w:color w:val="auto"/>
        </w:rPr>
      </w:pPr>
    </w:p>
    <w:p>
      <w:pPr>
        <w:ind w:left="980" w:right="100" w:hanging="324"/>
        <w:spacing w:after="0" w:line="264" w:lineRule="auto"/>
        <w:tabs>
          <w:tab w:leader="none" w:pos="94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Either each Holder of an Impaired Claim or Equity Interest will have accepted the Plan, or will receive or retain under the Plan on account of such Claim, property of a value, as of the Effective Date of the Plan, that is not less than the amount that such Holder would receive or retain if the Debtors were liquidated on that date under chapter 7 of the Bankruptcy Code;</w:t>
      </w:r>
    </w:p>
    <w:p>
      <w:pPr>
        <w:spacing w:after="0" w:line="181" w:lineRule="exact"/>
        <w:rPr>
          <w:rFonts w:ascii="Arial" w:cs="Arial" w:eastAsia="Arial" w:hAnsi="Arial"/>
          <w:sz w:val="18"/>
          <w:szCs w:val="18"/>
          <w:color w:val="auto"/>
        </w:rPr>
      </w:pPr>
    </w:p>
    <w:p>
      <w:pPr>
        <w:ind w:left="980" w:right="180" w:hanging="324"/>
        <w:spacing w:after="0" w:line="342" w:lineRule="auto"/>
        <w:tabs>
          <w:tab w:leader="none" w:pos="94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Each Class of Claims or Equity Interests that is entitled to vote on the Plan will either have accepted the Plan or will not be impaired under the Plan, or the Plan can be confirmed without the approval of such Voting Class pursuant to section 1129(b) of the Bankruptcy Code;</w:t>
      </w:r>
    </w:p>
    <w:p>
      <w:pPr>
        <w:spacing w:after="0" w:line="123" w:lineRule="exact"/>
        <w:rPr>
          <w:rFonts w:ascii="Arial" w:cs="Arial" w:eastAsia="Arial" w:hAnsi="Arial"/>
          <w:sz w:val="16"/>
          <w:szCs w:val="16"/>
          <w:color w:val="auto"/>
        </w:rPr>
      </w:pPr>
    </w:p>
    <w:p>
      <w:pPr>
        <w:jc w:val="both"/>
        <w:ind w:left="980" w:right="200" w:hanging="324"/>
        <w:spacing w:after="0" w:line="286" w:lineRule="auto"/>
        <w:tabs>
          <w:tab w:leader="none" w:pos="944" w:val="left"/>
        </w:tabs>
        <w:numPr>
          <w:ilvl w:val="0"/>
          <w:numId w:val="307"/>
        </w:numPr>
        <w:rPr>
          <w:rFonts w:ascii="Arial" w:cs="Arial" w:eastAsia="Arial" w:hAnsi="Arial"/>
          <w:sz w:val="17"/>
          <w:szCs w:val="17"/>
          <w:color w:val="auto"/>
        </w:rPr>
      </w:pPr>
      <w:r>
        <w:rPr>
          <w:rFonts w:ascii="Arial" w:cs="Arial" w:eastAsia="Arial" w:hAnsi="Arial"/>
          <w:sz w:val="17"/>
          <w:szCs w:val="17"/>
          <w:color w:val="auto"/>
        </w:rPr>
        <w:t>Except to the extent that the Holder of a particular Claim will agree to a different treatment of its Claim, the Plan provides that Administrative Claims and Other Priority Claims will be paid in full in Cash on the Effective Date, or as soon thereafter as is reasonably practicable, and that Priority Tax Claims will be paid in accordance with section 1129(a)(9)(C) of the Bankruptcy Code;</w:t>
      </w:r>
    </w:p>
    <w:p>
      <w:pPr>
        <w:spacing w:after="0" w:line="165" w:lineRule="exact"/>
        <w:rPr>
          <w:rFonts w:ascii="Arial" w:cs="Arial" w:eastAsia="Arial" w:hAnsi="Arial"/>
          <w:sz w:val="17"/>
          <w:szCs w:val="17"/>
          <w:color w:val="auto"/>
        </w:rPr>
      </w:pPr>
    </w:p>
    <w:p>
      <w:pPr>
        <w:ind w:left="980" w:right="140" w:hanging="324"/>
        <w:spacing w:after="0" w:line="277" w:lineRule="auto"/>
        <w:tabs>
          <w:tab w:leader="none" w:pos="94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At least one Class of Impaired Claims or Equity Interests will accept the Plan, determined without including any acceptance of the Plan by any insider holding a Claim or Equity Interest in that Class;</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4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Confirmation of the Plan will not likely be followed by the liquidation or the need for further financial reorganization of the Debtors or any successor thereto under the Plan;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All outstanding fees payable pursuant to section 1930 of title 28 of the United States Code will be paid when due.</w:t>
      </w:r>
    </w:p>
    <w:p>
      <w:pPr>
        <w:spacing w:after="0" w:line="221" w:lineRule="exact"/>
        <w:rPr>
          <w:sz w:val="20"/>
          <w:szCs w:val="20"/>
          <w:color w:val="auto"/>
        </w:rPr>
      </w:pPr>
    </w:p>
    <w:p>
      <w:pPr>
        <w:ind w:left="1300" w:hanging="644"/>
        <w:spacing w:after="0"/>
        <w:tabs>
          <w:tab w:leader="none" w:pos="130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Best Interests of Creditors Test/Liquidation Analysis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Often called the “best interests” test, section 1129(a)(7) of the Bankruptcy Code requires that a bankruptcy court find, as a condition to confirmation, that a chapter 11 plan provide, with respect to each class, that each holder of a claim or an equity interest in such class either (a) has accepted the plan or</w:t>
      </w:r>
    </w:p>
    <w:p>
      <w:pPr>
        <w:ind w:firstLine="8"/>
        <w:spacing w:after="0" w:line="270" w:lineRule="auto"/>
        <w:tabs>
          <w:tab w:leader="none" w:pos="25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will receive or retain under the plan property of a value, as of the effective date of the plan, that is not less than the amount that such holder would receive or retain if the debtor or debtors are liquidated under chapter 7 of the Bankruptcy Code. To make these findings, the Bankruptcy Court must: (a) estimate the cash liquidation proceeds that a chapter 7 trustee would generate if the chapter 11 cases were converted to a chapter 7 case and the assets of the particular debtors’ estate were liquidated; (b) determine the liquidation distribution that each non-accepting holder of a claim or an equity interest would receive from such liquidation proceeds under the priority scheme dictated in chapter 7; and (c) compare such holder’s liquidation distribution to the distribution under the chapter 11 plan that such holder would receive if the chapter 11 plan were confirmed.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0" w:name="page131"/>
    <w:bookmarkEnd w:id="130"/>
    <w:p>
      <w:pPr>
        <w:ind w:right="480" w:firstLine="648"/>
        <w:spacing w:after="0" w:line="259" w:lineRule="auto"/>
        <w:rPr>
          <w:sz w:val="20"/>
          <w:szCs w:val="20"/>
          <w:color w:val="auto"/>
        </w:rPr>
      </w:pPr>
      <w:r>
        <w:rPr>
          <w:rFonts w:ascii="Arial" w:cs="Arial" w:eastAsia="Arial" w:hAnsi="Arial"/>
          <w:sz w:val="18"/>
          <w:szCs w:val="18"/>
          <w:color w:val="auto"/>
        </w:rPr>
        <w:t>In chapter 7 cases, creditors and interest holders of a debtor are paid from available assets generally in the following order, with no junior class receiving any payments until all amounts due to senior classes have been paid in full: (a) holders of secured claims (to the extent of the value of their collateral); (b) holders of priority claims; (c) holders of unsecured claims; (d) holders of debt expressly subordinated by its terms or by order of the bankruptcy court; and (e) holders of equity interests.</w:t>
      </w:r>
    </w:p>
    <w:p>
      <w:pPr>
        <w:spacing w:after="0" w:line="18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Accordingly, the Cash amount that would be available for satisfaction of claims (other than secured claims) would consist of the proceeds resulting from the disposition of the unencumbered assets of the debtors, augmented by the unencumbered Cash held by the debtors at the time of the commencement of the liquidation. Such Cash would be reduced by the amount of the costs and expenses of the liquidation and by such additional administrative and priority claims that may result from termination of the debtor’s business and the use of chapter 7 for purposes of a liquidation.</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As described in more detail in the liquidation analysis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Liquidation Analysis</w:t>
      </w:r>
      <w:r>
        <w:rPr>
          <w:rFonts w:ascii="Arial" w:cs="Arial" w:eastAsia="Arial" w:hAnsi="Arial"/>
          <w:sz w:val="17"/>
          <w:szCs w:val="17"/>
          <w:color w:val="auto"/>
        </w:rPr>
        <w:t>”), the Debtors believe that confirmation of the Plan will provide each Holder of an Allowed Claim or Equity Interest in each Class with a recovery greater than or equal to the value of any distributions if the Chapter 11 Cases were converted to a case under chapter 7 of the Bankruptcy Code because, among other reasons, proceeds received in a chapter 7 liquidation are likely to be significantly discounted due to the distressed nature of the sale of the Debtors’ assets and the fees and expenses of a chapter 7 trustee would likely further reduce Cash available for distribution. In addition, distributions in a chapter 7 case may not occur for a longer period of time than distributions under the Plan, thereby reducing the present value of such distributions. In this regard, it is possible that distribution of the proceeds of a liquidation could be delayed for a significant period while the chapter 7 trustee and its advisors become knowledgeable about, among other things, the Chapter 11 Cases and the Claims against the Debtors.</w:t>
      </w:r>
    </w:p>
    <w:p>
      <w:pPr>
        <w:spacing w:after="0" w:line="172" w:lineRule="exact"/>
        <w:rPr>
          <w:sz w:val="20"/>
          <w:szCs w:val="20"/>
          <w:color w:val="auto"/>
        </w:rPr>
      </w:pPr>
    </w:p>
    <w:p>
      <w:pPr>
        <w:ind w:left="1300" w:hanging="644"/>
        <w:spacing w:after="0"/>
        <w:tabs>
          <w:tab w:leader="none" w:pos="130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Feasibility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Section 1129(a)(11) of the Bankruptcy Code requires that the bankruptcy court find that confirmation is not likely to be followed by the liquidation of the Reorganized Debtors or the need for further financial reorganization, unless the plan contemplates such liquidation. For purposes of demonstrating that the Plan meets this “feasibility” standard, the Debtors have analyzed the ability of the Reorganized Debtors to meet their obligations under the Plan and to retain sufficient liquidity and capital resources to conduct their businesses.</w:t>
      </w:r>
    </w:p>
    <w:p>
      <w:pPr>
        <w:spacing w:after="0" w:line="18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Debtors believe that the Plan meets the feasibility requirement set forth in section 1129(a)(11) of the Bankruptcy Code. In connection with the development of the Plan and for the purposes of determining whether the Plan satisfies this feasibility standard, the Debtors analyzed the ability of the Reorganized Debtors to satisfy their financial obligations while maintaining sufficient liquidity and capital resources. Financial projections of the Reorganized Debtors for the years ending 2019, 2020, 2021, and 2022 (the “</w:t>
      </w:r>
      <w:r>
        <w:rPr>
          <w:rFonts w:ascii="Arial" w:cs="Arial" w:eastAsia="Arial" w:hAnsi="Arial"/>
          <w:sz w:val="17"/>
          <w:szCs w:val="17"/>
          <w:b w:val="1"/>
          <w:bCs w:val="1"/>
          <w:u w:val="single" w:color="auto"/>
          <w:color w:val="auto"/>
        </w:rPr>
        <w:t>Financial Projections</w:t>
      </w:r>
      <w:r>
        <w:rPr>
          <w:rFonts w:ascii="Arial" w:cs="Arial" w:eastAsia="Arial" w:hAnsi="Arial"/>
          <w:sz w:val="17"/>
          <w:szCs w:val="17"/>
          <w:color w:val="auto"/>
        </w:rPr>
        <w:t xml:space="preserve">”) are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7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general, as illustrated by the Financial Projections, the Debtors believe that as a result of the transactions contemplated by the Plan, including the Exit Facility Credit Agreement, the Rights Offerings, and the Backstop Commitment, the Reorganized Debtors should have sufficient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ind w:right="80"/>
        <w:spacing w:after="0" w:line="286" w:lineRule="auto"/>
        <w:rPr>
          <w:sz w:val="20"/>
          <w:szCs w:val="20"/>
          <w:color w:val="auto"/>
        </w:rPr>
      </w:pPr>
      <w:r>
        <w:rPr>
          <w:rFonts w:ascii="Arial" w:cs="Arial" w:eastAsia="Arial" w:hAnsi="Arial"/>
          <w:sz w:val="17"/>
          <w:szCs w:val="17"/>
          <w:color w:val="auto"/>
        </w:rPr>
        <w:t>cash flow and availability to make all payments required pursuant to the Plan while conducting ongoing business operations. The Debtors believe that confirmation and consummation is, therefore, not likely to be followed by the liquidation or further reorganization of the Reorganized Debtors. Accordingly, the Debtors believe that the Plan satisfies the feasibility requirement of section 1129(a)(11) of the Bankruptcy Code.</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FINANCIAL PROJECTIONS, INCLUDING THE UNDERLYING ASSUMPTIONS, SHOULD BE CAREFULLY REVIEWED IN EVALUATING THE PLAN. WHILE MANAGEMENT BELIEVES THE ASSUMPTIONS UNDERLYING THE FINANCIAL PROJECTIONS, WHEN CONSIDERED ON AN OVERALL BASIS, ARE REASONABLE IN LIGHT OF CURRENT CIRCUMSTANCES AND EXPECTATIONS, NO ASSURANCE CAN BE GIVEN THAT THE FINANCIAL PROJECTIONS WILL BE REALIZED.</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FINANCIAL PROJECTIONS HAVE NOT BEEN EXAMINED OR COMPILED BY INDEPENDENT ACCOUNTANTS. THE DEBTORS MAKE NO REPRESENTATION OR WARRANTY AS TO THE ACCURACY OF THE FINANCIAL PROJECTIONS OR THEIR ABILITY TO ACHIEVE THE PROJECTED RESULTS. MANY OF THE ASSUMPTIONS ON WHICH THE PROJECTIONS ARE BASED ARE INHERENTLY SUBJECT TO SIGNIFICANT ECONOMIC AND COMPETITIVE UNCERTAINTIES AND CONTINGENCIES WHICH ARE BEYOND THE CONTROL OF THE DEBTORS. INEVITABLY, SOME ASSUMPTIONS WILL NOT MATERIALIZE AND UNANTICIPATED EVENTS AND CIRCUMSTANCES MAY AFFECT THE ACTUAL FINANCIAL RESULTS. THEREFORE, THE ACTUAL RESULTS ACHIEVED THROUGHOUT THE PERIOD OF THE FINANCIAL PROJECTIONS MAY VARY FROM THE PROJECTED RESULTS AND THE VARIATIONS MAY BE MATERIAL. ALL HOLDERS OF CLAIMS THAT ARE ENTITLED TO VOTE TO ACCEPT OR REJECT THE PLAN ARE URGED TO EXAMINE CAREFULLY ALL OF THE ASSUMPTIONS ON WHICH THE FINANCIAL PROJECTIONS ARE BASED IN CONNECTION WITH THEIR EVALUATION OF THE PLAN.</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BASED ON THE FINANCIAL PROJECTIONS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THE DEBTORS BELIEVE THAT THEY WILL BE ABLE TO MAKE ALL DISTRIBUTIONS AND PAYMENTS UNDER THE PLAN AND THAT CONFIRMATION OF THE PLAN IS NOT LIKELY TO BE FOLLOWED BY LIQUIDATION OF THE REORGANIZED DEBTORS OR THE NEED FOR FURTHER FINANCIAL REORGANIZATION OF THE REORGANIZED DEBTORS.</w:t>
      </w:r>
    </w:p>
    <w:p>
      <w:pPr>
        <w:spacing w:after="0" w:line="183" w:lineRule="exact"/>
        <w:rPr>
          <w:sz w:val="20"/>
          <w:szCs w:val="20"/>
          <w:color w:val="auto"/>
        </w:rPr>
      </w:pPr>
    </w:p>
    <w:p>
      <w:pPr>
        <w:ind w:left="1300" w:hanging="644"/>
        <w:spacing w:after="0"/>
        <w:tabs>
          <w:tab w:leader="none" w:pos="130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by Impaired Classes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Bankruptcy Code requires, as a condition to confirmation, that, except as described in the following section, each class of claims or equity interests that is impaired under a plan, accept the plan. A class that is not “impaired” under a plan is deemed to have accepted the plan and, therefore, solicitation of acceptances with respect to such class is not required. A class is “impaired” unless the plan: (a) leaves unaltered the legal, equitable and contractual rights to which the claim or the equity interest entitles the holder of such claim or equity interest; (b) cures any default and reinstates the original terms of such obligation; or (c) provides that, on the consummation date, the holder of such claim or equity interest receives Cash equal to the allowed amount of that claim or, with respect to any equity interest, any fixed liquidation preference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which the holder of such equity interest is entitled to any fixed price at which the debtor may redeem the security.</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Bankruptcy Code defines “acceptance” of a plan by a class of (i) Claims as acceptance by creditors in that class that hold at least two-thirds (2/3) in dollar amount and more than one-half (1/2) in number of the Claims that cast ballots for acceptance or rejection of the Plan and (ii) Equity Interests as acceptance by interest holders in that class that hold at least two-thirds (2/3) in amount of the Equity Interests that cast ballots for acceptance or rejection of the Plan. Holders of Claims or Equity Interests that fail to vote are not counted in determining the thresholds for acceptance of the Plan.</w:t>
      </w:r>
    </w:p>
    <w:p>
      <w:pPr>
        <w:spacing w:after="0" w:line="154"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Claims in Classes 1, 2, 3, 4, 5, 6, 8, and 9 and Equity Interests in Class 11 are not Impaired under the Plan, and, as a result, the Holders of such Claims and Equity Interests are deemed to have accepted the Plan. Accordingly, the Debtors are not required to solicit their vote.</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Claims in Class 7 and Equity Interests in Class 10 are Impaired under the Plan, and as a result, the Holders of Claims in Class 7 and Equity Interests in Class 10 are entitled to vote on the Plan. Pursuant to section 1129 of the Bankruptcy Code, the Holders of Claims and Equity Interests in the Voting Classes must accept the Plan for the Plan to be confirmed without application of the “fair and equitable test” to Classes 7 and 10 and without considering whether the Plan “discriminates unfairly” with respect to Classes 7 and 10 as both standards are described herein. As explained above, Class 7 will have accepted the Plan if the Plan is accepted by at least two-thirds (2/3) in amount and a majority in number of the Claims of Class 7 (other than any Claims of creditors designated under section 1126(e) of the Bankruptcy Code) that will have voted to accept or reject the Plan, and Class 10 will have accepted the Plan if the Plan is accepted by Holders of Equity Interests holding at least two-thirds (2/3) in amount of such interests that have voted to accept or reject the Plan.</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Unexercised Equity Interests in Class 12 are Impaired and deemed to have rejected the Plan. The Debtors, therefore, will request confirmation of the Plan, as it may be modified from time to time, under section 1129(b) of the Bankruptcy Code as more fully described below.</w:t>
      </w:r>
    </w:p>
    <w:p>
      <w:pPr>
        <w:spacing w:after="0" w:line="166" w:lineRule="exact"/>
        <w:rPr>
          <w:sz w:val="20"/>
          <w:szCs w:val="20"/>
          <w:color w:val="auto"/>
        </w:rPr>
      </w:pPr>
    </w:p>
    <w:p>
      <w:pPr>
        <w:ind w:left="1300" w:hanging="644"/>
        <w:spacing w:after="0"/>
        <w:tabs>
          <w:tab w:leader="none" w:pos="130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Without Acceptance by All Impaired Classes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1129(b) of the Bankruptcy Code allows a bankruptcy court to confirm a plan even if less than all impaired classes entitled to vote on the plan have accepted it, provided that the plan has been accepted by at least one impaired class of claims. Pursuant to section 1129(b) of the Bankruptcy Code, notwithstanding an impaired Class’s rejection or deemed rejection of the Plan, the Plan will be confirmed, at the Debtors’ request, in a procedure commonly known as “cram down,” so long as the Plan does not “discriminate unfairly” and is “fair and equitable” with respect to each Class of Claims or Equity Interests that is impaired under, and has not accepted, the Plan.</w:t>
      </w:r>
    </w:p>
    <w:p>
      <w:pPr>
        <w:spacing w:after="0" w:line="184" w:lineRule="exact"/>
        <w:rPr>
          <w:sz w:val="20"/>
          <w:szCs w:val="20"/>
          <w:color w:val="auto"/>
        </w:rPr>
      </w:pPr>
    </w:p>
    <w:p>
      <w:pPr>
        <w:ind w:left="1300" w:hanging="644"/>
        <w:spacing w:after="0"/>
        <w:tabs>
          <w:tab w:leader="none" w:pos="130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No Unfair Discrimination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This test applies to classes of claims or equity interests that are of equal priority and are receiving different treatment under the Plan. The test does not require that the treatment be the same or equivalent, but that such treatment be “fair.” In general, bankruptcy courts consider whether a plan discriminates unfairly in its treatment of classes of claims of equal rank (e.g.,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3" w:name="page134"/>
    <w:bookmarkEnd w:id="133"/>
    <w:p>
      <w:pPr>
        <w:ind w:right="160"/>
        <w:spacing w:after="0" w:line="277" w:lineRule="auto"/>
        <w:rPr>
          <w:sz w:val="20"/>
          <w:szCs w:val="20"/>
          <w:color w:val="auto"/>
        </w:rPr>
      </w:pPr>
      <w:r>
        <w:rPr>
          <w:rFonts w:ascii="Arial" w:cs="Arial" w:eastAsia="Arial" w:hAnsi="Arial"/>
          <w:sz w:val="18"/>
          <w:szCs w:val="18"/>
          <w:color w:val="auto"/>
        </w:rPr>
        <w:t>classes of the same legal character). Bankruptcy courts will take into account a number of factors in determining whether a plan discriminates unfairly, and, accordingly, a plan could treat two classes of unsecured creditors differently without unfairly discriminating against either class.</w:t>
      </w:r>
    </w:p>
    <w:p>
      <w:pPr>
        <w:spacing w:after="0" w:line="166" w:lineRule="exact"/>
        <w:rPr>
          <w:sz w:val="20"/>
          <w:szCs w:val="20"/>
          <w:color w:val="auto"/>
        </w:rPr>
      </w:pPr>
    </w:p>
    <w:p>
      <w:pPr>
        <w:ind w:left="1300" w:hanging="644"/>
        <w:spacing w:after="0"/>
        <w:tabs>
          <w:tab w:leader="none" w:pos="130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Fair and Equitable Test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test applies to classes of different priority and status (</w:t>
      </w:r>
      <w:r>
        <w:rPr>
          <w:rFonts w:ascii="Arial" w:cs="Arial" w:eastAsia="Arial" w:hAnsi="Arial"/>
          <w:sz w:val="18"/>
          <w:szCs w:val="18"/>
          <w:i w:val="1"/>
          <w:iCs w:val="1"/>
          <w:color w:val="auto"/>
        </w:rPr>
        <w:t>e.g.</w:t>
      </w:r>
      <w:r>
        <w:rPr>
          <w:rFonts w:ascii="Arial" w:cs="Arial" w:eastAsia="Arial" w:hAnsi="Arial"/>
          <w:sz w:val="18"/>
          <w:szCs w:val="18"/>
          <w:color w:val="auto"/>
        </w:rPr>
        <w:t>, secured versus unsecured) and includes the general requirement that no class of claims receive more than 100% of the amount of the allowed claims in such class. As to the dissenting class, the test sets different standards depending on the type of claims or equity interests in such class:</w:t>
      </w:r>
    </w:p>
    <w:p>
      <w:pPr>
        <w:spacing w:after="0" w:line="181" w:lineRule="exact"/>
        <w:rPr>
          <w:sz w:val="20"/>
          <w:szCs w:val="20"/>
          <w:color w:val="auto"/>
        </w:rPr>
      </w:pPr>
    </w:p>
    <w:p>
      <w:pPr>
        <w:ind w:left="940" w:hanging="284"/>
        <w:spacing w:after="0"/>
        <w:tabs>
          <w:tab w:leader="none" w:pos="940"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Secured Claims</w:t>
      </w:r>
      <w:r>
        <w:rPr>
          <w:rFonts w:ascii="Arial" w:cs="Arial" w:eastAsia="Arial" w:hAnsi="Arial"/>
          <w:sz w:val="17"/>
          <w:szCs w:val="17"/>
          <w:color w:val="auto"/>
        </w:rPr>
        <w:t>. The condition that a plan be “fair and equitable” to a non-accepting class of secured claims includes the requirements that:</w:t>
      </w:r>
    </w:p>
    <w:p>
      <w:pPr>
        <w:spacing w:after="0" w:line="34" w:lineRule="exact"/>
        <w:rPr>
          <w:rFonts w:ascii="Arial" w:cs="Arial" w:eastAsia="Arial" w:hAnsi="Arial"/>
          <w:sz w:val="17"/>
          <w:szCs w:val="17"/>
          <w:color w:val="auto"/>
        </w:rPr>
      </w:pPr>
    </w:p>
    <w:p>
      <w:pPr>
        <w:ind w:left="980" w:right="40"/>
        <w:spacing w:after="0" w:line="273" w:lineRule="auto"/>
        <w:rPr>
          <w:rFonts w:ascii="Arial" w:cs="Arial" w:eastAsia="Arial" w:hAnsi="Arial"/>
          <w:sz w:val="17"/>
          <w:szCs w:val="17"/>
          <w:color w:val="auto"/>
        </w:rPr>
      </w:pPr>
      <w:r>
        <w:rPr>
          <w:rFonts w:ascii="Arial" w:cs="Arial" w:eastAsia="Arial" w:hAnsi="Arial"/>
          <w:sz w:val="17"/>
          <w:szCs w:val="17"/>
          <w:color w:val="auto"/>
        </w:rPr>
        <w:t>(a) the holders of such secured claims retain the liens securing such claims to the extent of the allowed amount of the claims, whether the property subject to the liens is retained by the debtor or transferred to another entity under the plan; and (b) each holder of a secured claim in the class receives deferred Cash payments totaling at least the allowed amount of such claim with a present value, as of the effective date of the plan, at least equivalent to the value of the secured claimant’s interest in the debtor’s property subject to the liens.</w:t>
      </w:r>
    </w:p>
    <w:p>
      <w:pPr>
        <w:spacing w:after="0" w:line="176" w:lineRule="exact"/>
        <w:rPr>
          <w:rFonts w:ascii="Arial" w:cs="Arial" w:eastAsia="Arial" w:hAnsi="Arial"/>
          <w:sz w:val="17"/>
          <w:szCs w:val="17"/>
          <w:color w:val="auto"/>
        </w:rPr>
      </w:pPr>
    </w:p>
    <w:p>
      <w:pPr>
        <w:ind w:left="980" w:right="120" w:hanging="324"/>
        <w:spacing w:after="0" w:line="302" w:lineRule="auto"/>
        <w:tabs>
          <w:tab w:leader="none" w:pos="944"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Unsecured Claims</w:t>
      </w:r>
      <w:r>
        <w:rPr>
          <w:rFonts w:ascii="Arial" w:cs="Arial" w:eastAsia="Arial" w:hAnsi="Arial"/>
          <w:sz w:val="16"/>
          <w:szCs w:val="16"/>
          <w:color w:val="auto"/>
        </w:rPr>
        <w:t>. The condition that a plan be “fair and equitable” to a non-accepting class of unsecured claims includes the following requirement that either: (a) the plan provides that each holder of a claim of such class receive or retain on account of such claim property of a value, as of the effective date of the plan, equal to the allowed amount of such claim; or (b) the holder of any claim or any equity interest that is junior to the claims of such class will not receive or retain under the plan on account of such junior claim or junior equity interest any property.</w:t>
      </w:r>
    </w:p>
    <w:p>
      <w:pPr>
        <w:spacing w:after="0" w:line="154" w:lineRule="exact"/>
        <w:rPr>
          <w:rFonts w:ascii="Arial" w:cs="Arial" w:eastAsia="Arial" w:hAnsi="Arial"/>
          <w:sz w:val="16"/>
          <w:szCs w:val="16"/>
          <w:color w:val="auto"/>
        </w:rPr>
      </w:pPr>
    </w:p>
    <w:p>
      <w:pPr>
        <w:ind w:left="980" w:right="420" w:hanging="324"/>
        <w:spacing w:after="0" w:line="277" w:lineRule="auto"/>
        <w:tabs>
          <w:tab w:leader="none" w:pos="944"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The condition that a plan be “fair and equitable” to a non-accepting class of equity interests includes the requirements that either:</w:t>
      </w:r>
    </w:p>
    <w:p>
      <w:pPr>
        <w:spacing w:after="0" w:line="170" w:lineRule="exact"/>
        <w:rPr>
          <w:sz w:val="20"/>
          <w:szCs w:val="20"/>
          <w:color w:val="auto"/>
        </w:rPr>
      </w:pPr>
    </w:p>
    <w:p>
      <w:pPr>
        <w:ind w:left="1440" w:right="80" w:hanging="460"/>
        <w:spacing w:after="0" w:line="312" w:lineRule="auto"/>
        <w:tabs>
          <w:tab w:leader="none" w:pos="144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the plan provides that each holder of an equity interest in that class receives or retains under the plan on account of that equity interest property of a value, as of the effective date of the plan, equal to the greater of: (a) the allowed amount of any fixed liquidation preference to which such holder is entitled; (b) any fixed redemption price to which such holder is entitled; or (c) the value of such interest; </w:t>
      </w:r>
      <w:r>
        <w:rPr>
          <w:rFonts w:ascii="Arial" w:cs="Arial" w:eastAsia="Arial" w:hAnsi="Arial"/>
          <w:sz w:val="16"/>
          <w:szCs w:val="16"/>
          <w:u w:val="single" w:color="auto"/>
          <w:color w:val="auto"/>
        </w:rPr>
        <w:t>or</w:t>
      </w:r>
    </w:p>
    <w:p>
      <w:pPr>
        <w:spacing w:after="0" w:line="146" w:lineRule="exact"/>
        <w:rPr>
          <w:rFonts w:ascii="Arial" w:cs="Arial" w:eastAsia="Arial" w:hAnsi="Arial"/>
          <w:sz w:val="16"/>
          <w:szCs w:val="16"/>
          <w:color w:val="auto"/>
        </w:rPr>
      </w:pPr>
    </w:p>
    <w:p>
      <w:pPr>
        <w:ind w:left="1440" w:right="240" w:hanging="460"/>
        <w:spacing w:after="0" w:line="277" w:lineRule="auto"/>
        <w:tabs>
          <w:tab w:leader="none" w:pos="144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the class does not receive the amount required in the paragraph directly above, no class of equity interests junior to the non-accepting class may receive a distribution under the plan.</w:t>
      </w:r>
    </w:p>
    <w:p>
      <w:pPr>
        <w:spacing w:after="0" w:line="166"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b w:val="1"/>
          <w:bCs w:val="1"/>
          <w:color w:val="auto"/>
        </w:rPr>
        <w:t>As noted above, the Debtors will seek confirmation of the Plan under section 1129(b) of the Bankruptcy Code, to the extent applicable, in view of the deemed rejection by Class 12</w:t>
      </w:r>
      <w:r>
        <w:rPr>
          <w:rFonts w:ascii="Arial" w:cs="Arial" w:eastAsia="Arial" w:hAnsi="Arial"/>
          <w:sz w:val="16"/>
          <w:szCs w:val="16"/>
          <w:color w:val="auto"/>
        </w:rPr>
        <w:t>. To the extent that any of the Voting Classes votes to reject the Plan, the Debtors reserve the right to seek</w:t>
      </w:r>
    </w:p>
    <w:p>
      <w:pPr>
        <w:spacing w:after="0" w:line="1" w:lineRule="exact"/>
        <w:rPr>
          <w:sz w:val="20"/>
          <w:szCs w:val="20"/>
          <w:color w:val="auto"/>
        </w:rPr>
      </w:pPr>
    </w:p>
    <w:p>
      <w:pPr>
        <w:ind w:left="5580" w:right="960" w:hanging="5572"/>
        <w:spacing w:after="0" w:line="511" w:lineRule="auto"/>
        <w:tabs>
          <w:tab w:leader="none" w:pos="25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confirmation of the Plan under section 1129(b) of the Bankruptcy Code and/or (b) modify the Plan in accordance with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of the Plan.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4" w:name="page135"/>
    <w:bookmarkEnd w:id="134"/>
    <w:p>
      <w:pPr>
        <w:ind w:right="320" w:firstLine="648"/>
        <w:spacing w:after="0" w:line="264" w:lineRule="auto"/>
        <w:rPr>
          <w:sz w:val="20"/>
          <w:szCs w:val="20"/>
          <w:color w:val="auto"/>
        </w:rPr>
      </w:pPr>
      <w:r>
        <w:rPr>
          <w:rFonts w:ascii="Arial" w:cs="Arial" w:eastAsia="Arial" w:hAnsi="Arial"/>
          <w:sz w:val="18"/>
          <w:szCs w:val="18"/>
          <w:color w:val="auto"/>
        </w:rPr>
        <w:t xml:space="preserve">The votes of Holders of Unexercised Equity Interests in Class 12 are not being solicited because,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there will be no distribution to such Holders and, therefore, such Holders are conclusively deemed to have rejected the Plan pursuant to section 1126(g) of the Bankruptcy Code.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Notwithstanding the deemed rejection by Class 12, the Debtors do not believe that the Plan discriminates unfairly against any Impaired Class of Claims or Equity Interests. The Debtors believe that the Plan and the treatment of all Classes of Claims and Equity Interests under the Plan satisfy the foregoing requirements for non-consensual confirmation of the Plan.</w:t>
      </w:r>
    </w:p>
    <w:p>
      <w:pPr>
        <w:spacing w:after="0" w:line="177"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CONSUMMATION OF THE PLAN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Plan will be consummated on the Effective Date. For a more detailed discussion of the conditions precedent to the consummation of the Plan and the impact of failure to meet such conditions, see </w:t>
      </w:r>
      <w:r>
        <w:rPr>
          <w:rFonts w:ascii="Arial" w:cs="Arial" w:eastAsia="Arial" w:hAnsi="Arial"/>
          <w:sz w:val="18"/>
          <w:szCs w:val="18"/>
          <w:u w:val="single" w:color="auto"/>
          <w:color w:val="auto"/>
        </w:rPr>
        <w:t>Article IX.B</w:t>
      </w:r>
      <w:r>
        <w:rPr>
          <w:rFonts w:ascii="Arial" w:cs="Arial" w:eastAsia="Arial" w:hAnsi="Arial"/>
          <w:sz w:val="18"/>
          <w:szCs w:val="18"/>
          <w:color w:val="auto"/>
        </w:rPr>
        <w:t xml:space="preserve"> of the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VALUATION ANALYSIS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is a valuation analysis of the Reorganized Debtors, which was performed and prepared by Lazard and is incorporated by reference herein.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EXEMPTIONS FROM SECURITIES ACT REGISTRATION</w:t>
      </w:r>
    </w:p>
    <w:p>
      <w:pPr>
        <w:spacing w:after="0" w:line="211"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The Solicitation is being made before the Petition Date only to Eligible Holders of Prepetition Notes Claims who are (i) located inside the United States and are (a) “qualified institutional buyers” (as defined in Rule 144A under the Securities Act) or (b) “accredited investors” (as defined in</w:t>
      </w:r>
    </w:p>
    <w:p>
      <w:pPr>
        <w:ind w:right="540"/>
        <w:spacing w:after="0" w:line="261" w:lineRule="auto"/>
        <w:rPr>
          <w:sz w:val="20"/>
          <w:szCs w:val="20"/>
          <w:color w:val="auto"/>
        </w:rPr>
      </w:pPr>
      <w:r>
        <w:rPr>
          <w:rFonts w:ascii="Arial" w:cs="Arial" w:eastAsia="Arial" w:hAnsi="Arial"/>
          <w:sz w:val="18"/>
          <w:szCs w:val="18"/>
          <w:color w:val="auto"/>
        </w:rPr>
        <w:t>Rule 501(a) of Regulation D under the Securities Act) or (ii) located outside the United States and are persons other than “U.S. persons” (as defined in Rule 902 under the Securities Act).</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issuance of and the distribution under the Plan of the New Common Stock, the New Warrants (and the New Common Shares issuable upon exercise thereof), the Subscription Rights, the New Tranche B Senior Unsecured Notes (and the New Common Shares issuable upon conversion thereof), and the New Tranche A Senior Unsecured Notes issued pursuant to the Rights Offering will be exempt from registration under the Securities Act and any other applicable securities laws pursuant to section 1145 of the Bankruptcy Code. No offer of securities to the public is made, or will be made, in any member state of the European Economic Area that requires the publication of a prospectus within the meaning of the EU Prospectus Directive (Directive 2003/71/EC), as amended, or the EU Prospectus Regulation (Regulation (EU) 2017/1129).</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Section 1145 of the Bankruptcy Code generally exempts from registration under the Securities Act the offer or sale under a chapter 11 plan of a security of the debtor, of an affiliate participating in a joint plan with the debtor, or of a successor to the debtor under a plan, if such securities are offered or sold in exchange for a claim against, or an interest in, the debtor or such affiliate, or principally in such exchange and partly for cash. Section 1145 of the Bankruptcy Code also exempts from registration the offer of a security through any right to subscribe sold in the manner provided in the prior sentence, and the sale of a security upon the exercise of such right.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5" w:name="page136"/>
    <w:bookmarkEnd w:id="135"/>
    <w:p>
      <w:pPr>
        <w:ind w:right="20"/>
        <w:spacing w:after="0" w:line="272" w:lineRule="auto"/>
        <w:rPr>
          <w:sz w:val="20"/>
          <w:szCs w:val="20"/>
          <w:color w:val="auto"/>
        </w:rPr>
      </w:pPr>
      <w:r>
        <w:rPr>
          <w:rFonts w:ascii="Arial" w:cs="Arial" w:eastAsia="Arial" w:hAnsi="Arial"/>
          <w:sz w:val="17"/>
          <w:szCs w:val="17"/>
          <w:color w:val="auto"/>
        </w:rPr>
        <w:t>In reliance upon this exemption, the New Common Stock, the New Warrants (and the New Common Stock issuable upon exercise thereof), the Subscription Rights, the New Tranche B Senior Unsecured Notes (and the New Common Stock issuable upon conversion thereof), and the New Tranche A Senior Unsecured Notes issued pursuant to the Rights Offering will be exempt from the registration requirements of the Securities Act, and state and local securities laws. These securities may be resold without registration under the Securities Act or other federal or state securities laws pursuant to the exemption provided by section 4(a)(1) of the Securities Act, unless the holder is an “underwriter” with respect to such securities, as that term is defined in section 1145(b) of the Bankruptcy Code. In addition, such section 1145 exempt securities generally may be resold without registration under state securities laws pursuant to various exemptions provided by the respective laws of the several states.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issuance and sale, as applicable, of the New Tranche A Unsecured Notes to the Backstop Parties under the Backstop Commitment Agreement is being made in reliance on the exemption from registration set forth in section 4(a)(2) of the Securities Act and Regulation D thereunder. Such securities will be considered “restricted securities” and may not be transferred except pursuant to an effective registration statement or under an available exemption from the registration requirements of the Securities Act, such as, under certain conditions, the resale provisions of Rule 144 of the Securities Act.</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the foregoing, persons deemed to be affiliates of the Reorganized company may be able to sell securities without registration pursuant to the resale limitations of Rule 144 of the Securities Act which, in effect, permit the resale of securities received by such underwriters pursuant to a chapter 11 plan, subject to applicable volume limitations, notice and manner of sale requirements, and certain other conditions. Parties who believe they may be statutory underwriters as defined in section 1145 of the Bankruptcy Code are advised to consult with their own legal advisers as to the availability of the exemption provided by Rule 144. In any case, recipients of new securities issued under the prepackaged Plan are advised to consult with their own legal advisers as to the availability of any such exemption from registration under state law in any given instance and as to any applicable requirements or conditions to such availability.</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Reorganized Parent will use its commercially reasonable efforts to have the New Common Stock listed on a nationally recognized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acceptable to the Required Consenting Noteholders as soon as practicable after the Effective Date of the Plan, subject to meeting applicable listing requirements. No assurance can be given that a holder of such securities will be able to sell such securities in the future or as to the price at which any sale may occur.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CERTAIN TAX CONSEQUENCES OF THE PLAN</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following discussions summarize certain U.S., Irish, Swiss and Bermudian tax consequences expected to result from the implementation of the Plan. These discussions are only for general information purposes and describe only certain tax consequences applicable to the Debtors and to certain Holders of Prepetition Notes Claims and Existing Common Stock. They are not a complete analysis of all tax consequences and, in particular, do not address any tax consequences relating to the Backstop Commitment Agreement, the New Tranche A Senior Unsecured Notes to be acquired pursuant to the exercise of the Subscription Rights or the receipt of property by Holders of Prepetition Notes Claims and Existing Common Stock other than in their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6" w:name="page137"/>
    <w:bookmarkEnd w:id="136"/>
    <w:p>
      <w:pPr>
        <w:ind w:right="60"/>
        <w:spacing w:after="0" w:line="302" w:lineRule="auto"/>
        <w:rPr>
          <w:sz w:val="20"/>
          <w:szCs w:val="20"/>
          <w:color w:val="auto"/>
        </w:rPr>
      </w:pPr>
      <w:r>
        <w:rPr>
          <w:rFonts w:ascii="Arial" w:cs="Arial" w:eastAsia="Arial" w:hAnsi="Arial"/>
          <w:sz w:val="16"/>
          <w:szCs w:val="16"/>
          <w:color w:val="auto"/>
        </w:rPr>
        <w:t>capacity as such pursuant to the Plan (</w:t>
      </w:r>
      <w:r>
        <w:rPr>
          <w:rFonts w:ascii="Arial" w:cs="Arial" w:eastAsia="Arial" w:hAnsi="Arial"/>
          <w:sz w:val="16"/>
          <w:szCs w:val="16"/>
          <w:i w:val="1"/>
          <w:iCs w:val="1"/>
          <w:color w:val="auto"/>
        </w:rPr>
        <w:t>e.g.</w:t>
      </w:r>
      <w:r>
        <w:rPr>
          <w:rFonts w:ascii="Arial" w:cs="Arial" w:eastAsia="Arial" w:hAnsi="Arial"/>
          <w:sz w:val="16"/>
          <w:szCs w:val="16"/>
          <w:color w:val="auto"/>
        </w:rPr>
        <w:t>, these discussions do not discuss the treatment of any commitment fee or similar arrangement or the treatment of consideration received in respect of any new money investment when the right to participate in such new money investment does not itself constitute consideration received by Holders of Prepetition Notes Claims or Existing Common Stock pursuant to the Plan). In addition, these discussions do not address tax consequences that may be relevant to Holders of Claims other than Prepetition Notes Claims or of Equity Interests other than Existing Common Stock.</w:t>
      </w:r>
    </w:p>
    <w:p>
      <w:pPr>
        <w:spacing w:after="0" w:line="154" w:lineRule="exact"/>
        <w:rPr>
          <w:sz w:val="20"/>
          <w:szCs w:val="20"/>
          <w:color w:val="auto"/>
        </w:rPr>
      </w:pPr>
    </w:p>
    <w:p>
      <w:pPr>
        <w:ind w:right="600" w:firstLine="648"/>
        <w:spacing w:after="0" w:line="279" w:lineRule="auto"/>
        <w:rPr>
          <w:sz w:val="20"/>
          <w:szCs w:val="20"/>
          <w:color w:val="auto"/>
        </w:rPr>
      </w:pPr>
      <w:r>
        <w:rPr>
          <w:rFonts w:ascii="Arial" w:cs="Arial" w:eastAsia="Arial" w:hAnsi="Arial"/>
          <w:sz w:val="17"/>
          <w:szCs w:val="17"/>
          <w:color w:val="auto"/>
        </w:rPr>
        <w:t>The following discussions assume that the Internal Reorganizations will occur prior to or on the Effective Date and in accordance with the Description of Reorganization Steps and that Weatherford Parent will continue as the parent of the group following the Effective Date. If any of these assumptions is incorrect or incomplete, or if there is any variation in the implementation of the Restructuring Transactions, including the Internal Reorganizations, or the Plan, the actual tax consequences could differ, perhaps substantially, from those described below.</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THE TAX CONSEQUENCES OF THE RESTRUCTURING TRANSACTIONS, INCLUDING THE INTERNAL REORGANIZATIONS, AND THE IMPLEMENTATION OF THE PLAN ARE COMPLEX AND THE FOLLOWING DISCUSSIONS DO NOT ADDRESS ALL ASPECTS OF TAXATION THAT MAY BE RELEVANT TO A PARTICULAR HOLDER IN LIGHT OF SUCH HOLDER’S INDIVIDUAL CIRCUMSTANCES. ALL HOLDERS SHOULD CONSULT THEIR TAX ADVISORS REGARDING THE PARTICULAR TAX CONSEQUENCES TO THEM OF THE RESTRUCTURING TRANSACTIONS, INCLUDING THE INTERNAL REORGANIZATIONS, THE IMPLEMENTATION OF THE PLAN AND THE RECEIPT, OWNERSHIP AND DISPOSITION OF PROPERTY AND RIGHTS RECEIVED PURSUANT TO THE PLAN.</w:t>
      </w:r>
    </w:p>
    <w:p>
      <w:pPr>
        <w:spacing w:after="0" w:line="189" w:lineRule="exact"/>
        <w:rPr>
          <w:sz w:val="20"/>
          <w:szCs w:val="20"/>
          <w:color w:val="auto"/>
        </w:rPr>
      </w:pPr>
    </w:p>
    <w:p>
      <w:pPr>
        <w:ind w:left="660" w:hanging="652"/>
        <w:spacing w:after="0"/>
        <w:tabs>
          <w:tab w:leader="none" w:pos="6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CERTAIN U.S. FEDERAL INCOME TAX CONSEQUENCES OF THE PLAN</w:t>
      </w:r>
    </w:p>
    <w:p>
      <w:pPr>
        <w:spacing w:after="0" w:line="225" w:lineRule="exact"/>
        <w:rPr>
          <w:sz w:val="20"/>
          <w:szCs w:val="20"/>
          <w:color w:val="auto"/>
        </w:rPr>
      </w:pPr>
    </w:p>
    <w:p>
      <w:pPr>
        <w:ind w:left="1300" w:hanging="644"/>
        <w:spacing w:after="0"/>
        <w:tabs>
          <w:tab w:leader="none" w:pos="130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following discussion summarizes certain U.S. federal income tax consequences of the Internal Reorganizations and the implementation of the Plan to the Debtors and to U.S. Holders (as defined below) and, to a limited extent, Non-U.S. Holders (as defined below) of Prepetition Notes Claims and Existing Common Stock. This summary is based upon the provisions of the IRC, proposed, temporary and final Treasury regulations (the “</w:t>
      </w:r>
      <w:r>
        <w:rPr>
          <w:rFonts w:ascii="Arial" w:cs="Arial" w:eastAsia="Arial" w:hAnsi="Arial"/>
          <w:sz w:val="17"/>
          <w:szCs w:val="17"/>
          <w:b w:val="1"/>
          <w:bCs w:val="1"/>
          <w:u w:val="single" w:color="auto"/>
          <w:color w:val="auto"/>
        </w:rPr>
        <w:t>Treasury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Regulations</w:t>
      </w:r>
      <w:r>
        <w:rPr>
          <w:rFonts w:ascii="Arial" w:cs="Arial" w:eastAsia="Arial" w:hAnsi="Arial"/>
          <w:sz w:val="17"/>
          <w:szCs w:val="17"/>
          <w:color w:val="auto"/>
        </w:rPr>
        <w:t>”) promulgated under the IRC, judicial decisions, and published administrative rules and pronouncements of the IRS, all as in effect on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These authorities are subject to differing interpretations and may be changed, perhaps retroactively, resulting in U.S. federal income tax consequences that differ, perhaps substantially, from those discussed below. Due to the lack of definitive judicial and administrative authority in a number of areas, substantial uncertainty may exist with respect to some of the tax consequences described below. We may seek a private letter ruling from the IRS regarding the application of IRC Section 382(l)(5) (and other matters), which is discussed below, but no assurance can be given that we will request such ruling or, if we do, that the IRS will issue it. We have not obtained, nor do we intend to obtain, any other ruling from the IRS, and no legal opinion of counsel will be rendered, with respect to the statements made in the following summary. No assurance can be given that the IRS will not assert, or that a court would not sustain, a different position than discussed herein.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ind w:firstLine="648"/>
        <w:spacing w:after="0" w:line="285" w:lineRule="auto"/>
        <w:rPr>
          <w:sz w:val="20"/>
          <w:szCs w:val="20"/>
          <w:color w:val="auto"/>
        </w:rPr>
      </w:pPr>
      <w:r>
        <w:rPr>
          <w:rFonts w:ascii="Arial" w:cs="Arial" w:eastAsia="Arial" w:hAnsi="Arial"/>
          <w:sz w:val="16"/>
          <w:szCs w:val="16"/>
          <w:color w:val="auto"/>
        </w:rPr>
        <w:t>This summary does not address state, local or non-income tax consequences of the Restructuring Transactions, including the Internal Reorganizations, or the implementation of the Plan, nor does it purport to address all aspects of U.S. federal income taxation that may be relevant to a Holder in light of its individual circumstances or to a Holder that may be subject to special tax rules (such as persons who are related to the Debtors within the meaning of the IRC, persons who actually or constructively own or will own 10% or more (by vote or value) of the equity interests of any Debtor (and any person that is related to such an owner), persons who own or will own 5% or more (by vote or value) of the Equity Interests in Weatherford Parent, persons liable for alternative minimum tax, U.S. Holders whose functional currency is not the U.S. dollar, U.S. expatriates, broker-dealers, banks, mutual funds, insurance companies, financial institutions, small business investment companies, regulated investment companies, tax-exempt organizations, controlled foreign corporations, passive foreign investment companies, partnerships (or other entities or arrangements treated as partnerships or pass-throughs), beneficial owners of partnerships (or other entities or arrangements treated as partnerships or pass-throughs), subchapter S corporations, persons who hold Claims or Equity Interests other than Prepetition Notes Claims or Existing Common Stock, persons who hold Prepetition Notes or Existing Common Stock or will hold consideration received pursuant to the Plan as part of a straddle, hedge, conversion transaction, or other integrated investment, persons subject to special tax accounting rules as a result of any item of gross income with respect to the Prepetition Notes or Existing Common Stock being taken into account in an applicable financial statement, persons using a mark-to-market method of accounting, and Holders of Prepetition Notes Claims or Existing Common Stock who are themselves in bankruptcy). Furthermore, this summary assumes that the Prepetition Notes, Existing Common Stock, and any consideration received pursuant to the Plan, are, or will be (as applicable), held as capital assets within the meaning of Section 1221 of the IRC (generally, property held for investment). This summary also assumes that Prepetition Notes will be respected as debt and Existing Common Stock will be respected as equity for U.S. federal income tax purposes in accordance with their form.</w:t>
      </w:r>
    </w:p>
    <w:p>
      <w:pPr>
        <w:spacing w:after="0" w:line="171" w:lineRule="exact"/>
        <w:rPr>
          <w:sz w:val="20"/>
          <w:szCs w:val="20"/>
          <w:color w:val="auto"/>
        </w:rPr>
      </w:pPr>
    </w:p>
    <w:p>
      <w:pPr>
        <w:ind w:left="1300" w:hanging="644"/>
        <w:spacing w:after="0"/>
        <w:tabs>
          <w:tab w:leader="none" w:pos="130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the Debtors</w:t>
      </w:r>
    </w:p>
    <w:p>
      <w:pPr>
        <w:spacing w:after="0" w:line="229" w:lineRule="exact"/>
        <w:rPr>
          <w:sz w:val="20"/>
          <w:szCs w:val="20"/>
          <w:color w:val="auto"/>
        </w:rPr>
      </w:pPr>
    </w:p>
    <w:p>
      <w:pPr>
        <w:ind w:left="1940" w:hanging="635"/>
        <w:spacing w:after="0"/>
        <w:tabs>
          <w:tab w:leader="none" w:pos="194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Weatherford Parent is an Irish public limited company that is a Swiss tax resident. As part of the Internal Reorganizations, Weatherford Parent intends to change its tax residency from Switzerland to Ireland (the “</w:t>
      </w:r>
      <w:r>
        <w:rPr>
          <w:rFonts w:ascii="Arial" w:cs="Arial" w:eastAsia="Arial" w:hAnsi="Arial"/>
          <w:sz w:val="18"/>
          <w:szCs w:val="18"/>
          <w:b w:val="1"/>
          <w:bCs w:val="1"/>
          <w:u w:val="single" w:color="auto"/>
          <w:color w:val="auto"/>
        </w:rPr>
        <w:t>Irish Migration</w:t>
      </w:r>
      <w:r>
        <w:rPr>
          <w:rFonts w:ascii="Arial" w:cs="Arial" w:eastAsia="Arial" w:hAnsi="Arial"/>
          <w:sz w:val="18"/>
          <w:szCs w:val="18"/>
          <w:color w:val="auto"/>
        </w:rPr>
        <w:t>”). The Debtors do not expect to recognize any material gain or loss for U.S. federal income tax purposes as a result of the Irish Migration.</w:t>
      </w:r>
    </w:p>
    <w:p>
      <w:pPr>
        <w:spacing w:after="0" w:line="181" w:lineRule="exact"/>
        <w:rPr>
          <w:sz w:val="20"/>
          <w:szCs w:val="20"/>
          <w:color w:val="auto"/>
        </w:rPr>
      </w:pPr>
    </w:p>
    <w:p>
      <w:pPr>
        <w:ind w:left="1960" w:hanging="655"/>
        <w:spacing w:after="0"/>
        <w:tabs>
          <w:tab w:leader="none" w:pos="196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The U.S. Group Reorganization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U.S. federal income tax purposes, Weatherford Holdings U.S. LLC has elected to be classified as an association taxable as a corporation and is the parent of a group filing consolidated returns (the “</w:t>
      </w:r>
      <w:r>
        <w:rPr>
          <w:rFonts w:ascii="Arial" w:cs="Arial" w:eastAsia="Arial" w:hAnsi="Arial"/>
          <w:sz w:val="17"/>
          <w:szCs w:val="17"/>
          <w:b w:val="1"/>
          <w:bCs w:val="1"/>
          <w:u w:val="single" w:color="auto"/>
          <w:color w:val="auto"/>
        </w:rPr>
        <w:t>U.S. Group</w:t>
      </w:r>
      <w:r>
        <w:rPr>
          <w:rFonts w:ascii="Arial" w:cs="Arial" w:eastAsia="Arial" w:hAnsi="Arial"/>
          <w:sz w:val="17"/>
          <w:szCs w:val="17"/>
          <w:color w:val="auto"/>
        </w:rPr>
        <w:t>”). Weatherford U.S. Holdings, L.L.C. has also elected to be classified as an association taxable as a corporation for U.S. federal income tax purposes and is a direct, wholly-owned subsidiary of Weatherford Holdings U.S. LLC and a member of the U.S. Group. For U.S. federal income tax purposes, Weatherford Delaware is disregarded as an entity separate from Weatherford U.S. Holdings, L.L.C. Prior to the Effective Date and as part of the Internal Reorganizations, Weatherford Holdings U.S. LLC will merge with and into Weatherford U.S. Holdings, L.L.C. in accordance with Delaware law with Weatherford U.S. Holdings, L.L.C. as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8" w:name="page139"/>
    <w:bookmarkEnd w:id="138"/>
    <w:p>
      <w:pPr>
        <w:ind w:right="120"/>
        <w:spacing w:after="0" w:line="256" w:lineRule="auto"/>
        <w:rPr>
          <w:sz w:val="20"/>
          <w:szCs w:val="20"/>
          <w:color w:val="auto"/>
        </w:rPr>
      </w:pPr>
      <w:r>
        <w:rPr>
          <w:rFonts w:ascii="Arial" w:cs="Arial" w:eastAsia="Arial" w:hAnsi="Arial"/>
          <w:sz w:val="18"/>
          <w:szCs w:val="18"/>
          <w:color w:val="auto"/>
        </w:rPr>
        <w:t>surviving entity (the “</w:t>
      </w:r>
      <w:r>
        <w:rPr>
          <w:rFonts w:ascii="Arial" w:cs="Arial" w:eastAsia="Arial" w:hAnsi="Arial"/>
          <w:sz w:val="18"/>
          <w:szCs w:val="18"/>
          <w:b w:val="1"/>
          <w:bCs w:val="1"/>
          <w:u w:val="single" w:color="auto"/>
          <w:color w:val="auto"/>
        </w:rPr>
        <w:t>First U.S. Merger</w:t>
      </w:r>
      <w:r>
        <w:rPr>
          <w:rFonts w:ascii="Arial" w:cs="Arial" w:eastAsia="Arial" w:hAnsi="Arial"/>
          <w:sz w:val="18"/>
          <w:szCs w:val="18"/>
          <w:color w:val="auto"/>
        </w:rPr>
        <w:t>”). Following the First U.S. Merger, Weatherford U.S. Holdings, L.L.C. will merge with and into Weatherford Delaware in accordance with Delaware law with Weatherford Delaware as the surviving entity (the “</w:t>
      </w:r>
      <w:r>
        <w:rPr>
          <w:rFonts w:ascii="Arial" w:cs="Arial" w:eastAsia="Arial" w:hAnsi="Arial"/>
          <w:sz w:val="18"/>
          <w:szCs w:val="18"/>
          <w:b w:val="1"/>
          <w:bCs w:val="1"/>
          <w:u w:val="single" w:color="auto"/>
          <w:color w:val="auto"/>
        </w:rPr>
        <w:t>Second U.S. Merger</w:t>
      </w:r>
      <w:r>
        <w:rPr>
          <w:rFonts w:ascii="Arial" w:cs="Arial" w:eastAsia="Arial" w:hAnsi="Arial"/>
          <w:sz w:val="18"/>
          <w:szCs w:val="18"/>
          <w:color w:val="auto"/>
        </w:rPr>
        <w:t>”). In connection with the Second U.S. Merger, Weatherford Delaware will elect to be classified as an association taxable as a corporation for U.S. federal income tax purposes. The First U.S. Merger and the Second U.S. Merger, together with certain related transactions comprise the “</w:t>
      </w:r>
      <w:r>
        <w:rPr>
          <w:rFonts w:ascii="Arial" w:cs="Arial" w:eastAsia="Arial" w:hAnsi="Arial"/>
          <w:sz w:val="18"/>
          <w:szCs w:val="18"/>
          <w:b w:val="1"/>
          <w:bCs w:val="1"/>
          <w:u w:val="single" w:color="auto"/>
          <w:color w:val="auto"/>
        </w:rPr>
        <w:t>U.S. Group Reorganization</w:t>
      </w:r>
      <w:r>
        <w:rPr>
          <w:rFonts w:ascii="Arial" w:cs="Arial" w:eastAsia="Arial" w:hAnsi="Arial"/>
          <w:sz w:val="18"/>
          <w:szCs w:val="18"/>
          <w:color w:val="auto"/>
        </w:rPr>
        <w:t>.” The Debtors do not expect to recognize any material gain or loss for U.S. federal income tax purposes as a result of the U.S. Group Reorganization or the U.S. Group Reorganization to cause a termination of the existing U.S. Group.</w:t>
      </w:r>
    </w:p>
    <w:p>
      <w:pPr>
        <w:spacing w:after="0" w:line="192" w:lineRule="exact"/>
        <w:rPr>
          <w:sz w:val="20"/>
          <w:szCs w:val="20"/>
          <w:color w:val="auto"/>
        </w:rPr>
      </w:pPr>
    </w:p>
    <w:p>
      <w:pPr>
        <w:ind w:left="1960" w:hanging="655"/>
        <w:spacing w:after="0"/>
        <w:tabs>
          <w:tab w:leader="none" w:pos="196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Application of IRC Section 7874 to Weatherford Parent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Following the Effective Date, the Reorganized Debtors intend to continue to operate under Weatherford Parent, which is expected to be an Irish tax resident following the Irish Migration described above.</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IRS may, however, assert that Weatherford Parent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Weatherford Parent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w:t>
      </w:r>
    </w:p>
    <w:p>
      <w:pPr>
        <w:spacing w:after="0" w:line="188"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if the Third Country Rule, as defined below, applies) of the shares of the foreign acquiring corporation after the acquisition by reason of holding shares in the U.S. acquired corporation (the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Section 7874 Percentage</w:t>
      </w:r>
      <w:r>
        <w:rPr>
          <w:rFonts w:ascii="Arial" w:cs="Arial" w:eastAsia="Arial" w:hAnsi="Arial"/>
          <w:sz w:val="17"/>
          <w:szCs w:val="17"/>
          <w:color w:val="auto"/>
        </w:rPr>
        <w:t>”), and (iii) the foreign corporation’s “expanded affiliated group” does not have substantial business activities in the foreign corporation’s country of organization or incorporation relative to such expanded affiliated group’s worldwide activities. The Treasury Regulations promulgated under IRC Section 7874 (the “</w:t>
      </w:r>
      <w:r>
        <w:rPr>
          <w:rFonts w:ascii="Arial" w:cs="Arial" w:eastAsia="Arial" w:hAnsi="Arial"/>
          <w:sz w:val="17"/>
          <w:szCs w:val="17"/>
          <w:b w:val="1"/>
          <w:bCs w:val="1"/>
          <w:u w:val="single" w:color="auto"/>
          <w:color w:val="auto"/>
        </w:rPr>
        <w:t>Section 7874 Regulations</w:t>
      </w:r>
      <w:r>
        <w:rPr>
          <w:rFonts w:ascii="Arial" w:cs="Arial" w:eastAsia="Arial" w:hAnsi="Arial"/>
          <w:sz w:val="17"/>
          <w:szCs w:val="17"/>
          <w:color w:val="auto"/>
        </w:rPr>
        <w:t>”) generally provide that if (i) there is an acquisition of substantially all of the assets held directly or indirectly by a U.S. corporation after which the shareholders of the acquired U.S. corporation hold, by vote or value, at least 60% of the shares of the foreign acquiring corporation by reason of holding shares in the U.S. acquired corporation, and (ii) in a related acquisition, such foreign acquiring corporation acquires another foreign corporation exceeding a certain threshold value, and the foreign acquiring corporation is not tax resident in the foreign country in which the acquired foreign corporation was tax resident prior to the transactions, then the foreign acquiring corporation will be treated as a domestic corporation for U.S. federal income tax purposes (the “</w:t>
      </w:r>
      <w:r>
        <w:rPr>
          <w:rFonts w:ascii="Arial" w:cs="Arial" w:eastAsia="Arial" w:hAnsi="Arial"/>
          <w:sz w:val="17"/>
          <w:szCs w:val="17"/>
          <w:b w:val="1"/>
          <w:bCs w:val="1"/>
          <w:u w:val="single" w:color="auto"/>
          <w:color w:val="auto"/>
        </w:rPr>
        <w:t>Third Country Rule</w:t>
      </w:r>
      <w:r>
        <w:rPr>
          <w:rFonts w:ascii="Arial" w:cs="Arial" w:eastAsia="Arial" w:hAnsi="Arial"/>
          <w:sz w:val="17"/>
          <w:szCs w:val="17"/>
          <w:color w:val="auto"/>
        </w:rPr>
        <w:t>”). For purposes of IRC Section 7874, multiple acquisitions of U.S. corporations by a foreign corporation, if treated as part of a plan or series of related transactions, may be treated as a single acquisition. If multiple acquisitions of U.S. corporations are treated as a single acquisition, all shareholders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9" w:name="page140"/>
    <w:bookmarkEnd w:id="139"/>
    <w:p>
      <w:pPr>
        <w:ind w:right="140"/>
        <w:spacing w:after="0" w:line="264" w:lineRule="auto"/>
        <w:rPr>
          <w:sz w:val="20"/>
          <w:szCs w:val="20"/>
          <w:color w:val="auto"/>
        </w:rPr>
      </w:pPr>
      <w:r>
        <w:rPr>
          <w:rFonts w:ascii="Arial" w:cs="Arial" w:eastAsia="Arial" w:hAnsi="Arial"/>
          <w:sz w:val="18"/>
          <w:szCs w:val="18"/>
          <w:color w:val="auto"/>
        </w:rPr>
        <w:t>the acquired U.S. corporations would be aggregated for purposes of calculating the Section 7874 Percentage. Moreover, certain acquisitions of U.S. corporations over a 36-month period will impact the Section 7874 Percentage, making it more likely that IRC Section 7874 will apply to a foreign acquiring corporation.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 Section 7874 Percentage is at least 60% but less than 80% and the Third Country Rule does not apply, the acquiring foreign corporation and its affiliates may be subject to adverse tax consequences including, but not limited to, restrictions on the use of tax attributes with respect to “inversion gain” recognized over a 10-year period following the Effective Date and disqualification of dividends paid from preferential “qualified dividend income” rates. Furthermore, certain “disqualified individuals” (including officers and directors of a U.S. corporation) may be subject to an excise tax on certain stock-based compensation.</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Section 7874 Regulations treat certain creditor claims against a U.S. corporation in a case under Chapter 11 of the Bankruptcy Code as stock for purposes of IRC Section 7874. The Section 7874 Regulations also exclude “disqualified stock” from the calculation of the Section 7874 Percentage. “Disqualified stock” is stock issued by a foreign acquiring corporation in exchange for “nonqualified property,” which includes certain obligations issued by a member of an “expanded affiliated group”, along with certain other property. The Section 7874 Regulations are complex and include other rules that could impact the calculation of the Section 7874 Percentage.</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Weatherford Parent and its “expanded affiliated group” are not expected to have substantial business activities in Ireland relative to the expanded affiliated group’s worldwide activities for purposes of IRC Section 7874. It is expected that the New Common Stock issued in exchange for Prepetition Notes Claims with respect to Prepetition Notes issued by Weatherford Bermuda may constitute “disqualified stock.”</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Although it is not free from doubt, based upon the existing capital structure of Weatherford Delaware, which is owned by Weatherford Parent and its affiliates, the Debtors believe that as a result of the implementation of the Plan and the Restructuring Transactions, Weatherford Parent should not be treated as acquiring directly or indirectly substantially all of the properties of a U.S. corporation and, as a result, Weatherford Parent is not expected to be treated as a U.S. corporation or otherwise subject to the adverse tax consequences of IRC Section 7874. If it is determined that Weatherford Parent has acquired directly or indirectly substantially all of the properties of Weatherford Delaware and certain Holders of Allowed Claims of Weatherford Delaware and its direct or indirect subsidiaries own 80% (or 60% if the Third Country Rule applies) or more by vote of value of Weatherford Parent, as determined under IRC Section 7874, by reason of holding Claims against Weatherford Delaware and its direct or indirect subsidiaries prior to the Restructuring Transactions, Weatherford Parent would be treated as a U.S. corporation for U.S. federal income tax purposes. If Weatherford Parent is treated as a U.S. corporation for U.S. federal income tax purposes, the taxable year of Weatherford Delaware’s consolidated group could end on or prior to the Effective Date, which could result in additional adverse tax consequences. In addition, although Weatherford Parent would be treated as a U.S. corporation for U.S. federal income tax purposes, it would generally also be considered an Irish tax resident for Irish tax and other non-U.S. tax purposes. If it is determined that Weatherford Parent has acquired directly or indirectly substantially all of the properties of Weatherford Delaware and certain Holders of Allowed Claims of Weatherford Delaware and its direct or indirect subsidiaries own 60% or more,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0" w:name="page141"/>
    <w:bookmarkEnd w:id="140"/>
    <w:p>
      <w:pPr>
        <w:jc w:val="both"/>
        <w:ind w:right="240"/>
        <w:spacing w:after="0" w:line="264" w:lineRule="auto"/>
        <w:rPr>
          <w:sz w:val="20"/>
          <w:szCs w:val="20"/>
          <w:color w:val="auto"/>
        </w:rPr>
      </w:pPr>
      <w:r>
        <w:rPr>
          <w:rFonts w:ascii="Arial" w:cs="Arial" w:eastAsia="Arial" w:hAnsi="Arial"/>
          <w:sz w:val="18"/>
          <w:szCs w:val="18"/>
          <w:color w:val="auto"/>
        </w:rPr>
        <w:t>but less than 80%, by vote or value of Weatherford Parent by reason of holding Claims against Weatherford Delaware and its direct or indirect subsidiaries prior to the Restructuring Transactions (and the Third Country Rule does not apply), Weatherford Parent would be respected as a non-U.S. corporation but IRC Section 7874 would apply to cause certain adverse U.S. federal income tax consequences.</w:t>
      </w:r>
    </w:p>
    <w:p>
      <w:pPr>
        <w:spacing w:after="0" w:line="18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IRC Section 7874 could also apply to treat Weatherford Parent as a U.S. corporation, or otherwise impose adverse tax consequences to Weatherford Parent and its affiliates, if Weatherford Parent is treated as acquiring, as a result of the Internal Reorganizations, substantially all of the assets held directly or indirectly by a U.S. corporation, notwithstanding that such U.S. corporation was already a direct or indirect affiliate of Weatherford Parent during the period before the Internal Reorganizations.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Although it is not free from doubt, the Debtors believe that as a result of the Internal Reorganizations, Weatherford Parent should not be treated as an acquiring directly or indirectly substantially all of the properties of a U.S. corporation and, as a result, Weatherford Parent is not expected to be treated as a U.S. corporation or otherwise subject to the adverse tax consequences of IRC Section 7874.</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above determinations, however, are subject to detailed regulations and administrative guidance, the application of which is uncertain in numerous respects (and would be impacted by changes in such regulations) and are subject to factual uncertainties. No assurance can be given that the IRS would not take a contrary position regarding IRC Section 7874’s application to Weatherford Parent or that such position, if asserted, would not be sustained. Accordingly, holders of Allowed Claims and New Common Stock should contact their own tax advisors regarding IRC Section 7874’s potential application of the transactions contemplated by the Plan, the Restructuring and the Internal Reorganizations.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discussion of certain U.S. federal income tax consequences assumes that the transactions discussed in this Disclosure Statement do not cause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Weatherford Parent to be treated as a U.S. corporation pursuant to IRC Section 7874 or otherwise subject to adverse tax consequences under IRC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7874. The law and the Treasury Regulations promulgated under IRC Section 7874 are, however, unclear and there can be no assurance that the 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agree with this conclusion.</w:t>
      </w:r>
    </w:p>
    <w:p>
      <w:pPr>
        <w:spacing w:after="0" w:line="211" w:lineRule="exact"/>
        <w:rPr>
          <w:sz w:val="20"/>
          <w:szCs w:val="20"/>
          <w:color w:val="auto"/>
        </w:rPr>
      </w:pPr>
    </w:p>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Cancellation of Indebtedness Income and Reduction of Tax Attributes</w:t>
      </w:r>
    </w:p>
    <w:p>
      <w:pPr>
        <w:spacing w:after="0" w:line="22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Weatherford Delaware will realize cancellation of indebtedness (“</w:t>
      </w:r>
      <w:r>
        <w:rPr>
          <w:rFonts w:ascii="Arial" w:cs="Arial" w:eastAsia="Arial" w:hAnsi="Arial"/>
          <w:sz w:val="18"/>
          <w:szCs w:val="18"/>
          <w:b w:val="1"/>
          <w:bCs w:val="1"/>
          <w:u w:val="single" w:color="auto"/>
          <w:color w:val="auto"/>
        </w:rPr>
        <w:t>COD</w:t>
      </w:r>
      <w:r>
        <w:rPr>
          <w:rFonts w:ascii="Arial" w:cs="Arial" w:eastAsia="Arial" w:hAnsi="Arial"/>
          <w:sz w:val="18"/>
          <w:szCs w:val="18"/>
          <w:color w:val="auto"/>
        </w:rPr>
        <w:t>”) income when the Plan is consummated. Although not entirely clear, Weatherford Delaware believes that the amount of COD income it realizes should equal the excess of the adjusted issue price of the Prepetition Notes issued by Weatherford Delaware over the sum of (i) the issue price of the New Tranche B Senior Unsecured Notes issued by Weatherford Delaware (the “</w:t>
      </w:r>
      <w:r>
        <w:rPr>
          <w:rFonts w:ascii="Arial" w:cs="Arial" w:eastAsia="Arial" w:hAnsi="Arial"/>
          <w:sz w:val="18"/>
          <w:szCs w:val="18"/>
          <w:b w:val="1"/>
          <w:bCs w:val="1"/>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Delaware Notes</w:t>
      </w:r>
      <w:r>
        <w:rPr>
          <w:rFonts w:ascii="Arial" w:cs="Arial" w:eastAsia="Arial" w:hAnsi="Arial"/>
          <w:sz w:val="18"/>
          <w:szCs w:val="18"/>
          <w:color w:val="auto"/>
        </w:rPr>
        <w:t>”) and (ii) the fair market value of the New Common Stock, in each case, received by Holders on account of their Allowed Prepetition Notes</w:t>
      </w:r>
      <w:r>
        <w:rPr>
          <w:rFonts w:ascii="Arial" w:cs="Arial" w:eastAsia="Arial" w:hAnsi="Arial"/>
          <w:sz w:val="18"/>
          <w:szCs w:val="18"/>
          <w:b w:val="1"/>
          <w:bCs w:val="1"/>
          <w:color w:val="auto"/>
        </w:rPr>
        <w:t xml:space="preserve"> </w:t>
      </w:r>
      <w:r>
        <w:rPr>
          <w:rFonts w:ascii="Arial" w:cs="Arial" w:eastAsia="Arial" w:hAnsi="Arial"/>
          <w:sz w:val="18"/>
          <w:szCs w:val="18"/>
          <w:color w:val="auto"/>
        </w:rPr>
        <w:t>Claims in respect of the Prepetition Notes issued by Weatherford Delaware. The amount of COD income that will be realized by Weatherford Delaware is uncertain because, among other things, it will depend in part on the fair market value of the New Common Stock and the issue price of the New Delaware Notes distributed under the Plan on the Effective Date.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1" w:name="page142"/>
    <w:bookmarkEnd w:id="141"/>
    <w:p>
      <w:pPr>
        <w:ind w:right="40" w:firstLine="648"/>
        <w:spacing w:after="0" w:line="257" w:lineRule="auto"/>
        <w:rPr>
          <w:sz w:val="20"/>
          <w:szCs w:val="20"/>
          <w:color w:val="auto"/>
        </w:rPr>
      </w:pPr>
      <w:r>
        <w:rPr>
          <w:rFonts w:ascii="Arial" w:cs="Arial" w:eastAsia="Arial" w:hAnsi="Arial"/>
          <w:sz w:val="18"/>
          <w:szCs w:val="18"/>
          <w:color w:val="auto"/>
        </w:rPr>
        <w:t>Under IRC Section 108, COD income realized by a debtor will be excluded from gross income if the discharge of debt occurs in a case brought under the Bankruptcy Code, the debtor is under the court’s jurisdiction in such case and the discharge is granted by the court or is pursuant to a plan approved by the court (the “</w:t>
      </w:r>
      <w:r>
        <w:rPr>
          <w:rFonts w:ascii="Arial" w:cs="Arial" w:eastAsia="Arial" w:hAnsi="Arial"/>
          <w:sz w:val="18"/>
          <w:szCs w:val="18"/>
          <w:b w:val="1"/>
          <w:bCs w:val="1"/>
          <w:u w:val="single" w:color="auto"/>
          <w:color w:val="auto"/>
        </w:rPr>
        <w:t>Bankruptcy Exception</w:t>
      </w:r>
      <w:r>
        <w:rPr>
          <w:rFonts w:ascii="Arial" w:cs="Arial" w:eastAsia="Arial" w:hAnsi="Arial"/>
          <w:sz w:val="18"/>
          <w:szCs w:val="18"/>
          <w:color w:val="auto"/>
        </w:rPr>
        <w:t>”). Because Weatherford Delaware is in bankruptcy although it is not free from doubt, the Debtors believe that the Bankruptcy Exception should apply and, as a result, that Weatherford Delaware should be entitled to exclude from gross income any COD income realized as a result of the implementation of the Plan.</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Under IRC Section 108(b), a debtor that excludes COD income from gross income under the Bankruptcy Exception generally must reduce certain tax attributes by the amount of the excluded COD income. Attributes subject to reduction include net operating losses (“</w:t>
      </w:r>
      <w:r>
        <w:rPr>
          <w:rFonts w:ascii="Arial" w:cs="Arial" w:eastAsia="Arial" w:hAnsi="Arial"/>
          <w:sz w:val="16"/>
          <w:szCs w:val="16"/>
          <w:b w:val="1"/>
          <w:bCs w:val="1"/>
          <w:u w:val="single" w:color="auto"/>
          <w:color w:val="auto"/>
        </w:rPr>
        <w:t>NOLs</w:t>
      </w:r>
      <w:r>
        <w:rPr>
          <w:rFonts w:ascii="Arial" w:cs="Arial" w:eastAsia="Arial" w:hAnsi="Arial"/>
          <w:sz w:val="16"/>
          <w:szCs w:val="16"/>
          <w:color w:val="auto"/>
        </w:rPr>
        <w:t>”), NOL carryforwards and certain other losses, credits and carryforwards, and the debtor’s tax basis in its assets (including stock of subsidiaries). In the case of a group of corporations filing a consolidated return, such as the U.S. Group, the attribute reduction rules apply first to the separate attributes of or attributable to the particular corporation whose debt is being discharged, and then, if necessary, to certain attributes of other members of the group. Accordingly, COD income of a debtor would result first in the reduction of any NOLs and other attributes, including asset basis, of or attributable to such debtor, and then, potentially, of consolidated NOLs and/or basis of or attributable to other members of the group. The reduction in a debtor’s tax basis in its assets generally does not have to exceed the excess of (i) its tax basis in assets held immediately after the discharge of indebtedness over (ii) the amount of liabilities remaining immediately after the discharge of indebtedness (the “</w:t>
      </w:r>
      <w:r>
        <w:rPr>
          <w:rFonts w:ascii="Arial" w:cs="Arial" w:eastAsia="Arial" w:hAnsi="Arial"/>
          <w:sz w:val="16"/>
          <w:szCs w:val="16"/>
          <w:b w:val="1"/>
          <w:bCs w:val="1"/>
          <w:u w:val="single" w:color="auto"/>
          <w:color w:val="auto"/>
        </w:rPr>
        <w:t>Liability Floor</w:t>
      </w:r>
      <w:r>
        <w:rPr>
          <w:rFonts w:ascii="Arial" w:cs="Arial" w:eastAsia="Arial" w:hAnsi="Arial"/>
          <w:sz w:val="16"/>
          <w:szCs w:val="16"/>
          <w:color w:val="auto"/>
        </w:rPr>
        <w:t>”). NOLs for the taxable year of the discharge and NOL carryovers to such year generally are the first attributes subject to reduction. However, a debtor may elect under IRC Section 108(b)(5) (the “</w:t>
      </w:r>
      <w:r>
        <w:rPr>
          <w:rFonts w:ascii="Arial" w:cs="Arial" w:eastAsia="Arial" w:hAnsi="Arial"/>
          <w:sz w:val="16"/>
          <w:szCs w:val="16"/>
          <w:b w:val="1"/>
          <w:bCs w:val="1"/>
          <w:u w:val="single" w:color="auto"/>
          <w:color w:val="auto"/>
        </w:rPr>
        <w:t>Section 108(b)(5) Election</w:t>
      </w:r>
      <w:r>
        <w:rPr>
          <w:rFonts w:ascii="Arial" w:cs="Arial" w:eastAsia="Arial" w:hAnsi="Arial"/>
          <w:sz w:val="16"/>
          <w:szCs w:val="16"/>
          <w:color w:val="auto"/>
        </w:rPr>
        <w:t>”) to reduce its basis in its depreciable property first. If a debtor makes a Section 108(b)(5) Election, the Liability Floor does not apply to the reduction in basis of depreciable property.</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tax periods through the tax year ending December 31, 2017, the U.S. Group reported on its consolidated federal income tax return approximately $2 billion of consolidated NOLs and NOL carryforwards, of which approximately 85% will be allocable to Weatherford Delaware. The U.S. Group likely generated additional NOLs for the tax year ending December 31, 2018. However, the amount of the U.S. Group’s 2018 and 2019 NOLs, if any, will not be determined until it prepares its federal income tax return for such period. Moreover, the U.S. Group’s NOLs are subject to audit and possible challenge by the IRS. Accordingly, the amount of the U.S. Group’s NOLs ultimately may vary from the amount set forth above.</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Current estimates indicate that the application of IRC Section 108(b) (assuming no Section 108(b)(5) Election is made) will result in the reduction of a portion of the U.S. Group’s consolidated NOLs that are allocable to Weatherford Delaware, but will not result in a reduction in the U.S. Group’s consolidated NOLs that are allocable to other members or the members’ basis in their assets. However, the ultimate effect of the attribute reduction rules is uncertain because, among other things, it will depend on the amount of COD income realized by Weatherford Delaware.</w:t>
      </w:r>
    </w:p>
    <w:p>
      <w:pPr>
        <w:spacing w:after="0" w:line="171" w:lineRule="exact"/>
        <w:rPr>
          <w:sz w:val="20"/>
          <w:szCs w:val="20"/>
          <w:color w:val="auto"/>
        </w:rPr>
      </w:pPr>
    </w:p>
    <w:p>
      <w:pPr>
        <w:ind w:left="1960" w:hanging="655"/>
        <w:spacing w:after="0"/>
        <w:tabs>
          <w:tab w:leader="none" w:pos="196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Section 382 Limitation on Net Operating Losses and Built-In Losses</w:t>
      </w:r>
    </w:p>
    <w:p>
      <w:pPr>
        <w:spacing w:after="0" w:line="225" w:lineRule="exact"/>
        <w:rPr>
          <w:sz w:val="20"/>
          <w:szCs w:val="20"/>
          <w:color w:val="auto"/>
        </w:rPr>
      </w:pPr>
    </w:p>
    <w:p>
      <w:pPr>
        <w:ind w:right="1080" w:firstLine="648"/>
        <w:spacing w:after="0" w:line="277" w:lineRule="auto"/>
        <w:rPr>
          <w:sz w:val="20"/>
          <w:szCs w:val="20"/>
          <w:color w:val="auto"/>
        </w:rPr>
      </w:pPr>
      <w:r>
        <w:rPr>
          <w:rFonts w:ascii="Arial" w:cs="Arial" w:eastAsia="Arial" w:hAnsi="Arial"/>
          <w:sz w:val="18"/>
          <w:szCs w:val="18"/>
          <w:color w:val="auto"/>
        </w:rPr>
        <w:t>Under IRC Section 382, if a corporation or a consolidated group of corporations with NOLs, interest deductions suspended under IRC Section 163(j) (collectively with NOLs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2" w:name="page143"/>
    <w:bookmarkEnd w:id="142"/>
    <w:p>
      <w:pPr>
        <w:spacing w:after="0" w:line="274" w:lineRule="auto"/>
        <w:rPr>
          <w:sz w:val="20"/>
          <w:szCs w:val="20"/>
          <w:color w:val="auto"/>
        </w:rPr>
      </w:pPr>
      <w:r>
        <w:rPr>
          <w:rFonts w:ascii="Arial" w:cs="Arial" w:eastAsia="Arial" w:hAnsi="Arial"/>
          <w:sz w:val="17"/>
          <w:szCs w:val="17"/>
          <w:color w:val="auto"/>
        </w:rPr>
        <w:t>certain other tax attributes, the “</w:t>
      </w:r>
      <w:r>
        <w:rPr>
          <w:rFonts w:ascii="Arial" w:cs="Arial" w:eastAsia="Arial" w:hAnsi="Arial"/>
          <w:sz w:val="17"/>
          <w:szCs w:val="17"/>
          <w:b w:val="1"/>
          <w:bCs w:val="1"/>
          <w:u w:val="single" w:color="auto"/>
          <w:color w:val="auto"/>
        </w:rPr>
        <w:t>Pre-Change Tax Attributes</w:t>
      </w:r>
      <w:r>
        <w:rPr>
          <w:rFonts w:ascii="Arial" w:cs="Arial" w:eastAsia="Arial" w:hAnsi="Arial"/>
          <w:sz w:val="17"/>
          <w:szCs w:val="17"/>
          <w:color w:val="auto"/>
        </w:rPr>
        <w:t>”) or built-in losses (a “</w:t>
      </w:r>
      <w:r>
        <w:rPr>
          <w:rFonts w:ascii="Arial" w:cs="Arial" w:eastAsia="Arial" w:hAnsi="Arial"/>
          <w:sz w:val="17"/>
          <w:szCs w:val="17"/>
          <w:b w:val="1"/>
          <w:bCs w:val="1"/>
          <w:u w:val="single" w:color="auto"/>
          <w:color w:val="auto"/>
        </w:rPr>
        <w:t>loss corporation</w:t>
      </w:r>
      <w:r>
        <w:rPr>
          <w:rFonts w:ascii="Arial" w:cs="Arial" w:eastAsia="Arial" w:hAnsi="Arial"/>
          <w:sz w:val="17"/>
          <w:szCs w:val="17"/>
          <w:color w:val="auto"/>
        </w:rPr>
        <w:t>”) undergoes an “ownership change,” the loss corporation’s use of its Pre-Change Tax Attributes and recognized built-in losses (“</w:t>
      </w:r>
      <w:r>
        <w:rPr>
          <w:rFonts w:ascii="Arial" w:cs="Arial" w:eastAsia="Arial" w:hAnsi="Arial"/>
          <w:sz w:val="17"/>
          <w:szCs w:val="17"/>
          <w:b w:val="1"/>
          <w:bCs w:val="1"/>
          <w:u w:val="single" w:color="auto"/>
          <w:color w:val="auto"/>
        </w:rPr>
        <w:t>RBILs</w:t>
      </w:r>
      <w:r>
        <w:rPr>
          <w:rFonts w:ascii="Arial" w:cs="Arial" w:eastAsia="Arial" w:hAnsi="Arial"/>
          <w:sz w:val="17"/>
          <w:szCs w:val="17"/>
          <w:color w:val="auto"/>
        </w:rPr>
        <w:t>”) generally will be subject to an annual limitation in the post-change period. In general, an “ownership change” occurs if the percentage of the value of the loss corporation’s stock owned by one or more direct or indirect “five percent shareholders” increases by more than fifty percentage points over the lowest percentage of value owned by the five percent shareholders at any time during the applicable testing period (an “</w:t>
      </w:r>
      <w:r>
        <w:rPr>
          <w:rFonts w:ascii="Arial" w:cs="Arial" w:eastAsia="Arial" w:hAnsi="Arial"/>
          <w:sz w:val="17"/>
          <w:szCs w:val="17"/>
          <w:b w:val="1"/>
          <w:bCs w:val="1"/>
          <w:u w:val="single" w:color="auto"/>
          <w:color w:val="auto"/>
        </w:rPr>
        <w:t>Ownership Change</w:t>
      </w:r>
      <w:r>
        <w:rPr>
          <w:rFonts w:ascii="Arial" w:cs="Arial" w:eastAsia="Arial" w:hAnsi="Arial"/>
          <w:sz w:val="17"/>
          <w:szCs w:val="17"/>
          <w:color w:val="auto"/>
        </w:rPr>
        <w:t>”). The testing period generally is the shorter of (i) the three-year period preceding the testing date or (ii) the period of time since the most recent Ownership Change of the corporation.</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Subject to the special bankruptcy rules discussed below, the amount of the annual limitation on a loss corporation’s use of its Pre-Change Tax Attributes and RBILs is generally equal to the product of the applicable long-term tax-exempt rate (as published by the IRS for the month in which the Ownership Change occurs) and the value of the loss corporation’s outstanding stock immediately before the Ownership Change (excluding certain capital contributions). If a loss corporation has a net unrealized built-in gain (a “</w:t>
      </w:r>
      <w:r>
        <w:rPr>
          <w:rFonts w:ascii="Arial" w:cs="Arial" w:eastAsia="Arial" w:hAnsi="Arial"/>
          <w:sz w:val="18"/>
          <w:szCs w:val="18"/>
          <w:b w:val="1"/>
          <w:bCs w:val="1"/>
          <w:u w:val="single" w:color="auto"/>
          <w:color w:val="auto"/>
        </w:rPr>
        <w:t>NUBIG</w:t>
      </w:r>
      <w:r>
        <w:rPr>
          <w:rFonts w:ascii="Arial" w:cs="Arial" w:eastAsia="Arial" w:hAnsi="Arial"/>
          <w:sz w:val="18"/>
          <w:szCs w:val="18"/>
          <w:color w:val="auto"/>
        </w:rPr>
        <w:t>”) immediately prior to the Ownership Change, the annual limitation may be increased as certain gains are recognized during the five-year period beginning on the date of the Ownership Change (the “</w:t>
      </w:r>
      <w:r>
        <w:rPr>
          <w:rFonts w:ascii="Arial" w:cs="Arial" w:eastAsia="Arial" w:hAnsi="Arial"/>
          <w:sz w:val="18"/>
          <w:szCs w:val="18"/>
          <w:b w:val="1"/>
          <w:bCs w:val="1"/>
          <w:u w:val="single" w:color="auto"/>
          <w:color w:val="auto"/>
        </w:rPr>
        <w:t>Recognition Period</w:t>
      </w:r>
      <w:r>
        <w:rPr>
          <w:rFonts w:ascii="Arial" w:cs="Arial" w:eastAsia="Arial" w:hAnsi="Arial"/>
          <w:sz w:val="18"/>
          <w:szCs w:val="18"/>
          <w:color w:val="auto"/>
        </w:rPr>
        <w:t>”). If a loss corporation has a net unrealized built-in loss (a “</w:t>
      </w:r>
      <w:r>
        <w:rPr>
          <w:rFonts w:ascii="Arial" w:cs="Arial" w:eastAsia="Arial" w:hAnsi="Arial"/>
          <w:sz w:val="18"/>
          <w:szCs w:val="18"/>
          <w:b w:val="1"/>
          <w:bCs w:val="1"/>
          <w:u w:val="single" w:color="auto"/>
          <w:color w:val="auto"/>
        </w:rPr>
        <w:t>NUBIL</w:t>
      </w:r>
      <w:r>
        <w:rPr>
          <w:rFonts w:ascii="Arial" w:cs="Arial" w:eastAsia="Arial" w:hAnsi="Arial"/>
          <w:sz w:val="18"/>
          <w:szCs w:val="18"/>
          <w:color w:val="auto"/>
        </w:rPr>
        <w:t>”) immediately prior to the Ownership Change, certain losses recognized during the Recognition Period also would be subject to the annual limitation and thus may reduce the amount of Pre-Change Tax Attributes that could be used by the loss corporation during the Recognition Period.</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NUBIG or NUBIL is generally the difference immediately prior to the Ownership Change between the fair market value of a loss corporation’s assets (or, if greater, the relevant amount of a loss corporation’s relevant liabilities) and its tax basis in the assets, subject to a statutorily-defined threshold amount. The amount of a loss corporation’s NUBIG or NUBIL must be adjusted for built-in items of income or deduction that would be attributable to a pre-change period if recognized during the Recognition Period. The NUBIG or NUBIL of a consolidated group generally is calculated on a consolidated basis, subject to special rules.</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 loss corporation has a NUBIG immediately prior to an Ownership Change, any recognized built-in gains (“</w:t>
      </w:r>
      <w:r>
        <w:rPr>
          <w:rFonts w:ascii="Arial" w:cs="Arial" w:eastAsia="Arial" w:hAnsi="Arial"/>
          <w:sz w:val="17"/>
          <w:szCs w:val="17"/>
          <w:b w:val="1"/>
          <w:bCs w:val="1"/>
          <w:u w:val="single" w:color="auto"/>
          <w:color w:val="auto"/>
        </w:rPr>
        <w:t>RBIGs</w:t>
      </w:r>
      <w:r>
        <w:rPr>
          <w:rFonts w:ascii="Arial" w:cs="Arial" w:eastAsia="Arial" w:hAnsi="Arial"/>
          <w:sz w:val="17"/>
          <w:szCs w:val="17"/>
          <w:color w:val="auto"/>
        </w:rPr>
        <w:t>”) will increase the annual limitation in the taxable year the RBIGs are recognized. An RBIG generally is any gain (and certain income) with respect to an asset held immediately before the date of the Ownership Change that is recognized during the Recognition Period to the extent of the fair market value of the asset over its tax basis immediately prior to the Ownership Change. The annual limitation, however, will not be increased to the extent that the aggregate amount of all RBIGs that are recognized during the Recognition Period exceed the NUBIG. On the other hand, if a loss corporation has a NUBIL immediately prior to an Ownership Change, any RBILs will be subject to the annual limitation in the same manner as Pre-Change Tax Attributes. An RBIL generally is any loss (and certain deductions) with respect to an asset held immediately before the date of the Ownership Change that is recognized during the Recognition Period to the extent of the excess of the tax basis of the asset over its fair market value immediately prior to the Ownership Change. Once the aggregate amount of all RBILs that are recognized during the Recognition Period exceeds the NUBIL, such excess RBILs are not subject to the annual limitation. RBIGs and RBILs may be recognized during the Recognition Period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3" w:name="page144"/>
    <w:bookmarkEnd w:id="143"/>
    <w:p>
      <w:pPr>
        <w:spacing w:after="0" w:line="277" w:lineRule="auto"/>
        <w:rPr>
          <w:sz w:val="20"/>
          <w:szCs w:val="20"/>
          <w:color w:val="auto"/>
        </w:rPr>
      </w:pPr>
      <w:r>
        <w:rPr>
          <w:rFonts w:ascii="Arial" w:cs="Arial" w:eastAsia="Arial" w:hAnsi="Arial"/>
          <w:sz w:val="18"/>
          <w:szCs w:val="18"/>
          <w:color w:val="auto"/>
        </w:rPr>
        <w:t>depreciable and amortizable assets that are not actually disposed of by the loss corporation. It is uncertain whether Weatherford Delaware will have a NUBIG or NUBIL on the Effective Date.</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consummation of the Plan is expected to result in an Ownership Change of Weatherford Delaware and all other members of the U.S. Group. With respect to Weatherford Delaware, because the Ownership Change will occur in a case brought under the Bankruptcy Code, although it is not free from doubt, the Debtors believe that one of the following two special rules should apply in determining Weatherford Delaware’s ability to utilize in post-Effective Date tax periods Pre-Change Tax Attributes and RBILs attributable to tax periods preceding the Effective Date.</w:t>
      </w:r>
    </w:p>
    <w:p>
      <w:pPr>
        <w:spacing w:after="0" w:line="17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Under IRC Section 382(l)(5), an Ownership Change in bankruptcy will not result in any annual limitation on the debtor’s Pre-Change Tax Attributes and RBILs arising during the Recognition Period if the stockholders and qualified creditors of the debtor receive at least 50% of the stock (by vote and value) of the reorganized debtor (or of a controlling corporation if also in bankruptcy) in the bankruptcy reorganization as a result of being shareholders or creditors of the debtor. Instead, the debtor’s pre-change NOLs are reduced by the amount of any interest deductions with respect to debt converted into stock in the bankruptcy reorganization that were allowed in the three full taxable years preceding the taxable year in which the Ownership Change occurs and in the part of the taxable year prior to and including the date of the Ownership Change attributable to the bankruptcy reorganization (the “</w:t>
      </w:r>
      <w:r>
        <w:rPr>
          <w:rFonts w:ascii="Arial" w:cs="Arial" w:eastAsia="Arial" w:hAnsi="Arial"/>
          <w:sz w:val="18"/>
          <w:szCs w:val="18"/>
          <w:b w:val="1"/>
          <w:bCs w:val="1"/>
          <w:u w:val="single" w:color="auto"/>
          <w:color w:val="auto"/>
        </w:rPr>
        <w:t>Plan Ownership Change</w:t>
      </w:r>
      <w:r>
        <w:rPr>
          <w:rFonts w:ascii="Arial" w:cs="Arial" w:eastAsia="Arial" w:hAnsi="Arial"/>
          <w:sz w:val="18"/>
          <w:szCs w:val="18"/>
          <w:color w:val="auto"/>
        </w:rPr>
        <w:t>”). If any Pre-Change Tax Attributes and built-in losses of the debtor already are subject to an annual usage limitation under IRC Section 382 at the time of an Ownership Change, subject to IRC Section 382(l)(5), those Pre-Change Tax Attributes and built-in losses generally will continue to be subject to such limitation.</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qualified creditor is any creditor who has held the debt of the debtor for at least eighteen months prior to the petition date or who has held “ordinary course indebtedness” that has been owned at all times by such creditor. A creditor who does not become a direct or indirect five percent shareholder of the reorganized debtor (or of a controlling corporation if also in bankruptcy) generally may be treated by the debtor as having always held any debt owned immediately before the Ownership Change, unless the creditor’s participation in formulating the plan of reorganization makes evident to the debtor that the creditor has not owned the debt for the requisite period.</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debtor may elect not to apply IRC Section 382(l)(5) to an Ownership Change that otherwise satisfies its requirements. This election must be made on the debtor’s federal income tax return for the taxable year in which the Ownership Change occurs. If IRC Section 382(l)(5) applies to an Ownership Change (and the debtor does not elect out), any subsequent Ownership Change of the debtor within the two-year period following the date of the Plan Ownership Change will result in the debtor being unable to use any pre-change losses in any taxable year ending after such subsequent Ownership Change to offset future taxable income.</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If an Ownership Change pursuant to a bankruptcy plan does not satisfy the requirements of IRC Section 382(l)(5), or if a debtor elects not to apply IRC Section 382(l)(5), the debtor’s use of its Pre-Change Tax Attributes and RBILs arising during the Recognition Period will be subject to an annual limitation as determined under IRC Section 382(l)(6). In such case, the amount of the annual limitation generally will be equal to the product of the applicable long-term tax-exempt rate (2.19% for June 2019) and the value of the debtor’s outstanding stock immediately after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4" w:name="page145"/>
    <w:bookmarkEnd w:id="144"/>
    <w:p>
      <w:pPr>
        <w:spacing w:after="0" w:line="259" w:lineRule="auto"/>
        <w:rPr>
          <w:sz w:val="20"/>
          <w:szCs w:val="20"/>
          <w:color w:val="auto"/>
        </w:rPr>
      </w:pPr>
      <w:r>
        <w:rPr>
          <w:rFonts w:ascii="Arial" w:cs="Arial" w:eastAsia="Arial" w:hAnsi="Arial"/>
          <w:sz w:val="18"/>
          <w:szCs w:val="18"/>
          <w:color w:val="auto"/>
        </w:rPr>
        <w:t>bankruptcy reorganization, provided such value may not exceed the value of the debtor’s gross assets immediately before the Ownership Change, subject to certain adjustments. If any Pre-Change Tax Attributes and built-in losses of the debtor already are subject to an annual limitation at the time of an Ownership Change subject to IRC Section 382(l)(6), those Pre-Change Tax Attributes and built-in losses will generally be subject to the lower of the two annual limitations.</w:t>
      </w:r>
    </w:p>
    <w:p>
      <w:pPr>
        <w:spacing w:after="0" w:line="18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Debtors believe that the application of IRC Section 382(l)(5) could result in significant future savings and are seeking to protect the continued existence of their significant tax attributes (including net operating losses ranging from $1.5 billion to $2 billion that are expected to remain after taking into account the impact of the Restructuring Transactions) without annual limitations on the use of its net operating losses and NUBIL pursuant to IRC Section 382(l)(5). Accordingly, the Debtors will file a First Day Motion to seek an order establishing a record date and sell-down procedures for trading claims. However, it is uncertain whether the Ownership Change expected to result from the consummation of the Plan may satisfy all of the requirements of IRC Section 382(l)(5), as such determination will depend on several factors, including the extent to which Holders of the Prepetition Notes immediately prior to consummation of the Plan may be treated as qualified creditors of Weatherford Delaware for purposes of IRC Section 382(l)(5) and whether the stockholders and qualified creditors of Weatherford Delaware will be treated as receiving at least 50% of the stock (by vote and value) of Weatherford Delaware (or Weatherford Parent) as a result of being creditors or direct or indirect shareholders of Weatherford Delaware. The Debtors may seek a private letter ruling from the IRS regarding the application of IRC Section 382(l)(5), but no assurance can be given that we will request such ruling or, if we do, that the IRS will issue it. Furthermore, even if the Plan satisfies the requirements of IRC Section 382(l)(5), Weatherford Delaware may elect not to apply IRC Section 382(l)(5), in which case, the U.S. Group’s Pre-Change Tax Attributes remaining after reduction for excluded COD income arising during the Recognition Period may be subject to an annual limitation generally equal to the product of the long-term tax-exempt rate for the month in which the Plan Ownership Change occurs and the value of Weatherford Delaware’s outstanding stock immediately after consummation of the Plan pursuant to IRC Section 382(l)(6). Pre-Change Tax Attributes not utilized in a given year due to the annual limitation may be carried forward for use in future years. To the extent that the annual limitation of the reorganized U.S. Group exceeds its taxable income (for purposes of IRC Section 382) in a given year, the excess will increase the annual limitation in future taxable years.</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There is uncertainty as to whether the U.S. Group’s Pre-Change Tax Attributes allocable to members of the U.S. Group other than Weatherford Delaware would qualify for the benefits of IRC 382(l)(5) or 382(l)(6). As a result, the utilization of those Tax Attributes following the Ownership Change upon the consummation of the Plan may be significantly restricted.</w:t>
      </w:r>
    </w:p>
    <w:p>
      <w:pPr>
        <w:spacing w:after="0" w:line="177" w:lineRule="exact"/>
        <w:rPr>
          <w:sz w:val="20"/>
          <w:szCs w:val="20"/>
          <w:color w:val="auto"/>
        </w:rPr>
      </w:pPr>
    </w:p>
    <w:p>
      <w:pPr>
        <w:ind w:left="1300" w:hanging="644"/>
        <w:spacing w:after="0"/>
        <w:tabs>
          <w:tab w:leader="none" w:pos="130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U.S. Holders</w:t>
      </w:r>
    </w:p>
    <w:p>
      <w:pPr>
        <w:spacing w:after="0" w:line="229" w:lineRule="exact"/>
        <w:rPr>
          <w:sz w:val="20"/>
          <w:szCs w:val="20"/>
          <w:color w:val="auto"/>
        </w:rPr>
      </w:pPr>
    </w:p>
    <w:p>
      <w:pPr>
        <w:ind w:left="1940" w:hanging="635"/>
        <w:spacing w:after="0"/>
        <w:tabs>
          <w:tab w:leader="none" w:pos="194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Definition of U.S. Holder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u w:val="single" w:color="auto"/>
          <w:color w:val="auto"/>
        </w:rPr>
        <w:t>U.S. Holder</w:t>
      </w:r>
      <w:r>
        <w:rPr>
          <w:rFonts w:ascii="Arial" w:cs="Arial" w:eastAsia="Arial" w:hAnsi="Arial"/>
          <w:sz w:val="16"/>
          <w:szCs w:val="16"/>
          <w:color w:val="auto"/>
        </w:rPr>
        <w:t>” is a beneficial owner of the Prepetition Notes or Existing Common Stock that, for U.S. federal income tax purposes, is or is treated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w:t>
      </w:r>
    </w:p>
    <w:p>
      <w:pPr>
        <w:spacing w:after="0" w:line="211" w:lineRule="exact"/>
        <w:rPr>
          <w:sz w:val="20"/>
          <w:szCs w:val="20"/>
          <w:color w:val="auto"/>
        </w:rPr>
      </w:pPr>
    </w:p>
    <w:p>
      <w:pPr>
        <w:ind w:left="940" w:hanging="284"/>
        <w:spacing w:after="0"/>
        <w:tabs>
          <w:tab w:leader="none" w:pos="9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5" w:name="page146"/>
    <w:bookmarkEnd w:id="145"/>
    <w:p>
      <w:pPr>
        <w:ind w:left="940" w:hanging="284"/>
        <w:spacing w:after="0"/>
        <w:tabs>
          <w:tab w:leader="none" w:pos="9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980" w:hanging="324"/>
        <w:spacing w:after="0" w:line="342" w:lineRule="auto"/>
        <w:tabs>
          <w:tab w:leader="none" w:pos="94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IRC Section 7701(a)(30)), or (2) has a valid election in effect to be treated as a United States person for U.S. federal income tax purposes.</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Prepetition Notes, Existing Common Stock, New Tranche B Senior Unsecured Notes, New Common Stock or New Warrants, the tax treatment of a partner in such partnership generally will depend upon the status of the partner and the activities of the partnership. Beneficial owners of the Prepetition Notes, Existing Common Stock, New Tranche B Senior Unsecured Notes, New Common Stock or New Warrants who are partners in a partnership holding any of such instruments should consult their tax advisors.</w:t>
      </w:r>
    </w:p>
    <w:p>
      <w:pPr>
        <w:spacing w:after="0" w:line="188" w:lineRule="exact"/>
        <w:rPr>
          <w:sz w:val="20"/>
          <w:szCs w:val="20"/>
          <w:color w:val="auto"/>
        </w:rPr>
      </w:pPr>
    </w:p>
    <w:p>
      <w:pPr>
        <w:ind w:left="1960" w:hanging="655"/>
        <w:spacing w:after="0"/>
        <w:tabs>
          <w:tab w:leader="none" w:pos="196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Internal Reorganizations</w:t>
      </w:r>
    </w:p>
    <w:p>
      <w:pPr>
        <w:spacing w:after="0" w:line="225" w:lineRule="exact"/>
        <w:rPr>
          <w:sz w:val="20"/>
          <w:szCs w:val="20"/>
          <w:color w:val="auto"/>
        </w:rPr>
      </w:pPr>
    </w:p>
    <w:p>
      <w:pPr>
        <w:ind w:left="3260" w:hanging="659"/>
        <w:spacing w:after="0"/>
        <w:tabs>
          <w:tab w:leader="none" w:pos="32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Irish Migration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U.S. Holders of Prepetition Notes and Existing Common Stock are not expected to recognize gain or loss for U.S. federal income tax purposes as a result of the Irish Migration, nor is the Irish Migration expected to alter U.S. Holders’ U.S. federal income tax bases or holding periods in their Prepetition Notes or Existing Common Stock.</w:t>
      </w:r>
    </w:p>
    <w:p>
      <w:pPr>
        <w:spacing w:after="0" w:line="181" w:lineRule="exact"/>
        <w:rPr>
          <w:sz w:val="20"/>
          <w:szCs w:val="20"/>
          <w:color w:val="auto"/>
        </w:rPr>
      </w:pPr>
    </w:p>
    <w:p>
      <w:pPr>
        <w:ind w:left="3260" w:hanging="659"/>
        <w:spacing w:after="0"/>
        <w:tabs>
          <w:tab w:leader="none" w:pos="32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U.S. Group Reorganization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U.S. Holders of Prepetition Notes and Existing Common Stock are not expected to recognize gain or loss for U.S. federal income tax purposes as a result of the U.S. Group Reorganization, nor is the U.S. Group Reorganization expected to alter U.S. Holders’ U.S. federal income tax bases or holding periods in their Prepetition Notes or Existing Common Stock.</w:t>
      </w:r>
    </w:p>
    <w:p>
      <w:pPr>
        <w:spacing w:after="0" w:line="181" w:lineRule="exact"/>
        <w:rPr>
          <w:sz w:val="20"/>
          <w:szCs w:val="20"/>
          <w:color w:val="auto"/>
        </w:rPr>
      </w:pPr>
    </w:p>
    <w:p>
      <w:pPr>
        <w:ind w:left="1960" w:hanging="655"/>
        <w:spacing w:after="0"/>
        <w:tabs>
          <w:tab w:leader="none" w:pos="196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Exchanges of Prepetition Notes Claims and Existing Common Stock Pursuant to the Plan</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Exchange of Prepetition Notes Claims for New Tranche B Senior Unsecured Notes and New Common Stock</w:t>
      </w:r>
    </w:p>
    <w:p>
      <w:pPr>
        <w:spacing w:after="0" w:line="24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Debtors intend to take the position (and this discussion of certain U.S. federal income tax consequences of the Plan assumes) that the receipt of New Common Stock in respect of Prepetition Notes Claims will not be treated as a contribution of the Prepetition Notes to Weatherford Parent for U.S. federal income tax purposes. Instead, the Debtors intend to take the position for U.S. federal income tax purposes that the Holders of Prepetition Notes Claims receive the New Common Stock from the respective issuer of such Prepetition Notes in partial exchange for such Prepetition Notes. To the extent a Holder of Prepetition Notes Claims receives New Tranche B Senior Unsecured Notes in respect of such Prepetition Notes Claims, the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6" w:name="page147"/>
    <w:bookmarkEnd w:id="146"/>
    <w:p>
      <w:pPr>
        <w:ind w:right="340"/>
        <w:spacing w:after="0" w:line="277" w:lineRule="auto"/>
        <w:rPr>
          <w:sz w:val="20"/>
          <w:szCs w:val="20"/>
          <w:color w:val="auto"/>
        </w:rPr>
      </w:pPr>
      <w:r>
        <w:rPr>
          <w:rFonts w:ascii="Arial" w:cs="Arial" w:eastAsia="Arial" w:hAnsi="Arial"/>
          <w:sz w:val="18"/>
          <w:szCs w:val="18"/>
          <w:color w:val="auto"/>
        </w:rPr>
        <w:t>will be treated as an “exchange” of such Prepetition Notes for New Tranche B Senior Unsecured Notes if it results in a “significant modification” of such Prepetition Notes.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applicable Treasury Regulations, the modification of the terms of a debt instrument (including pursuant to an exchange of a new debt instrument for the existing debt instrument) generally is a significant modification if, based on all of the facts and circumstances and taking into account all modifications of the debt instrument, the legal rights or obligations that are altered and the degree to which they are altered is “economically significant.” A modification that adds, deletes, or alters customary accounting or financial covenants is not a significant modification. A modification that changes the timing of payments due under a debt instrument is a significant modification if it results in a material deferral of scheduled payments. However, a deferral of one or more scheduled payments is not a material deferral if it is within a safe-harbor period beginning on the original due date of the first scheduled payment that is deferred and extending for a period equal to the lesser of five years or 50% of the original term of the instrument. A change in the yield of a debt instrument is a significant modification if the yield of the modified instrument (as computed under the applicable Treasury Regulations) varies from the annual yield of the unmodified instrument (determined as of the date of the modification) by more than the greater of (i) 25 basis points or (ii) 5% of the annual yield of the unmodified instrument.</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Based on such applicable Treasury Regulations and the Debtors’ expectations of the terms of the New Tranche B Senior Unsecured Notes, the Debtors anticipate, and the remainder of this discussion assumes, that an exchange of Prepetition Notes for New Tranche B Senior Unsecured Notes will be treated as a significant modification of the Prepetition Notes and thus as an “exchange” of such Prepetition Notes for new debt instruments for U.S. federal income tax purposes.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An exchange of Prepetition Notes for New Tranche B Senior Unsecured Notes and New Common Stock will be a fully taxable transaction unless the exchange constitutes, or is a part of, a “reorganization” within the meaning of IRC Section 368(a) or other tax-free transaction. Although it is not free from doubt, the Debtors believe that the exchange of Prepetition Notes for New Common Stock does not qualify as a tax-free transaction. With respect to the exchange of Prepetition Notes for New Tranche B Senior Unsecured Notes, the Debtors believe such exchange should qualify as a tax-free reorganization within the meaning of IRC Section 368(a) if both the Prepetition Notes and the New Tranche B Senior Unsecured Notes are treated as “securities” under the relevant provisions of the IRC. Neither the IRC nor the Treasury Regulations define the term “security,” and it has not been clearly defined by judicial decisions. Whether a debt instrument is a security is determined based on all of the facts and circumstances. Factors evaluated include whether the holder of such debt instrument is subject to a material level of entrepreneurial risk and the holder’s degree of participation and continuing interest in the debtor’s business, but most authorities conclude that the term to maturity of the debt instrument is one of the most significant factors. In this regard, debt instruments with a term of ten years or more generally have qualified as securities, whereas debt instruments with a term of less than five years generally have not qualified as securities. Although it is not free from doubt, the Debtors intend to take the position, and the remainder of this discussion assumes, that the Prepetition Notes and the New Tranche B Senior Unsecured Notes are properly treated as “securities” for U.S. federal income tax purposes and that the exchanges of such Prepetition Notes for New Tranche B Senior Unsecured Notes either constitute, or are a part of, “reorganizations” within the meaning of IRC Section 368(a).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7" w:name="page148"/>
    <w:bookmarkEnd w:id="147"/>
    <w:p>
      <w:pPr>
        <w:ind w:right="20" w:firstLine="648"/>
        <w:spacing w:after="0" w:line="288" w:lineRule="auto"/>
        <w:rPr>
          <w:sz w:val="20"/>
          <w:szCs w:val="20"/>
          <w:color w:val="auto"/>
        </w:rPr>
      </w:pPr>
      <w:r>
        <w:rPr>
          <w:rFonts w:ascii="Arial" w:cs="Arial" w:eastAsia="Arial" w:hAnsi="Arial"/>
          <w:sz w:val="16"/>
          <w:szCs w:val="16"/>
          <w:color w:val="auto"/>
        </w:rPr>
        <w:t>Based on the position that the Prepetition Notes and the New Tranche B Senior Unsecured Notes are properly treated as “securities” for U.S. federal income tax purposes, a U.S. Holder will not recognize any loss on an exchange of the principal portion of Prepetition Notes for New Tranche B Senior Unsecured Notes and New Common Stock and will generally recognize gain equal to the lesser of (i) the fair market value of the New Common Stock and</w:t>
      </w:r>
    </w:p>
    <w:p>
      <w:pPr>
        <w:ind w:firstLine="8"/>
        <w:spacing w:after="0" w:line="267" w:lineRule="auto"/>
        <w:tabs>
          <w:tab w:leader="none" w:pos="26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amount of gain, if any, realized on the exchange. A U.S. Holder would also recognize income in respect of any amount attributable to unpaid interest (that accrued during the U.S. Holder’s holding period) on the exchanged Prepetition Notes, to the extent such amounts were not previously taxed (which would be taxable as interest to the extent not previously included in income). Whether any amount is attributable to such unpaid interest is further discussed below under “Certain U.S. Federal Income Tax Consequences of the Plan—Accrued Interest.” A U.S. Holder will generally have an initial tax basis in the New Tranche B Senior Unsecured Notes equal to the U.S. Holder’s adjusted tax basis in the Prepetition Notes exchanged pursuant to the Plan, increased by any gain recognized on the exchange and decreased by the fair market value of the New Common Stock received in the exchange. A U.S. Holder will generally have an initial tax basis in the New Common Stock equal to the fair market value of such New Common Stock as of the Effective Date. A U.S. Holder’s holding period in the New Tranche B Senior Unsecured Notes will generally include the holding period of the Prepetition Notes exchanged therefor, and the U.S. Holder’s holding period in the New Common Stock will generally begin on the day following the Effective Date. See below under the caption under the caption “Accrued Interest” for a discussion of the tax basis and holding period of New Tranche B Senior Unsecured Notes or New Common Stock, if any, received for accrued and unpaid interest on the Prepetition Notes.</w:t>
      </w:r>
    </w:p>
    <w:p>
      <w:pPr>
        <w:spacing w:after="0" w:line="187"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Any gain recognized will be capital gain and generally long-term capital gain if the U.S. Holder has held the Prepetition Notes for more than one year as of the Effective Date, provided that such gain will be treated as ordinary income to the extent of any accrued market discount (unless an election to include market discount in income currently as it accrues was made by the U.S. Holder). If any accrued market discount on Prepetition Notes remains, the New Tranche B Senior Unsecured Notes will generally be treated as having accrued market discount to such extent, as further discussed below.</w:t>
      </w:r>
    </w:p>
    <w:p>
      <w:pPr>
        <w:spacing w:after="0" w:line="154" w:lineRule="exact"/>
        <w:rPr>
          <w:sz w:val="20"/>
          <w:szCs w:val="20"/>
          <w:color w:val="auto"/>
        </w:rPr>
      </w:pPr>
    </w:p>
    <w:p>
      <w:pPr>
        <w:ind w:left="3260" w:hanging="659"/>
        <w:spacing w:after="0"/>
        <w:tabs>
          <w:tab w:leader="none" w:pos="32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Exchange of Existing Common Stock for New Common Stock and New Warrants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It is intended that the exchange of Existing Common Stock for New Common Stock and New Warrants as a “recapitalization” within the meaning of IRC Section 368(a)(1)(E). As such, a U.S. Holder will not recognize any gain or loss on an exchange of Existing Common Stock for New Common Stock and New Warrants. A U.S. Holder will generally have an aggregate initial tax basis in the New Common Stock and New Warrants equal to the U.S. Holder’s adjusted tax basis in the Existing Common Stock exchanged pursuant to the Plan. Such basis will be allocated between the New Common Stock and New Warrants in proportion to their relative fair market values. A U.S. Holder’s holding period in the New Common Stock and New Warrants will generally include the holding period of the Existing Common Stock exchanged therefor.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8" w:name="page149"/>
    <w:bookmarkEnd w:id="148"/>
    <w:p>
      <w:pPr>
        <w:ind w:left="1960" w:right="180" w:hanging="655"/>
        <w:spacing w:after="0" w:line="277" w:lineRule="auto"/>
        <w:tabs>
          <w:tab w:leader="none" w:pos="1967"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Consequences of Owning and Disposing of New Delaware Notes, New Bermuda Notes, New Common Stock and New Warrants Received Pursuant to the Plan</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New Delaware Notes</w:t>
      </w:r>
    </w:p>
    <w:p>
      <w:pPr>
        <w:spacing w:after="0" w:line="225" w:lineRule="exact"/>
        <w:rPr>
          <w:sz w:val="20"/>
          <w:szCs w:val="20"/>
          <w:color w:val="auto"/>
        </w:rPr>
      </w:pPr>
    </w:p>
    <w:p>
      <w:pPr>
        <w:ind w:left="3900" w:hanging="651"/>
        <w:spacing w:after="0"/>
        <w:tabs>
          <w:tab w:leader="none" w:pos="39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Issue Price</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issue price of a debt instrument issued in exchange for another debt instrument depends on whether either debt instrument is considered “traded on an established market” (“</w:t>
      </w:r>
      <w:r>
        <w:rPr>
          <w:rFonts w:ascii="Arial" w:cs="Arial" w:eastAsia="Arial" w:hAnsi="Arial"/>
          <w:sz w:val="16"/>
          <w:szCs w:val="16"/>
          <w:b w:val="1"/>
          <w:bCs w:val="1"/>
          <w:u w:val="single" w:color="auto"/>
          <w:color w:val="auto"/>
        </w:rPr>
        <w:t>publicly traded</w:t>
      </w:r>
      <w:r>
        <w:rPr>
          <w:rFonts w:ascii="Arial" w:cs="Arial" w:eastAsia="Arial" w:hAnsi="Arial"/>
          <w:sz w:val="16"/>
          <w:szCs w:val="16"/>
          <w:color w:val="auto"/>
        </w:rPr>
        <w:t>”). If the New Delaware Notes are treated as publicly traded for U.S. federal income tax purposes, the “issue price” of such New Delaware Notes will be their fair market value as of their issue date. If the Prepetition Notes issued by Weatherford Delaware are, but the New Delaware Notes are not, treated as publicly traded for U.S. federal income tax purposes, then the issue price of such New Delaware Notes received in exchange for Prepetition Notes issued by Weatherford Delaware will be the fair market value of such Prepetition Notes exchanged for New Delaware Notes, as determined on the issue date of the New Delaware Notes. If neither the Prepetition Notes issued by Weatherford Delaware nor the New Delaware Notes are treated as publicly traded, then the issue price of such New Delaware Notes will be their principal amount.</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New Delaware Notes will be considered to be publicly traded if, at any time during the 31-day period ending 15 days after their issue date, such New Delaware Notes are traded on an “established market.” The New Delaware Notes will be considered to trade on an established market if (i) there is a price for an executed purchase or sale of such New Delaware Notes that is reasonably available within a reasonable period of time after the sale; (ii) there is at least one price quote for such New Delaware Notes from at least one reasonably identifiable broker, dealer or pricing service, which price quote is substantially the same as the price for which the person receiving the quoted price could purchase or sell such New Delaware Notes (a “</w:t>
      </w:r>
      <w:r>
        <w:rPr>
          <w:rFonts w:ascii="Arial" w:cs="Arial" w:eastAsia="Arial" w:hAnsi="Arial"/>
          <w:sz w:val="16"/>
          <w:szCs w:val="16"/>
          <w:b w:val="1"/>
          <w:bCs w:val="1"/>
          <w:u w:val="single" w:color="auto"/>
          <w:color w:val="auto"/>
        </w:rPr>
        <w:t>firm quote</w:t>
      </w:r>
      <w:r>
        <w:rPr>
          <w:rFonts w:ascii="Arial" w:cs="Arial" w:eastAsia="Arial" w:hAnsi="Arial"/>
          <w:sz w:val="16"/>
          <w:szCs w:val="16"/>
          <w:color w:val="auto"/>
        </w:rPr>
        <w:t>”); or</w:t>
      </w:r>
    </w:p>
    <w:p>
      <w:pPr>
        <w:spacing w:after="0" w:line="2" w:lineRule="exact"/>
        <w:rPr>
          <w:sz w:val="20"/>
          <w:szCs w:val="20"/>
          <w:color w:val="auto"/>
        </w:rPr>
      </w:pPr>
    </w:p>
    <w:p>
      <w:pPr>
        <w:ind w:right="180" w:firstLine="8"/>
        <w:spacing w:after="0" w:line="255" w:lineRule="auto"/>
        <w:tabs>
          <w:tab w:leader="none" w:pos="31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there is at least one price quote for such New Delaware Notes other than a firm quote, available from at least one such broker, dealer, or pricing service. The Prepetition Notes issued by Weatherford Delaware will be considered publicly traded for this purpose if they meet any of the prongs described above during the same period.</w:t>
      </w:r>
    </w:p>
    <w:p>
      <w:pPr>
        <w:spacing w:after="0" w:line="19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Treasury Regulations require Weatherford Delaware to make a determination as to whether the Prepetition Notes or New Delaware Notes issued by it are publicly traded, and if Weatherford Delaware determines that either are publicly traded, to determine the fair market value of the New Delaware Notes on their issue date which will establish their “issue price.” The Treasury Regulations require Weatherford Delaware to make such determinations available to U.S. Holders in a commercially reasonable fashion, including by electronic publication, within 90 days of the issue date of the New Delaware Notes issued by it. The Treasury Regulations provide that each of these determinations is binding on a Holder unless the Holder satisfies certain conditions. Certain</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rules apply as to whether a sales price or quote may establish the fair market value of the New Delaware Notes and under what conditions Weatherford Delaware may otherwise establish the fair market value of such New Delaware Notes.</w:t>
      </w:r>
    </w:p>
    <w:p>
      <w:pPr>
        <w:spacing w:after="0" w:line="18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Because the relevant trading period for determining whether the Prepetition Notes and New Delaware Notes issued by Weatherford Delaware are publicly traded has not yet occurred, Weatherford Delaware is unable to determine the issue price of such New Delaware Notes at this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9" w:name="page150"/>
    <w:bookmarkEnd w:id="149"/>
    <w:p>
      <w:pPr>
        <w:ind w:right="60"/>
        <w:spacing w:after="0" w:line="259" w:lineRule="auto"/>
        <w:rPr>
          <w:sz w:val="20"/>
          <w:szCs w:val="20"/>
          <w:color w:val="auto"/>
        </w:rPr>
      </w:pPr>
      <w:r>
        <w:rPr>
          <w:rFonts w:ascii="Arial" w:cs="Arial" w:eastAsia="Arial" w:hAnsi="Arial"/>
          <w:sz w:val="18"/>
          <w:szCs w:val="18"/>
          <w:color w:val="auto"/>
        </w:rPr>
        <w:t>time. It does appear likely that either the New Delaware Notes, the Prepetition Notes issued by Weatherford Delaware or both will be publicly traded during the relevant period, in which case the issue price of such New Delaware Notes will be their fair market value as of their issue date or, if such New Delaware Notes are not publicly traded during the relevant period, the fair market value of the Prepetition Notes issued by Weatherford Delaware and exchanged for New Delaware Notes as of such date.</w:t>
      </w:r>
    </w:p>
    <w:p>
      <w:pPr>
        <w:spacing w:after="0" w:line="187" w:lineRule="exact"/>
        <w:rPr>
          <w:sz w:val="20"/>
          <w:szCs w:val="20"/>
          <w:color w:val="auto"/>
        </w:rPr>
      </w:pPr>
    </w:p>
    <w:p>
      <w:pPr>
        <w:ind w:left="3900" w:hanging="651"/>
        <w:spacing w:after="0"/>
        <w:tabs>
          <w:tab w:leader="none" w:pos="39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Payments of Qualified Stated Interest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Payments of qualified stated interest on New Delaware Notes generally will be taxable to a U.S. Holder as ordinary income at the time such interest is received or accrued, in accordance with such U.S. Holder’s method of tax accounting for U.S. federal income tax purposes. Qualified stated interest generally means stated interest that is unconditionally payable in cash or in property (other than debt instruments of the issuer) at least annually at a single fixed rate or a single qualified floating rate. The stated interest on the New Delaware Notes is expected to be treated as qualified stated interest.</w:t>
      </w:r>
    </w:p>
    <w:p>
      <w:pPr>
        <w:spacing w:after="0" w:line="154" w:lineRule="exact"/>
        <w:rPr>
          <w:sz w:val="20"/>
          <w:szCs w:val="20"/>
          <w:color w:val="auto"/>
        </w:rPr>
      </w:pPr>
    </w:p>
    <w:p>
      <w:pPr>
        <w:ind w:left="3900" w:hanging="651"/>
        <w:spacing w:after="0"/>
        <w:tabs>
          <w:tab w:leader="none" w:pos="39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Original Issue Discount</w:t>
      </w:r>
    </w:p>
    <w:p>
      <w:pPr>
        <w:spacing w:after="0" w:line="22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New Delaware Notes will be treated as issued with original issue discount (“</w:t>
      </w:r>
      <w:r>
        <w:rPr>
          <w:rFonts w:ascii="Arial" w:cs="Arial" w:eastAsia="Arial" w:hAnsi="Arial"/>
          <w:sz w:val="18"/>
          <w:szCs w:val="18"/>
          <w:b w:val="1"/>
          <w:bCs w:val="1"/>
          <w:u w:val="single" w:color="auto"/>
          <w:color w:val="auto"/>
        </w:rPr>
        <w:t>OID</w:t>
      </w:r>
      <w:r>
        <w:rPr>
          <w:rFonts w:ascii="Arial" w:cs="Arial" w:eastAsia="Arial" w:hAnsi="Arial"/>
          <w:sz w:val="18"/>
          <w:szCs w:val="18"/>
          <w:color w:val="auto"/>
        </w:rPr>
        <w:t>”) for U.S. federal income tax purposes if their “stated redemption price at maturity” exceeds their “issue price” by at least a statutorily defined de minimis amount (generally, 0.0025 multiplied by the product of the stated redemption price at maturity and the number of complete years to maturity, or the weighted average maturity as defined under the OID rules in the case of certain self-amortizing obligations). The “stated redemption price at maturity” of the New Delaware Notes is the total of all payments to be made under such New Delaware Notes other than qualified stated interest.</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New Delaware Notes were treated as having been issued with more than de minimis OID, U.S. Holders would be required to include the OID in ordinary income on an annual basis under a constant yield accrual method regardless of such U.S. Holder’s regular method of accounting for U.S. federal income tax purposes, subject to reduction in the case of any premium, as discussed below. A U.S. Holder must include in income in each taxable year the sum of the daily portions of OID for each day on which it held New Delaware Notes during the taxable year. To determine the daily portions of OID, the amount of OID allocable to an accrual period is determined, and a ratable portion of such OID is allocated to each day in the accrual period. An accrual period may be of any length and the length of the accrual periods may vary over the life of the New Delaware Notes, provided that no accrual period may be longer than one year and each scheduled payment of interest or principal on such New Delaware Notes must occur on either the first day or last day of an accrual period. The amount of OID allocable to an accrual period will equal (A) the product of (i) the New Delaware Notes’ adjusted issue price at the beginning of the accrual period and (ii) the New Delaware Notes’ yield to maturity (adjusted to reflect the length of the accrual period), less (B) any qualified stated interest allocable to the accrual period.</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New Delaware Notes adjusted issue price at any time generally will be their original issue price, increased by the amount of OID on such New Delaware Notes accrued for each prior accrual period and decreased by the amount of payments on such New Delaware Notes other than payments of qualified stated interest. The New Delaware Notes’ yield to maturity is the discount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50" w:name="page151"/>
    <w:bookmarkEnd w:id="150"/>
    <w:p>
      <w:pPr>
        <w:ind w:right="100"/>
        <w:spacing w:after="0" w:line="277" w:lineRule="auto"/>
        <w:rPr>
          <w:sz w:val="20"/>
          <w:szCs w:val="20"/>
          <w:color w:val="auto"/>
        </w:rPr>
      </w:pPr>
      <w:r>
        <w:rPr>
          <w:rFonts w:ascii="Arial" w:cs="Arial" w:eastAsia="Arial" w:hAnsi="Arial"/>
          <w:sz w:val="18"/>
          <w:szCs w:val="18"/>
          <w:color w:val="auto"/>
        </w:rPr>
        <w:t>rate that, when used in computing the present value of all principal and interest payments to be made on the New Delaware Notes, produces an amount equal to the New Delaware Notes’ original issue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Stated interest and OID (if any) on the New Delaware Notes are expected to be treated as U.S. source for foreign tax credit limitation purposes.</w:t>
      </w:r>
    </w:p>
    <w:p>
      <w:pPr>
        <w:spacing w:after="0" w:line="248" w:lineRule="exact"/>
        <w:rPr>
          <w:sz w:val="20"/>
          <w:szCs w:val="20"/>
          <w:color w:val="auto"/>
        </w:rPr>
      </w:pPr>
    </w:p>
    <w:p>
      <w:pPr>
        <w:ind w:left="3900" w:hanging="651"/>
        <w:spacing w:after="0"/>
        <w:tabs>
          <w:tab w:leader="none" w:pos="39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Market Discount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discussed above, a U.S. Holder that acquired a Prepetition Note issued by Weatherford Delaware at any time other than at its original issuance at a market discount would generally be required to treat any gain recognized on the exchange of such Prepetition Note on the Effective Date as ordinary income to the extent of accrued market discount, unless an election to include market discount in income currently as it accrues was made by the U.S. Holder.</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any accrued market discount remains, the New Delaware Notes would be treated as having accrued market discount to the extent of such remaining market discount accrued on the Prepetition Notes that was not previously included in income by the U.S. Holder. In addition, if the U.S. Holder’s initial tax basis in New Delaware Notes is less than the New Delaware Notes’ issue price, such difference would be treated as market discount, unless the difference is less than 0.25% of the New Delaware Notes’ stated redemption price at maturity multiplied by the number of complete years from the Effective Date to maturity (in which case, the difference is de minimis market discount).</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Market discount generally will be treated as accruing on a straight-line basis over the term of the New Delaware Notes or, at the U.S. Holder’s election, under a constant yield method. If a constant yield election is made, it will apply only to the Delaware Notes held by the U.S. Holder and may not be revoked. A U.S. Holder may elect to include market discount in income as it accrues over the remaining term of the Delaware Notes.</w:t>
      </w:r>
    </w:p>
    <w:p>
      <w:pPr>
        <w:spacing w:after="0" w:line="166" w:lineRule="exact"/>
        <w:rPr>
          <w:sz w:val="20"/>
          <w:szCs w:val="20"/>
          <w:color w:val="auto"/>
        </w:rPr>
      </w:pPr>
    </w:p>
    <w:p>
      <w:pPr>
        <w:ind w:left="3900" w:hanging="651"/>
        <w:spacing w:after="0"/>
        <w:tabs>
          <w:tab w:leader="none" w:pos="39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Amortizable Bond Premium</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the extent a U.S. Holder’s initial tax basis in New Delaware Notes is greater than the stated redemption price at maturity of the New Delaware Notes, the U.S. Holder generally will be considered to have acquired the New Delaware Notes with amortizable bond premium (and the New Delaware Notes would not have any OID with respect to such U.S. Holder). Generally, a U.S. Holder that acquires a debt obligation at a premium may elect to amortize bond premium from the acquisition date to the debt’s maturity date under a constant yield method. Once made, this election applies to all debt obligations held or subsequently acquired by the U.S. Holder on or after the first day of the first taxable year to which the election applies and may not be revoked without the consent of the IRS. The amount amortized in any taxable year generally is treated as an offset to payments of qualified stated interest on the related debt obligation.</w:t>
      </w:r>
    </w:p>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 U.S. Holder’s initial adjusted tax basis in New Delaware Notes is less than the stated redemption price at maturity of the New Delaware Notes but greater than their issue price, the U.S. Holder generally will be considered to have acquisition premium with respect to the New Delaware Notes. In such case, the U.S. Holder may reduce the accrual of OID on the New Delaware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1" w:name="page152"/>
    <w:bookmarkEnd w:id="151"/>
    <w:p>
      <w:pPr>
        <w:ind w:right="260"/>
        <w:spacing w:after="0" w:line="277" w:lineRule="auto"/>
        <w:rPr>
          <w:sz w:val="20"/>
          <w:szCs w:val="20"/>
          <w:color w:val="auto"/>
        </w:rPr>
      </w:pPr>
      <w:r>
        <w:rPr>
          <w:rFonts w:ascii="Arial" w:cs="Arial" w:eastAsia="Arial" w:hAnsi="Arial"/>
          <w:sz w:val="18"/>
          <w:szCs w:val="18"/>
          <w:color w:val="auto"/>
        </w:rPr>
        <w:t>by a fraction the numerator of which is the excess of the U.S. Holder’s initial adjusted basis over the issue price and the denominator of which is the stated redemption price over such issue price.</w:t>
      </w:r>
    </w:p>
    <w:p>
      <w:pPr>
        <w:spacing w:after="0" w:line="170" w:lineRule="exact"/>
        <w:rPr>
          <w:sz w:val="20"/>
          <w:szCs w:val="20"/>
          <w:color w:val="auto"/>
        </w:rPr>
      </w:pPr>
    </w:p>
    <w:p>
      <w:pPr>
        <w:ind w:left="3900" w:hanging="651"/>
        <w:spacing w:after="0"/>
        <w:tabs>
          <w:tab w:leader="none" w:pos="39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U.S. Holder of New Delaware Notes will recognize gain or loss upon the sale, redemption, retirement or other taxable disposition of the New Delaware Notes equal to the difference between the amount realized upon the disposition (less a portion allocable to any accrued interest that has not yet been included in income by the U.S. Holder, which generally will be taxable as ordinary income) and the U.S. Holder’s adjusted tax basis in the New Delaware Notes. In general, a U.S. Holder’s adjusted tax basis in New Delaware Notes will be its initial tax basis in such New Delaware Notes, increased by any accrued OID previously included in the U.S. Holder’s income with respect to the New Delaware Notes and by market discount, if any, previously included in the U.S. Holder’s income with respect to the New Delaware Notes (pursuant to an election to include market discount in income currently as it accrues), and reduced (but not below zero) by any amortizable bond premium with respect to the New Delaware Notes that the U.S. Holder has previously amortized. Any gain or loss on the sale, redemption, retirement or other taxable disposition of the New Delaware Notes generally will be capital gain or loss, and generally will be long-term capital gain or loss if the U.S. Holder has held the New Delaware Notes for more than one year as of the date of disposition, except that any such gain will be treated as ordinary income to the extent of any accrued market discount carried over from the Prepetition Notes and any market discount accrued on the New Delaware Notes. As discussed below, the deductibility of capital losses is subject to significant limitations. Any such gain or loss will generally be U.S. source for foreign tax credit limitation purposes.</w:t>
      </w:r>
    </w:p>
    <w:p>
      <w:pPr>
        <w:spacing w:after="0" w:line="180" w:lineRule="exact"/>
        <w:rPr>
          <w:sz w:val="20"/>
          <w:szCs w:val="20"/>
          <w:color w:val="auto"/>
        </w:rPr>
      </w:pPr>
    </w:p>
    <w:p>
      <w:pPr>
        <w:ind w:left="3260" w:hanging="659"/>
        <w:spacing w:after="0"/>
        <w:tabs>
          <w:tab w:leader="none" w:pos="32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New Bermuda Notes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general, the U.S. federal income tax consequences to a U.S. Holder of owning and disposing of New Tranche B Unsecured Senior Notes issued by Weatherford Bermuda (“</w:t>
      </w:r>
      <w:r>
        <w:rPr>
          <w:rFonts w:ascii="Arial" w:cs="Arial" w:eastAsia="Arial" w:hAnsi="Arial"/>
          <w:sz w:val="17"/>
          <w:szCs w:val="17"/>
          <w:b w:val="1"/>
          <w:bCs w:val="1"/>
          <w:u w:val="single" w:color="auto"/>
          <w:color w:val="auto"/>
        </w:rPr>
        <w:t>New Bermuda Notes</w:t>
      </w:r>
      <w:r>
        <w:rPr>
          <w:rFonts w:ascii="Arial" w:cs="Arial" w:eastAsia="Arial" w:hAnsi="Arial"/>
          <w:sz w:val="17"/>
          <w:szCs w:val="17"/>
          <w:color w:val="auto"/>
        </w:rPr>
        <w:t>”) should be determined in the same manner as set forth above with regard to the ownership and disposition of New Delaware Notes except as set forth below. If any taxes are withheld and additional amounts are paid, such withholding tax and additional amounts will be included in the gross income of a U.S. Holder as additional interest income. In addition, qualified stated interest paid and OID, if any, accrued with respect to New Bermuda Notes will constitute foreign source income for foreign tax credit limitation purposes. The limitation on foreign taxes eligible for credit is calculated separately with respect to specific classes of income. For this purpose, interest paid by Weatherford Bermuda with respect to the New Bermuda Notes will generally constitute “passive category income.” The rules relating to the determination of the foreign tax credit are complex, and you should consult your tax advisor regarding the availability of a foreign tax credit in your particular circumstances.</w:t>
      </w:r>
    </w:p>
    <w:p>
      <w:pPr>
        <w:spacing w:after="0" w:line="179" w:lineRule="exact"/>
        <w:rPr>
          <w:sz w:val="20"/>
          <w:szCs w:val="20"/>
          <w:color w:val="auto"/>
        </w:rPr>
      </w:pPr>
    </w:p>
    <w:p>
      <w:pPr>
        <w:ind w:left="3260" w:hanging="659"/>
        <w:spacing w:after="0"/>
        <w:tabs>
          <w:tab w:leader="none" w:pos="32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New Common Stock</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Passive Foreign Investment Company Rules</w:t>
      </w:r>
    </w:p>
    <w:p>
      <w:pPr>
        <w:spacing w:after="0" w:line="221" w:lineRule="exact"/>
        <w:rPr>
          <w:sz w:val="20"/>
          <w:szCs w:val="20"/>
          <w:color w:val="auto"/>
        </w:rPr>
      </w:pPr>
    </w:p>
    <w:p>
      <w:pPr>
        <w:ind w:right="300" w:firstLine="648"/>
        <w:spacing w:after="0" w:line="313" w:lineRule="auto"/>
        <w:rPr>
          <w:sz w:val="20"/>
          <w:szCs w:val="20"/>
          <w:color w:val="auto"/>
        </w:rPr>
      </w:pPr>
      <w:r>
        <w:rPr>
          <w:rFonts w:ascii="Arial" w:cs="Arial" w:eastAsia="Arial" w:hAnsi="Arial"/>
          <w:sz w:val="17"/>
          <w:szCs w:val="17"/>
          <w:color w:val="auto"/>
        </w:rPr>
        <w:t>Weatherford Parent would be classified as a passive foreign investment company (a “</w:t>
      </w:r>
      <w:r>
        <w:rPr>
          <w:rFonts w:ascii="Arial" w:cs="Arial" w:eastAsia="Arial" w:hAnsi="Arial"/>
          <w:sz w:val="17"/>
          <w:szCs w:val="17"/>
          <w:b w:val="1"/>
          <w:bCs w:val="1"/>
          <w:u w:val="single" w:color="auto"/>
          <w:color w:val="auto"/>
        </w:rPr>
        <w:t>PFIC</w:t>
      </w:r>
      <w:r>
        <w:rPr>
          <w:rFonts w:ascii="Arial" w:cs="Arial" w:eastAsia="Arial" w:hAnsi="Arial"/>
          <w:sz w:val="17"/>
          <w:szCs w:val="17"/>
          <w:color w:val="auto"/>
        </w:rPr>
        <w:t>”), for any taxable year if either: (i) at least 75% of its gross income is “passive income” for purposes of the PFIC rules or (ii) at least 50% of the value of its assets (determined on the basis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2" w:name="page153"/>
    <w:bookmarkEnd w:id="152"/>
    <w:p>
      <w:pPr>
        <w:ind w:right="20"/>
        <w:spacing w:after="0" w:line="257" w:lineRule="auto"/>
        <w:rPr>
          <w:sz w:val="20"/>
          <w:szCs w:val="20"/>
          <w:color w:val="auto"/>
        </w:rPr>
      </w:pPr>
      <w:r>
        <w:rPr>
          <w:rFonts w:ascii="Arial" w:cs="Arial" w:eastAsia="Arial" w:hAnsi="Arial"/>
          <w:sz w:val="18"/>
          <w:szCs w:val="18"/>
          <w:color w:val="auto"/>
        </w:rPr>
        <w:t>a quarterly average) produce or are held for the production of passive income. For this purpose, Weatherford Parent is treated as owning its proportionate share of the assets and earning its proportionate share of the income of any other corporation in which it owns, directly or indirectly, 25% or more of the stock (by value). Under the PFIC rules, if Weatherford Parent were considered a PFIC at any time that a U.S. holder holds New Common Stock or New Warrants, Weatherford Ireland would continue to be treated as a PFIC with respect to such holder’s investment unless (a) it ceases to be a PFIC and (b) the U.S. holder made a “deemed sale” election under the PFIC rules.</w:t>
      </w:r>
    </w:p>
    <w:p>
      <w:pPr>
        <w:spacing w:after="0" w:line="188"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Weatherford Parent believes it has not been a PFIC in prior taxable years, including its 2018 taxable year, and based on its current and projected methods of operation, does not expect to be treated as a PFIC for U.S. federal income tax purposes for the current taxable year or in the foreseeable future. This is a factual determination, however, that must be made annually after the close of each taxable year. Therefore, there can be no assurance that Weatherford Parent will not be classified as a PFIC for the current taxable year or for any future taxable year.</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Weatherford Parent is treated as a PFIC with respect to a U.S. Holder of New Common Stock or New Warrants for any taxable year, such holder generally would suffer adverse tax consequences, that may include having gains realized on the disposition of the New Common Stock or New Warrants treated as ordinary income rather than capital gain and being subject to punitive interest charges on the receipt of certain distributions and on the proceeds of the sale or other disposition of the New Common Stock or New Warrants. In addition, the U.S. Holder would be deemed to own shares in any of Weatherford Parent’s subsidiaries that are also PFICs and generally would be subject to the treatment described above with respect to any distribution on or disposition of such shares. If Weatherford Parent is considered a PFIC, a U.S. Holder of New Common Stock or New Warrants will also be subject to information reporting requirements on an annual basis. U.S. Holders should consult their tax advisors about the potential application of the PFIC rules to them. This discussion of certain U.S. federal income tax consequences of the Plan assumes that Weatherford Parent has never been and will not become a PFIC.</w:t>
      </w:r>
    </w:p>
    <w:p>
      <w:pPr>
        <w:spacing w:after="0" w:line="166" w:lineRule="exact"/>
        <w:rPr>
          <w:sz w:val="20"/>
          <w:szCs w:val="20"/>
          <w:color w:val="auto"/>
        </w:rPr>
      </w:pPr>
    </w:p>
    <w:p>
      <w:pPr>
        <w:ind w:left="3900" w:hanging="651"/>
        <w:spacing w:after="0"/>
        <w:tabs>
          <w:tab w:leader="none" w:pos="3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gross amount of any distributions Weatherford Parent makes to U.S. Holders (including the amount of any tax withheld) with respect to New Common Stock generally will be includible in such holder’s gross income as dividend income on the date of receipt by the holder, but only to the extent the distribution is paid out of Weatherford Parent’s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Weatherford Parent’s current and accumulated earnings and profits (as determined under U.S. federal income tax principles), such excess amount will be treated first as a tax-free return of the U.S. Holder’s tax basis in its New Common Stock, and then, to the extent such excess amount exceeds its tax basis in its New Common Stock, as capital gain.</w:t>
      </w:r>
    </w:p>
    <w:p>
      <w:pPr>
        <w:spacing w:after="0" w:line="17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With respect to certain non-corporate U.S. Holders, including individual U.S. Holders, dividends may be taxed at the lower capital gain rates applicable to “qualified dividend income,” provided (i) the New Common Stock is readily tradable on an established securities market in the United States,</w:t>
      </w:r>
    </w:p>
    <w:p>
      <w:pPr>
        <w:ind w:left="5580" w:right="5300" w:hanging="5572"/>
        <w:spacing w:after="0" w:line="605" w:lineRule="auto"/>
        <w:tabs>
          <w:tab w:leader="none" w:pos="274" w:val="left"/>
        </w:tabs>
        <w:numPr>
          <w:ilvl w:val="0"/>
          <w:numId w:val="348"/>
        </w:numPr>
        <w:rPr>
          <w:rFonts w:ascii="Arial" w:cs="Arial" w:eastAsia="Arial" w:hAnsi="Arial"/>
          <w:sz w:val="16"/>
          <w:szCs w:val="16"/>
          <w:color w:val="auto"/>
        </w:rPr>
      </w:pPr>
      <w:r>
        <w:rPr>
          <w:rFonts w:ascii="Arial" w:cs="Arial" w:eastAsia="Arial" w:hAnsi="Arial"/>
          <w:sz w:val="16"/>
          <w:szCs w:val="16"/>
          <w:color w:val="auto"/>
        </w:rPr>
        <w:t>certain holding period requirements are met and (iii) the U.S. Holder is not under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an obligation to make related payments with respect to positions in substantially similar or related property.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dividends will constitute foreign source income for foreign tax credit limitation purposes. If the dividends are taxed as qualified dividend income (as discussed above), the amount of the dividend taken into account for purposes of calculating the foreign tax credit limitation will in general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dividends distributed by us with respect to New Common Stock will generally constitute “passive category income.” The rules relating to the determination of the foreign tax credit are complex, and you should consult your tax advisor regarding the availability of a foreign tax credit in your particular circumstances.</w:t>
      </w:r>
    </w:p>
    <w:p>
      <w:pPr>
        <w:spacing w:after="0" w:line="189" w:lineRule="exact"/>
        <w:rPr>
          <w:sz w:val="20"/>
          <w:szCs w:val="20"/>
          <w:color w:val="auto"/>
        </w:rPr>
      </w:pPr>
    </w:p>
    <w:p>
      <w:pPr>
        <w:ind w:left="3900" w:hanging="651"/>
        <w:spacing w:after="0"/>
        <w:tabs>
          <w:tab w:leader="none" w:pos="39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a sale or other taxable disposition of New Common Stock, a U.S. Holder will recognize a capital gain or loss for U.S. federal income tax purposes in an amount equal to the difference between the amount realized (generally, the sum of cash and the fair market value of other property received) and the U.S. Holder’s tax basis in such New Common Stock. Any such gain or loss generally will be U.S. source gain or loss and will be treated as long-term capital gain or loss if the U.S. Holder’s holding period in the New Common Stock exceeds one year at the time of the disposition. Non-corporate U.S. Holders (including individuals) generally will be subject to U.S. federal income tax on long-term capital gain at preferential rates. As discussed below, the deductibility of capital losses is subject to significant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w:t>
      </w:r>
    </w:p>
    <w:p>
      <w:pPr>
        <w:spacing w:after="0" w:line="192" w:lineRule="exact"/>
        <w:rPr>
          <w:sz w:val="20"/>
          <w:szCs w:val="20"/>
          <w:color w:val="auto"/>
        </w:rPr>
      </w:pPr>
    </w:p>
    <w:p>
      <w:pPr>
        <w:ind w:left="3260" w:hanging="659"/>
        <w:spacing w:after="0"/>
        <w:tabs>
          <w:tab w:leader="none" w:pos="32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New Warrants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Exercise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U.S. Holders generally will not recognize gain or loss for U.S. federal income tax purposes on the exercise of New Warrants. Shares of New Common Stock received by a U.S. Holder upon exercise of New Warrants will generally have a tax basis equal to the New Warrant’s exercise price plus the U.S. Holder’s basis in the exercised New Warrants. A U.S. Holder’s holding period in shares of New Common Stock received upon exercise of New Warrants generally will begin on the exercise date.</w:t>
      </w:r>
    </w:p>
    <w:p>
      <w:pPr>
        <w:spacing w:after="0" w:line="187" w:lineRule="exact"/>
        <w:rPr>
          <w:sz w:val="20"/>
          <w:szCs w:val="20"/>
          <w:color w:val="auto"/>
        </w:rPr>
      </w:pPr>
    </w:p>
    <w:p>
      <w:pPr>
        <w:ind w:left="3900" w:hanging="651"/>
        <w:spacing w:after="0"/>
        <w:tabs>
          <w:tab w:leader="none" w:pos="39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Upon a sale or other taxable disposition of New Warrants, a U.S. Holder will recognize a capital gain or loss for U.S. federal income tax purposes in an amount equal to the difference between the amount realized (generally, the sum of cash and the fair market value of other property received) and the U.S. Holder’s tax basis in such New Warrants. Any such gain or loss generally will be U.S. source gain or loss and will be treated as long-term capital gain or loss if the U.S. Holder’s holding period in the New Warrants exceeds one year at the time of the disposition. Non-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4" w:name="page155"/>
    <w:bookmarkEnd w:id="154"/>
    <w:p>
      <w:pPr>
        <w:ind w:right="40"/>
        <w:spacing w:after="0" w:line="259" w:lineRule="auto"/>
        <w:rPr>
          <w:sz w:val="20"/>
          <w:szCs w:val="20"/>
          <w:color w:val="auto"/>
        </w:rPr>
      </w:pPr>
      <w:r>
        <w:rPr>
          <w:rFonts w:ascii="Arial" w:cs="Arial" w:eastAsia="Arial" w:hAnsi="Arial"/>
          <w:sz w:val="18"/>
          <w:szCs w:val="18"/>
          <w:color w:val="auto"/>
        </w:rPr>
        <w:t>corporate U.S. Holders (including individuals) generally will be subject to U.S. federal income tax on long-term capital gain at preferential rates. As discussed below, the deductibility of capital losses is subject to significant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w:t>
      </w:r>
    </w:p>
    <w:p>
      <w:pPr>
        <w:spacing w:after="0" w:line="187" w:lineRule="exact"/>
        <w:rPr>
          <w:sz w:val="20"/>
          <w:szCs w:val="20"/>
          <w:color w:val="auto"/>
        </w:rPr>
      </w:pPr>
    </w:p>
    <w:p>
      <w:pPr>
        <w:ind w:left="3260" w:hanging="659"/>
        <w:spacing w:after="0"/>
        <w:tabs>
          <w:tab w:leader="none" w:pos="32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Limitation on Use of Capital Losses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U.S. Holder who recognizes capital losses will be subject to limits on its use of capital losses. For a non-corporate U.S. Holder, capital losses may be used to offset any capital gains (without regard to holding periods) plus ordinary income to the extent of the lesser of (i) $3,000 ($1,500 for married individuals filing separate returns) or (ii) the excess of the capital losses over the capital gains. A non-corporate U.S. Holder may carry over unused capital losses and apply them to capital gains and a portion of their ordinary income for an unlimited number of years. For corporate U.S. Holders, losses from the sale or exchange of capital assets may only be used to offset capital gains. A corporate U.S. Holder that has more capital losses than can be used in a tax year may be allowed to carry over the excess capital losses for use in other tax years. Corporate U.S. Holders may only carry over unused capital losses for the five years following the capital loss year, but are allowed to carry back unused capital losses to the three years preceding the capital loss year.</w:t>
      </w:r>
    </w:p>
    <w:p>
      <w:pPr>
        <w:spacing w:after="0" w:line="163" w:lineRule="exact"/>
        <w:rPr>
          <w:sz w:val="20"/>
          <w:szCs w:val="20"/>
          <w:color w:val="auto"/>
        </w:rPr>
      </w:pPr>
    </w:p>
    <w:p>
      <w:pPr>
        <w:ind w:left="1300" w:hanging="644"/>
        <w:spacing w:after="0"/>
        <w:tabs>
          <w:tab w:leader="none" w:pos="130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Non-U.S. Holders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Definition of Non-U.S. Holder</w:t>
      </w:r>
    </w:p>
    <w:p>
      <w:pPr>
        <w:spacing w:after="0" w:line="221"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u w:val="single" w:color="auto"/>
          <w:color w:val="auto"/>
        </w:rPr>
        <w:t>Non-U.S. Holder</w:t>
      </w:r>
      <w:r>
        <w:rPr>
          <w:rFonts w:ascii="Arial" w:cs="Arial" w:eastAsia="Arial" w:hAnsi="Arial"/>
          <w:sz w:val="16"/>
          <w:szCs w:val="16"/>
          <w:color w:val="auto"/>
        </w:rPr>
        <w:t>” means a beneficial owner of Prepetition Notes or Existing Common Stock that is not a U.S. Holder and is, for U.S. federal income tax purposes, an individual, corporation (or other entity classified as a corporation for U.S. federal income tax purposes), estate or trust.</w:t>
      </w:r>
    </w:p>
    <w:p>
      <w:pPr>
        <w:spacing w:after="0" w:line="12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Prepetition Notes, Existing Common Stock, New Tranche B Senior Unsecured Notes, New Common Stock or New Warrants, the tax treatment of a partner in such partnership generally will depend upon the status of the partner and the activities of the partnership. Beneficial owners of the Prepetition Notes, Existing Common Stock, New Tranche B Senior Unsecured Notes, New Common Stock or New Warrants who are partners in a partnership holding any of such instruments should consult their tax advisors.</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 than those described below.</w:t>
      </w:r>
    </w:p>
    <w:p>
      <w:pPr>
        <w:spacing w:after="0" w:line="170" w:lineRule="exact"/>
        <w:rPr>
          <w:sz w:val="20"/>
          <w:szCs w:val="20"/>
          <w:color w:val="auto"/>
        </w:rPr>
      </w:pPr>
    </w:p>
    <w:p>
      <w:pPr>
        <w:ind w:left="1960" w:hanging="655"/>
        <w:spacing w:after="0"/>
        <w:tabs>
          <w:tab w:leader="none" w:pos="196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Gain Recognition</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Whether a Non-U.S. Holder realizes gain or loss on the exchange of Prepetition Notes issued by Weatherford Delaware for New Delaware Notes and New Common Stock, or upon the sale or other taxable disposition of the New Delaware Notes, New Common Stock or New Warrants received in the exchange, and the amount of such gain or loss should generally be determined in the same manner as set forth above in connection with U.S. Holders.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5" w:name="page156"/>
    <w:bookmarkEnd w:id="155"/>
    <w:p>
      <w:pPr>
        <w:jc w:val="both"/>
        <w:ind w:right="620" w:firstLine="648"/>
        <w:spacing w:after="0" w:line="286" w:lineRule="auto"/>
        <w:rPr>
          <w:sz w:val="20"/>
          <w:szCs w:val="20"/>
          <w:color w:val="auto"/>
        </w:rPr>
      </w:pPr>
      <w:r>
        <w:rPr>
          <w:rFonts w:ascii="Arial" w:cs="Arial" w:eastAsia="Arial" w:hAnsi="Arial"/>
          <w:sz w:val="17"/>
          <w:szCs w:val="17"/>
          <w:color w:val="auto"/>
        </w:rPr>
        <w:t>In the event any gain is recognized on the exchange of Prepetition Notes issued by Weatherford Delaware for New Delaware Notes and New Common Stock or upon the subsequent sale or other taxable disposition of New Delaware Notes, New Bermuda Notes, New Common Stock or New Warrants received in the exchange, a Non-U.S. Holder will generally not be subject to U.S. federal income tax unless:</w:t>
      </w:r>
    </w:p>
    <w:p>
      <w:pPr>
        <w:spacing w:after="0" w:line="166" w:lineRule="exact"/>
        <w:rPr>
          <w:sz w:val="20"/>
          <w:szCs w:val="20"/>
          <w:color w:val="auto"/>
        </w:rPr>
      </w:pPr>
    </w:p>
    <w:p>
      <w:pPr>
        <w:ind w:left="980" w:right="120" w:hanging="324"/>
        <w:spacing w:after="0" w:line="264" w:lineRule="auto"/>
        <w:tabs>
          <w:tab w:leader="none" w:pos="9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such United States to which gain is attributable); or</w:t>
      </w:r>
    </w:p>
    <w:p>
      <w:pPr>
        <w:spacing w:after="0" w:line="181"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Gain described in the first bullet point above generally will generally be subject to U.S. federal income tax on a net income basis at the regular graduated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Gain recognized by a Non-U.S. Holder described in the second bullet point above will generally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960" w:hanging="655"/>
        <w:spacing w:after="0"/>
        <w:tabs>
          <w:tab w:leader="none" w:pos="196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Payments of Qualified Stated Interest on New Delaware Notes</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Interest paid on New Delaware Notes to a Non-U.S.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w:t>
      </w:r>
    </w:p>
    <w:p>
      <w:pPr>
        <w:spacing w:after="0" w:line="181" w:lineRule="exact"/>
        <w:rPr>
          <w:sz w:val="20"/>
          <w:szCs w:val="20"/>
          <w:color w:val="auto"/>
        </w:rPr>
      </w:pPr>
    </w:p>
    <w:p>
      <w:pPr>
        <w:ind w:left="980" w:right="360" w:hanging="324"/>
        <w:spacing w:after="0" w:line="277" w:lineRule="auto"/>
        <w:tabs>
          <w:tab w:leader="none" w:pos="94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Weatherford Delaware voting stock;</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Non-U.S. Holder is not a controlled foreign corporation related to Weatherford Delaware through actual or constructive stock ownership; and</w:t>
      </w:r>
    </w:p>
    <w:p>
      <w:pPr>
        <w:spacing w:after="0" w:line="248" w:lineRule="exact"/>
        <w:rPr>
          <w:rFonts w:ascii="Arial" w:cs="Arial" w:eastAsia="Arial" w:hAnsi="Arial"/>
          <w:sz w:val="16"/>
          <w:szCs w:val="16"/>
          <w:color w:val="auto"/>
        </w:rPr>
      </w:pPr>
    </w:p>
    <w:p>
      <w:pPr>
        <w:ind w:left="980" w:hanging="324"/>
        <w:spacing w:after="0" w:line="255" w:lineRule="auto"/>
        <w:tabs>
          <w:tab w:leader="none" w:pos="94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New Delaware Notes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a copy of such statement to the applicable withholding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6" w:name="page157"/>
    <w:bookmarkEnd w:id="156"/>
    <w:p>
      <w:pPr>
        <w:ind w:left="980" w:right="100"/>
        <w:spacing w:after="0" w:line="277" w:lineRule="auto"/>
        <w:rPr>
          <w:sz w:val="20"/>
          <w:szCs w:val="20"/>
          <w:color w:val="auto"/>
        </w:rPr>
      </w:pPr>
      <w:r>
        <w:rPr>
          <w:rFonts w:ascii="Arial" w:cs="Arial" w:eastAsia="Arial" w:hAnsi="Arial"/>
          <w:sz w:val="18"/>
          <w:szCs w:val="18"/>
          <w:color w:val="auto"/>
        </w:rPr>
        <w:t>agent; or (3) the Non-U.S. Holder holds the New Delaware Notes directly through a “qualified intermediary” (within the meaning of applicable Treasury Regulations) and certain conditions are satisfied.</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If a Non-U.S. Holder does not satisfy the requirements above, such Non-U.S. Holder may be entitled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5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the New Delaware Notes is not subject to withholding tax because it is effectively connected with the conduct by the Non-U.S. Holder of a trade or business within the United States.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such effectively connected interest generally will be subject to U.S. federal income tax at the regular graduated rates. A Non-U.S. Holder that is a corporation also may be subject to a branch profits tax at a rate of 30% (or such lower rate specified by an applicable income tax treaty) on such effectively connected interest, as adjusted for certain items.</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67" w:lineRule="exact"/>
        <w:rPr>
          <w:sz w:val="20"/>
          <w:szCs w:val="20"/>
          <w:color w:val="auto"/>
        </w:rPr>
      </w:pPr>
    </w:p>
    <w:p>
      <w:pPr>
        <w:ind w:left="1300" w:hanging="644"/>
        <w:spacing w:after="0"/>
        <w:tabs>
          <w:tab w:leader="none" w:pos="130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Accrued Interest</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To the extent that a Holder of a Claim receives consideration that is attributable to unpaid accrued interest on the Claim, the Holder may be required to treat such consideration as a payment of interest. There is general uncertainty regarding the extent to which the receipt of cash or other property should be treated as attributable to unpaid accrued interest in the case of an exchange of debt claims with accrued interest in bankruptcy. While not free from doubt, for U.S. federal income tax purposes, the Debtors intend to take the position that distributions in full or partial satisfaction of Allowed Claims are allocated first to unpaid and accrued interest (as determined for U.S. federal income tax purposes) of Allowed Claims, with any excess allocated to the principal amount of such Claims. To the extent any property received pursuant to the Plan is considered attributable to unpaid accrued interest, a Holder will recognize ordinary income to the extent the value of the property exceeds the amount of unpaid accrued interest previously included in gross income by the Holder. A Holder’s tax basis in such property (other than cash) should be equal to the amount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7" w:name="page158"/>
    <w:bookmarkEnd w:id="157"/>
    <w:p>
      <w:pPr>
        <w:ind w:right="60"/>
        <w:spacing w:after="0" w:line="264" w:lineRule="auto"/>
        <w:rPr>
          <w:sz w:val="20"/>
          <w:szCs w:val="20"/>
          <w:color w:val="auto"/>
        </w:rPr>
      </w:pPr>
      <w:r>
        <w:rPr>
          <w:rFonts w:ascii="Arial" w:cs="Arial" w:eastAsia="Arial" w:hAnsi="Arial"/>
          <w:sz w:val="18"/>
          <w:szCs w:val="18"/>
          <w:color w:val="auto"/>
        </w:rPr>
        <w:t>of interest income treated as satisfied by the receipt of the property, and its holding period in the property should begin on the day after the Effective Date. A Holder generally will be entitled to recognize a loss to the extent any accrued interest previously included in its gross income for U.S. federal income tax purposes is not paid in full.</w:t>
      </w:r>
    </w:p>
    <w:p>
      <w:pPr>
        <w:spacing w:after="0" w:line="177" w:lineRule="exact"/>
        <w:rPr>
          <w:sz w:val="20"/>
          <w:szCs w:val="20"/>
          <w:color w:val="auto"/>
        </w:rPr>
      </w:pPr>
    </w:p>
    <w:p>
      <w:pPr>
        <w:ind w:left="1300" w:hanging="644"/>
        <w:spacing w:after="0"/>
        <w:tabs>
          <w:tab w:leader="none" w:pos="130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Debtors and applicable withholding agents will withhold all amounts required by law to be withheld from payments of interest and dividends, whether in connection with distributions under the Plan or in connection with payments made on account of consideration received pursuant to the Plan, and will comply with all applicable information reporting requirements. The IRS may make the information returns reporting such interest and dividends and withholding available to the tax authorities in the country in which a Non-U.S. Holder is resident. In general, information reporting requirements may apply to certain distributions or payments under the Plan. Additionally, under the backup withholding rules, a Holder may be subject to backup withholding with respect to distributions or payments made pursuant to the Plan unless that Holder: (a) comes within certain exempt categories (which generally include corporations) and, when required, demonstrates that fact; or (b) timely provides a correct taxpayer identification number and certifies under penalty of perjury that the taxpayer identification number is correct and that the Holder is not subject to backup withholding (generally in the form of a properly executed IRS Form W-9 for a U.S. Holder, and, for a Non-U.S. Holder, in the form of a properly executed applicable IRS Form W-8 (or otherwise establishes such Non-U.S. Holder’s eligibility for an exemption). Backup withholding is not an additional tax but is, instead, an advance payment that may be refunded to the extent it results in an overpayment of tax; provided that the required information is timely provided to the IRS.</w:t>
      </w:r>
    </w:p>
    <w:p>
      <w:pPr>
        <w:spacing w:after="0" w:line="173"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In addition, from an information reporting perspective, Treasury Regulations generally require disclosure by a taxpayer on its U.S. federal income tax return of certain types of transactions in which the taxpayer participated, including, among other types of transactions, certain transactions that result in the taxpayer’s claiming a loss in excess of specified thresholds. Holders are urged to consult their tax advisors regarding these regulations and whether the transactions contemplated by the Plan would be subject to these regulations and require disclosure on the Holders’ tax returns.</w:t>
      </w:r>
    </w:p>
    <w:p>
      <w:pPr>
        <w:spacing w:after="0" w:line="150" w:lineRule="exact"/>
        <w:rPr>
          <w:sz w:val="20"/>
          <w:szCs w:val="20"/>
          <w:color w:val="auto"/>
        </w:rPr>
      </w:pPr>
    </w:p>
    <w:p>
      <w:pPr>
        <w:ind w:left="1300" w:hanging="644"/>
        <w:spacing w:after="0"/>
        <w:tabs>
          <w:tab w:leader="none" w:pos="13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Withholding taxes may be imposed under IRC Sections 1471 to 1474 (such Sections commonly referred to as the Foreign Account Tax Compliance Act, or “</w:t>
      </w:r>
      <w:r>
        <w:rPr>
          <w:rFonts w:ascii="Arial" w:cs="Arial" w:eastAsia="Arial" w:hAnsi="Arial"/>
          <w:sz w:val="17"/>
          <w:szCs w:val="17"/>
          <w:b w:val="1"/>
          <w:bCs w:val="1"/>
          <w:u w:val="single" w:color="auto"/>
          <w:color w:val="auto"/>
        </w:rPr>
        <w:t>FATCA</w:t>
      </w:r>
      <w:r>
        <w:rPr>
          <w:rFonts w:ascii="Arial" w:cs="Arial" w:eastAsia="Arial" w:hAnsi="Arial"/>
          <w:sz w:val="17"/>
          <w:szCs w:val="17"/>
          <w:color w:val="auto"/>
        </w:rPr>
        <w:t>”) on certain types of U.S. source payments, including dividends, interest and certain foreign “passthru payments” made to a “foreign financial institution” or a “non-financial foreign entity” (each as defined in the IRC), unless (1) the foreign financial institution undertakes certain diligence, reporting and withholding obligations, (2) the non-financial foreign entity either certifies it does not have any “substantial United States owners” (as defined in the IRC)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8" w:name="page159"/>
    <w:bookmarkEnd w:id="158"/>
    <w:p>
      <w:pPr>
        <w:ind w:right="100"/>
        <w:spacing w:after="0" w:line="286" w:lineRule="auto"/>
        <w:rPr>
          <w:sz w:val="20"/>
          <w:szCs w:val="20"/>
          <w:color w:val="auto"/>
        </w:rPr>
      </w:pPr>
      <w:r>
        <w:rPr>
          <w:rFonts w:ascii="Arial" w:cs="Arial" w:eastAsia="Arial" w:hAnsi="Arial"/>
          <w:sz w:val="17"/>
          <w:szCs w:val="17"/>
          <w:color w:val="auto"/>
        </w:rPr>
        <w:t>persons” or “United States-owned foreign entities” (each as defined in the IRC),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Prior to the issuance of recently proposed Treasury Regulations, withholding under FATCA would have also applied to payments of gross proceeds from the sale or other disposition of property on or after January 1, 2019. However, the proposed Treasury Regulations eliminate FATCA withholding on payments of gross proceeds entirely. Taxpayers generally may rely on these proposed Treasury Regulations until final Treasury Regulations are issued.</w:t>
      </w:r>
    </w:p>
    <w:p>
      <w:pPr>
        <w:spacing w:after="0" w:line="143"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THE FOREGOING DISCUSSION OF U.S. FEDERAL INCOME TAX CONSIDERATIONS IS FOR GENERAL INFORMATION PURPOSES ONLY AND IS NOT TAX ADVICE. EACH HOLDER SHOULD CONSULT ITS OWN TAX ADVISOR REGARDING THE FEDERAL, STATE, LOCAL AND FOREIGN TAX CONSEQUENCES OF THE PLAN DESCRIBED HEREIN. NEITHER THE DEBTORS NOR THEIR ADVISORS WILL HAVE ANY LIABILITY TO ANY PERSON OR HOLDER ARISING FROM OR RELATED TO THE FEDERAL, STATE, LOCAL AND FOREIGN TAX CONSEQUENCES OF THE PLAN OR THE FOREGOING DISCUSSION.</w:t>
      </w:r>
    </w:p>
    <w:p>
      <w:pPr>
        <w:spacing w:after="0" w:line="184" w:lineRule="exact"/>
        <w:rPr>
          <w:sz w:val="20"/>
          <w:szCs w:val="20"/>
          <w:color w:val="auto"/>
        </w:rPr>
      </w:pPr>
    </w:p>
    <w:p>
      <w:pPr>
        <w:ind w:left="660" w:hanging="652"/>
        <w:spacing w:after="0"/>
        <w:tabs>
          <w:tab w:leader="none" w:pos="6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IRISH TAX CONSEQUENCES OF THE PLAN</w:t>
      </w:r>
    </w:p>
    <w:p>
      <w:pPr>
        <w:spacing w:after="0" w:line="225" w:lineRule="exact"/>
        <w:rPr>
          <w:sz w:val="20"/>
          <w:szCs w:val="20"/>
          <w:color w:val="auto"/>
        </w:rPr>
      </w:pPr>
    </w:p>
    <w:p>
      <w:pPr>
        <w:ind w:left="1300" w:hanging="644"/>
        <w:spacing w:after="0"/>
        <w:tabs>
          <w:tab w:leader="none" w:pos="130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following is a summary of certain material Irish tax considerations for the Debtors and for the Non-Irish Holders (as defined below) as a result of the implementation of the Plan. The summary does not purport to be a comprehensive description of all of the tax considerations that may be relevant to the Debtors and each of the Non-Irish Holders. The summary relates only to the position of persons who are the absolute beneficial owners of the Prepetition Debt or the Existing Common Stock and may not apply to certain other classes of persons such as dealers in securities or shares.</w:t>
      </w:r>
    </w:p>
    <w:p>
      <w:pPr>
        <w:spacing w:after="0" w:line="17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summary is based upon Irish tax laws and the practice of the Irish Revenue Commissioners as at the date of the Plan and correspondence with the Irish Revenue Commissioners. Changes in law and/or administrative practice may result in alteration of the tax considerations described below.</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summary does not constitute tax advice and is intended only as a general guide. The summary is not exhaustive and Non-Irish Holders should consult their own tax advisors about the Irish tax consequences (and tax consequences under the laws of other relevant jurisdictions) of the Plan.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59" w:name="page160"/>
    <w:bookmarkEnd w:id="159"/>
    <w:p>
      <w:pPr>
        <w:ind w:left="1300" w:hanging="644"/>
        <w:spacing w:after="0"/>
        <w:tabs>
          <w:tab w:leader="none" w:pos="130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the Debtors</w:t>
      </w:r>
    </w:p>
    <w:p>
      <w:pPr>
        <w:spacing w:after="0" w:line="229" w:lineRule="exact"/>
        <w:rPr>
          <w:sz w:val="20"/>
          <w:szCs w:val="20"/>
          <w:color w:val="auto"/>
        </w:rPr>
      </w:pPr>
    </w:p>
    <w:p>
      <w:pPr>
        <w:ind w:left="1940" w:hanging="635"/>
        <w:spacing w:after="0"/>
        <w:tabs>
          <w:tab w:leader="none" w:pos="194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a result of the Irish Migration, Weatherford Parent will cease to be tax resident in Switzerland and will become Irish tax resident. The change of residence from Switzerland to Ireland does not trigger any Irish tax charge. A summary of some of the material Irish tax considerations for Weatherford Parent operating as an Irish resident company are set out below.</w:t>
      </w:r>
    </w:p>
    <w:p>
      <w:pPr>
        <w:spacing w:after="0" w:line="181" w:lineRule="exact"/>
        <w:rPr>
          <w:sz w:val="20"/>
          <w:szCs w:val="20"/>
          <w:color w:val="auto"/>
        </w:rPr>
      </w:pPr>
    </w:p>
    <w:p>
      <w:pPr>
        <w:ind w:left="3260" w:hanging="659"/>
        <w:spacing w:after="0"/>
        <w:tabs>
          <w:tab w:leader="none" w:pos="32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Taxation of Income and Capital Gains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Weatherford Parent will be liable to Irish corporation tax on trading profits at a rate of 12.5%. Dividends received will typically be exempt where received from an Irish resident subsidiary or taxable at 25% where received from subsidiaries outside Ireland. A tax credit is available for any foreign tax paid on the underlying profits out of which the dividend has been paid and any withholding tax that was incurred when the dividend was paid. Any interest income received by Weatherford Parent is subject to tax at 25%.</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Weatherford Parent will be liable to Irish capital gains tax at a rate of 33% on any chargeable gains accruing on the disposal of assets by Weatherford Parent. There is a capital gains tax exemption for companies on the disposal of substantial shareholdings in trading subsidiaries resident in the EU or double tax treaty partner jurisdictions provided certain conditions are met.</w:t>
      </w:r>
    </w:p>
    <w:p>
      <w:pPr>
        <w:spacing w:after="0" w:line="181" w:lineRule="exact"/>
        <w:rPr>
          <w:sz w:val="20"/>
          <w:szCs w:val="20"/>
          <w:color w:val="auto"/>
        </w:rPr>
      </w:pPr>
    </w:p>
    <w:p>
      <w:pPr>
        <w:ind w:left="3260" w:hanging="659"/>
        <w:spacing w:after="0"/>
        <w:tabs>
          <w:tab w:leader="none" w:pos="32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Withholding Taxes on Outbound Payments</w:t>
      </w:r>
    </w:p>
    <w:p>
      <w:pPr>
        <w:spacing w:after="0" w:line="22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Dividends paid by Weatherford Parent may be subject to Irish dividend withholding tax (“</w:t>
      </w:r>
      <w:r>
        <w:rPr>
          <w:rFonts w:ascii="Arial" w:cs="Arial" w:eastAsia="Arial" w:hAnsi="Arial"/>
          <w:sz w:val="18"/>
          <w:szCs w:val="18"/>
          <w:b w:val="1"/>
          <w:bCs w:val="1"/>
          <w:u w:val="single" w:color="auto"/>
          <w:color w:val="auto"/>
        </w:rPr>
        <w:t>DWT</w:t>
      </w:r>
      <w:r>
        <w:rPr>
          <w:rFonts w:ascii="Arial" w:cs="Arial" w:eastAsia="Arial" w:hAnsi="Arial"/>
          <w:sz w:val="18"/>
          <w:szCs w:val="18"/>
          <w:color w:val="auto"/>
        </w:rPr>
        <w:t>”). DWT is applied at a rate of 20%. There are a number of exemptions that allow dividends to be paid without the deduction of DWT. See further details below under the caption “Consequences to Non-Irish Holders—Consequences of Owning and Disposing of New Tranche B Unsecured Notes, New Common Stock and New Warrants Received Pursuant to the Plan— New Common Stock—Dividend Withholding Tax.”</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Interest payments by Weatherford Parent may be subject to Irish interest withholding tax (“</w:t>
      </w:r>
      <w:r>
        <w:rPr>
          <w:rFonts w:ascii="Arial" w:cs="Arial" w:eastAsia="Arial" w:hAnsi="Arial"/>
          <w:sz w:val="18"/>
          <w:szCs w:val="18"/>
          <w:b w:val="1"/>
          <w:bCs w:val="1"/>
          <w:u w:val="single" w:color="auto"/>
          <w:color w:val="auto"/>
        </w:rPr>
        <w:t>IWT</w:t>
      </w:r>
      <w:r>
        <w:rPr>
          <w:rFonts w:ascii="Arial" w:cs="Arial" w:eastAsia="Arial" w:hAnsi="Arial"/>
          <w:sz w:val="18"/>
          <w:szCs w:val="18"/>
          <w:color w:val="auto"/>
        </w:rPr>
        <w:t>”). There are several exemptions to IWT that may apply on interest payments to lenders resident in double tax treaty partner countries.</w:t>
      </w:r>
    </w:p>
    <w:p>
      <w:pPr>
        <w:spacing w:after="0" w:line="166" w:lineRule="exact"/>
        <w:rPr>
          <w:sz w:val="20"/>
          <w:szCs w:val="20"/>
          <w:color w:val="auto"/>
        </w:rPr>
      </w:pPr>
    </w:p>
    <w:p>
      <w:pPr>
        <w:ind w:left="1960" w:hanging="655"/>
        <w:spacing w:after="0"/>
        <w:tabs>
          <w:tab w:leader="none" w:pos="196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Other Internal Reorganizations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other transactions occurring as part of the Internal Reorganizations are intended to be carried out in a manner such that they will not be subject to Irish corporation tax or capital gains tax.</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particular, Weatherford Parent is not subject to Irish capital gains tax on the disposal of shares while it remains tax resident in Switzerland (a country with which Ireland has a double tax treaty) and the shares transferred by Weatherford Parent as part of the Internal Reorganizations do not derive their value from Irish land, buildings, exploration or mineral rights.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Internal Reorganizations involve the issuance of shares in an Irish company. While there is no stamp duty or capital duty on the issuance of Irish shares, Irish stamp duty may arise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0" w:name="page161"/>
    <w:bookmarkEnd w:id="160"/>
    <w:p>
      <w:pPr>
        <w:ind w:right="360"/>
        <w:spacing w:after="0" w:line="277" w:lineRule="auto"/>
        <w:rPr>
          <w:sz w:val="20"/>
          <w:szCs w:val="20"/>
          <w:color w:val="auto"/>
        </w:rPr>
      </w:pPr>
      <w:r>
        <w:rPr>
          <w:rFonts w:ascii="Arial" w:cs="Arial" w:eastAsia="Arial" w:hAnsi="Arial"/>
          <w:sz w:val="18"/>
          <w:szCs w:val="18"/>
          <w:color w:val="auto"/>
        </w:rPr>
        <w:t>on the transfer of assets where the consideration for the transfer comprises the issuance of Irish shares. However, stamp duty reorganization relief should apply to the Internal Reorganizations to ensure no stamp duty arises.</w:t>
      </w:r>
    </w:p>
    <w:p>
      <w:pPr>
        <w:spacing w:after="0" w:line="166" w:lineRule="exact"/>
        <w:rPr>
          <w:sz w:val="20"/>
          <w:szCs w:val="20"/>
          <w:color w:val="auto"/>
        </w:rPr>
      </w:pPr>
    </w:p>
    <w:p>
      <w:pPr>
        <w:ind w:left="1300" w:hanging="644"/>
        <w:spacing w:after="0"/>
        <w:tabs>
          <w:tab w:leader="none" w:pos="130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Non-Irish Holders</w:t>
      </w:r>
    </w:p>
    <w:p>
      <w:pPr>
        <w:spacing w:after="0" w:line="229" w:lineRule="exact"/>
        <w:rPr>
          <w:sz w:val="20"/>
          <w:szCs w:val="20"/>
          <w:color w:val="auto"/>
        </w:rPr>
      </w:pPr>
    </w:p>
    <w:p>
      <w:pPr>
        <w:ind w:left="1940" w:hanging="635"/>
        <w:spacing w:after="0"/>
        <w:tabs>
          <w:tab w:leader="none" w:pos="194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Definition of Non-Irish Holder</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Non-Irish Holder means any Holder of Prepetition Notes Claim or Existing Common Stock that is not resident or ordinarily resident in Ireland for tax purposes and who does not hold their Prepetition Notes Claim or Existing Common Stock in connection with a trade or business carried on in Ireland.</w:t>
      </w:r>
    </w:p>
    <w:p>
      <w:pPr>
        <w:spacing w:after="0" w:line="124" w:lineRule="exact"/>
        <w:rPr>
          <w:sz w:val="20"/>
          <w:szCs w:val="20"/>
          <w:color w:val="auto"/>
        </w:rPr>
      </w:pPr>
    </w:p>
    <w:p>
      <w:pPr>
        <w:ind w:left="1960" w:hanging="655"/>
        <w:spacing w:after="0"/>
        <w:tabs>
          <w:tab w:leader="none" w:pos="19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There are no material Irish tax consequences to Non-Irish Holders of Prepetition Notes Claims arising from the Irish Migration. Once Weatherford Parent becomes an Irish tax resident company, Non-Irish Holders of Existing Common Stock will have the same Irish tax considerations as those described below under the caption “—Consequences of Owning and Disposing of New Common Stock.”</w:t>
      </w:r>
    </w:p>
    <w:p>
      <w:pPr>
        <w:spacing w:after="0" w:line="181" w:lineRule="exact"/>
        <w:rPr>
          <w:sz w:val="20"/>
          <w:szCs w:val="20"/>
          <w:color w:val="auto"/>
        </w:rPr>
      </w:pPr>
    </w:p>
    <w:p>
      <w:pPr>
        <w:ind w:left="1960" w:hanging="655"/>
        <w:spacing w:after="0"/>
        <w:tabs>
          <w:tab w:leader="none" w:pos="196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Satisfaction of Prepetition Notes Claims and Exchange of Existing Common Stock Pursuant to the Plan</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There should be no material Irish tax consequences to Non-Irish Holders arising from either the satisfaction of Prepetition Notes Claims by the issuance of New Tranche B Senior Unsecured Notes and New Common Stock or the issuance of New Common Stock and New Warrants in exchange for Existing Common Stock.</w:t>
      </w:r>
    </w:p>
    <w:p>
      <w:pPr>
        <w:spacing w:after="0" w:line="181" w:lineRule="exact"/>
        <w:rPr>
          <w:sz w:val="20"/>
          <w:szCs w:val="20"/>
          <w:color w:val="auto"/>
        </w:rPr>
      </w:pPr>
    </w:p>
    <w:p>
      <w:pPr>
        <w:ind w:left="1960" w:right="360" w:hanging="655"/>
        <w:spacing w:after="0" w:line="277" w:lineRule="auto"/>
        <w:tabs>
          <w:tab w:leader="none" w:pos="1967"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Consequences of Owning and Disposing of New Tranche B Senior Unsecured Notes, New Common Stock and New Warrants Received Pursuant to the Plan</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New Tranche B Senior Unsecured Notes</w:t>
      </w:r>
    </w:p>
    <w:p>
      <w:pPr>
        <w:spacing w:after="0" w:line="225" w:lineRule="exact"/>
        <w:rPr>
          <w:sz w:val="20"/>
          <w:szCs w:val="20"/>
          <w:color w:val="auto"/>
        </w:rPr>
      </w:pPr>
    </w:p>
    <w:p>
      <w:pPr>
        <w:ind w:left="3900" w:hanging="651"/>
        <w:spacing w:after="0"/>
        <w:tabs>
          <w:tab w:leader="none" w:pos="3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Interest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Payments of interest by Weatherford Bermuda or Weatherford Delaware on New Tranche B Senior Unsecured Notes to Non-Irish Holders should not be subject to IWT.</w:t>
      </w:r>
    </w:p>
    <w:p>
      <w:pPr>
        <w:spacing w:after="0" w:line="170" w:lineRule="exact"/>
        <w:rPr>
          <w:sz w:val="20"/>
          <w:szCs w:val="20"/>
          <w:color w:val="auto"/>
        </w:rPr>
      </w:pPr>
    </w:p>
    <w:p>
      <w:pPr>
        <w:ind w:left="3900" w:hanging="651"/>
        <w:spacing w:after="0"/>
        <w:tabs>
          <w:tab w:leader="none" w:pos="3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Disposition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Dispositions of New Tranche B Senior Unsecured Notes by Non-Irish Holders should not be subject to Irish tax.</w:t>
      </w:r>
    </w:p>
    <w:p>
      <w:pPr>
        <w:spacing w:after="0" w:line="225" w:lineRule="exact"/>
        <w:rPr>
          <w:sz w:val="20"/>
          <w:szCs w:val="20"/>
          <w:color w:val="auto"/>
        </w:rPr>
      </w:pPr>
    </w:p>
    <w:p>
      <w:pPr>
        <w:ind w:left="3900" w:hanging="651"/>
        <w:spacing w:after="0"/>
        <w:tabs>
          <w:tab w:leader="none" w:pos="39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Encashment Tax</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Irish encashment tax may be required to be withheld at the standard rate (currently 20%) from any interest paid in respect of the New Tranche B Senior Unsecured Notes where such interest is paid or collected by a person in Ireland on behalf of any holder of the New Tranche B Senior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1" w:name="page162"/>
    <w:bookmarkEnd w:id="161"/>
    <w:p>
      <w:pPr>
        <w:ind w:right="40"/>
        <w:spacing w:after="0" w:line="259" w:lineRule="auto"/>
        <w:rPr>
          <w:sz w:val="20"/>
          <w:szCs w:val="20"/>
          <w:color w:val="auto"/>
        </w:rPr>
      </w:pPr>
      <w:r>
        <w:rPr>
          <w:rFonts w:ascii="Arial" w:cs="Arial" w:eastAsia="Arial" w:hAnsi="Arial"/>
          <w:sz w:val="18"/>
          <w:szCs w:val="18"/>
          <w:color w:val="auto"/>
        </w:rPr>
        <w:t>Unsecured Notes. Non-Irish Holders of the notes should therefore note that the appointment of an Irish collection agent or an Irish paying agent could result in the deduction of 20% encashment tax by such agent from interest payments on the New Tranche B Senior Unsecured Notes. A Non-Irish Holder of New Tranche B Senior Unsecured Notes that is not resident in Ireland for tax purposes may claim an exemption from this withholding tax by submitting an appropriate declaration of non-Irish tax residency to the Irish agent.</w:t>
      </w:r>
    </w:p>
    <w:p>
      <w:pPr>
        <w:spacing w:after="0" w:line="187" w:lineRule="exact"/>
        <w:rPr>
          <w:sz w:val="20"/>
          <w:szCs w:val="20"/>
          <w:color w:val="auto"/>
        </w:rPr>
      </w:pPr>
    </w:p>
    <w:p>
      <w:pPr>
        <w:ind w:left="3260" w:hanging="659"/>
        <w:spacing w:after="0"/>
        <w:tabs>
          <w:tab w:leader="none" w:pos="32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New Common Stock</w:t>
      </w:r>
    </w:p>
    <w:p>
      <w:pPr>
        <w:spacing w:after="0" w:line="225" w:lineRule="exact"/>
        <w:rPr>
          <w:sz w:val="20"/>
          <w:szCs w:val="20"/>
          <w:color w:val="auto"/>
        </w:rPr>
      </w:pPr>
    </w:p>
    <w:p>
      <w:pPr>
        <w:ind w:left="3900" w:hanging="651"/>
        <w:spacing w:after="0"/>
        <w:tabs>
          <w:tab w:leader="none" w:pos="3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Capital Gains Tax</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Non-Irish Holders of New Common Stock should not be liable for Irish capital gains tax on gains realized on a subsequent disposal of their New Common Stock. The rate of capital gains tax in Ireland (where applicable) is typically 33%.</w:t>
      </w:r>
    </w:p>
    <w:p>
      <w:pPr>
        <w:spacing w:after="0" w:line="170" w:lineRule="exact"/>
        <w:rPr>
          <w:sz w:val="20"/>
          <w:szCs w:val="20"/>
          <w:color w:val="auto"/>
        </w:rPr>
      </w:pPr>
    </w:p>
    <w:p>
      <w:pPr>
        <w:ind w:left="3900" w:hanging="651"/>
        <w:spacing w:after="0"/>
        <w:tabs>
          <w:tab w:leader="none" w:pos="3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Stamp Duty</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 Irish stamp duty may be payable in respect of transfers of New Common Stock depending on the manner in which the New Common Stock is held.</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New Common Stock effected by means of the transfer of book-entry interests in DTC should not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Irish stamp duty. On the basis that most New Common Stock will be held through DTC most transfers of New Common Stock should be exempt from Irish stamp duty.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New Common Stock where any party to the transfer holds such New</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outside of DTC may be subject to Irish stamp duty. Shareholders wishing to transfer their New Common Stock into (or out of) DTC may do so without giving rise to Irish stamp duty provided that:</w:t>
      </w:r>
    </w:p>
    <w:p>
      <w:pPr>
        <w:spacing w:after="0" w:line="181" w:lineRule="exact"/>
        <w:rPr>
          <w:sz w:val="20"/>
          <w:szCs w:val="20"/>
          <w:color w:val="auto"/>
        </w:rPr>
      </w:pPr>
    </w:p>
    <w:p>
      <w:pPr>
        <w:ind w:left="620" w:hanging="288"/>
        <w:spacing w:after="0"/>
        <w:tabs>
          <w:tab w:leader="none" w:pos="6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New Common Stock as a result of the transfer;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transfer into (or out of) DTC is not effected in contemplation of a sale of such New Common Stock by a beneficial owner to a third party.</w:t>
      </w:r>
    </w:p>
    <w:p>
      <w:pPr>
        <w:spacing w:after="0" w:line="23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 registered New Common Stock holder may transfer New Common Stock into his or her own broker account (or vice versa) without giving rise to Irish stamp duty, provided that there is no change in the beneficial ownership of the New Common Stock as a result of the transfer and the transfer is not made in contemplation of a subsequent sale of the New Common Stock to a third party.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transfer of New Common Stock that is subject to Irish stamp duty will not be registered in the name of the transferee unless an instrument of transfer is duly stamped and provided to the transfer agent. Weatherford Parent, in its absolute discretion and insofar as the Irish Companies Act or any other applicable law permits, may, or may provide that a subsidiary of Weatherford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62" w:name="page163"/>
    <w:bookmarkEnd w:id="162"/>
    <w:p>
      <w:pPr>
        <w:spacing w:after="0" w:line="271" w:lineRule="auto"/>
        <w:rPr>
          <w:sz w:val="20"/>
          <w:szCs w:val="20"/>
          <w:color w:val="auto"/>
        </w:rPr>
      </w:pPr>
      <w:r>
        <w:rPr>
          <w:rFonts w:ascii="Arial" w:cs="Arial" w:eastAsia="Arial" w:hAnsi="Arial"/>
          <w:sz w:val="17"/>
          <w:szCs w:val="17"/>
          <w:color w:val="auto"/>
        </w:rPr>
        <w:t>Parent will, pay Irish stamp duty arising on a transfer of New Common Stock on behalf of the transferee of such New Common Stock. If stamp duty resulting from the transfer of New Common Stock that would otherwise be payable by the transferee is paid by Weatherford Parent or any of its subsidiaries on behalf of the transferee, then in those circumstances, Weatherford Parent will, on its behalf or on behalf of its subsidiary (as the case may be), be entitled to (i) seek reimbursement of the stamp duty from the transferee or the transferor (at its discretion), (ii) set-off the stamp duty against any dividends payable to the transferee of that New Common Stock and (iii) claim a first and permanent lien on the New Common Stock on which stamp duty has been paid by Weatherford Parent or its subsidiary for the amount of stamp duty paid. Weatherford Parent’s lien shall extend to all dividends paid on that New Common Stock. Parties to a share transfer may assume that any Irish stamp duty arising in respect of a transaction in Weatherford Parent’s New Common Stock has been paid unless one or both of such parties is otherwise notified by Weatherford Parent.</w:t>
      </w:r>
    </w:p>
    <w:p>
      <w:pPr>
        <w:spacing w:after="0" w:line="17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Due to the potential Irish stamp duty charge on transfers of New Common Stock held outside DTC, it is strongly recommended that shareholders who do not hold their shares through DTC (or through a broker who in turn holds such New Common Stock through DTC) should, upon the Plan being implemented, consider holding the New Common Stock received by them through DTC.</w:t>
      </w:r>
    </w:p>
    <w:p>
      <w:pPr>
        <w:spacing w:after="0" w:line="181" w:lineRule="exact"/>
        <w:rPr>
          <w:sz w:val="20"/>
          <w:szCs w:val="20"/>
          <w:color w:val="auto"/>
        </w:rPr>
      </w:pPr>
    </w:p>
    <w:p>
      <w:pPr>
        <w:ind w:left="3900" w:hanging="651"/>
        <w:spacing w:after="0"/>
        <w:tabs>
          <w:tab w:leader="none" w:pos="39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Dividend Withholding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Distributions made by Weatherford Parent should, in the absence of one of many exemptions, be subject to DWT at the rate of 20%.</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DWT purposes, a distribution includes any distribution that may be made by Weatherford Parent to its shareholders including cash dividends, non-cash dividends and additional stock taken in lieu of a cash dividend. Where an exemption does not apply in respect of a distribution made to a particular shareholder, Weatherford Parent is responsible for withholding DWT prior to making such distribution.</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Irish domestic law provides that a non-Irish resident shareholder should not be subject to DWT on dividends received from Weatherford Parent if such shareholder is beneficially entitled to the dividend and is either:</w:t>
      </w:r>
    </w:p>
    <w:p>
      <w:pPr>
        <w:spacing w:after="0" w:line="166" w:lineRule="exact"/>
        <w:rPr>
          <w:sz w:val="20"/>
          <w:szCs w:val="20"/>
          <w:color w:val="auto"/>
        </w:rPr>
      </w:pPr>
    </w:p>
    <w:p>
      <w:pPr>
        <w:ind w:left="660" w:right="60" w:hanging="328"/>
        <w:spacing w:after="0" w:line="266" w:lineRule="auto"/>
        <w:tabs>
          <w:tab w:leader="none" w:pos="62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person (not being a company) resident for tax purposes in a territory with which Ireland has signed a double taxation agreement (a “</w:t>
      </w:r>
      <w:r>
        <w:rPr>
          <w:rFonts w:ascii="Arial" w:cs="Arial" w:eastAsia="Arial" w:hAnsi="Arial"/>
          <w:sz w:val="18"/>
          <w:szCs w:val="18"/>
          <w:b w:val="1"/>
          <w:bCs w:val="1"/>
          <w:u w:val="single" w:color="auto"/>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Territory</w:t>
      </w:r>
      <w:r>
        <w:rPr>
          <w:rFonts w:ascii="Arial" w:cs="Arial" w:eastAsia="Arial" w:hAnsi="Arial"/>
          <w:sz w:val="18"/>
          <w:szCs w:val="18"/>
          <w:color w:val="auto"/>
        </w:rPr>
        <w:t>,” see https://www.revenue.ie/en/tax-professionals/tax-agreements/double-taxation-treaties/index.aspx) (including the United States)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resident nor ordinarily resident in Ireland;</w:t>
      </w:r>
    </w:p>
    <w:p>
      <w:pPr>
        <w:spacing w:after="0" w:line="180"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company resident for tax purposes in a Relevant Territory, provided such company is not under the control, whether directly or indirectly, of a person or persons who is or are resident in Ireland;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 company that is controlled, directly or indirectly, by persons resident in a Relevant Territory and who is or are (as the case may be) not controlled by, directly or indirectly, persons who are not resident in a Relevant Territory;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3" w:name="page164"/>
    <w:bookmarkEnd w:id="163"/>
    <w:p>
      <w:pPr>
        <w:ind w:left="660" w:right="160" w:hanging="328"/>
        <w:spacing w:after="0" w:line="342" w:lineRule="auto"/>
        <w:tabs>
          <w:tab w:leader="none" w:pos="624"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 company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123" w:lineRule="exact"/>
        <w:rPr>
          <w:rFonts w:ascii="Arial" w:cs="Arial" w:eastAsia="Arial" w:hAnsi="Arial"/>
          <w:sz w:val="16"/>
          <w:szCs w:val="16"/>
          <w:color w:val="auto"/>
        </w:rPr>
      </w:pPr>
    </w:p>
    <w:p>
      <w:pPr>
        <w:ind w:left="660" w:right="240" w:hanging="328"/>
        <w:spacing w:after="0" w:line="264" w:lineRule="auto"/>
        <w:tabs>
          <w:tab w:leader="none" w:pos="62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 company that is wholly 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provided, in all cases noted above (but subject to the discussion under the caption “—Shares held by U.S. resident shareholders” below), Weatherford Parent or, in respect of shares held through DTC, any qualifying intermediary appointed by Weatherford Parent, has received from the shareholder, where required, the relevant DWT Forms prior to the payment of the dividend. In practice, in order to ensure sufficient time to process the receipt of relevant DWT Forms, the shareholder where required should furnish the relevant DWT Forms to:</w:t>
      </w:r>
    </w:p>
    <w:p>
      <w:pPr>
        <w:spacing w:after="0" w:line="187" w:lineRule="exact"/>
        <w:rPr>
          <w:sz w:val="20"/>
          <w:szCs w:val="20"/>
          <w:color w:val="auto"/>
        </w:rPr>
      </w:pPr>
    </w:p>
    <w:p>
      <w:pPr>
        <w:ind w:left="660" w:right="40" w:hanging="328"/>
        <w:spacing w:after="0" w:line="264" w:lineRule="auto"/>
        <w:tabs>
          <w:tab w:leader="none" w:pos="62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its broker (and the relevant information is further transmitted to any qualifying intermediary appointed by Weatherford Parent) before the record date for the dividend (or such later date before the dividend payment date as may be notified to the shareholder by the broker) if its shares are held through DTC, or</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Weatherford Parent’s transfer agent at least seven business days before the record date for the dividend if its shares are held outside of DTC.</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Shareholders that are required to file DWT Forms in order to receive dividends free of DWT should note that such forms are generally valid, subject to a change in circumstances, until 31st December of the fifth year after the year in which such forms were completed.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Non-Irish Holders that cannot avail themselves of one of Ireland’s domestic law exemptions from DWT, it may be possible for such shareholders to rely on the provisions of a double tax treaty to which Ireland is party to reduce the rate of DWT.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list of the various DWT Forms can be found at https://www.revenue.ie/en/companies-and-charities/dividend-withholding-tax/exemptions-for-non-residents.aspx.</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U.S. Resident Shareholders</w:t>
      </w:r>
      <w:r>
        <w:rPr>
          <w:rFonts w:ascii="Arial" w:cs="Arial" w:eastAsia="Arial" w:hAnsi="Arial"/>
          <w:sz w:val="17"/>
          <w:szCs w:val="17"/>
          <w:color w:val="auto"/>
        </w:rPr>
        <w:t>. Dividends paid in respect of New Common Stock that are owned by a U.S. resident and held through DTC should not</w:t>
      </w:r>
      <w:r>
        <w:rPr>
          <w:rFonts w:ascii="Arial" w:cs="Arial" w:eastAsia="Arial" w:hAnsi="Arial"/>
          <w:sz w:val="17"/>
          <w:szCs w:val="17"/>
          <w:i w:val="1"/>
          <w:iCs w:val="1"/>
          <w:color w:val="auto"/>
        </w:rPr>
        <w:t xml:space="preserve"> </w:t>
      </w:r>
      <w:r>
        <w:rPr>
          <w:rFonts w:ascii="Arial" w:cs="Arial" w:eastAsia="Arial" w:hAnsi="Arial"/>
          <w:sz w:val="17"/>
          <w:szCs w:val="17"/>
          <w:color w:val="auto"/>
        </w:rPr>
        <w:t>be subject to DWT provided the address of the beneficial owner of such New Common Stock in the records of the broker holding such New Common Stock is in the United States (and such broker has further transmitted the relevant information to a qualifying intermediary appointed by Weatherford Parent). It is strongly recommended that such shareholders ensure that their information is properly recorded by their brokers (so that such brokers can further transmit the relevant information to a qualifying intermediary appointed by Weatherford Parent).</w:t>
      </w:r>
    </w:p>
    <w:p>
      <w:pPr>
        <w:spacing w:after="0" w:line="173"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Dividends paid in respect of New Common Stock that are held outside of DTC should not be subject to DWT if the shareholder satisfies the conditions of one of the exemptions referred to above including the requirement to provide a valid DWT Form (together with a completed IRS issued Form 6166) to Weatherford Parent’s transfer agent at least seven business days before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64" w:name="page165"/>
    <w:bookmarkEnd w:id="164"/>
    <w:p>
      <w:pPr>
        <w:jc w:val="both"/>
        <w:spacing w:after="0" w:line="264" w:lineRule="auto"/>
        <w:rPr>
          <w:sz w:val="20"/>
          <w:szCs w:val="20"/>
          <w:color w:val="auto"/>
        </w:rPr>
      </w:pPr>
      <w:r>
        <w:rPr>
          <w:rFonts w:ascii="Arial" w:cs="Arial" w:eastAsia="Arial" w:hAnsi="Arial"/>
          <w:sz w:val="18"/>
          <w:szCs w:val="18"/>
          <w:color w:val="auto"/>
        </w:rPr>
        <w:t>record date for the dividend to confirm its U.S. residence and claim an exemption. It is strongly recommended that Non-Irish Holders of New Common Stock who are U.S. residents and who wish to hold their New Common Stock outside of DTC complete the appropriate DWT Form and IRS Form 6166 and provide them to Weatherford Parent’s transfer agent.</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If any Non-Irish Holder of New Common Stock that is resident in the United States receives a dividend from which DWT has been withheld, the Non-Irish Holder should generally be entitled to apply for a refund of such DWT from the Irish Revenue Commissioners, provided the Non-Irish Holder is beneficially entitled to the dividend.</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Residents of Other Relevant Territories</w:t>
      </w:r>
      <w:r>
        <w:rPr>
          <w:rFonts w:ascii="Arial" w:cs="Arial" w:eastAsia="Arial" w:hAnsi="Arial"/>
          <w:sz w:val="18"/>
          <w:szCs w:val="18"/>
          <w:color w:val="auto"/>
        </w:rPr>
        <w:t>. Non-Irish Holders of New Common Stock who are residents of Relevant Territories, other than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must satisfy the conditions of one of the exemptions referred to above including the requirement to furnish valid DWT Forms, in order to receive dividends without suffering DWT.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such Non-Irish Holders of New Common Stock hold their shares through DTC, they must provide the appropriate DWT Forms to their brokers (so that such brokers can further transmit the relevant information to a qualifying intermediary appointed by Weatherford Parent) before the record date for the dividend (or such later date before the dividend payment date as may be notified to the shareholder by the broker).</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such Non-Irish Holders of New Common Stock hold their New Common Stock outside of DTC, they must provide the appropriate DWT Forms to Weatherford Parent’s transfer agent at least seven business days before the record date for the dividend. It is strongly recommended that Non-Irish Holders who are residents of Relevant Territories other than the United States and receive New Common Stock pursuant to the Plan complete the appropriate DWT Forms and provide them to their brokers or Weatherford Parent’s transfer agent, as the case may be, as soon as possible after receiving their New Common Stock.</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Partnerships</w:t>
      </w:r>
      <w:r>
        <w:rPr>
          <w:rFonts w:ascii="Arial" w:cs="Arial" w:eastAsia="Arial" w:hAnsi="Arial"/>
          <w:sz w:val="16"/>
          <w:szCs w:val="16"/>
          <w:color w:val="auto"/>
        </w:rPr>
        <w:t>. Dividends paid in respect of New Common Stock held through DTC that are owned by a partnership formed under the laws of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Territory and where all the underlying partners are residents in a Relevant Territory should be entitled to exemption from DWT if all of the partners complete the appropriate DWT Forms and provide them to their brokers (so that such brokers can further transmit the relevant information to a qualifying intermediary appointed by Weatherford Parent) before the record date for the dividend (or such later date before the dividend payment date as may be notified to the shareholder by the broker). If any partner is not a resident of a Relevant Territory, no partner is entitled to exemption from DWT.</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Other Shareholders</w:t>
      </w:r>
      <w:r>
        <w:rPr>
          <w:rFonts w:ascii="Arial" w:cs="Arial" w:eastAsia="Arial" w:hAnsi="Arial"/>
          <w:sz w:val="18"/>
          <w:szCs w:val="18"/>
          <w:color w:val="auto"/>
        </w:rPr>
        <w:t>. Non-Irish Holders of New Common Stock that do not fall within any of the categories specifically referred to above may</w:t>
      </w:r>
      <w:r>
        <w:rPr>
          <w:rFonts w:ascii="Arial" w:cs="Arial" w:eastAsia="Arial" w:hAnsi="Arial"/>
          <w:sz w:val="18"/>
          <w:szCs w:val="18"/>
          <w:i w:val="1"/>
          <w:iCs w:val="1"/>
          <w:color w:val="auto"/>
        </w:rPr>
        <w:t xml:space="preserve"> </w:t>
      </w:r>
      <w:r>
        <w:rPr>
          <w:rFonts w:ascii="Arial" w:cs="Arial" w:eastAsia="Arial" w:hAnsi="Arial"/>
          <w:sz w:val="18"/>
          <w:szCs w:val="18"/>
          <w:color w:val="auto"/>
        </w:rPr>
        <w:t>nonetheless fall within other exemptions from DWT. If any Non-Irish Holders are exempt from DWT, but receive dividends subject to DWT, such Non-Irish Holders may apply for refunds of such DWT from the Irish Revenue Commissioners.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Weatherford Parent intends to put in place an agreement with an entity that is recognized by the Irish Revenue Commissioners as a “qualifying intermediary,” which will provide for certain arrangements relating to distributions in respect of shares of New Common Stock that are held through DTC, which are referred to as the “</w:t>
      </w:r>
      <w:r>
        <w:rPr>
          <w:rFonts w:ascii="Arial" w:cs="Arial" w:eastAsia="Arial" w:hAnsi="Arial"/>
          <w:sz w:val="18"/>
          <w:szCs w:val="18"/>
          <w:b w:val="1"/>
          <w:bCs w:val="1"/>
          <w:u w:val="single" w:color="auto"/>
          <w:color w:val="auto"/>
        </w:rPr>
        <w:t>Deposited Securities</w:t>
      </w:r>
      <w:r>
        <w:rPr>
          <w:rFonts w:ascii="Arial" w:cs="Arial" w:eastAsia="Arial" w:hAnsi="Arial"/>
          <w:sz w:val="18"/>
          <w:szCs w:val="18"/>
          <w:color w:val="auto"/>
        </w:rPr>
        <w:t>.” The agreement is expected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5" w:name="page166"/>
    <w:bookmarkEnd w:id="165"/>
    <w:p>
      <w:pPr>
        <w:ind w:right="160"/>
        <w:spacing w:after="0" w:line="264" w:lineRule="auto"/>
        <w:rPr>
          <w:sz w:val="20"/>
          <w:szCs w:val="20"/>
          <w:color w:val="auto"/>
        </w:rPr>
      </w:pPr>
      <w:r>
        <w:rPr>
          <w:rFonts w:ascii="Arial" w:cs="Arial" w:eastAsia="Arial" w:hAnsi="Arial"/>
          <w:sz w:val="18"/>
          <w:szCs w:val="18"/>
          <w:color w:val="auto"/>
        </w:rPr>
        <w:t>provide that the qualifying intermediary will distribute or otherwise make available to Cede &amp; Co., as nominee for DTC, any cash dividend or other cash distribution with respect to the Deposited Securities after Weatherford Parent delivers or causes to be delivered to the qualifying intermediary the cash to be distributed.</w:t>
      </w:r>
    </w:p>
    <w:p>
      <w:pPr>
        <w:spacing w:after="0" w:line="181" w:lineRule="exact"/>
        <w:rPr>
          <w:sz w:val="20"/>
          <w:szCs w:val="20"/>
          <w:color w:val="auto"/>
        </w:rPr>
      </w:pPr>
    </w:p>
    <w:p>
      <w:pPr>
        <w:ind w:left="3900" w:hanging="651"/>
        <w:spacing w:after="0"/>
        <w:tabs>
          <w:tab w:leader="none" w:pos="3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Irish Income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Irish income tax may arise for certain persons in respect of dividends received from Irish resident companies.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Non-Irish Holder of New Common Stock that is entitled to an exemption from DWT generally has no liability to Irish income tax on a dividend from Weatherford Parent. A Non-Irish Holder that is not entitled to an exemption from DWT generally has no additional Irish income tax liability. The DWT deducted by Weatherford Parent discharges the liability to income tax.</w:t>
      </w:r>
    </w:p>
    <w:p>
      <w:pPr>
        <w:spacing w:after="0" w:line="181" w:lineRule="exact"/>
        <w:rPr>
          <w:sz w:val="20"/>
          <w:szCs w:val="20"/>
          <w:color w:val="auto"/>
        </w:rPr>
      </w:pPr>
    </w:p>
    <w:p>
      <w:pPr>
        <w:ind w:left="3900" w:hanging="651"/>
        <w:spacing w:after="0"/>
        <w:tabs>
          <w:tab w:leader="none" w:pos="3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Capital Acquisitions Tax</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Capital Acquisitions Tax (“</w:t>
      </w:r>
      <w:r>
        <w:rPr>
          <w:rFonts w:ascii="Arial" w:cs="Arial" w:eastAsia="Arial" w:hAnsi="Arial"/>
          <w:sz w:val="18"/>
          <w:szCs w:val="18"/>
          <w:b w:val="1"/>
          <w:bCs w:val="1"/>
          <w:u w:val="single" w:color="auto"/>
          <w:color w:val="auto"/>
        </w:rPr>
        <w:t>CAT</w:t>
      </w:r>
      <w:r>
        <w:rPr>
          <w:rFonts w:ascii="Arial" w:cs="Arial" w:eastAsia="Arial" w:hAnsi="Arial"/>
          <w:sz w:val="18"/>
          <w:szCs w:val="18"/>
          <w:color w:val="auto"/>
        </w:rPr>
        <w:t>”) comprises principally gift tax and inheritance tax. CAT could apply to a gift or inheritance of New Common Stock irrespective of the place of residence, ordinary residence or domicile of the parties. This is because New Common Stock will be regarded as property situated in Ireland for Irish CAT purposes as the share register of Weatherford Parent must be held in Ireland. The person who receives the gift or inheritance has primary liability for CAT.</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CAT is currently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Non-Irish Holders of New Common Stock should consult their own tax advisors as to whether CAT is creditable or deductible in computing any domestic tax liabilities.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pacing w:after="0" w:line="124" w:lineRule="exact"/>
        <w:rPr>
          <w:sz w:val="20"/>
          <w:szCs w:val="20"/>
          <w:color w:val="auto"/>
        </w:rPr>
      </w:pPr>
    </w:p>
    <w:p>
      <w:pPr>
        <w:ind w:left="3260" w:hanging="659"/>
        <w:spacing w:after="0"/>
        <w:tabs>
          <w:tab w:leader="none" w:pos="32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New Warrants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There should no Irish tax consequences for Non-Irish Holders on the ownership or exercise of New Warrants. A transfer or disposal of New Warrants by a Non-Irish Holder should not be subject to Irish income tax or capital gains tax.</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6" w:name="page167"/>
    <w:bookmarkEnd w:id="166"/>
    <w:p>
      <w:pPr>
        <w:ind w:left="3900" w:hanging="651"/>
        <w:spacing w:after="0"/>
        <w:tabs>
          <w:tab w:leader="none" w:pos="3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Stamp Duty</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disposal or assignment of New Warrants will be subject to Irish stamp duty at 1% on the higher of the price paid or market value of the New Warrant at the time of transfer. Stamp duty is payable by the transferee within 44 days of transfer.</w:t>
      </w:r>
    </w:p>
    <w:p>
      <w:pPr>
        <w:spacing w:after="0" w:line="170" w:lineRule="exact"/>
        <w:rPr>
          <w:sz w:val="20"/>
          <w:szCs w:val="20"/>
          <w:color w:val="auto"/>
        </w:rPr>
      </w:pPr>
    </w:p>
    <w:p>
      <w:pPr>
        <w:ind w:left="3900" w:hanging="651"/>
        <w:spacing w:after="0"/>
        <w:tabs>
          <w:tab w:leader="none" w:pos="39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Capital Acquisitions Tax</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New Warrants may be regarded as Irish property for CAT purposes. The discussion above on CAT in respect of the New Common Stock applies equally to the New Warrants. See the discussion above under the caption “Consequences to Non-Irish Holders—Consequences of Owning and Disposing of New Common Stock—Capital Acquisitions Tax”).</w:t>
      </w:r>
    </w:p>
    <w:p>
      <w:pPr>
        <w:spacing w:after="0" w:line="177"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CERTAIN SWISS TAX CONSEQUENCES OF THE PLAN</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following is a summary of certain Swiss tax consequences of the Internal Reorganizations to the Debtors and to Holders of Prepetition Notes Claims or Existing Common Stock who are tax resident outside of Switzerland and have neither a taxable presence in Switzerland nor a registration as a Swiss Securities Dealer as defined in Art. 13 of the Swiss Stamp Duty Law (“</w:t>
      </w:r>
      <w:r>
        <w:rPr>
          <w:rFonts w:ascii="Arial" w:cs="Arial" w:eastAsia="Arial" w:hAnsi="Arial"/>
          <w:sz w:val="17"/>
          <w:szCs w:val="17"/>
          <w:b w:val="1"/>
          <w:bCs w:val="1"/>
          <w:u w:val="single" w:color="auto"/>
          <w:color w:val="auto"/>
        </w:rPr>
        <w:t>Non-Swiss Holders</w:t>
      </w:r>
      <w:r>
        <w:rPr>
          <w:rFonts w:ascii="Arial" w:cs="Arial" w:eastAsia="Arial" w:hAnsi="Arial"/>
          <w:sz w:val="17"/>
          <w:szCs w:val="17"/>
          <w:color w:val="auto"/>
        </w:rPr>
        <w:t>”). This summary is based upon current Swiss tax laws, applicable court decisions and practices of the relevant Swiss tax administrations, which are subject to prospective or retroactive change. The summary does not constitute tax or legal advice and the comments below are of a general nature only.</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not expected to be any material Swiss tax consequences to the Debtors or to Non-Swiss Holders as a result of the Internal Reorganizations, including the Irish Migration, other than that Weatherford Parent will generally no longer be subject to taxation in Switzerland.</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implementing the Plan, including the Internal Reorganizations, the Debtors intend to ensure that debt issuances by Swiss companies of the Weatherford group do not qualify as bond or bond-like instruments and/or that the proceeds of debt issuances by non-Swiss companies of the Weatherford group will be used in such a way that payments of interest, including periodic interest payments and other payments that are treated like interest payments for Swiss tax purposes, are not subject to Swiss withholding taxes. More specifically, the Debtors intend that none of such proceeds are used in a manner that would trigger a flow back of funds to Switzerland. Alternatively, the Debtors intend that such debt will not be treated as bonds or bond-like instruments under applicable Swiss tax law. The flow back of funds to Switzerland from the issuance of bonds or bond-like instruments by non-Swiss subsidiaries of Weatherford Parent would generally cause interest payments to be subject to Swiss withholding tax.</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Debtors intend to obtain rulings from Swiss tax authorities confirming, among other things, that no Swiss income or withholding tax or stamp duties will be due as a result of the Irish Migration, that following the Irish Migration Weatherford Parent will no longer being subject to taxation in Switzerland, and that either the Debtors’ intended use of proceeds from debt issued by Weatherford Parent’s non-Swiss Subsidiaries will not result in a flow back of funds to Switzerland or that the intended terms of such debt will not result in it being treated as bonds or bond-like instruments for Swiss tax purposes. No assurance can be given, however, that the Swiss tax authorities will provide such confirmations. Moreover, the Debtors have not obtained, nor do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7" w:name="page168"/>
    <w:bookmarkEnd w:id="167"/>
    <w:p>
      <w:pPr>
        <w:ind w:right="240"/>
        <w:spacing w:after="0" w:line="277" w:lineRule="auto"/>
        <w:rPr>
          <w:sz w:val="20"/>
          <w:szCs w:val="20"/>
          <w:color w:val="auto"/>
        </w:rPr>
      </w:pPr>
      <w:r>
        <w:rPr>
          <w:rFonts w:ascii="Arial" w:cs="Arial" w:eastAsia="Arial" w:hAnsi="Arial"/>
          <w:sz w:val="18"/>
          <w:szCs w:val="18"/>
          <w:color w:val="auto"/>
        </w:rPr>
        <w:t>Debtors intend to obtain, a legal opinion of counsel with respect to these conclusions. No assurance can be given that Swiss tax authorities will not assert different positions than those discussed herein.</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EXISTING AND PROSPECTIVE HOLDERS OF CLAIMS AND EQUITY INTERESTS ARE URGED TO CONSULT THEIR TAX ADVISORS ABOUT THE APPLICATION OF THE SWISS TAX RULES TO THEIR PARTICULAR CIRCUMSTANCES. THEY ARE IN PARTICULAR ADVISED TO REVIEW HOW THE SWISS FEDERAL AND CANTONAL/COMMUNAL TAX CONSEQUENCES OF THE RESTRUCTURING TRANSACTIONS AND THE IMPLEMENTATION OF THE PLAN APPLY TO THEM.</w:t>
      </w:r>
    </w:p>
    <w:p>
      <w:pPr>
        <w:spacing w:after="0" w:line="180" w:lineRule="exact"/>
        <w:rPr>
          <w:sz w:val="20"/>
          <w:szCs w:val="20"/>
          <w:color w:val="auto"/>
        </w:rPr>
      </w:pPr>
    </w:p>
    <w:p>
      <w:pPr>
        <w:ind w:left="660" w:hanging="652"/>
        <w:spacing w:after="0"/>
        <w:tabs>
          <w:tab w:leader="none" w:pos="6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CERTAIN BERMUDIAN TAX CONSEQUENCES OF THE PLAN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Holders of Prepetition Notes or New Tranche B Senior Unsecured Notes in respect of such notes. Weatherford Bermuda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shares, debentures or other obligations except insofar as such tax applies to persons ordinarily resident in Bermuda or is payable by Weatherford Bermuda in respect of real property owned or leased by it in Bermuda.</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ALTERNATIVES TO CONFIRMATION AND CONSUMMATION OF THE PLAN</w:t>
      </w:r>
    </w:p>
    <w:p>
      <w:pPr>
        <w:spacing w:after="0" w:line="207" w:lineRule="exact"/>
        <w:rPr>
          <w:sz w:val="20"/>
          <w:szCs w:val="20"/>
          <w:color w:val="auto"/>
        </w:rPr>
      </w:pPr>
    </w:p>
    <w:p>
      <w:pPr>
        <w:ind w:left="660" w:hanging="652"/>
        <w:spacing w:after="0"/>
        <w:tabs>
          <w:tab w:leader="none" w:pos="66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LIQUIDATION UNDER CHAPTER 7 OF THE BANKRUPTCY CODE</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the Plan or an alternative chapter 11 plan of reorganization cannot be confirmed, the Chapter 11 Cases may be converted to cases under chapter 7 of the Bankruptcy Code in which case, a trustee would be elected or appointed to liquidate the Debtors’ assets. A discussion of the effect a chapter 7 liquidation would have on the recovery of Holders of Claims is set forth in Section VII.F herein, titled “Statutory Requirements for Confirmation of the Plan.” The Debtors believe that liquidation under chapter 7 would result in (i) smaller distributions being made to creditors entitled to a recovery than those provided for in the Plan based on the liquidation value of the Debtors’ assets and because of the additional administrative expenses involved in the appointment of a trustee and attorneys and other professionals to assist such trustee, (ii) additional expenses and claims, some of which would be entitled to priority, which would be generated during the liquidation and from the rejection of unexpired leases and executory contracts in connection with the cessation of the Debtors’ operations, and (iii) the failure to realize the greater, going-concern value of all of the Debtors’ assets.</w:t>
      </w:r>
    </w:p>
    <w:p>
      <w:pPr>
        <w:spacing w:after="0" w:line="162" w:lineRule="exact"/>
        <w:rPr>
          <w:sz w:val="20"/>
          <w:szCs w:val="20"/>
          <w:color w:val="auto"/>
        </w:rPr>
      </w:pPr>
    </w:p>
    <w:p>
      <w:pPr>
        <w:ind w:left="660" w:hanging="652"/>
        <w:spacing w:after="0"/>
        <w:tabs>
          <w:tab w:leader="none" w:pos="66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FILING OF AN ALTERNATIVE PLAN OF REORGANIZATION</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If the Plan is not confirmed, the Debtors or any other party in interest could attempt to formulate a different chapter 11 plan of reorganization. Such a plan might involve either a reorganization and continuation of the Debtors’ businesses or an orderly liquidation of the Debtors’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168" w:name="page169"/>
    <w:bookmarkEnd w:id="168"/>
    <w:p>
      <w:pPr>
        <w:ind w:right="120"/>
        <w:spacing w:after="0" w:line="277" w:lineRule="auto"/>
        <w:rPr>
          <w:sz w:val="20"/>
          <w:szCs w:val="20"/>
          <w:color w:val="auto"/>
        </w:rPr>
      </w:pPr>
      <w:r>
        <w:rPr>
          <w:rFonts w:ascii="Arial" w:cs="Arial" w:eastAsia="Arial" w:hAnsi="Arial"/>
          <w:sz w:val="18"/>
          <w:szCs w:val="18"/>
          <w:color w:val="auto"/>
        </w:rPr>
        <w:t>assets. As discussed above, during the negotiations prior to the filing of the Chapter 11 Cases and the Plan, the Debtors explored various alternatives to the Plan.</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Debtors believe that the Plan, and the associated Exit Facility, Rights Offering, and Backstop Commitment Agreement enables the Debtors to emerge from chapter 11 successfully and expeditiously, preserving their businesses and allowing their creditors to realize the highest recoveries under the circumstances. In a liquidation under chapter 11 of the Bankruptcy Code, the assets of the Debtors would be sold in an orderly fashion over a more extended period of time than in a liquidation under chapter 7, and a trustee need not be appointed. Accordingly, creditors would receive greater recoveries than in a chapter 7 liquidation. Although a chapter 11 liquidation is preferable to a chapter 7 liquidation, the Debtors believe that a liquidation under chapter 11 is a much less attractive alternative to creditors than the Plan because the Plan provides for a greater return to creditors.</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prolonged continuation of the Chapter 11 Cases is likely to adversely affect the Debtors’ businesses and operations. So long as the Chapter 11 Cases continue, senior management of the Debtors will be required to spend a significant amount of time and effort dealing with the Debtors’ reorganization instead of focusing exclusively on business operations. In addition, the longer the Chapter 11 Cases continue, the more likely it is that the Debtors’ vendors and service providers will lose confidence in the Debtors’ ability to reorganize their businesses successfully and will seek to establish alternative commercial relationships. Furthermore, so long as the Chapter 11 Cases continue, the Debtors will be required to incur substantial costs for professional fees and other expenses associated with the proceedings. The prolonged continuation of the Chapter 11 Cases may also result in the termination of the Restructuring Support Agreement which would be value destructive for all parties in interest. In addition, the Debtors may no longer be permitted to use cash collateral on a consensual basis. Under these circumstances, it is unlikely the Debtors could successfully reorganize without damage to their business operations and material decreases in recoveries for creditors.</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u w:val="single" w:color="auto"/>
          <w:color w:val="auto"/>
        </w:rPr>
        <w:t>RECOMMENDATION</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the opinion of the Debtors, the Plan is preferable to the alternatives described in this Disclosure Statement because it provides for a larger distribution to the Debtors’ creditors than would otherwise result in a liquidation under chapter 7 of the Bankruptcy Code. In addition, any alternative other than confirmation of the Plan could result in extensive delays and increased administrative expenses resulting in smaller distributions to Holders of Allowed Claims and Equity Interests than that which is proposed under the Plan. Accordingly, the Debtors recommend that Holders of Claims and Equity Interests entitled to vote on the Plan support confirmation of the Plan and vote to accept the Plan.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Respectfully submitted,</w:t>
            </w:r>
          </w:p>
        </w:tc>
        <w:tc>
          <w:tcPr>
            <w:tcW w:w="5700" w:type="dxa"/>
            <w:vAlign w:val="bottom"/>
          </w:tcPr>
          <w:p>
            <w:pPr>
              <w:spacing w:after="0"/>
              <w:rPr>
                <w:sz w:val="20"/>
                <w:szCs w:val="20"/>
                <w:color w:val="auto"/>
              </w:rPr>
            </w:pP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Weatherford International plc</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 Christoph Bausch</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Dated: June 28, 2019</w:t>
            </w:r>
          </w:p>
        </w:tc>
      </w:tr>
      <w:tr>
        <w:trPr>
          <w:trHeight w:val="432"/>
        </w:trPr>
        <w:tc>
          <w:tcPr>
            <w:tcW w:w="5720" w:type="dxa"/>
            <w:vAlign w:val="bottom"/>
          </w:tcPr>
          <w:p>
            <w:pPr>
              <w:ind w:left="660"/>
              <w:spacing w:after="0"/>
              <w:rPr>
                <w:sz w:val="20"/>
                <w:szCs w:val="20"/>
                <w:color w:val="auto"/>
              </w:rPr>
            </w:pPr>
            <w:r>
              <w:rPr>
                <w:rFonts w:ascii="Arial" w:cs="Arial" w:eastAsia="Arial" w:hAnsi="Arial"/>
                <w:sz w:val="18"/>
                <w:szCs w:val="18"/>
                <w:color w:val="auto"/>
              </w:rPr>
              <w:t>Prepared by:</w:t>
            </w:r>
          </w:p>
        </w:tc>
        <w:tc>
          <w:tcPr>
            <w:tcW w:w="5700" w:type="dxa"/>
            <w:vAlign w:val="bottom"/>
          </w:tcPr>
          <w:p>
            <w:pPr>
              <w:spacing w:after="0"/>
              <w:rPr>
                <w:sz w:val="24"/>
                <w:szCs w:val="24"/>
                <w:color w:val="auto"/>
              </w:rPr>
            </w:pPr>
          </w:p>
        </w:tc>
      </w:tr>
      <w:tr>
        <w:trPr>
          <w:trHeight w:val="432"/>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rPr>
              <w:t>HUNTON ANDREWS KURTH LLP</w:t>
            </w:r>
          </w:p>
        </w:tc>
        <w:tc>
          <w:tcPr>
            <w:tcW w:w="5700" w:type="dxa"/>
            <w:vAlign w:val="bottom"/>
          </w:tcPr>
          <w:p>
            <w:pPr>
              <w:jc w:val="center"/>
              <w:ind w:left="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5720" w:type="dxa"/>
            <w:vAlign w:val="bottom"/>
          </w:tcPr>
          <w:p>
            <w:pPr>
              <w:jc w:val="center"/>
              <w:spacing w:after="0"/>
              <w:rPr>
                <w:sz w:val="20"/>
                <w:szCs w:val="20"/>
                <w:color w:val="auto"/>
              </w:rPr>
            </w:pPr>
            <w:r>
              <w:rPr>
                <w:rFonts w:ascii="Arial" w:cs="Arial" w:eastAsia="Arial" w:hAnsi="Arial"/>
                <w:sz w:val="18"/>
                <w:szCs w:val="18"/>
                <w:color w:val="auto"/>
                <w:w w:val="94"/>
              </w:rPr>
              <w:t>Timothy A. (“Tad”) Davidson II (No. 240112503)</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2"/>
              </w:rPr>
              <w:t>Ashley L. Harper (No. 24065272)</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0"/>
              </w:rPr>
              <w:t>600 Travis Street, Suite 4200</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89"/>
              </w:rPr>
              <w:t>Houston, Texas 77002</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89"/>
              </w:rPr>
              <w:t>Telephone: (713) 220-4200</w:t>
            </w:r>
          </w:p>
        </w:tc>
        <w:tc>
          <w:tcPr>
            <w:tcW w:w="5700" w:type="dxa"/>
            <w:vAlign w:val="bottom"/>
          </w:tcPr>
          <w:p>
            <w:pPr>
              <w:jc w:val="center"/>
              <w:ind w:left="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1"/>
              </w:rPr>
              <w:t>Facsimile: (713) 220-4285</w:t>
            </w:r>
          </w:p>
        </w:tc>
        <w:tc>
          <w:tcPr>
            <w:tcW w:w="5700" w:type="dxa"/>
            <w:vAlign w:val="bottom"/>
          </w:tcPr>
          <w:p>
            <w:pPr>
              <w:jc w:val="center"/>
              <w:ind w:left="1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5720" w:type="dxa"/>
            <w:vAlign w:val="bottom"/>
          </w:tcPr>
          <w:p>
            <w:pPr>
              <w:spacing w:after="0"/>
              <w:rPr>
                <w:sz w:val="18"/>
                <w:szCs w:val="18"/>
                <w:color w:val="auto"/>
              </w:rPr>
            </w:pPr>
          </w:p>
        </w:tc>
        <w:tc>
          <w:tcPr>
            <w:tcW w:w="5700" w:type="dxa"/>
            <w:vAlign w:val="bottom"/>
          </w:tcPr>
          <w:p>
            <w:pPr>
              <w:jc w:val="center"/>
              <w:ind w:left="1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5720" w:type="dxa"/>
            <w:vAlign w:val="bottom"/>
          </w:tcPr>
          <w:p>
            <w:pPr>
              <w:spacing w:after="0"/>
              <w:rPr>
                <w:sz w:val="18"/>
                <w:szCs w:val="18"/>
                <w:color w:val="auto"/>
              </w:rPr>
            </w:pP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5720" w:type="dxa"/>
            <w:vAlign w:val="bottom"/>
          </w:tcPr>
          <w:p>
            <w:pPr>
              <w:spacing w:after="0"/>
              <w:rPr>
                <w:sz w:val="20"/>
                <w:szCs w:val="20"/>
                <w:color w:val="auto"/>
              </w:rPr>
            </w:pP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SOUTHERN DISTRICT OF TEXAS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DIVISION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 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WEATHERFORD INTERNATIONAL PLC, </w:t>
      </w:r>
      <w:r>
        <w:rPr>
          <w:rFonts w:ascii="Arial" w:cs="Arial" w:eastAsia="Arial" w:hAnsi="Arial"/>
          <w:sz w:val="17"/>
          <w:szCs w:val="17"/>
          <w:i w:val="1"/>
          <w:iCs w:val="1"/>
          <w:color w:val="auto"/>
        </w:rPr>
        <w:t>et al.</w:t>
      </w:r>
      <w:r>
        <w:rPr>
          <w:rFonts w:ascii="Arial" w:cs="Arial" w:eastAsia="Arial" w:hAnsi="Arial"/>
          <w:sz w:val="17"/>
          <w:szCs w:val="17"/>
          <w:color w:val="auto"/>
        </w:rPr>
        <w:t>,</w:t>
      </w:r>
    </w:p>
    <w:p>
      <w:pPr>
        <w:spacing w:after="0" w:line="23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Debtors. </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Chapter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60" w:val="left"/>
          <w:tab w:leader="none" w:pos="1340" w:val="left"/>
        </w:tabs>
        <w:rPr>
          <w:sz w:val="20"/>
          <w:szCs w:val="20"/>
          <w:color w:val="auto"/>
        </w:rPr>
      </w:pPr>
      <w:r>
        <w:rPr>
          <w:rFonts w:ascii="Arial" w:cs="Arial" w:eastAsia="Arial" w:hAnsi="Arial"/>
          <w:sz w:val="18"/>
          <w:szCs w:val="18"/>
          <w:color w:val="auto"/>
        </w:rPr>
        <w:t>:</w:t>
        <w:tab/>
        <w:t>Case No. 19-[</w:t>
        <w:tab/>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(Joint Administration Requested)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ectPr>
          <w:pgSz w:w="11900" w:h="16838" w:orient="portrait"/>
          <w:cols w:equalWidth="0" w:num="2">
            <w:col w:w="5740" w:space="720"/>
            <w:col w:w="4960"/>
          </w:cols>
          <w:pgMar w:left="240" w:top="337"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PREPACKAGED PLAN OF REORGANIZATION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WEATHERFORD INTERNATIONAL PLC AND ITS AFFILIATE DEBTORS UNDER CHAPTER 11 OF THE BANKRUPTCY CODE</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jc w:val="center"/>
              <w:ind w:right="1070"/>
              <w:spacing w:after="0"/>
              <w:rPr>
                <w:sz w:val="20"/>
                <w:szCs w:val="20"/>
                <w:color w:val="auto"/>
              </w:rPr>
            </w:pPr>
            <w:r>
              <w:rPr>
                <w:rFonts w:ascii="Arial" w:cs="Arial" w:eastAsia="Arial" w:hAnsi="Arial"/>
                <w:sz w:val="18"/>
                <w:szCs w:val="18"/>
                <w:b w:val="1"/>
                <w:bCs w:val="1"/>
                <w:color w:val="auto"/>
              </w:rPr>
              <w:t>HUNTON ANDREWS KURTH LLP</w:t>
            </w:r>
          </w:p>
        </w:tc>
        <w:tc>
          <w:tcPr>
            <w:tcW w:w="4500" w:type="dxa"/>
            <w:vAlign w:val="bottom"/>
          </w:tcPr>
          <w:p>
            <w:pPr>
              <w:jc w:val="center"/>
              <w:ind w:left="1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4"/>
              </w:rPr>
              <w:t>Timothy A. (“Tad”) Davidson II (No. 240112503)</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3"/>
              </w:rPr>
              <w:t>Ashley L. Harper (No. 24065272)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600 Travis Street, Suite 4200</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89"/>
              </w:rPr>
              <w:t>Houston, Texas 77002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Telephone: (713) 220-4200</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50"/>
              <w:spacing w:after="0"/>
              <w:rPr>
                <w:sz w:val="20"/>
                <w:szCs w:val="20"/>
                <w:color w:val="auto"/>
              </w:rPr>
            </w:pPr>
            <w:r>
              <w:rPr>
                <w:rFonts w:ascii="Arial" w:cs="Arial" w:eastAsia="Arial" w:hAnsi="Arial"/>
                <w:sz w:val="18"/>
                <w:szCs w:val="18"/>
                <w:color w:val="auto"/>
                <w:w w:val="91"/>
              </w:rPr>
              <w:t>Facsimile: (713) 220-4285</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4780" w:type="dxa"/>
            <w:vAlign w:val="bottom"/>
          </w:tcPr>
          <w:p>
            <w:pPr>
              <w:spacing w:after="0"/>
              <w:rPr>
                <w:sz w:val="20"/>
                <w:szCs w:val="20"/>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June 28, 2019</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w:t>
      </w:r>
    </w:p>
    <w:p>
      <w:pPr>
        <w:spacing w:after="0" w:line="20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color w:val="auto"/>
        </w:rPr>
        <w:t>NO CHAPTER 11 CASES HAVE BEEN COMMENCED AT THIS TIME. THIS PREPACKAGED PLAN OF REORGANIZATION, AND THE SOLICITATION MATERIALS ACCOMPANYING THIS PLAN, HAVE NOT BEEN APPROVED BY THE BANKRUPTCY COURT AS CONTAINING “ADEQUATE INFORMATION” WITHIN THE MEANING OF SECTION 1125(a) OF THE BANKRUPTCY CODE. IN THE EVENT THE CHAPTER 11 CASES ARE COMMENCED, THE DEBTORS EXPECT TO PROMPTLY SEEK AN ORDER OF THE BANKRUPTCY COURT (1) APPROVING THE SOLICITATION OF VOTES AS HAVING BEEN IN COMPLIANCE WITH SECTIONS 1126(b) AND 1125(g) OF THE BANKRUPTCY CODE; (2) APPROVING THE ADEQUACY OF THE DISCLOSURE STATEMENT; AND</w:t>
      </w:r>
    </w:p>
    <w:p>
      <w:pPr>
        <w:ind w:right="120" w:firstLine="8"/>
        <w:spacing w:after="0" w:line="261" w:lineRule="auto"/>
        <w:tabs>
          <w:tab w:leader="none" w:pos="255"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CONFIRMING THE PLAN PURSUANT TO SECTION 1129 OF THE BANKRUPTCY CODE. THE DEBTORS RESERVE THE RIGHT TO CONSUMMATE THE RESTRUCTURING TRANSACTIONS WITHOUT COMMENCING ANY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firstLine="8"/>
        <w:spacing w:after="0" w:line="238" w:lineRule="auto"/>
        <w:tabs>
          <w:tab w:leader="none" w:pos="177" w:val="left"/>
        </w:tabs>
        <w:numPr>
          <w:ilvl w:val="0"/>
          <w:numId w:val="394"/>
        </w:numPr>
        <w:rPr>
          <w:rFonts w:ascii="Arial" w:cs="Arial" w:eastAsia="Arial" w:hAnsi="Arial"/>
          <w:sz w:val="16"/>
          <w:szCs w:val="16"/>
          <w:color w:val="auto"/>
          <w:vertAlign w:val="superscript"/>
        </w:rPr>
      </w:pPr>
      <w:r>
        <w:rPr>
          <w:rFonts w:ascii="Arial" w:cs="Arial" w:eastAsia="Arial" w:hAnsi="Arial"/>
          <w:sz w:val="13"/>
          <w:szCs w:val="13"/>
          <w:color w:val="auto"/>
        </w:rPr>
        <w:t>The Debtors in these cases, along with the last four digits of each Debtor’s federal tax identification number, are: Weatherford International plc (6750); Weatherford International Ltd. (1344); and Weatherford International, LLC (5019). The location of the Debtors’ main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40" w:type="dxa"/>
            <w:vAlign w:val="bottom"/>
          </w:tcPr>
          <w:p>
            <w:pPr>
              <w:ind w:left="3020"/>
              <w:spacing w:after="0"/>
              <w:rPr>
                <w:sz w:val="20"/>
                <w:szCs w:val="20"/>
                <w:color w:val="auto"/>
              </w:rPr>
            </w:pPr>
            <w:r>
              <w:rPr>
                <w:rFonts w:ascii="Arial" w:cs="Arial" w:eastAsia="Arial" w:hAnsi="Arial"/>
                <w:sz w:val="18"/>
                <w:szCs w:val="18"/>
                <w:color w:val="auto"/>
              </w:rPr>
              <w:t>TABLE OF CONTENTS</w:t>
            </w:r>
          </w:p>
        </w:tc>
        <w:tc>
          <w:tcPr>
            <w:tcW w:w="1600" w:type="dxa"/>
            <w:vAlign w:val="bottom"/>
          </w:tcPr>
          <w:p>
            <w:pPr>
              <w:spacing w:after="0"/>
              <w:rPr>
                <w:sz w:val="20"/>
                <w:szCs w:val="20"/>
                <w:color w:val="auto"/>
              </w:rPr>
            </w:pP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 RULES OF INTERPRETATION, COMPUTATION OF TIME AND DEFINED TERMS</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Rules of Interpretation; Computation of Time</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Defined Terms</w:t>
            </w: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II. ADMINISTRATIVE, DIP FACILIty, AND PRIORITY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Administrative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w:t>
            </w:r>
          </w:p>
        </w:tc>
        <w:tc>
          <w:tcPr>
            <w:tcW w:w="8040" w:type="dxa"/>
            <w:vAlign w:val="bottom"/>
          </w:tcPr>
          <w:p>
            <w:pPr>
              <w:ind w:left="220"/>
              <w:spacing w:after="0"/>
              <w:rPr>
                <w:sz w:val="20"/>
                <w:szCs w:val="20"/>
                <w:color w:val="auto"/>
              </w:rPr>
            </w:pPr>
            <w:r>
              <w:rPr>
                <w:rFonts w:ascii="Arial" w:cs="Arial" w:eastAsia="Arial" w:hAnsi="Arial"/>
                <w:sz w:val="18"/>
                <w:szCs w:val="18"/>
                <w:color w:val="auto"/>
              </w:rPr>
              <w:t>Professional Fee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DIP Facility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Priority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III. CLASSIFICATION AND TREATMENT OF CLASSIFIED CLAIMS AND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Summary</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Classification and Treatment of Claims and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1 - Other Priority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2.</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2 - Other Secured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3.</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3 - Secured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4.</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4 — Prepetition Revolving Credit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5.</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5 — Prepetition Term Loan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6.</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6 — Prepetition A&amp;R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7 - Prepetition Notes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8 — General Unsecured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9 — Intercompany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10 — Existing Common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11.</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11 — Intercompany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12.</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12 — Unexercised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Special Provision Governing Unimpaired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Elimination of Vacant Classes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IV. ACCEPTANCE OR REJECTION OF THE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Presumed Acceptance of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Presumed Rejection of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Voting Classes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Acceptance by Impaired Class of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Confirmation Pursuant to Sections 1129(a)(10) and 1129(b) of the Bankruptcy Code; Cram Down</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Votes Solicited in Good Faith</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V. MEANS FOR IMPLEMENTATION OF THE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Restructuring Transactions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Continued Corporate Existence</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Vesting of Assets in the Reorganized Debtors Free and Clear of Liens and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Exit Facility Loan Documents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Senior Unsecured Notes Indentures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Common Stock; Book Entry</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Listing of New Securities and Transfer Restrictions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Registration Rights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Management Incentive Plan</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Warrants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K.</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Plan Securities and Related Documentation; Exemption from Securities Laws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L.</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Release of Liens and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M.</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Corporate Governance Documents of the Reorganized Debtors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N.</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Directors and Officers of the Reorganized Debtors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O.</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Corporate Action</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P.</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Cancellation of Notes, Certificates and Instruments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Q.</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Existing Equity Interests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R.</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Sources of Cash for Plan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S.</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Funding and Use of Professional Fee Claim Reserve</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T.</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Payment of Fees and Expenses of Certain Creditors</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U.</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Payment of Fees and Expenses of the Prepetition Notes Indenture Trustee</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V.</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Tranche B Equity Conversion and Overallotment Rights</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W.</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Rights Offering</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rPr>
              <w:t>ARTICLE VI. TREATMENT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Assumption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Cure of Defaults; Assignment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Rejection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Claims on Account of the Rejection of Executory Contracts or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D&amp;O Liability Insurance Policies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Indemnification Provisions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Employment Plans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Insurance Contracts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Extension of Time to Assume or Reject</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Modifications, Amendments, Supplements, Restatements, or Other Agreements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rPr>
              <w:t>ARTICLE VII. PROVISIONS GOVERNING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Distributions for Claims Allowed as of the Effective Date</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No Postpetition Interest on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Distributions by the Reorganized Debtors or Other Applicable Distribution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Delivery and Distributions; Undeliverable or Unclaimed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w:t>
            </w:r>
          </w:p>
        </w:tc>
        <w:tc>
          <w:tcPr>
            <w:tcW w:w="7300" w:type="dxa"/>
            <w:vAlign w:val="bottom"/>
          </w:tcPr>
          <w:p>
            <w:pPr>
              <w:ind w:left="80"/>
              <w:spacing w:after="0"/>
              <w:rPr>
                <w:sz w:val="20"/>
                <w:szCs w:val="20"/>
                <w:color w:val="auto"/>
              </w:rPr>
            </w:pPr>
            <w:r>
              <w:rPr>
                <w:rFonts w:ascii="Arial" w:cs="Arial" w:eastAsia="Arial" w:hAnsi="Arial"/>
                <w:sz w:val="18"/>
                <w:szCs w:val="18"/>
                <w:color w:val="auto"/>
              </w:rPr>
              <w:t>Record Date for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2.</w:t>
            </w:r>
          </w:p>
        </w:tc>
        <w:tc>
          <w:tcPr>
            <w:tcW w:w="7300" w:type="dxa"/>
            <w:vAlign w:val="bottom"/>
          </w:tcPr>
          <w:p>
            <w:pPr>
              <w:ind w:left="80"/>
              <w:spacing w:after="0"/>
              <w:rPr>
                <w:sz w:val="20"/>
                <w:szCs w:val="20"/>
                <w:color w:val="auto"/>
              </w:rPr>
            </w:pPr>
            <w:r>
              <w:rPr>
                <w:rFonts w:ascii="Arial" w:cs="Arial" w:eastAsia="Arial" w:hAnsi="Arial"/>
                <w:sz w:val="18"/>
                <w:szCs w:val="18"/>
                <w:color w:val="auto"/>
              </w:rPr>
              <w:t>Delivery of Distributions in 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3.</w:t>
            </w:r>
          </w:p>
        </w:tc>
        <w:tc>
          <w:tcPr>
            <w:tcW w:w="7300" w:type="dxa"/>
            <w:vAlign w:val="bottom"/>
          </w:tcPr>
          <w:p>
            <w:pPr>
              <w:ind w:left="80"/>
              <w:spacing w:after="0"/>
              <w:rPr>
                <w:sz w:val="20"/>
                <w:szCs w:val="20"/>
                <w:color w:val="auto"/>
              </w:rPr>
            </w:pPr>
            <w:r>
              <w:rPr>
                <w:rFonts w:ascii="Arial" w:cs="Arial" w:eastAsia="Arial" w:hAnsi="Arial"/>
                <w:sz w:val="18"/>
                <w:szCs w:val="18"/>
                <w:color w:val="auto"/>
              </w:rPr>
              <w:t>Minimum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4.</w:t>
            </w:r>
          </w:p>
        </w:tc>
        <w:tc>
          <w:tcPr>
            <w:tcW w:w="7300" w:type="dxa"/>
            <w:vAlign w:val="bottom"/>
          </w:tcPr>
          <w:p>
            <w:pPr>
              <w:ind w:left="80"/>
              <w:spacing w:after="0"/>
              <w:rPr>
                <w:sz w:val="20"/>
                <w:szCs w:val="20"/>
                <w:color w:val="auto"/>
              </w:rPr>
            </w:pPr>
            <w:r>
              <w:rPr>
                <w:rFonts w:ascii="Arial" w:cs="Arial" w:eastAsia="Arial" w:hAnsi="Arial"/>
                <w:sz w:val="18"/>
                <w:szCs w:val="18"/>
                <w:color w:val="auto"/>
              </w:rPr>
              <w:t>Undeliverable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Compliance with Tax Requirements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[Intentionally Omitted]</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Means of Cash Payment</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Timing and Calculation of Amounts to Be Distributed</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900" w:type="dxa"/>
            <w:vAlign w:val="bottom"/>
          </w:tcPr>
          <w:p>
            <w:pPr>
              <w:ind w:left="300"/>
              <w:spacing w:after="0"/>
              <w:rPr>
                <w:sz w:val="20"/>
                <w:szCs w:val="20"/>
                <w:color w:val="auto"/>
              </w:rPr>
            </w:pPr>
            <w:r>
              <w:rPr>
                <w:rFonts w:ascii="Arial" w:cs="Arial" w:eastAsia="Arial" w:hAnsi="Arial"/>
                <w:sz w:val="18"/>
                <w:szCs w:val="18"/>
                <w:color w:val="auto"/>
              </w:rPr>
              <w:t>Setoffs</w:t>
            </w:r>
          </w:p>
        </w:tc>
        <w:tc>
          <w:tcPr>
            <w:tcW w:w="73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ARTICLE VIII. PROCEDURES FOR RESOLVING CONTINGENT, UNLIQUIDATED, AND DISPUTED CLAIMS AND EQUITY</w:t>
            </w:r>
          </w:p>
        </w:tc>
        <w:tc>
          <w:tcPr>
            <w:tcW w:w="940" w:type="dxa"/>
            <w:vAlign w:val="bottom"/>
          </w:tcPr>
          <w:p>
            <w:pPr>
              <w:spacing w:after="0"/>
              <w:rPr>
                <w:sz w:val="18"/>
                <w:szCs w:val="18"/>
                <w:color w:val="auto"/>
              </w:rPr>
            </w:pPr>
          </w:p>
        </w:tc>
      </w:tr>
      <w:tr>
        <w:trPr>
          <w:trHeight w:val="230"/>
        </w:trPr>
        <w:tc>
          <w:tcPr>
            <w:tcW w:w="1740" w:type="dxa"/>
            <w:vAlign w:val="bottom"/>
            <w:gridSpan w:val="2"/>
          </w:tcPr>
          <w:p>
            <w:pPr>
              <w:ind w:left="520"/>
              <w:spacing w:after="0"/>
              <w:rPr>
                <w:sz w:val="20"/>
                <w:szCs w:val="20"/>
                <w:color w:val="auto"/>
              </w:rPr>
            </w:pPr>
            <w:r>
              <w:rPr>
                <w:rFonts w:ascii="Arial" w:cs="Arial" w:eastAsia="Arial" w:hAnsi="Arial"/>
                <w:sz w:val="18"/>
                <w:szCs w:val="18"/>
                <w:color w:val="auto"/>
              </w:rPr>
              <w:t>INTERESTS</w:t>
            </w:r>
          </w:p>
        </w:tc>
        <w:tc>
          <w:tcPr>
            <w:tcW w:w="87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Resolution of Disputed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1.</w:t>
            </w:r>
          </w:p>
        </w:tc>
        <w:tc>
          <w:tcPr>
            <w:tcW w:w="8740" w:type="dxa"/>
            <w:vAlign w:val="bottom"/>
          </w:tcPr>
          <w:p>
            <w:pPr>
              <w:ind w:left="260"/>
              <w:spacing w:after="0"/>
              <w:rPr>
                <w:sz w:val="20"/>
                <w:szCs w:val="20"/>
                <w:color w:val="auto"/>
              </w:rPr>
            </w:pPr>
            <w:r>
              <w:rPr>
                <w:rFonts w:ascii="Arial" w:cs="Arial" w:eastAsia="Arial" w:hAnsi="Arial"/>
                <w:sz w:val="18"/>
                <w:szCs w:val="18"/>
                <w:color w:val="auto"/>
              </w:rPr>
              <w:t>Allowance of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2.</w:t>
            </w:r>
          </w:p>
        </w:tc>
        <w:tc>
          <w:tcPr>
            <w:tcW w:w="8740" w:type="dxa"/>
            <w:vAlign w:val="bottom"/>
          </w:tcPr>
          <w:p>
            <w:pPr>
              <w:ind w:left="260"/>
              <w:spacing w:after="0"/>
              <w:rPr>
                <w:sz w:val="20"/>
                <w:szCs w:val="20"/>
                <w:color w:val="auto"/>
              </w:rPr>
            </w:pPr>
            <w:r>
              <w:rPr>
                <w:rFonts w:ascii="Arial" w:cs="Arial" w:eastAsia="Arial" w:hAnsi="Arial"/>
                <w:sz w:val="18"/>
                <w:szCs w:val="18"/>
                <w:color w:val="auto"/>
              </w:rPr>
              <w:t>Prosecution of Objections to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3.</w:t>
            </w:r>
          </w:p>
        </w:tc>
        <w:tc>
          <w:tcPr>
            <w:tcW w:w="8740" w:type="dxa"/>
            <w:vAlign w:val="bottom"/>
          </w:tcPr>
          <w:p>
            <w:pPr>
              <w:ind w:left="260"/>
              <w:spacing w:after="0"/>
              <w:rPr>
                <w:sz w:val="20"/>
                <w:szCs w:val="20"/>
                <w:color w:val="auto"/>
              </w:rPr>
            </w:pPr>
            <w:r>
              <w:rPr>
                <w:rFonts w:ascii="Arial" w:cs="Arial" w:eastAsia="Arial" w:hAnsi="Arial"/>
                <w:sz w:val="18"/>
                <w:szCs w:val="18"/>
                <w:color w:val="auto"/>
              </w:rPr>
              <w:t>Claims Estimation</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4.</w:t>
            </w:r>
          </w:p>
        </w:tc>
        <w:tc>
          <w:tcPr>
            <w:tcW w:w="8740" w:type="dxa"/>
            <w:vAlign w:val="bottom"/>
          </w:tcPr>
          <w:p>
            <w:pPr>
              <w:ind w:left="260"/>
              <w:spacing w:after="0"/>
              <w:rPr>
                <w:sz w:val="20"/>
                <w:szCs w:val="20"/>
                <w:color w:val="auto"/>
              </w:rPr>
            </w:pPr>
            <w:r>
              <w:rPr>
                <w:rFonts w:ascii="Arial" w:cs="Arial" w:eastAsia="Arial" w:hAnsi="Arial"/>
                <w:sz w:val="18"/>
                <w:szCs w:val="18"/>
                <w:color w:val="auto"/>
              </w:rPr>
              <w:t>No Filings of Proofs of Claim or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No Distributions Pending Allowance</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bl>
    <w:p>
      <w:pPr>
        <w:ind w:left="1340" w:hanging="792"/>
        <w:spacing w:after="0"/>
        <w:tabs>
          <w:tab w:leader="none" w:pos="1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Distributions on Account of Disputed Claims and Disputed Equity Interests Once They Are Allowed and Additional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Distributions on Account of Previously Allowed Claims and Allowed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Reserve for Disputed Claims and Disputed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IX. CONDITIONS PRECEDENT TO CONFIRMATION AND CONSUMMATION OF THE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Conditions Precedent to Confirmation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Conditions Precedent to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Waiver of Conditions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Effect of Non-Occurrence of Conditions to Confirmation or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 RELEASE, DISCHARGE, INJUNCTION AND RELATED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920" w:type="dxa"/>
            <w:vAlign w:val="bottom"/>
          </w:tcPr>
          <w:p>
            <w:pPr>
              <w:ind w:left="300"/>
              <w:spacing w:after="0"/>
              <w:rPr>
                <w:sz w:val="20"/>
                <w:szCs w:val="20"/>
                <w:color w:val="auto"/>
              </w:rPr>
            </w:pPr>
            <w:r>
              <w:rPr>
                <w:rFonts w:ascii="Arial" w:cs="Arial" w:eastAsia="Arial" w:hAnsi="Arial"/>
                <w:sz w:val="18"/>
                <w:szCs w:val="18"/>
                <w:color w:val="auto"/>
                <w:w w:val="93"/>
              </w:rPr>
              <w:t>General</w:t>
            </w:r>
          </w:p>
        </w:tc>
        <w:tc>
          <w:tcPr>
            <w:tcW w:w="77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Release of Claims and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Waiver of Statutory Limitations on Releases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Discharge of Claims and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Exculpation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Preservation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1.</w:t>
            </w:r>
          </w:p>
        </w:tc>
        <w:tc>
          <w:tcPr>
            <w:tcW w:w="7700" w:type="dxa"/>
            <w:vAlign w:val="bottom"/>
          </w:tcPr>
          <w:p>
            <w:pPr>
              <w:ind w:left="40"/>
              <w:spacing w:after="0"/>
              <w:rPr>
                <w:sz w:val="20"/>
                <w:szCs w:val="20"/>
                <w:color w:val="auto"/>
              </w:rPr>
            </w:pPr>
            <w:r>
              <w:rPr>
                <w:rFonts w:ascii="Arial" w:cs="Arial" w:eastAsia="Arial" w:hAnsi="Arial"/>
                <w:sz w:val="18"/>
                <w:szCs w:val="18"/>
                <w:color w:val="auto"/>
              </w:rPr>
              <w:t>Maintenance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2.</w:t>
            </w:r>
          </w:p>
        </w:tc>
        <w:tc>
          <w:tcPr>
            <w:tcW w:w="7700" w:type="dxa"/>
            <w:vAlign w:val="bottom"/>
          </w:tcPr>
          <w:p>
            <w:pPr>
              <w:ind w:left="40"/>
              <w:spacing w:after="0"/>
              <w:rPr>
                <w:sz w:val="20"/>
                <w:szCs w:val="20"/>
                <w:color w:val="auto"/>
              </w:rPr>
            </w:pPr>
            <w:r>
              <w:rPr>
                <w:rFonts w:ascii="Arial" w:cs="Arial" w:eastAsia="Arial" w:hAnsi="Arial"/>
                <w:sz w:val="18"/>
                <w:szCs w:val="18"/>
                <w:color w:val="auto"/>
              </w:rPr>
              <w:t>Preservation of All Causes of Action Not Expressly Settled or Released</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Injunction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Binding Nature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Protection Against Discriminatory Treatment</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Integral Part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 RETENTION OF JURISDICTION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XII. 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Substantial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Payment of Statutory Fees; Post-Effective Date Fees and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Statutory Committee</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Conflicts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Modification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Revocation or Withdrawal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Successors and Assigns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Reservation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Further Assurances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K.</w:t>
            </w:r>
          </w:p>
        </w:tc>
        <w:tc>
          <w:tcPr>
            <w:tcW w:w="8300" w:type="dxa"/>
            <w:vAlign w:val="bottom"/>
          </w:tcPr>
          <w:p>
            <w:pPr>
              <w:ind w:left="300"/>
              <w:spacing w:after="0"/>
              <w:rPr>
                <w:sz w:val="20"/>
                <w:szCs w:val="20"/>
                <w:color w:val="auto"/>
              </w:rPr>
            </w:pPr>
            <w:r>
              <w:rPr>
                <w:rFonts w:ascii="Arial" w:cs="Arial" w:eastAsia="Arial" w:hAnsi="Arial"/>
                <w:sz w:val="18"/>
                <w:szCs w:val="18"/>
                <w:color w:val="auto"/>
              </w:rPr>
              <w:t>Service of 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L.</w:t>
            </w:r>
          </w:p>
        </w:tc>
        <w:tc>
          <w:tcPr>
            <w:tcW w:w="8300" w:type="dxa"/>
            <w:vAlign w:val="bottom"/>
          </w:tcPr>
          <w:p>
            <w:pPr>
              <w:ind w:left="300"/>
              <w:spacing w:after="0"/>
              <w:rPr>
                <w:sz w:val="20"/>
                <w:szCs w:val="20"/>
                <w:color w:val="auto"/>
              </w:rPr>
            </w:pPr>
            <w:r>
              <w:rPr>
                <w:rFonts w:ascii="Arial" w:cs="Arial" w:eastAsia="Arial" w:hAnsi="Arial"/>
                <w:sz w:val="18"/>
                <w:szCs w:val="18"/>
                <w:color w:val="auto"/>
              </w:rPr>
              <w:t>Exemption from Transfer Taxes Pursuant to Section 1146(a) of the Bankruptcy Code</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M.</w:t>
            </w:r>
          </w:p>
        </w:tc>
        <w:tc>
          <w:tcPr>
            <w:tcW w:w="830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N.</w:t>
            </w:r>
          </w:p>
        </w:tc>
        <w:tc>
          <w:tcPr>
            <w:tcW w:w="8300" w:type="dxa"/>
            <w:vAlign w:val="bottom"/>
          </w:tcPr>
          <w:p>
            <w:pPr>
              <w:ind w:left="300"/>
              <w:spacing w:after="0"/>
              <w:rPr>
                <w:sz w:val="20"/>
                <w:szCs w:val="20"/>
                <w:color w:val="auto"/>
              </w:rPr>
            </w:pPr>
            <w:r>
              <w:rPr>
                <w:rFonts w:ascii="Arial" w:cs="Arial" w:eastAsia="Arial" w:hAnsi="Arial"/>
                <w:sz w:val="18"/>
                <w:szCs w:val="18"/>
                <w:color w:val="auto"/>
              </w:rPr>
              <w:t>Tax Reporting and Compliance</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O.</w:t>
            </w:r>
          </w:p>
        </w:tc>
        <w:tc>
          <w:tcPr>
            <w:tcW w:w="8300" w:type="dxa"/>
            <w:vAlign w:val="bottom"/>
          </w:tcPr>
          <w:p>
            <w:pPr>
              <w:ind w:left="300"/>
              <w:spacing w:after="0"/>
              <w:rPr>
                <w:sz w:val="20"/>
                <w:szCs w:val="20"/>
                <w:color w:val="auto"/>
              </w:rPr>
            </w:pPr>
            <w:r>
              <w:rPr>
                <w:rFonts w:ascii="Arial" w:cs="Arial" w:eastAsia="Arial" w:hAnsi="Arial"/>
                <w:sz w:val="18"/>
                <w:szCs w:val="18"/>
                <w:color w:val="auto"/>
              </w:rPr>
              <w:t>Schedules</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P.</w:t>
            </w:r>
          </w:p>
        </w:tc>
        <w:tc>
          <w:tcPr>
            <w:tcW w:w="8300" w:type="dxa"/>
            <w:vAlign w:val="bottom"/>
          </w:tcPr>
          <w:p>
            <w:pPr>
              <w:ind w:left="300"/>
              <w:spacing w:after="0"/>
              <w:rPr>
                <w:sz w:val="20"/>
                <w:szCs w:val="20"/>
                <w:color w:val="auto"/>
              </w:rPr>
            </w:pPr>
            <w:r>
              <w:rPr>
                <w:rFonts w:ascii="Arial" w:cs="Arial" w:eastAsia="Arial" w:hAnsi="Arial"/>
                <w:sz w:val="18"/>
                <w:szCs w:val="18"/>
                <w:color w:val="auto"/>
              </w:rPr>
              <w:t>No Strict Construction</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Q.</w:t>
            </w:r>
          </w:p>
        </w:tc>
        <w:tc>
          <w:tcPr>
            <w:tcW w:w="830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R.</w:t>
            </w:r>
          </w:p>
        </w:tc>
        <w:tc>
          <w:tcPr>
            <w:tcW w:w="8300" w:type="dxa"/>
            <w:vAlign w:val="bottom"/>
          </w:tcPr>
          <w:p>
            <w:pPr>
              <w:ind w:left="300"/>
              <w:spacing w:after="0"/>
              <w:rPr>
                <w:sz w:val="20"/>
                <w:szCs w:val="20"/>
                <w:color w:val="auto"/>
              </w:rPr>
            </w:pPr>
            <w:r>
              <w:rPr>
                <w:rFonts w:ascii="Arial" w:cs="Arial" w:eastAsia="Arial" w:hAnsi="Arial"/>
                <w:sz w:val="18"/>
                <w:szCs w:val="18"/>
                <w:color w:val="auto"/>
              </w:rPr>
              <w:t>Closing of Chapter 11 Cases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S.</w:t>
            </w:r>
          </w:p>
        </w:tc>
        <w:tc>
          <w:tcPr>
            <w:tcW w:w="8300" w:type="dxa"/>
            <w:vAlign w:val="bottom"/>
          </w:tcPr>
          <w:p>
            <w:pPr>
              <w:ind w:left="300"/>
              <w:spacing w:after="0"/>
              <w:rPr>
                <w:sz w:val="20"/>
                <w:szCs w:val="20"/>
                <w:color w:val="auto"/>
              </w:rPr>
            </w:pPr>
            <w:r>
              <w:rPr>
                <w:rFonts w:ascii="Arial" w:cs="Arial" w:eastAsia="Arial" w:hAnsi="Arial"/>
                <w:sz w:val="18"/>
                <w:szCs w:val="18"/>
                <w:color w:val="auto"/>
              </w:rPr>
              <w:t>2002 Notice Parties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80" w:top="341" w:right="239" w:bottom="1440" w:gutter="0" w:footer="0" w:header="0"/>
        </w:sectPr>
      </w:pPr>
    </w:p>
    <w:bookmarkStart w:id="176" w:name="page177"/>
    <w:bookmarkEnd w:id="176"/>
    <w:p>
      <w:pPr>
        <w:jc w:val="center"/>
        <w:ind w:left="260" w:right="2640"/>
        <w:spacing w:after="0" w:line="266" w:lineRule="auto"/>
        <w:rPr>
          <w:sz w:val="20"/>
          <w:szCs w:val="20"/>
          <w:color w:val="auto"/>
        </w:rPr>
      </w:pPr>
      <w:r>
        <w:rPr>
          <w:rFonts w:ascii="Arial" w:cs="Arial" w:eastAsia="Arial" w:hAnsi="Arial"/>
          <w:sz w:val="18"/>
          <w:szCs w:val="18"/>
          <w:b w:val="1"/>
          <w:bCs w:val="1"/>
          <w:color w:val="auto"/>
        </w:rPr>
        <w:t>JOINT PREPACKAGED PLAN OF REORGANIZATION FOR WEATHERFORD INTERNATIONAL PLC AND ITS AFFILIATE DEBTORS UNDER CHAPTER 11 OF THE BANKRUPTCY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Weatherford International Ltd.; and Weatherford International, LLC (each a “</w:t>
      </w:r>
      <w:r>
        <w:rPr>
          <w:rFonts w:ascii="Arial" w:cs="Arial" w:eastAsia="Arial" w:hAnsi="Arial"/>
          <w:sz w:val="17"/>
          <w:szCs w:val="17"/>
          <w:b w:val="1"/>
          <w:bCs w:val="1"/>
          <w:u w:val="single" w:color="auto"/>
          <w:color w:val="auto"/>
        </w:rPr>
        <w:t>Debtor</w:t>
      </w:r>
      <w:r>
        <w:rPr>
          <w:rFonts w:ascii="Arial" w:cs="Arial" w:eastAsia="Arial" w:hAnsi="Arial"/>
          <w:sz w:val="17"/>
          <w:szCs w:val="17"/>
          <w:color w:val="auto"/>
        </w:rPr>
        <w:t>” and, collectively,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Debtors</w:t>
      </w:r>
      <w:r>
        <w:rPr>
          <w:rFonts w:ascii="Arial" w:cs="Arial" w:eastAsia="Arial" w:hAnsi="Arial"/>
          <w:sz w:val="16"/>
          <w:szCs w:val="16"/>
          <w:color w:val="auto"/>
        </w:rPr>
        <w:t>”) jointly propose the following prepackaged chapter 11 plan of reorganization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for the resolution of the outstanding Claims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against, and Equity Interests (as defined below) in, each of the Debtors. Although proposed jointly for administrative purposes, this Plan constitutes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separate Plan for each Debtor for the resolution of outstanding Claims against and Equity Interests in each Debtor pursuant to the Bankruptcy Code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defined below). The Debtors are the proponents of this Plan within the meaning of section 1129 of the Bankruptcy Code. Reference is made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 Statement (as such term is defined herein and distributed contemporaneously herewith) for a discussion of the Debtors’ history, business,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historical financial information, and projections, and for a summary and analysis of this Plan, the treatment provided for herein and certain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matters. There also are other agreements and documents, which will be filed with the Bankruptcy Court (as defined below), that are referenced in this Plan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Statement as Exhibits and Plan Schedules. All such Exhibits and Plan Schedules are incorporated into and are a part of this Plan as if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full herein. Subject to certain restrictions and requirements set forth in 11 U.S.C. § 1127, Fed. R. Bankr. P. 3019 and the terms and conditions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Plan, the Debtors reserve the right to alter, amend, modify, revoke or withdraw this Plan prior to its substantial consummation.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RULES OF INTERPRETATION, COMPUTATION OF TIME AND DEFINED TERMS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Rules of Interpretation; Computation of Time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For purposes herein: (a) in the appropriate context, each term, whether stated in the singular or the plural, will include both the singular and the plural, and pronouns stated in the masculine, feminine or neuter gender will include the masculine, feminine and the neuter gender; (b) any reference herein to a contract, lease, instrument, release, indenture, or other agreement or document being in a particular form or on particular terms and conditions means that the referenced item will be substantially in that form or substantially on those terms and conditions; (c) except as otherwise provided herein, any reference herein to a contract, lease, instrument, release, indenture, or other agreement or document will mean as it may be amended, modified or supplemented from time to time; (d) any reference to an Entity as a Holder of a Claim or an Equity Interest includes that Entity’s successors and assigns; (e) unless otherwise specified, all references herein to “Articles”, “Sections”, “Exhibits” and “Plan Schedules” are references to Articles, Sections, Exhibits and Plan Schedules hereof or hereto; (f) unless otherwise stated, the words ‘‘herein,’’ “hereof,” “hereunder” and ‘‘hereto’’ refer to this Plan in its entirety rather than to a particular portion of this Plan; (g) subject to the provisions of any contract, certificate of incorporation, by-law, instrument, release, indenture, or other agreement or document entered into in connection with this Plan and except as expressly provided in </w:t>
      </w:r>
      <w:r>
        <w:rPr>
          <w:rFonts w:ascii="Arial" w:cs="Arial" w:eastAsia="Arial" w:hAnsi="Arial"/>
          <w:sz w:val="16"/>
          <w:szCs w:val="16"/>
          <w:u w:val="single" w:color="auto"/>
          <w:color w:val="auto"/>
        </w:rPr>
        <w:t>Article XII.C</w:t>
      </w:r>
      <w:r>
        <w:rPr>
          <w:rFonts w:ascii="Arial" w:cs="Arial" w:eastAsia="Arial" w:hAnsi="Arial"/>
          <w:sz w:val="16"/>
          <w:szCs w:val="16"/>
          <w:color w:val="auto"/>
        </w:rPr>
        <w:t xml:space="preserve"> of this Plan, the rights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7" w:name="page178"/>
    <w:bookmarkEnd w:id="177"/>
    <w:p>
      <w:pPr>
        <w:spacing w:after="0" w:line="286" w:lineRule="auto"/>
        <w:rPr>
          <w:sz w:val="20"/>
          <w:szCs w:val="20"/>
          <w:color w:val="auto"/>
        </w:rPr>
      </w:pPr>
      <w:r>
        <w:rPr>
          <w:rFonts w:ascii="Arial" w:cs="Arial" w:eastAsia="Arial" w:hAnsi="Arial"/>
          <w:sz w:val="16"/>
          <w:szCs w:val="16"/>
          <w:color w:val="auto"/>
        </w:rPr>
        <w:t>obligations arising pursuant to this Plan will be governed by, and construed and enforced in accordance with the applicable federal law, including the Bankruptcy Code and Bankruptcy Rules; (h) except as otherwise specifically provided herein, any provision in this Plan, the Exhibits and Plan Schedules hereto, and the Plan Supplement will be in form and substance consistent in all respects with the Restructuring Support Agreement and subject to the consent and consultation rights of the parties thereto (as specified in the Restructuring Support Agreement) in all respects; (i) captions and headings to Articles and Sections are inserted for convenience of reference only and are not intended to be a part of or to affect the interpretation hereof; (j) the rules of construction set forth in section 102 of the Bankruptcy Code will apply to this Plan; (k) references to a specific article, section, or subsection of any statute, rule, or regulation expressly referenced herein will, unless otherwise specified, include any amendments to or successor provisions of such article, section, or subsection; (l) any term used in capitalized form herein that is not otherwise defined but that is used in the Bankruptcy Code or the Bankruptcy Rules will have the meaning assigned to that term in the Bankruptcy Code or the Bankruptcy Rules, as the case may be; (m) references to “shareholders,” “directors,” and/or “officers” will also include “members” and/or “managers,” as applicable, as such terms are defined under the applicable state limited liability company laws; and (n) all references to statutes, regulations, orders, rules of courts, and the like will mean as amended from time to time, and as applicable to the Chapter 11 Cases, unless otherwise stated. Except as otherwise specifically provided in this Plan to the contrary, references in this Plan to “the Debtors” or to “the Reorganized Debtors” will mean “the Debtors and the Reorganized Debtors”, as applicable, to the extent the context requires.</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Unless otherwise specifically stated herein, the provisions of Bankruptcy Rule 9006(a) will apply in computing any period of time prescribed or allowed herein. If the date on which a transaction may occur pursuant to this Plan will occur on a day that is not a Business Day, then such transaction will instead occur on the next succeeding Business Day.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Defined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 the following terms will have the following meanings when used in capitalized form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510(b) Equity Claim</w:t>
      </w:r>
      <w:r>
        <w:rPr>
          <w:rFonts w:ascii="Arial" w:cs="Arial" w:eastAsia="Arial" w:hAnsi="Arial"/>
          <w:sz w:val="18"/>
          <w:szCs w:val="18"/>
          <w:color w:val="auto"/>
        </w:rPr>
        <w:t>” means any Claim subordinated pursuant to section 510(b) of the Bankruptcy Code.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Accrued Professional Compensation</w:t>
      </w:r>
      <w:r>
        <w:rPr>
          <w:rFonts w:ascii="Arial" w:cs="Arial" w:eastAsia="Arial" w:hAnsi="Arial"/>
          <w:sz w:val="18"/>
          <w:szCs w:val="18"/>
          <w:color w:val="auto"/>
        </w:rPr>
        <w:t>” means, with respect to a particular Professional, an Administrative Claim of such Professional for compensation for services rendered or reimbursement of costs, expenses or other charges incurred on or after the Petition Date and prior to and including the Effective Date.</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w:t>
      </w:r>
      <w:r>
        <w:rPr>
          <w:rFonts w:ascii="Arial" w:cs="Arial" w:eastAsia="Arial" w:hAnsi="Arial"/>
          <w:sz w:val="18"/>
          <w:szCs w:val="18"/>
          <w:color w:val="auto"/>
        </w:rPr>
        <w:t>” means that certain ad hoc committee of Holders of the Prepetition Notes represented by Akin Gump Strauss Hauer &amp; Feld LLP and Evercore Group L.L.C.</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 Fees and Expenses</w:t>
      </w:r>
      <w:r>
        <w:rPr>
          <w:rFonts w:ascii="Arial" w:cs="Arial" w:eastAsia="Arial" w:hAnsi="Arial"/>
          <w:sz w:val="18"/>
          <w:szCs w:val="18"/>
          <w:color w:val="auto"/>
        </w:rPr>
        <w:t>” means all unpaid reasonable and documented fees and out-of-pocket expenses of the Ad Hoc Noteholder Committee Professionals incurred in connection with the Chapter 11 Cases.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78" w:name="page179"/>
    <w:bookmarkEnd w:id="178"/>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 Hoc Noteholder Committee Professionals</w:t>
      </w:r>
      <w:r>
        <w:rPr>
          <w:rFonts w:ascii="Arial" w:cs="Arial" w:eastAsia="Arial" w:hAnsi="Arial"/>
          <w:sz w:val="17"/>
          <w:szCs w:val="17"/>
          <w:color w:val="auto"/>
        </w:rPr>
        <w:t>” means, collectively, (i) Akin Gump Strauss Hauer &amp; Feld LLP, Arthur Cox, one local law firm (and, with the consent of the Debtors, more than one local law firm) in each relevant jurisdiction outside of the United States and England &amp; Wales, as legal counsel to the Ad Hoc Noteholder Committee and (ii) Evercore Group L.L.C, as financial advisor to the Ad Hoc Noteholder Committee.</w:t>
      </w:r>
    </w:p>
    <w:p>
      <w:pPr>
        <w:spacing w:after="0" w:line="166"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Administrative Claim</w:t>
      </w:r>
      <w:r>
        <w:rPr>
          <w:rFonts w:ascii="Arial" w:cs="Arial" w:eastAsia="Arial" w:hAnsi="Arial"/>
          <w:sz w:val="16"/>
          <w:szCs w:val="16"/>
          <w:color w:val="auto"/>
        </w:rPr>
        <w:t>” means a Claim for costs and expenses of administration of the Chapter 11 Cases that are Allowed under sections 503(b), 507(a)(2), 507(b), or 1114(e)(2) of the Bankruptcy Code other than the DIP Facility Claims, including, without limitation: (a) any actual and necessary costs and expenses incurred on or after the Petition Date and through the Effective Date of preserving the Estates and operating the businesses of the Debtors;</w:t>
      </w:r>
    </w:p>
    <w:p>
      <w:pPr>
        <w:ind w:firstLine="8"/>
        <w:spacing w:after="0" w:line="253" w:lineRule="auto"/>
        <w:tabs>
          <w:tab w:leader="none" w:pos="25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Effective Date; (c) all fees and charges assessed against the Estates under section 1930, chapter 123, of title 28, United States Code; (d) all requests for compensation or expense reimbursement for making a substantial contribution in the Chapter 11 Cases Allowed pursuant to sections 503(b)(3), (4) and (5) of the Bankruptcy Code; and (e) the Cure Claim Amounts.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 “affiliate”, as defined in section 101(2)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Debtor(s)</w:t>
      </w:r>
      <w:r>
        <w:rPr>
          <w:rFonts w:ascii="Arial" w:cs="Arial" w:eastAsia="Arial" w:hAnsi="Arial"/>
          <w:sz w:val="18"/>
          <w:szCs w:val="18"/>
          <w:color w:val="auto"/>
        </w:rPr>
        <w:t>” means, individually or collectively, any Debtor or Debtors other than Weatherford Parent.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Allowed</w:t>
      </w:r>
      <w:r>
        <w:rPr>
          <w:rFonts w:ascii="Arial" w:cs="Arial" w:eastAsia="Arial" w:hAnsi="Arial"/>
          <w:sz w:val="16"/>
          <w:szCs w:val="16"/>
          <w:color w:val="auto"/>
        </w:rPr>
        <w:t>” means, with respect to a Claim or Equity Interest: (a) any Claim or Equity Interest as to which no objection to allowance has been interposed (either in the Bankruptcy Court or in the ordinary course of business) on or before the applicable time period fixed by applicable non-bankruptcy law or such other applicable period of limitation fixed by the Bankruptcy Code, the Bankruptcy Rules or the Bankruptcy Court, or as to which any objection has been determined by a Final Order, either before or after the Effective Date, to the extent such objection is determined in favor of the respective Holder;</w:t>
      </w:r>
    </w:p>
    <w:p>
      <w:pPr>
        <w:spacing w:after="0" w:line="2" w:lineRule="exact"/>
        <w:rPr>
          <w:sz w:val="20"/>
          <w:szCs w:val="20"/>
          <w:color w:val="auto"/>
        </w:rPr>
      </w:pPr>
    </w:p>
    <w:p>
      <w:pPr>
        <w:ind w:right="160" w:firstLine="8"/>
        <w:spacing w:after="0" w:line="255" w:lineRule="auto"/>
        <w:tabs>
          <w:tab w:leader="none" w:pos="25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Claim or Equity Interest as to which the liability of the Debtors and the amount thereof are determined by a Final Order of a court of competent jurisdiction other than the Bankruptcy Court, either before or after the Effective Date; or (c) any Claim or Equity Interest expressly deemed Allowed by this Plan, including, without limitation, the DIP Facility Claims.</w:t>
      </w:r>
    </w:p>
    <w:p>
      <w:pPr>
        <w:spacing w:after="0" w:line="190"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Amended/New Corporate Governance Documents</w:t>
      </w:r>
      <w:r>
        <w:rPr>
          <w:rFonts w:ascii="Arial" w:cs="Arial" w:eastAsia="Arial" w:hAnsi="Arial"/>
          <w:sz w:val="18"/>
          <w:szCs w:val="18"/>
          <w:color w:val="auto"/>
        </w:rPr>
        <w:t>” means, as applicable, the amended and restated or new applicable corporate governance documents of the Reorganized Debtors in substantially the form Filed with the Plan Supplement, which documents will be acceptable to the Required Consenting Noteholders in their sole discretion.</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Avoidance Actions</w:t>
      </w:r>
      <w:r>
        <w:rPr>
          <w:rFonts w:ascii="Arial" w:cs="Arial" w:eastAsia="Arial" w:hAnsi="Arial"/>
          <w:sz w:val="18"/>
          <w:szCs w:val="18"/>
          <w:color w:val="auto"/>
        </w:rPr>
        <w:t>” means any and all avoidance, recovery, subordination or similar actions or remedies that may be brought by and on behalf of the Debtors or their Estates under the Bankruptcy Code or applicable non-bankruptcy law, including, without limitation, actions or remedies arising under chapter 5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9" w:name="page180"/>
    <w:bookmarkEnd w:id="179"/>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Commitment Agreement</w:t>
      </w:r>
      <w:r>
        <w:rPr>
          <w:rFonts w:ascii="Arial" w:cs="Arial" w:eastAsia="Arial" w:hAnsi="Arial"/>
          <w:sz w:val="18"/>
          <w:szCs w:val="18"/>
          <w:color w:val="auto"/>
        </w:rPr>
        <w:t>” means that certain Backstop Commitment Agreement entered into by Weatherford Parent and the Backstop Parties prior to the Petition Date in the form attached to this Plan or to the Disclosure Statement or Filed with the Plan Supplement and in form and substance acceptable to the Backstop Parties.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Parties</w:t>
      </w:r>
      <w:r>
        <w:rPr>
          <w:rFonts w:ascii="Arial" w:cs="Arial" w:eastAsia="Arial" w:hAnsi="Arial"/>
          <w:sz w:val="18"/>
          <w:szCs w:val="18"/>
          <w:color w:val="auto"/>
        </w:rPr>
        <w:t>” means those parties that agree to backstop the Rights Offering for the New Tranche A Senior Unsecured Notes pursuant to the Backstop Commitment Agreement, each in its respective capacity as such.</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“Ballots” </w:t>
      </w:r>
      <w:r>
        <w:rPr>
          <w:rFonts w:ascii="Arial" w:cs="Arial" w:eastAsia="Arial" w:hAnsi="Arial"/>
          <w:sz w:val="18"/>
          <w:szCs w:val="18"/>
          <w:color w:val="auto"/>
        </w:rPr>
        <w:t>means the ballots accompanying the Disclosure Statement upon which Holders of Impaired Claims and Equity Interests entitled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will, among other things, indicate their acceptance or rejection of this Plan in accordance with this Plan and the procedures governing the solicitation process, and which must be actually received by the Voting and Claims Agent on or before the Voting Deadline.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of the United States Code, 11 U.S.C. §§ 101-1532, as amended from time to time and as applicable to the Chapter 11 Cases.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Court</w:t>
      </w:r>
      <w:r>
        <w:rPr>
          <w:rFonts w:ascii="Arial" w:cs="Arial" w:eastAsia="Arial" w:hAnsi="Arial"/>
          <w:sz w:val="16"/>
          <w:szCs w:val="16"/>
          <w:color w:val="auto"/>
        </w:rPr>
        <w:t>” means the United States Bankruptcy Court for the Southern District of Texas, having jurisdiction over the Chapter 11 Cases and, to the extent of the withdrawal of any reference under section 157 of title 28 of the United States Code and/or the Order of the United States District Court for the Southern District of Texas pursuant to section 157(a) of the Judicial Code, the United States District Court for the Southern District of Texas.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Rules</w:t>
      </w:r>
      <w:r>
        <w:rPr>
          <w:rFonts w:ascii="Arial" w:cs="Arial" w:eastAsia="Arial" w:hAnsi="Arial"/>
          <w:sz w:val="18"/>
          <w:szCs w:val="18"/>
          <w:color w:val="auto"/>
        </w:rPr>
        <w:t>” means the Federal Rules of Bankruptcy Procedure and the Local Rules of the Bankruptcy Court, in each case as amended from time to time and as applicable to the Chapter 11 Cases.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“legal holiday” (as defined in Bankruptcy Rule 9006(a)).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w:t>
      </w:r>
      <w:r>
        <w:rPr>
          <w:rFonts w:ascii="Arial" w:cs="Arial" w:eastAsia="Arial" w:hAnsi="Arial"/>
          <w:sz w:val="18"/>
          <w:szCs w:val="18"/>
          <w:color w:val="auto"/>
        </w:rPr>
        <w:t>” means the legal tender of the United States of America or the equivalent thereof.</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Causes of Action</w:t>
      </w:r>
      <w:r>
        <w:rPr>
          <w:rFonts w:ascii="Arial" w:cs="Arial" w:eastAsia="Arial" w:hAnsi="Arial"/>
          <w:sz w:val="16"/>
          <w:szCs w:val="16"/>
          <w:color w:val="auto"/>
        </w:rPr>
        <w:t>” means any claims, causes of action (including Avoidance Actions), demands, actions, suits, obligations, liabilities, cross-claims, counterclaims, offsets, or setoffs of any kind or character whatsoever, in each case 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based in whole or in part upon any act or omission or other event occurring prior to the Petition Date or during the course of the Chapter 11 Cases, including through the Effective Date.</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Chapter 11 Case(s)</w:t>
      </w:r>
      <w:r>
        <w:rPr>
          <w:rFonts w:ascii="Arial" w:cs="Arial" w:eastAsia="Arial" w:hAnsi="Arial"/>
          <w:sz w:val="18"/>
          <w:szCs w:val="18"/>
          <w:color w:val="auto"/>
        </w:rPr>
        <w:t>” means (a) when used with reference to a particular Debtor, the case under chapter 11 of the Bankruptcy Code that will be commenced by such Debtor in the Bankruptcy Court, and (b) when used with reference to all Debtors, the cases under chapter 11 of the Bankruptcy Code that will be commenced by the Debtors in the Bankruptcy Court.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0" w:name="page181"/>
    <w:bookmarkEnd w:id="18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means any “claim” (as defined in section 101(5) of the Bankruptcy Code) against any Debtor.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 Register</w:t>
      </w:r>
      <w:r>
        <w:rPr>
          <w:rFonts w:ascii="Arial" w:cs="Arial" w:eastAsia="Arial" w:hAnsi="Arial"/>
          <w:sz w:val="18"/>
          <w:szCs w:val="18"/>
          <w:color w:val="auto"/>
        </w:rPr>
        <w:t>” means the official register of Claims and Equity Interests maintained by 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Class</w:t>
      </w:r>
      <w:r>
        <w:rPr>
          <w:rFonts w:ascii="Arial" w:cs="Arial" w:eastAsia="Arial" w:hAnsi="Arial"/>
          <w:sz w:val="17"/>
          <w:szCs w:val="17"/>
          <w:color w:val="auto"/>
        </w:rPr>
        <w:t xml:space="preserve">” means a category of Holders of Claims or Equity Interests as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pursuant to section 1122(a) of the Bankruptcy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w:t>
      </w:r>
      <w:r>
        <w:rPr>
          <w:rFonts w:ascii="Arial" w:cs="Arial" w:eastAsia="Arial" w:hAnsi="Arial"/>
          <w:sz w:val="17"/>
          <w:szCs w:val="17"/>
          <w:color w:val="auto"/>
        </w:rPr>
        <w:t>” means any property or interest in property of the Debtors’ Estates that is subject to a valid and enforceable Lien to secure a Claim.</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official committee of unsecured creditors appointed in the Chapter 11 Cases, if any.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w:t>
      </w:r>
      <w:r>
        <w:rPr>
          <w:rFonts w:ascii="Arial" w:cs="Arial" w:eastAsia="Arial" w:hAnsi="Arial"/>
          <w:sz w:val="18"/>
          <w:szCs w:val="18"/>
          <w:color w:val="auto"/>
        </w:rPr>
        <w:t xml:space="preserve">” means the occurrence of the Confirmation Date, subject to all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having been satisfied or waived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Date</w:t>
      </w:r>
      <w:r>
        <w:rPr>
          <w:rFonts w:ascii="Arial" w:cs="Arial" w:eastAsia="Arial" w:hAnsi="Arial"/>
          <w:sz w:val="18"/>
          <w:szCs w:val="18"/>
          <w:color w:val="auto"/>
        </w:rPr>
        <w:t>” means the date on which the clerk of the Bankruptcy Court enters the Confirmation Order on the docket of the Bankruptcy Court in the Chapter 11 Cases.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Hearing</w:t>
      </w:r>
      <w:r>
        <w:rPr>
          <w:rFonts w:ascii="Arial" w:cs="Arial" w:eastAsia="Arial" w:hAnsi="Arial"/>
          <w:sz w:val="18"/>
          <w:szCs w:val="18"/>
          <w:color w:val="auto"/>
        </w:rPr>
        <w:t>” means the combined hearing held by the Bankruptcy Court pursuant to sections 105(d)(2)(B)(vi) and 1128 of the Bankruptcy Code to consider (i) approval of the Disclosure Statement under sections 1125 and 1126(b) of the Bankruptcy Code and (ii) confirmation of this Plan, as such hearing may be adjourned or continued from time to time.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Order</w:t>
      </w:r>
      <w:r>
        <w:rPr>
          <w:rFonts w:ascii="Arial" w:cs="Arial" w:eastAsia="Arial" w:hAnsi="Arial"/>
          <w:sz w:val="18"/>
          <w:szCs w:val="18"/>
          <w:color w:val="auto"/>
        </w:rPr>
        <w:t>” means the order of the Bankruptcy Court (i) approving the Disclosure Statement and (ii) confirming this Plan pursuant to sections 1125, 1126(b) and 1129 of the Bankruptcy Code, which shall, to the extent required by the DIP Credit Agreement, be in form and substance satisfactory or reasonably satisfactory, as applicable, to the DIP Agent and the Required DIP Lenders.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Noteholders</w:t>
      </w:r>
      <w:r>
        <w:rPr>
          <w:rFonts w:ascii="Arial" w:cs="Arial" w:eastAsia="Arial" w:hAnsi="Arial"/>
          <w:sz w:val="18"/>
          <w:szCs w:val="18"/>
          <w:color w:val="auto"/>
        </w:rPr>
        <w:t>” means those Holders of the Prepetition Notes that are party to the Restructuring Support Agreement as “Consenting Noteholders”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Consummation</w:t>
      </w:r>
      <w:r>
        <w:rPr>
          <w:rFonts w:ascii="Arial" w:cs="Arial" w:eastAsia="Arial" w:hAnsi="Arial"/>
          <w:sz w:val="18"/>
          <w:szCs w:val="18"/>
          <w:color w:val="auto"/>
        </w:rPr>
        <w:t>” means the occurrence of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Cure Claim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VI.B</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Liability Insurance Policies</w:t>
      </w:r>
      <w:r>
        <w:rPr>
          <w:rFonts w:ascii="Arial" w:cs="Arial" w:eastAsia="Arial" w:hAnsi="Arial"/>
          <w:sz w:val="18"/>
          <w:szCs w:val="18"/>
          <w:color w:val="auto"/>
        </w:rPr>
        <w:t>” means all insurance policies (including, without limitation, the D&amp;O Tail Policy, any general liability policies, any errors and omissions policies, and, in each case, any agreements, documents, or instruments related thereto) issued at any time and providing coverage for liability of any Debtor’s directors, managers, and officers.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Tail Policy</w:t>
      </w:r>
      <w:r>
        <w:rPr>
          <w:rFonts w:ascii="Arial" w:cs="Arial" w:eastAsia="Arial" w:hAnsi="Arial"/>
          <w:sz w:val="18"/>
          <w:szCs w:val="18"/>
          <w:color w:val="auto"/>
        </w:rPr>
        <w:t>” means that certain directors’ &amp; officers’ liability insurance policy purchased by the Debtors on or about June,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1" w:name="page182"/>
    <w:bookmarkEnd w:id="181"/>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689"/>
        <w:spacing w:after="0" w:line="277" w:lineRule="auto"/>
        <w:rPr>
          <w:sz w:val="20"/>
          <w:szCs w:val="20"/>
          <w:color w:val="auto"/>
        </w:rPr>
      </w:pPr>
      <w:r>
        <w:rPr>
          <w:rFonts w:ascii="Arial" w:cs="Arial" w:eastAsia="Arial" w:hAnsi="Arial"/>
          <w:sz w:val="18"/>
          <w:szCs w:val="18"/>
          <w:i w:val="1"/>
          <w:iCs w:val="1"/>
          <w:color w:val="auto"/>
        </w:rPr>
        <w:t xml:space="preserve">“DIP Agent” </w:t>
      </w:r>
      <w:r>
        <w:rPr>
          <w:rFonts w:ascii="Arial" w:cs="Arial" w:eastAsia="Arial" w:hAnsi="Arial"/>
          <w:sz w:val="18"/>
          <w:szCs w:val="18"/>
          <w:color w:val="auto"/>
        </w:rPr>
        <w:t>means Citibank, N.A., or its duly appointed successor, in its capacity as administrative agent and collateral agent under the DIP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right="22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Credit Agreement</w:t>
      </w:r>
      <w:r>
        <w:rPr>
          <w:rFonts w:ascii="Arial" w:cs="Arial" w:eastAsia="Arial" w:hAnsi="Arial"/>
          <w:sz w:val="18"/>
          <w:szCs w:val="18"/>
          <w:color w:val="auto"/>
        </w:rPr>
        <w:t>” means that certain Senior Secured Superpriority Debtor-in-Possession Credit Agreement, dated as of June, 2019, by and among the Debtors, the DIP Agent, and the DIP Lenders, as amended, amended and restated, supplemented or otherwise modified from time to time in accordance with the terms thereof prior to the Effective Date.</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Contingent Obligations</w:t>
      </w:r>
      <w:r>
        <w:rPr>
          <w:rFonts w:ascii="Arial" w:cs="Arial" w:eastAsia="Arial" w:hAnsi="Arial"/>
          <w:sz w:val="17"/>
          <w:szCs w:val="17"/>
          <w:color w:val="auto"/>
        </w:rPr>
        <w:t>” means all contingent obligations not due and payable under the DIP Financing Documents on the Effective Date, including any and all indemnification and expense reimbursement obligations of the Debtors that are contingent as of the Effective Date.</w:t>
      </w:r>
    </w:p>
    <w:p>
      <w:pPr>
        <w:spacing w:after="0" w:line="14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“DIP Facility” </w:t>
      </w:r>
      <w:r>
        <w:rPr>
          <w:rFonts w:ascii="Arial" w:cs="Arial" w:eastAsia="Arial" w:hAnsi="Arial"/>
          <w:sz w:val="17"/>
          <w:szCs w:val="17"/>
          <w:color w:val="auto"/>
        </w:rPr>
        <w:t>means the debtor-in-possession financing facility provided by the DIP Lenders consisting of a (i) up to $750,000,000 debtor-in-possession first lien revolving credit facility provided by certain lenders (the “</w:t>
      </w:r>
      <w:r>
        <w:rPr>
          <w:rFonts w:ascii="Arial" w:cs="Arial" w:eastAsia="Arial" w:hAnsi="Arial"/>
          <w:sz w:val="17"/>
          <w:szCs w:val="17"/>
          <w:i w:val="1"/>
          <w:iCs w:val="1"/>
          <w:color w:val="auto"/>
        </w:rPr>
        <w:t>DIP Revolver Loan</w:t>
      </w:r>
      <w:r>
        <w:rPr>
          <w:rFonts w:ascii="Arial" w:cs="Arial" w:eastAsia="Arial" w:hAnsi="Arial"/>
          <w:sz w:val="17"/>
          <w:szCs w:val="17"/>
          <w:color w:val="auto"/>
        </w:rPr>
        <w:t>”) and (ii) a $1,000,000,000 debtor-in-possession term loan facility provided by certain of the Consenting Noteholders and fully backstopped by certain of the Consenting Noteholders (the “</w:t>
      </w:r>
      <w:r>
        <w:rPr>
          <w:rFonts w:ascii="Arial" w:cs="Arial" w:eastAsia="Arial" w:hAnsi="Arial"/>
          <w:sz w:val="17"/>
          <w:szCs w:val="17"/>
          <w:i w:val="1"/>
          <w:iCs w:val="1"/>
          <w:color w:val="auto"/>
        </w:rPr>
        <w:t>DIP Term Loan</w:t>
      </w:r>
      <w:r>
        <w:rPr>
          <w:rFonts w:ascii="Arial" w:cs="Arial" w:eastAsia="Arial" w:hAnsi="Arial"/>
          <w:sz w:val="17"/>
          <w:szCs w:val="17"/>
          <w:color w:val="auto"/>
        </w:rPr>
        <w:t>”).</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“DIP Facility Claims” </w:t>
      </w:r>
      <w:r>
        <w:rPr>
          <w:rFonts w:ascii="Arial" w:cs="Arial" w:eastAsia="Arial" w:hAnsi="Arial"/>
          <w:sz w:val="18"/>
          <w:szCs w:val="18"/>
          <w:color w:val="auto"/>
        </w:rPr>
        <w:t>means any and all Claims arising from, under, or in connection with the DIP Credit Agreement or any other DIP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including Claims for all principal amounts outstanding, interest, fees, expenses, costs, and other charges and all other “Obligations,” “Swap Obligations,” and “Banking Services Obligations” as defined in the DIP Credit Agreement.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“DIP Facility Liens” </w:t>
      </w:r>
      <w:r>
        <w:rPr>
          <w:rFonts w:ascii="Arial" w:cs="Arial" w:eastAsia="Arial" w:hAnsi="Arial"/>
          <w:sz w:val="18"/>
          <w:szCs w:val="18"/>
          <w:color w:val="auto"/>
        </w:rPr>
        <w:t>means the Liens securing the payment of the DIP Facility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Final Order</w:t>
      </w:r>
      <w:r>
        <w:rPr>
          <w:rFonts w:ascii="Arial" w:cs="Arial" w:eastAsia="Arial" w:hAnsi="Arial"/>
          <w:sz w:val="18"/>
          <w:szCs w:val="18"/>
          <w:color w:val="auto"/>
        </w:rPr>
        <w:t>” means the “Final Order” as defined in the DIP Credit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“DIP Financing Documents” </w:t>
      </w:r>
      <w:r>
        <w:rPr>
          <w:rFonts w:ascii="Arial" w:cs="Arial" w:eastAsia="Arial" w:hAnsi="Arial"/>
          <w:sz w:val="17"/>
          <w:szCs w:val="17"/>
          <w:color w:val="auto"/>
        </w:rPr>
        <w:t>means the “Loan Documents” and the “Swap Agreements” as defined in the DIP Credit Agreement, as well as any</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evidencing “Banking Services Obligations” (as defined in the DIP Credit Agreement), and the DIP Orders, in each case as amended, amended and restated, supplemented or otherwise modified from time to time in accordance with the terms thereof prior to the Effective Date.</w:t>
      </w:r>
    </w:p>
    <w:p>
      <w:pPr>
        <w:spacing w:after="0" w:line="166"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Lenders</w:t>
      </w:r>
      <w:r>
        <w:rPr>
          <w:rFonts w:ascii="Arial" w:cs="Arial" w:eastAsia="Arial" w:hAnsi="Arial"/>
          <w:sz w:val="17"/>
          <w:szCs w:val="17"/>
          <w:color w:val="auto"/>
        </w:rPr>
        <w:t>” means the banks, financial, institutions, and other lenders party to the DIP Facilities from time to time, and each arranger, bookrunner, syndication agent, manager, and documentation agent party to the DIP Credit Agreement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Orders</w:t>
      </w:r>
      <w:r>
        <w:rPr>
          <w:rFonts w:ascii="Arial" w:cs="Arial" w:eastAsia="Arial" w:hAnsi="Arial"/>
          <w:sz w:val="18"/>
          <w:szCs w:val="18"/>
          <w:color w:val="auto"/>
        </w:rPr>
        <w:t>” means, collectively, the “Interim Order” as defined in the DIP Credit Agreement and the DIP Final Order.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Revolver Loan</w:t>
      </w:r>
      <w:r>
        <w:rPr>
          <w:rFonts w:ascii="Arial" w:cs="Arial" w:eastAsia="Arial" w:hAnsi="Arial"/>
          <w:sz w:val="18"/>
          <w:szCs w:val="18"/>
          <w:color w:val="auto"/>
        </w:rPr>
        <w:t>” has the meaning set forth in the definition of “</w:t>
      </w:r>
      <w:r>
        <w:rPr>
          <w:rFonts w:ascii="Arial" w:cs="Arial" w:eastAsia="Arial" w:hAnsi="Arial"/>
          <w:sz w:val="18"/>
          <w:szCs w:val="18"/>
          <w:i w:val="1"/>
          <w:iCs w:val="1"/>
          <w:color w:val="auto"/>
        </w:rPr>
        <w:t>DIP Facility</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2" w:name="page183"/>
    <w:bookmarkEnd w:id="1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Required Lenders</w:t>
      </w:r>
      <w:r>
        <w:rPr>
          <w:rFonts w:ascii="Arial" w:cs="Arial" w:eastAsia="Arial" w:hAnsi="Arial"/>
          <w:sz w:val="18"/>
          <w:szCs w:val="18"/>
          <w:color w:val="auto"/>
        </w:rPr>
        <w:t>” shall mean the “Required Lenders” as defined in the DIP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Term Loan</w:t>
      </w:r>
      <w:r>
        <w:rPr>
          <w:rFonts w:ascii="Arial" w:cs="Arial" w:eastAsia="Arial" w:hAnsi="Arial"/>
          <w:sz w:val="18"/>
          <w:szCs w:val="18"/>
          <w:color w:val="auto"/>
        </w:rPr>
        <w:t>” has the meaning set forth in the definition of “</w:t>
      </w:r>
      <w:r>
        <w:rPr>
          <w:rFonts w:ascii="Arial" w:cs="Arial" w:eastAsia="Arial" w:hAnsi="Arial"/>
          <w:sz w:val="18"/>
          <w:szCs w:val="18"/>
          <w:i w:val="1"/>
          <w:iCs w:val="1"/>
          <w:color w:val="auto"/>
        </w:rPr>
        <w:t>DIP Facility</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Statement</w:t>
      </w:r>
      <w:r>
        <w:rPr>
          <w:rFonts w:ascii="Arial" w:cs="Arial" w:eastAsia="Arial" w:hAnsi="Arial"/>
          <w:sz w:val="18"/>
          <w:szCs w:val="18"/>
          <w:color w:val="auto"/>
        </w:rPr>
        <w:t xml:space="preserve">” means that certain </w:t>
      </w:r>
      <w:r>
        <w:rPr>
          <w:rFonts w:ascii="Arial" w:cs="Arial" w:eastAsia="Arial" w:hAnsi="Arial"/>
          <w:sz w:val="18"/>
          <w:szCs w:val="18"/>
          <w:i w:val="1"/>
          <w:iCs w:val="1"/>
          <w:color w:val="auto"/>
        </w:rPr>
        <w:t>Disclosure Statement for the Joint Prepackaged Plan Of Reorganization For Weatherford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plc And Its Affiliate Debtors Under Chapter 11 Of The Bankruptcy Code</w:t>
      </w:r>
      <w:r>
        <w:rPr>
          <w:rFonts w:ascii="Arial" w:cs="Arial" w:eastAsia="Arial" w:hAnsi="Arial"/>
          <w:sz w:val="18"/>
          <w:szCs w:val="18"/>
          <w:color w:val="auto"/>
        </w:rPr>
        <w:t>, dated as of June 28, 2019 (as amended, supplemented, or modified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Disputed</w:t>
      </w:r>
      <w:r>
        <w:rPr>
          <w:rFonts w:ascii="Arial" w:cs="Arial" w:eastAsia="Arial" w:hAnsi="Arial"/>
          <w:sz w:val="18"/>
          <w:szCs w:val="18"/>
          <w:color w:val="auto"/>
        </w:rPr>
        <w:t>” means any Claim or Equity Interest, or any portion thereof, that has not been Allowed, but has not been disallowed pursuant to this Plan or a Final Order of the Bankruptcy Court.</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“Distribution Agent” </w:t>
      </w:r>
      <w:r>
        <w:rPr>
          <w:rFonts w:ascii="Arial" w:cs="Arial" w:eastAsia="Arial" w:hAnsi="Arial"/>
          <w:sz w:val="16"/>
          <w:szCs w:val="16"/>
          <w:color w:val="auto"/>
        </w:rPr>
        <w:t>means the Reorganized Debtors or any party designated by the Reorganized Debtors to serve as distribution agent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For purposes of distributions under this Plan to the Holders of Allowed DIP Facility Claims, Allowed Prepetition Debt Claims and Allowed Prepetition Notes Claims, the DIP Agent, the Prepetition Agents, and the Prepetition Notes Indenture Trustee, respectively, will be and will act as the Distribution Agent.</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Record Date</w:t>
      </w:r>
      <w:r>
        <w:rPr>
          <w:rFonts w:ascii="Arial" w:cs="Arial" w:eastAsia="Arial" w:hAnsi="Arial"/>
          <w:sz w:val="18"/>
          <w:szCs w:val="18"/>
          <w:color w:val="auto"/>
        </w:rPr>
        <w:t>” means the date for determining which Holders of Claims and Equity Interests are eligible to receive distributions under this Plan, which date will be the Effective Date, subject to Article VII.D of this Plan. The Distribution Record Date shall not apply to securities of the Debtors deposited with DTC, the holders of which shall receive a distribution in accordance with Article VII of this Plan and, as applicable, the customary procedures of DTC.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first Business Day on which the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have been satisfied or waived in accordance with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Election Amount</w:t>
      </w:r>
      <w:r>
        <w:rPr>
          <w:rFonts w:ascii="Arial" w:cs="Arial" w:eastAsia="Arial" w:hAnsi="Arial"/>
          <w:sz w:val="18"/>
          <w:szCs w:val="18"/>
          <w:color w:val="auto"/>
        </w:rPr>
        <w:t>” has the meaning set forth in Article V.W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VI.G</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Entity</w:t>
      </w:r>
      <w:r>
        <w:rPr>
          <w:rFonts w:ascii="Arial" w:cs="Arial" w:eastAsia="Arial" w:hAnsi="Arial"/>
          <w:sz w:val="18"/>
          <w:szCs w:val="18"/>
          <w:color w:val="auto"/>
        </w:rPr>
        <w:t>” means an “entity” as defined in section 101(15) of the Bankruptcy Code.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Interest</w:t>
      </w:r>
      <w:r>
        <w:rPr>
          <w:rFonts w:ascii="Arial" w:cs="Arial" w:eastAsia="Arial" w:hAnsi="Arial"/>
          <w:sz w:val="16"/>
          <w:szCs w:val="16"/>
          <w:color w:val="auto"/>
        </w:rPr>
        <w:t>” means (a) any Equity Security or other ownership interest in any Debtor, including, without limitation, all issued, unissued, authorized or outstanding units, shares of stock and other ownership interests, together with (i) any options, warrants or contractual rights to purchase or acquire any such Equity Securities at any time with respect to any Debtor, and all rights arising with respect thereto and (ii) the rights of any Person or Entity to purchase or demand the issuance of any of the foregoing and will include: (1) conversion, exchange, voting, participation, and dividend rights;</w:t>
      </w:r>
    </w:p>
    <w:p>
      <w:pPr>
        <w:spacing w:after="0" w:line="2" w:lineRule="exact"/>
        <w:rPr>
          <w:sz w:val="20"/>
          <w:szCs w:val="20"/>
          <w:color w:val="auto"/>
        </w:rPr>
      </w:pPr>
    </w:p>
    <w:p>
      <w:pPr>
        <w:ind w:right="180" w:firstLine="8"/>
        <w:spacing w:after="0" w:line="261" w:lineRule="auto"/>
        <w:tabs>
          <w:tab w:leader="none" w:pos="25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liquidation preferences; (3) options, warrants, and call and put rights; (4) share-appreciation rights; and (5) all Unexercised Equity Interests; and (b) any 510(b) Equity Claim, in each case, as in existence immediately prior to the Effective Date.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83" w:name="page184"/>
    <w:bookmarkEnd w:id="1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Security</w:t>
      </w:r>
      <w:r>
        <w:rPr>
          <w:rFonts w:ascii="Arial" w:cs="Arial" w:eastAsia="Arial" w:hAnsi="Arial"/>
          <w:sz w:val="18"/>
          <w:szCs w:val="18"/>
          <w:color w:val="auto"/>
        </w:rPr>
        <w:t>” means an “equity security” as defined in section 101(16) of the Bankruptcy Code.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Estate(s)</w:t>
      </w:r>
      <w:r>
        <w:rPr>
          <w:rFonts w:ascii="Arial" w:cs="Arial" w:eastAsia="Arial" w:hAnsi="Arial"/>
          <w:sz w:val="18"/>
          <w:szCs w:val="18"/>
          <w:color w:val="auto"/>
        </w:rPr>
        <w:t>” means, individually, the estate of each of the Debtors and, collectively, the estates of all of the Debtors created under section 541 of the Bankruptcy Code.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15 U.S.C. §§ 78a </w:t>
      </w:r>
      <w:r>
        <w:rPr>
          <w:rFonts w:ascii="Arial" w:cs="Arial" w:eastAsia="Arial" w:hAnsi="Arial"/>
          <w:sz w:val="18"/>
          <w:szCs w:val="18"/>
          <w:i w:val="1"/>
          <w:iCs w:val="1"/>
          <w:color w:val="auto"/>
        </w:rPr>
        <w:t>et seq</w:t>
      </w:r>
      <w:r>
        <w:rPr>
          <w:rFonts w:ascii="Arial" w:cs="Arial" w:eastAsia="Arial" w:hAnsi="Arial"/>
          <w:sz w:val="18"/>
          <w:szCs w:val="18"/>
          <w:color w:val="auto"/>
        </w:rPr>
        <w:t>., as now in effect or hereafter amended, and any rules and regulations promulgated thereunder.</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Exculpated Parties</w:t>
      </w:r>
      <w:r>
        <w:rPr>
          <w:rFonts w:ascii="Arial" w:cs="Arial" w:eastAsia="Arial" w:hAnsi="Arial"/>
          <w:sz w:val="16"/>
          <w:szCs w:val="16"/>
          <w:color w:val="auto"/>
        </w:rPr>
        <w:t>” means, collectively: (a) the Debtors; (b) the Reorganized Debtors; (c) the Prepetition Agents; (d) the New Senior Unsecured Notes Indenture Trustee; (e) the DIP Agent; (f) the DIP Lenders; (g) the Prepetition Notes Indenture Trustee; (h) the Ad Hoc Noteholder Committee and the members thereof in their capacities as such; (i) the Consenting Noteholders; (j) the Backstop Parties; (k) the Distribution Agents; (l) the Exit Facility Lenders;</w:t>
      </w:r>
    </w:p>
    <w:p>
      <w:pPr>
        <w:ind w:right="120" w:firstLine="8"/>
        <w:spacing w:after="0" w:line="261" w:lineRule="auto"/>
        <w:tabs>
          <w:tab w:leader="none" w:pos="30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Exit Facility Agent, and (n) with respect to each of the foregoing Entities in clauses (a) through (m), each such Entity’s Related Persons, in each case solely in their capacity as such.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Exculpation</w:t>
      </w:r>
      <w:r>
        <w:rPr>
          <w:rFonts w:ascii="Arial" w:cs="Arial" w:eastAsia="Arial" w:hAnsi="Arial"/>
          <w:sz w:val="18"/>
          <w:szCs w:val="18"/>
          <w:color w:val="auto"/>
        </w:rPr>
        <w:t xml:space="preserve">” means the exculpation provision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F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Executory Contract</w:t>
      </w:r>
      <w:r>
        <w:rPr>
          <w:rFonts w:ascii="Arial" w:cs="Arial" w:eastAsia="Arial" w:hAnsi="Arial"/>
          <w:sz w:val="16"/>
          <w:szCs w:val="16"/>
          <w:color w:val="auto"/>
        </w:rPr>
        <w:t>” means a contract to which any Debtor is a party that is subject to assumption or rejection under section 365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Exhibit</w:t>
      </w:r>
      <w:r>
        <w:rPr>
          <w:rFonts w:ascii="Arial" w:cs="Arial" w:eastAsia="Arial" w:hAnsi="Arial"/>
          <w:sz w:val="18"/>
          <w:szCs w:val="18"/>
          <w:color w:val="auto"/>
        </w:rPr>
        <w:t>” means an exhibit annexed to either this Plan or as an appendix to the Disclosure Statement (as such exhibits are amended, modified or otherwise supplemented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Common Stock</w:t>
      </w:r>
      <w:r>
        <w:rPr>
          <w:rFonts w:ascii="Arial" w:cs="Arial" w:eastAsia="Arial" w:hAnsi="Arial"/>
          <w:sz w:val="18"/>
          <w:szCs w:val="18"/>
          <w:color w:val="auto"/>
        </w:rPr>
        <w:t>” means all ordinary shares of $0.0001 each in share capital of Weatherford Parent issued and outstanding immediately prior to the Effective Date.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w:t>
      </w:r>
      <w:r>
        <w:rPr>
          <w:rFonts w:ascii="Arial" w:cs="Arial" w:eastAsia="Arial" w:hAnsi="Arial"/>
          <w:sz w:val="18"/>
          <w:szCs w:val="18"/>
          <w:color w:val="auto"/>
        </w:rPr>
        <w:t>” means the secured revolving credit facility in the principal amount of up to $1,000,000,000, including a letter of credit sublimit of $500,000,000, as contemplated under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Agent</w:t>
      </w:r>
      <w:r>
        <w:rPr>
          <w:rFonts w:ascii="Arial" w:cs="Arial" w:eastAsia="Arial" w:hAnsi="Arial"/>
          <w:sz w:val="17"/>
          <w:szCs w:val="17"/>
          <w:color w:val="auto"/>
        </w:rPr>
        <w:t>” means the administrative agent and collateral agent under the Exit Facility Credit Agreement, solely in its capacity as such.</w:t>
      </w:r>
    </w:p>
    <w:p>
      <w:pPr>
        <w:spacing w:after="0" w:line="23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Credit Agreement</w:t>
      </w:r>
      <w:r>
        <w:rPr>
          <w:rFonts w:ascii="Arial" w:cs="Arial" w:eastAsia="Arial" w:hAnsi="Arial"/>
          <w:sz w:val="17"/>
          <w:szCs w:val="17"/>
          <w:color w:val="auto"/>
        </w:rPr>
        <w:t>” means the credit agreement, in substantially the form as Filed with the Plan Supplement, the terms and conditions of which are acceptable to the Debtors and the Consenting Noteholders in the manner set forth in the Restructuring Support Agreement.</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Lenders</w:t>
      </w:r>
      <w:r>
        <w:rPr>
          <w:rFonts w:ascii="Arial" w:cs="Arial" w:eastAsia="Arial" w:hAnsi="Arial"/>
          <w:sz w:val="17"/>
          <w:szCs w:val="17"/>
          <w:color w:val="auto"/>
        </w:rPr>
        <w:t>” means each of the lenders under the Exit Facility Credit Agreement, solely in their respective capacities as such.</w:t>
      </w:r>
    </w:p>
    <w:p>
      <w:pPr>
        <w:spacing w:after="0" w:line="2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Loan Documents</w:t>
      </w:r>
      <w:r>
        <w:rPr>
          <w:rFonts w:ascii="Arial" w:cs="Arial" w:eastAsia="Arial" w:hAnsi="Arial"/>
          <w:sz w:val="18"/>
          <w:szCs w:val="18"/>
          <w:color w:val="auto"/>
        </w:rPr>
        <w:t>” means the Exit Facility Credit Agreement, and other documents (including UCC financing statements), contracts, and agreements entered into with respect to, or in connection with,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w:t>
      </w:r>
      <w:r>
        <w:rPr>
          <w:rFonts w:ascii="Arial" w:cs="Arial" w:eastAsia="Arial" w:hAnsi="Arial"/>
          <w:sz w:val="18"/>
          <w:szCs w:val="18"/>
          <w:color w:val="auto"/>
        </w:rPr>
        <w:t>” or “</w:t>
      </w:r>
      <w:r>
        <w:rPr>
          <w:rFonts w:ascii="Arial" w:cs="Arial" w:eastAsia="Arial" w:hAnsi="Arial"/>
          <w:sz w:val="18"/>
          <w:szCs w:val="18"/>
          <w:i w:val="1"/>
          <w:iCs w:val="1"/>
          <w:color w:val="auto"/>
        </w:rPr>
        <w:t>Filed</w:t>
      </w:r>
      <w:r>
        <w:rPr>
          <w:rFonts w:ascii="Arial" w:cs="Arial" w:eastAsia="Arial" w:hAnsi="Arial"/>
          <w:sz w:val="18"/>
          <w:szCs w:val="18"/>
          <w:color w:val="auto"/>
        </w:rPr>
        <w:t>” or “</w:t>
      </w:r>
      <w:r>
        <w:rPr>
          <w:rFonts w:ascii="Arial" w:cs="Arial" w:eastAsia="Arial" w:hAnsi="Arial"/>
          <w:sz w:val="18"/>
          <w:szCs w:val="18"/>
          <w:i w:val="1"/>
          <w:iCs w:val="1"/>
          <w:color w:val="auto"/>
        </w:rPr>
        <w:t>Filing</w:t>
      </w:r>
      <w:r>
        <w:rPr>
          <w:rFonts w:ascii="Arial" w:cs="Arial" w:eastAsia="Arial" w:hAnsi="Arial"/>
          <w:sz w:val="18"/>
          <w:szCs w:val="18"/>
          <w:color w:val="auto"/>
        </w:rPr>
        <w:t>” means file, filed or filing with the Bankruptcy Court or its authorized designee in the Chapter 11 Cases.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4" w:name="page185"/>
    <w:bookmarkEnd w:id="184"/>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Order</w:t>
      </w:r>
      <w:r>
        <w:rPr>
          <w:rFonts w:ascii="Arial" w:cs="Arial" w:eastAsia="Arial" w:hAnsi="Arial"/>
          <w:sz w:val="17"/>
          <w:szCs w:val="17"/>
          <w:color w:val="auto"/>
        </w:rPr>
        <w:t xml:space="preserve">” means an order or judgment of the Bankruptcy Court, or court of competent jurisdiction with respect to the subject matter, as entered on the docket in any Chapter 11 Case or the docket of any court of competent jurisdiction, and as to which the time to appeal, or seek certiorari or move for a new trial, reargument, or rehearing has expired and no appeal or petition for certiorari or other proceedings for a new trial, reargument, or rehearing has been timely taken, or as to which any appeal that has been taken or any petition for certiorari that has been or may be timely Filed has been withdrawn or resolved by the highest court to which the order or judgment was appealed or from which certiorari was sought or the new trial, reargument, or rehearing will have been denied, resulted in no stay pending appeal of such order, or has otherwise been dismissed with prejudice;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possibility that a motion under Rule 60 of the Federal Rules of Civil Procedure, or any analogous rule under the Bankruptcy Rules, may be filed with respect to such order will not preclude such order from being a Final Order.</w:t>
      </w:r>
    </w:p>
    <w:p>
      <w:pPr>
        <w:spacing w:after="0" w:line="17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General Unsecured Claim</w:t>
      </w:r>
      <w:r>
        <w:rPr>
          <w:rFonts w:ascii="Arial" w:cs="Arial" w:eastAsia="Arial" w:hAnsi="Arial"/>
          <w:sz w:val="17"/>
          <w:szCs w:val="17"/>
          <w:color w:val="auto"/>
        </w:rPr>
        <w:t>” means any Claim that is not a/an: Administrative Claim; DIP Facility Claim; Professional Fee Claim; Priority Tax Claim; Secured Tax Claim; Other Priority Claim; Other Secured Claim; Intercompany Claim; Prepetition Debt Claim; or 510(b) Equity Claim.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Unit</w:t>
      </w:r>
      <w:r>
        <w:rPr>
          <w:rFonts w:ascii="Arial" w:cs="Arial" w:eastAsia="Arial" w:hAnsi="Arial"/>
          <w:sz w:val="18"/>
          <w:szCs w:val="18"/>
          <w:color w:val="auto"/>
        </w:rPr>
        <w:t>” means a “governmental unit” as defined in section 101(27)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either a Prepetition Noteholder or an Entity holding a Claim or Equity Interest, as the context requires.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Impaired</w:t>
      </w:r>
      <w:r>
        <w:rPr>
          <w:rFonts w:ascii="Arial" w:cs="Arial" w:eastAsia="Arial" w:hAnsi="Arial"/>
          <w:sz w:val="18"/>
          <w:szCs w:val="18"/>
          <w:color w:val="auto"/>
        </w:rPr>
        <w:t>” means, when used in reference to a Claim or Equity Interest, a Claim or Equity Interest that is “impaired” within the meaning of section 1124 of the Bankruptcy Code.</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Indemnification Provisions</w:t>
      </w:r>
      <w:r>
        <w:rPr>
          <w:rFonts w:ascii="Arial" w:cs="Arial" w:eastAsia="Arial" w:hAnsi="Arial"/>
          <w:sz w:val="17"/>
          <w:szCs w:val="17"/>
          <w:color w:val="auto"/>
        </w:rPr>
        <w:t>” means, collectively, each of the provisions in existence as of the Effective Date (whether in bylaws, certificates of formation or incorporation, board resolutions, employment contracts or otherwise) whereby any Debtor agrees to indemnify, reimburse, provide contribution or advance fees and expenses to or for the benefit of, defend, exculpate, or limit the liability of, any Indemnified Party.</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means each of the Debtors’ and their respective Subsidiaries’ respective current and former directors, officers, and managers in their respective capacities as such.</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Distribution Date</w:t>
      </w:r>
      <w:r>
        <w:rPr>
          <w:rFonts w:ascii="Arial" w:cs="Arial" w:eastAsia="Arial" w:hAnsi="Arial"/>
          <w:sz w:val="18"/>
          <w:szCs w:val="18"/>
          <w:color w:val="auto"/>
        </w:rPr>
        <w:t xml:space="preserve">” means the date that is as soon as practicable after the Effective Date, but no later than five (5) Business Days after the Effective Date, when, subject to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distributions under this Plan will be made to Holders of Allowed Claims and Allowed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applicable distributions under this Plan on account of the DIP Facility Claims and the Prepetition Debt Claims will be made to the applicable Distribution Agent on the Effective Date, and each such Distribution Agent will make its respective distributions as soon as practicable thereafter.</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Contract</w:t>
      </w:r>
      <w:r>
        <w:rPr>
          <w:rFonts w:ascii="Arial" w:cs="Arial" w:eastAsia="Arial" w:hAnsi="Arial"/>
          <w:sz w:val="18"/>
          <w:szCs w:val="18"/>
          <w:color w:val="auto"/>
        </w:rPr>
        <w:t>” means all insurance policies and all surety bonds and related agreements of indemnity that have been issued at any time to, or provide coverage to, any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5" w:name="page186"/>
    <w:bookmarkEnd w:id="185"/>
    <w:p>
      <w:pPr>
        <w:ind w:right="540"/>
        <w:spacing w:after="0" w:line="277" w:lineRule="auto"/>
        <w:rPr>
          <w:sz w:val="20"/>
          <w:szCs w:val="20"/>
          <w:color w:val="auto"/>
        </w:rPr>
      </w:pPr>
      <w:r>
        <w:rPr>
          <w:rFonts w:ascii="Arial" w:cs="Arial" w:eastAsia="Arial" w:hAnsi="Arial"/>
          <w:sz w:val="18"/>
          <w:szCs w:val="18"/>
          <w:color w:val="auto"/>
        </w:rPr>
        <w:t>Debtors and all agreements, documents, or instruments relating thereto. For the avoidance of doubt, each of the D&amp;O Liability Insurance Policies will constitute an Insurance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Claim</w:t>
      </w:r>
      <w:r>
        <w:rPr>
          <w:rFonts w:ascii="Arial" w:cs="Arial" w:eastAsia="Arial" w:hAnsi="Arial"/>
          <w:sz w:val="18"/>
          <w:szCs w:val="18"/>
          <w:color w:val="auto"/>
        </w:rPr>
        <w:t>” means any Claim against any of the Debtors held by another Debtor, other than an Administrative Claim.</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Equity Interest</w:t>
      </w:r>
      <w:r>
        <w:rPr>
          <w:rFonts w:ascii="Arial" w:cs="Arial" w:eastAsia="Arial" w:hAnsi="Arial"/>
          <w:sz w:val="18"/>
          <w:szCs w:val="18"/>
          <w:color w:val="auto"/>
        </w:rPr>
        <w:t>” means direct and indirect Equity Interests in a Debtor other than Weatherford Parent held by another Debtor or an affiliate of a Debtor.</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Irish Examinership Proceedings</w:t>
      </w:r>
      <w:r>
        <w:rPr>
          <w:rFonts w:ascii="Arial" w:cs="Arial" w:eastAsia="Arial" w:hAnsi="Arial"/>
          <w:sz w:val="18"/>
          <w:szCs w:val="18"/>
          <w:color w:val="auto"/>
        </w:rPr>
        <w:t>” means the examinership process under the Companies Act 2014 of Ireland (as amended) with respect to, and commenced by, Weatherford Parent.</w:t>
      </w:r>
    </w:p>
    <w:p>
      <w:pPr>
        <w:spacing w:after="0" w:line="170" w:lineRule="exact"/>
        <w:rPr>
          <w:sz w:val="20"/>
          <w:szCs w:val="20"/>
          <w:color w:val="auto"/>
        </w:rPr>
      </w:pPr>
    </w:p>
    <w:p>
      <w:pPr>
        <w:ind w:right="140" w:firstLine="68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Irish Scheme of Arrangement</w:t>
      </w:r>
      <w:r>
        <w:rPr>
          <w:rFonts w:ascii="Arial" w:cs="Arial" w:eastAsia="Arial" w:hAnsi="Arial"/>
          <w:sz w:val="16"/>
          <w:szCs w:val="16"/>
          <w:color w:val="auto"/>
        </w:rPr>
        <w:t>” means the scheme of arrangement with respect to Weatherford Parent submitted by the examiner of Weatherford Parent in the Irish Examinership Proceedings which is in form and substance acceptable to the Required Consenting Noteholders, and, to the extent required by the DIP Credit Agreement, the DIP Agent and the DIP Required Lenders, and on terms consistent with this Plan in all material respects.</w:t>
      </w:r>
    </w:p>
    <w:p>
      <w:pPr>
        <w:spacing w:after="0" w:line="14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 “lien” as defined in section 101(37) of the Bankruptcy Code, and, with respect to any property or asset, includes, without limitation, any mortgage, lien, pledge, charge, security interest or other encumbrance of any kind, or any other type of preferential arrangement that has the practical effect of creating a security interest, in respect of such property or asset.</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Litigation Claims</w:t>
      </w:r>
      <w:r>
        <w:rPr>
          <w:rFonts w:ascii="Arial" w:cs="Arial" w:eastAsia="Arial" w:hAnsi="Arial"/>
          <w:sz w:val="16"/>
          <w:szCs w:val="16"/>
          <w:color w:val="auto"/>
        </w:rPr>
        <w:t>” means the claims, rights of action, suits or proceedings, whether in law or in equity, whether known or unknown, that any Debtor or any Estate may hold against any Person or Entity, including, without limitation, the Causes of Action of the Debtors or their Estates, in each case solely to the extent of the Debtors’ or their Estates’ interest therein. A non-exclusive list of the Litigation Claims held by the Debtors as of the Effective Date will be Filed with the Plan Supplement, which will be deemed to include any derivative actions filed against any Debtor as of the Effective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Local Rules</w:t>
      </w:r>
      <w:r>
        <w:rPr>
          <w:rFonts w:ascii="Arial" w:cs="Arial" w:eastAsia="Arial" w:hAnsi="Arial"/>
          <w:sz w:val="17"/>
          <w:szCs w:val="17"/>
          <w:color w:val="auto"/>
        </w:rPr>
        <w:t>” means the Local Rules of Bankruptcy Practice and Procedure of the United States Bankruptcy Court for the Southern District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Board</w:t>
      </w:r>
      <w:r>
        <w:rPr>
          <w:rFonts w:ascii="Arial" w:cs="Arial" w:eastAsia="Arial" w:hAnsi="Arial"/>
          <w:sz w:val="18"/>
          <w:szCs w:val="18"/>
          <w:color w:val="auto"/>
        </w:rPr>
        <w:t>” means the initial board of directors of Reorganized Parent to be put in place on and as of the Effective Date in accordance with the Restructuring Support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Common Stock</w:t>
      </w:r>
      <w:r>
        <w:rPr>
          <w:rFonts w:ascii="Arial" w:cs="Arial" w:eastAsia="Arial" w:hAnsi="Arial"/>
          <w:sz w:val="18"/>
          <w:szCs w:val="18"/>
          <w:color w:val="auto"/>
        </w:rPr>
        <w:t>” means the ordinary shares in the share capital of Reorganized Parent to be issued pursuant to this Plan and the Irish Scheme of Arrangement (and subject to the Restructuring Transactions) and the Amended/New Corporate Governance Documents.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Management Incentive Plan</w:t>
      </w:r>
      <w:r>
        <w:rPr>
          <w:rFonts w:ascii="Arial" w:cs="Arial" w:eastAsia="Arial" w:hAnsi="Arial"/>
          <w:sz w:val="18"/>
          <w:szCs w:val="18"/>
          <w:color w:val="auto"/>
        </w:rPr>
        <w:t>” means a post-Effective Date equity incentive plan providing for the issuance from time to time, as approved by the New Board, of equity and equity-based awards with respect to New Common Stock in the aggregate and on a fully-diluted basis, of up to five percent (5%) of the New Common Stock issued or to be issued as of the Effective Date.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Rights Agreement</w:t>
      </w:r>
      <w:r>
        <w:rPr>
          <w:rFonts w:ascii="Arial" w:cs="Arial" w:eastAsia="Arial" w:hAnsi="Arial"/>
          <w:sz w:val="18"/>
          <w:szCs w:val="18"/>
          <w:color w:val="auto"/>
        </w:rPr>
        <w:t>” means the registration rights agreement with respect to the New Common Stock, in substantially the form Filed with the Plan Supplement,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agreement will contain terms and conditions as are acceptable to the Required Consenting Noteholders in their sole discretion.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Senior Unsecured Notes</w:t>
      </w:r>
      <w:r>
        <w:rPr>
          <w:rFonts w:ascii="Arial" w:cs="Arial" w:eastAsia="Arial" w:hAnsi="Arial"/>
          <w:sz w:val="16"/>
          <w:szCs w:val="16"/>
          <w:color w:val="auto"/>
        </w:rPr>
        <w:t>” means, collectively, the New Tranche A Senior Unsecured Notes and the New Tranche B Senior Unsecured Notes.</w:t>
      </w:r>
    </w:p>
    <w:p>
      <w:pPr>
        <w:spacing w:after="0" w:line="248"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Documents</w:t>
      </w:r>
      <w:r>
        <w:rPr>
          <w:rFonts w:ascii="Arial" w:cs="Arial" w:eastAsia="Arial" w:hAnsi="Arial"/>
          <w:sz w:val="17"/>
          <w:szCs w:val="17"/>
          <w:color w:val="auto"/>
        </w:rPr>
        <w:t>” means the New Senior Unsecured Notes, the New Senior Unsecured Notes Indentures, and other documents, contracts, and agreements entered into with respect, or in connection with, the New Senior Unsecured Notes Indentures.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Senior Unsecured Notes Indentures</w:t>
      </w:r>
      <w:r>
        <w:rPr>
          <w:rFonts w:ascii="Arial" w:cs="Arial" w:eastAsia="Arial" w:hAnsi="Arial"/>
          <w:sz w:val="18"/>
          <w:szCs w:val="18"/>
          <w:color w:val="auto"/>
        </w:rPr>
        <w:t>” means, collectively, the New Tranche A Senior Unsecured Notes Indentures and New Tranche B Senior Unsecured Notes Indentures.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Indenture Trustee</w:t>
      </w:r>
      <w:r>
        <w:rPr>
          <w:rFonts w:ascii="Arial" w:cs="Arial" w:eastAsia="Arial" w:hAnsi="Arial"/>
          <w:sz w:val="17"/>
          <w:szCs w:val="17"/>
          <w:color w:val="auto"/>
        </w:rPr>
        <w:t>” means the indenture trustee under each of the New Senior Unsecured Notes Indentures.</w:t>
      </w:r>
    </w:p>
    <w:p>
      <w:pPr>
        <w:spacing w:after="0" w:line="23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Tranche A Senior Unsecured Notes</w:t>
      </w:r>
      <w:r>
        <w:rPr>
          <w:rFonts w:ascii="Arial" w:cs="Arial" w:eastAsia="Arial" w:hAnsi="Arial"/>
          <w:sz w:val="17"/>
          <w:szCs w:val="17"/>
          <w:color w:val="auto"/>
        </w:rPr>
        <w:t>” means the new senior unsecured notes to be issued by Reorganized Weatherford Delaware and Reorganized Weatherford Bermuda on the Effective Date pursuant to the Rights Offering in an aggregate principal amount of $1,250,000,000 which will have a five year maturity, the subscription for which in the Rights Offering, pursuant to the Backstop Commitment Agreement, will be fully backstopped by the Backstop Parties, and will have the terms set forth in the New Tranche A Senior Unsecured Notes Indentures.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A Senior Unsecured Notes Indentures</w:t>
      </w:r>
      <w:r>
        <w:rPr>
          <w:rFonts w:ascii="Arial" w:cs="Arial" w:eastAsia="Arial" w:hAnsi="Arial"/>
          <w:sz w:val="18"/>
          <w:szCs w:val="18"/>
          <w:color w:val="auto"/>
        </w:rPr>
        <w:t>” means the indenture or indentures governing the New Tranche A Senior Unsecured Notes, in substantially the form Filed with the Plan Supplement, which indenture or indentures will contain terms and conditions consistent with the Restructuring Support Agreement and otherwise acceptable to the initial holders of the New Tranche A Senior Unsecured Notes and the Debtors, and otherwise reasonably acceptable to the Required Consenting Noteholders.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w:t>
      </w:r>
      <w:r>
        <w:rPr>
          <w:rFonts w:ascii="Arial" w:cs="Arial" w:eastAsia="Arial" w:hAnsi="Arial"/>
          <w:sz w:val="18"/>
          <w:szCs w:val="18"/>
          <w:color w:val="auto"/>
        </w:rPr>
        <w:t>” means the new senior unsecured notes to be issued by Reorganized Weatherford Delaware and Reorganized Weatherford Bermuda on the Effective Date in an aggregate principal amount of $1,250,000,000, which will have a seven year maturity and will have the terms set forth in the New Tranche B Senior Unsecured Notes Indentures.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 Indentures</w:t>
      </w:r>
      <w:r>
        <w:rPr>
          <w:rFonts w:ascii="Arial" w:cs="Arial" w:eastAsia="Arial" w:hAnsi="Arial"/>
          <w:sz w:val="18"/>
          <w:szCs w:val="18"/>
          <w:color w:val="auto"/>
        </w:rPr>
        <w:t>” means the indentures governing the New Tranche B Senior Unsecured Notes, in substantially the form Filed with the Plan Supplement, which indentures will contain terms and conditions as are consistent with the Restructuring Support Agreement and otherwise acceptable to the Debtors and the Required Consenting Noteholders.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Warrants</w:t>
      </w:r>
      <w:r>
        <w:rPr>
          <w:rFonts w:ascii="Arial" w:cs="Arial" w:eastAsia="Arial" w:hAnsi="Arial"/>
          <w:sz w:val="18"/>
          <w:szCs w:val="18"/>
          <w:color w:val="auto"/>
        </w:rPr>
        <w:t>” means the warrants contemplated under the New Warrant Agreement.</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Warrant Agreement</w:t>
      </w:r>
      <w:r>
        <w:rPr>
          <w:rFonts w:ascii="Arial" w:cs="Arial" w:eastAsia="Arial" w:hAnsi="Arial"/>
          <w:sz w:val="17"/>
          <w:szCs w:val="17"/>
          <w:color w:val="auto"/>
        </w:rPr>
        <w:t>” means the documents governing the New Warrants, Filed with the Plan Supplement, which will be consistent in all material respects with the New Warrant Term Sheet and reasonably acceptable to the Required Consenting Noteholders.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7" w:name="page188"/>
    <w:bookmarkEnd w:id="1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 Term Sheet</w:t>
      </w:r>
      <w:r>
        <w:rPr>
          <w:rFonts w:ascii="Arial" w:cs="Arial" w:eastAsia="Arial" w:hAnsi="Arial"/>
          <w:sz w:val="18"/>
          <w:szCs w:val="18"/>
          <w:color w:val="auto"/>
        </w:rPr>
        <w:t>” means the term sheet attached to the Disclosure Statement.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Non-Debtor Releasing Parties</w:t>
      </w:r>
      <w:r>
        <w:rPr>
          <w:rFonts w:ascii="Arial" w:cs="Arial" w:eastAsia="Arial" w:hAnsi="Arial"/>
          <w:sz w:val="17"/>
          <w:szCs w:val="17"/>
          <w:color w:val="auto"/>
        </w:rPr>
        <w:t>” means, collectively: (a) the Prepetition Agents; (b) the New Senior Unsecured Notes Indenture Trustee; (c) the DIP Agent; (d) the DIP Lenders; (e) the Prepetition Notes Indenture Trustee; (f) the Ad Hoc Noteholder Committee and the members thereof in their capacities as such; (g) the Consenting Noteholders; (h) the Backstop Parties; (i) the Distribution Agents; (j) the Exit Facility Lenders; (k) the Exit Facility Agent; (l) the Holders of Existing Common Stock and Unexercised Equity Interests that do not affirmatively opt out of the Release; and (m) the Prepetition Noteholders that are not party to the Restructuring Support Agreement and do not affirmatively opt out of the Release.</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XII.J</w:t>
      </w:r>
      <w:r>
        <w:rPr>
          <w:rFonts w:ascii="Arial" w:cs="Arial" w:eastAsia="Arial" w:hAnsi="Arial"/>
          <w:sz w:val="18"/>
          <w:szCs w:val="18"/>
          <w:color w:val="auto"/>
        </w:rPr>
        <w:t xml:space="preserve"> of this Plan.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Priority Claim</w:t>
      </w:r>
      <w:r>
        <w:rPr>
          <w:rFonts w:ascii="Arial" w:cs="Arial" w:eastAsia="Arial" w:hAnsi="Arial"/>
          <w:sz w:val="18"/>
          <w:szCs w:val="18"/>
          <w:color w:val="auto"/>
        </w:rPr>
        <w:t>” means any Claim accorded priority in right of payment under section 507(a) of the Bankruptcy Code, other than a Priority Tax Claim or an Administrative Claim or a DIP Facility Claim.</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Secured Claim</w:t>
      </w:r>
      <w:r>
        <w:rPr>
          <w:rFonts w:ascii="Arial" w:cs="Arial" w:eastAsia="Arial" w:hAnsi="Arial"/>
          <w:sz w:val="18"/>
          <w:szCs w:val="18"/>
          <w:color w:val="auto"/>
        </w:rPr>
        <w:t>” means any Secured Claim other than an Administrative Claim, Secured Tax Claim, DIP Facility Claim, or Prepetition Credit Agreement Claim.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Overallotment Right</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Holder</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Subsidiary</w:t>
      </w:r>
      <w:r>
        <w:rPr>
          <w:rFonts w:ascii="Arial" w:cs="Arial" w:eastAsia="Arial" w:hAnsi="Arial"/>
          <w:sz w:val="18"/>
          <w:szCs w:val="18"/>
          <w:color w:val="auto"/>
        </w:rPr>
        <w:t>” means each direct and indirect, wholly-owned subsidiary of Weatherford Parent.</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defined in section 101(41) of the Bankruptcy Code and also includes any natural person, corporation, general or limited partnership, limited liability company, firm, trust, association, government, governmental agency or other Entity, whether acting in an individual, fiduciary or other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Petition Date</w:t>
      </w:r>
      <w:r>
        <w:rPr>
          <w:rFonts w:ascii="Arial" w:cs="Arial" w:eastAsia="Arial" w:hAnsi="Arial"/>
          <w:sz w:val="18"/>
          <w:szCs w:val="18"/>
          <w:color w:val="auto"/>
        </w:rPr>
        <w:t>” means the date on which the Debtors commence the Chapter 11 Cases.</w:t>
      </w:r>
    </w:p>
    <w:p>
      <w:pPr>
        <w:spacing w:after="0" w:line="225" w:lineRule="exact"/>
        <w:rPr>
          <w:sz w:val="20"/>
          <w:szCs w:val="20"/>
          <w:color w:val="auto"/>
        </w:rPr>
      </w:pPr>
    </w:p>
    <w:p>
      <w:pPr>
        <w:ind w:right="28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Objection Deadline</w:t>
      </w:r>
      <w:r>
        <w:rPr>
          <w:rFonts w:ascii="Arial" w:cs="Arial" w:eastAsia="Arial" w:hAnsi="Arial"/>
          <w:sz w:val="18"/>
          <w:szCs w:val="18"/>
          <w:color w:val="auto"/>
        </w:rPr>
        <w:t>” means the date and time by which objections to Confirmation and Consummation of this Plan must be Filed with the Bankruptcy Court.</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Schedule</w:t>
      </w:r>
      <w:r>
        <w:rPr>
          <w:rFonts w:ascii="Arial" w:cs="Arial" w:eastAsia="Arial" w:hAnsi="Arial"/>
          <w:sz w:val="18"/>
          <w:szCs w:val="18"/>
          <w:color w:val="auto"/>
        </w:rPr>
        <w:t>” means a schedule annexed to this Plan or an appendix to the Disclosure Statement (as amended, modified or otherwise supplemented from time to time), which shall, to the extent required by the DIP Credit Agreement, be in form and substance satisfactory or reasonably satisfactory, as applicable, to the DIP Agent and the Required DIP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 and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Supplement</w:t>
      </w:r>
      <w:r>
        <w:rPr>
          <w:rFonts w:ascii="Arial" w:cs="Arial" w:eastAsia="Arial" w:hAnsi="Arial"/>
          <w:sz w:val="18"/>
          <w:szCs w:val="18"/>
          <w:color w:val="auto"/>
        </w:rPr>
        <w:t>” means, collectively, the compilation of documents and forms of documents, and all exhibits, attachments, schedules, agreements, documents and instruments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8" w:name="page189"/>
    <w:bookmarkEnd w:id="188"/>
    <w:p>
      <w:pPr>
        <w:spacing w:after="0" w:line="293" w:lineRule="auto"/>
        <w:rPr>
          <w:sz w:val="20"/>
          <w:szCs w:val="20"/>
          <w:color w:val="auto"/>
        </w:rPr>
      </w:pPr>
      <w:r>
        <w:rPr>
          <w:rFonts w:ascii="Arial" w:cs="Arial" w:eastAsia="Arial" w:hAnsi="Arial"/>
          <w:sz w:val="16"/>
          <w:szCs w:val="16"/>
          <w:color w:val="auto"/>
        </w:rPr>
        <w:t>referred to therein, ancillary or otherwise, including, without limitation, the Exhibits and Plan Schedules, all of which shall, to the extent required by the DIP Credit Agreement, be in form and substance satisfactory or reasonably satisfactory, as applicable, to the DIP Agent and the DIP Required Lenders and are incorporated by reference into, and are an integral part of, this Plan, as all of the same may be amended, supplemented, or modified from time to time, in a manner in form and substance consistent in all respects with the Restructuring Support Agreement and to the extent required by the DIP Credit Agreement, in form and substance satisfactory or reasonably satisfactory, as applicable, to the DIP Agent and the Required DIP Lenders. The Exhibits and Plan Schedules (or substantially final forms thereof) will be Filed with the Bankruptcy Court at least seven (7) days prior to the Confirmation Hearing.</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Agents</w:t>
      </w:r>
      <w:r>
        <w:rPr>
          <w:rFonts w:ascii="Arial" w:cs="Arial" w:eastAsia="Arial" w:hAnsi="Arial"/>
          <w:sz w:val="18"/>
          <w:szCs w:val="18"/>
          <w:color w:val="auto"/>
        </w:rPr>
        <w:t>” means, collectively, the Prepetition A&amp;R Credit Agreement Agent, the Prepetition Revolving Credit Agreement Agent, and the Prepetition Term Loan Agreement Agent.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w:t>
      </w:r>
      <w:r>
        <w:rPr>
          <w:rFonts w:ascii="Arial" w:cs="Arial" w:eastAsia="Arial" w:hAnsi="Arial"/>
          <w:sz w:val="18"/>
          <w:szCs w:val="18"/>
          <w:color w:val="auto"/>
        </w:rPr>
        <w:t>” means that certain Amended and Restated Credit Agreement, dated as of May 9, 2016, by and among Weatherford International Ltd., Weatherford International plc, WOFS Assurance Limited, the Prepetition A&amp;R Credit Agreement Agent, and the Prepetition A&amp;R Credit Agreement Lenders, as amended, supplemented, or modified from time to time prior to the Petition Date.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A&amp;R Claims</w:t>
      </w:r>
      <w:r>
        <w:rPr>
          <w:rFonts w:ascii="Arial" w:cs="Arial" w:eastAsia="Arial" w:hAnsi="Arial"/>
          <w:sz w:val="16"/>
          <w:szCs w:val="16"/>
          <w:color w:val="auto"/>
        </w:rPr>
        <w:t>” means any and all Claims arising from, under or in connection with the Prepetition A&amp;R Credit Agreement (including, without limitation, any and all “Indebtedness” as defined therein) or any other Prepetition Loan Document relating to the Prepetition A&amp;R Credit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Lenders</w:t>
      </w:r>
      <w:r>
        <w:rPr>
          <w:rFonts w:ascii="Arial" w:cs="Arial" w:eastAsia="Arial" w:hAnsi="Arial"/>
          <w:sz w:val="18"/>
          <w:szCs w:val="18"/>
          <w:color w:val="auto"/>
        </w:rPr>
        <w:t>” means the lenders party to the Prepetition A&amp;R Credit Agreement from time to time.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Debt Claims</w:t>
      </w:r>
      <w:r>
        <w:rPr>
          <w:rFonts w:ascii="Arial" w:cs="Arial" w:eastAsia="Arial" w:hAnsi="Arial"/>
          <w:sz w:val="18"/>
          <w:szCs w:val="18"/>
          <w:color w:val="auto"/>
        </w:rPr>
        <w:t>” means, collectively, the Prepetition A&amp;R Credit Agreement Claims, the Prepetition Revolving Credit Agreement Claims, the Prepetition Term Loan Agreement Claims, and the Prepetition Notes Claims.</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Debt Documents</w:t>
      </w:r>
      <w:r>
        <w:rPr>
          <w:rFonts w:ascii="Arial" w:cs="Arial" w:eastAsia="Arial" w:hAnsi="Arial"/>
          <w:sz w:val="17"/>
          <w:szCs w:val="17"/>
          <w:color w:val="auto"/>
        </w:rPr>
        <w:t>” means, collectively, the Prepetition A&amp;R Credit Agreement, the Prepetition Revolving Credit Agreement, the Prepetition Term Loan Agreement, the Prepetition Loan Documents, the Prepetition Notes, and the Prepetition Notes Indentures.</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Loan Documents</w:t>
      </w:r>
      <w:r>
        <w:rPr>
          <w:rFonts w:ascii="Arial" w:cs="Arial" w:eastAsia="Arial" w:hAnsi="Arial"/>
          <w:sz w:val="18"/>
          <w:szCs w:val="18"/>
          <w:color w:val="auto"/>
        </w:rPr>
        <w:t>” means, as applicable, the “Loan Documents” as defined in the Prepetition A&amp;R Credit Agreement, the Prepetition Revolving Credit Agreement, and the Prepetition Term Loan Agreement, in each case as amended, supplemented, or modified from time to time prior to the Petition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Noteholders</w:t>
      </w:r>
      <w:r>
        <w:rPr>
          <w:rFonts w:ascii="Arial" w:cs="Arial" w:eastAsia="Arial" w:hAnsi="Arial"/>
          <w:sz w:val="18"/>
          <w:szCs w:val="18"/>
          <w:color w:val="auto"/>
        </w:rPr>
        <w:t>” means, collectively, the record holders of and owners of beneficial interests in the Prepetition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89" w:name="page190"/>
    <w:bookmarkEnd w:id="18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w:t>
      </w:r>
      <w:r>
        <w:rPr>
          <w:rFonts w:ascii="Arial" w:cs="Arial" w:eastAsia="Arial" w:hAnsi="Arial"/>
          <w:sz w:val="16"/>
          <w:szCs w:val="16"/>
          <w:color w:val="auto"/>
        </w:rPr>
        <w:t>” means, collectively, (i) those certain 5.125% senior unsecured notes due 2020, issued by Weatherford International Ltd. pursuant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applicable Prepetition Notes Indenture, in an aggregate principal amount outstanding of $365,107,000 (the “</w:t>
      </w:r>
      <w:r>
        <w:rPr>
          <w:rFonts w:ascii="Arial" w:cs="Arial" w:eastAsia="Arial" w:hAnsi="Arial"/>
          <w:sz w:val="16"/>
          <w:szCs w:val="16"/>
          <w:i w:val="1"/>
          <w:iCs w:val="1"/>
          <w:u w:val="single" w:color="auto"/>
          <w:color w:val="auto"/>
        </w:rPr>
        <w:t>5.125% Notes</w:t>
      </w:r>
      <w:r>
        <w:rPr>
          <w:rFonts w:ascii="Arial" w:cs="Arial" w:eastAsia="Arial" w:hAnsi="Arial"/>
          <w:sz w:val="16"/>
          <w:szCs w:val="16"/>
          <w:color w:val="auto"/>
        </w:rPr>
        <w:t>”); (ii) those certain 7.750%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2021,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$750,000,000 (the “</w:t>
      </w:r>
      <w:r>
        <w:rPr>
          <w:rFonts w:ascii="Arial" w:cs="Arial" w:eastAsia="Arial" w:hAnsi="Arial"/>
          <w:sz w:val="16"/>
          <w:szCs w:val="16"/>
          <w:i w:val="1"/>
          <w:iCs w:val="1"/>
          <w:u w:val="single" w:color="auto"/>
          <w:color w:val="auto"/>
        </w:rPr>
        <w:t>7.750% Notes</w:t>
      </w:r>
      <w:r>
        <w:rPr>
          <w:rFonts w:ascii="Arial" w:cs="Arial" w:eastAsia="Arial" w:hAnsi="Arial"/>
          <w:sz w:val="16"/>
          <w:szCs w:val="16"/>
          <w:color w:val="auto"/>
        </w:rPr>
        <w:t>”); (iii) those certain 5.875% exchangeable senior unsecured notes due 2021, issued by Weatherford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pursuant to the applicable Prepetition Notes Indenture, in an aggregate principal amount outstanding of $1,265,000,000 (the “</w:t>
      </w:r>
      <w:r>
        <w:rPr>
          <w:rFonts w:ascii="Arial" w:cs="Arial" w:eastAsia="Arial" w:hAnsi="Arial"/>
          <w:sz w:val="17"/>
          <w:szCs w:val="17"/>
          <w:i w:val="1"/>
          <w:iCs w:val="1"/>
          <w:u w:val="single" w:color="auto"/>
          <w:color w:val="auto"/>
        </w:rPr>
        <w:t>5.875%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(iv) those certain 4.500% senior unsecured notes due 2022, issued by Weatherford International Ltd. pursuant to the applicable Prepetition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in an aggregate principal amount outstanding of $646,286,000 (the “</w:t>
      </w:r>
      <w:r>
        <w:rPr>
          <w:rFonts w:ascii="Arial" w:cs="Arial" w:eastAsia="Arial" w:hAnsi="Arial"/>
          <w:sz w:val="16"/>
          <w:szCs w:val="16"/>
          <w:i w:val="1"/>
          <w:iCs w:val="1"/>
          <w:u w:val="single" w:color="auto"/>
          <w:color w:val="auto"/>
        </w:rPr>
        <w:t>4.500% Notes</w:t>
      </w:r>
      <w:r>
        <w:rPr>
          <w:rFonts w:ascii="Arial" w:cs="Arial" w:eastAsia="Arial" w:hAnsi="Arial"/>
          <w:sz w:val="16"/>
          <w:szCs w:val="16"/>
          <w:color w:val="auto"/>
        </w:rPr>
        <w:t>”); (v) those certain 8.250% senior unsecured notes due 2023,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by Weatherford International Ltd.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$750,000,000 (the “</w:t>
      </w:r>
      <w:r>
        <w:rPr>
          <w:rFonts w:ascii="Arial" w:cs="Arial" w:eastAsia="Arial" w:hAnsi="Arial"/>
          <w:sz w:val="16"/>
          <w:szCs w:val="16"/>
          <w:i w:val="1"/>
          <w:iCs w:val="1"/>
          <w:u w:val="single" w:color="auto"/>
          <w:color w:val="auto"/>
        </w:rPr>
        <w:t>8.250% Notes</w:t>
      </w:r>
      <w:r>
        <w:rPr>
          <w:rFonts w:ascii="Arial" w:cs="Arial" w:eastAsia="Arial" w:hAnsi="Arial"/>
          <w:sz w:val="16"/>
          <w:szCs w:val="16"/>
          <w:color w:val="auto"/>
        </w:rPr>
        <w:t>”); (vi) those certain 9.875% senior unsecured notes due 2024, issued by Weatherford International Ltd.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Prepetition Notes Indenture, in an aggregate principal amount outstanding of $790,000,000 (the “</w:t>
      </w:r>
      <w:r>
        <w:rPr>
          <w:rFonts w:ascii="Arial" w:cs="Arial" w:eastAsia="Arial" w:hAnsi="Arial"/>
          <w:sz w:val="16"/>
          <w:szCs w:val="16"/>
          <w:i w:val="1"/>
          <w:iCs w:val="1"/>
          <w:u w:val="single" w:color="auto"/>
          <w:color w:val="auto"/>
        </w:rPr>
        <w:t>9.875% 2024 Notes</w:t>
      </w:r>
      <w:r>
        <w:rPr>
          <w:rFonts w:ascii="Arial" w:cs="Arial" w:eastAsia="Arial" w:hAnsi="Arial"/>
          <w:sz w:val="16"/>
          <w:szCs w:val="16"/>
          <w:color w:val="auto"/>
        </w:rPr>
        <w:t>”); (vii) those certain 6.500%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2036,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$453,045,000 (the “</w:t>
      </w:r>
      <w:r>
        <w:rPr>
          <w:rFonts w:ascii="Arial" w:cs="Arial" w:eastAsia="Arial" w:hAnsi="Arial"/>
          <w:sz w:val="16"/>
          <w:szCs w:val="16"/>
          <w:i w:val="1"/>
          <w:iCs w:val="1"/>
          <w:u w:val="single" w:color="auto"/>
          <w:color w:val="auto"/>
        </w:rPr>
        <w:t>6.500% Notes</w:t>
      </w:r>
      <w:r>
        <w:rPr>
          <w:rFonts w:ascii="Arial" w:cs="Arial" w:eastAsia="Arial" w:hAnsi="Arial"/>
          <w:sz w:val="16"/>
          <w:szCs w:val="16"/>
          <w:color w:val="auto"/>
        </w:rPr>
        <w:t>”); (viii) those certain 7.000% senior unsecured notes due 2038, issued by Weatherford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Ltd. pursuant to the applicable Prepetition Notes Indenture, in an aggregate principal amount outstanding of $461,300,000 (the “</w:t>
      </w:r>
      <w:r>
        <w:rPr>
          <w:rFonts w:ascii="Arial" w:cs="Arial" w:eastAsia="Arial" w:hAnsi="Arial"/>
          <w:sz w:val="16"/>
          <w:szCs w:val="16"/>
          <w:i w:val="1"/>
          <w:iCs w:val="1"/>
          <w:u w:val="single" w:color="auto"/>
          <w:color w:val="auto"/>
        </w:rPr>
        <w:t>7.000% Notes</w:t>
      </w:r>
      <w:r>
        <w:rPr>
          <w:rFonts w:ascii="Arial" w:cs="Arial" w:eastAsia="Arial" w:hAnsi="Arial"/>
          <w:sz w:val="16"/>
          <w:szCs w:val="16"/>
          <w:color w:val="auto"/>
        </w:rPr>
        <w:t>”); (ix)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9.875% senior unsecured notes due 2039, issued by Weatherford International Ltd. pursuant to the applicable Prepetition Notes Indenture, in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outstanding of $250,000,000 (the “</w:t>
      </w:r>
      <w:r>
        <w:rPr>
          <w:rFonts w:ascii="Arial" w:cs="Arial" w:eastAsia="Arial" w:hAnsi="Arial"/>
          <w:sz w:val="16"/>
          <w:szCs w:val="16"/>
          <w:i w:val="1"/>
          <w:iCs w:val="1"/>
          <w:u w:val="single" w:color="auto"/>
          <w:color w:val="auto"/>
        </w:rPr>
        <w:t>9.875% 2039 Notes</w:t>
      </w:r>
      <w:r>
        <w:rPr>
          <w:rFonts w:ascii="Arial" w:cs="Arial" w:eastAsia="Arial" w:hAnsi="Arial"/>
          <w:sz w:val="16"/>
          <w:szCs w:val="16"/>
          <w:color w:val="auto"/>
        </w:rPr>
        <w:t>”); (x) those certain 6.750% senior unsecured notes due 2040,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 pursuant to the applicable Prepetition Notes Indenture, in an aggregate principal amount outstanding of $462,601,000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6.750% Notes</w:t>
      </w:r>
      <w:r>
        <w:rPr>
          <w:rFonts w:ascii="Arial" w:cs="Arial" w:eastAsia="Arial" w:hAnsi="Arial"/>
          <w:sz w:val="16"/>
          <w:szCs w:val="16"/>
          <w:color w:val="auto"/>
        </w:rPr>
        <w:t>”); (xi) those certain 5.950% senior unsecured notes due 2042, issued by Weatherford International Ltd. pursuant to the applicable Prepetition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Indenture, in an aggregate principal amount outstanding of $374,961,000 (the “</w:t>
      </w:r>
      <w:r>
        <w:rPr>
          <w:rFonts w:ascii="Arial" w:cs="Arial" w:eastAsia="Arial" w:hAnsi="Arial"/>
          <w:sz w:val="16"/>
          <w:szCs w:val="16"/>
          <w:i w:val="1"/>
          <w:iCs w:val="1"/>
          <w:u w:val="single" w:color="auto"/>
          <w:color w:val="auto"/>
        </w:rPr>
        <w:t>5.950% Notes</w:t>
      </w:r>
      <w:r>
        <w:rPr>
          <w:rFonts w:ascii="Arial" w:cs="Arial" w:eastAsia="Arial" w:hAnsi="Arial"/>
          <w:sz w:val="16"/>
          <w:szCs w:val="16"/>
          <w:color w:val="auto"/>
        </w:rPr>
        <w:t>”); (xii) those certain 9.875% senior unsecured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2025, issued by Weatherford International LLC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$600,000,000 (the “</w:t>
      </w:r>
      <w:r>
        <w:rPr>
          <w:rFonts w:ascii="Arial" w:cs="Arial" w:eastAsia="Arial" w:hAnsi="Arial"/>
          <w:sz w:val="17"/>
          <w:szCs w:val="17"/>
          <w:i w:val="1"/>
          <w:iCs w:val="1"/>
          <w:u w:val="single" w:color="auto"/>
          <w:color w:val="auto"/>
        </w:rPr>
        <w:t>9.875% 2025 Notes</w:t>
      </w:r>
      <w:r>
        <w:rPr>
          <w:rFonts w:ascii="Arial" w:cs="Arial" w:eastAsia="Arial" w:hAnsi="Arial"/>
          <w:sz w:val="17"/>
          <w:szCs w:val="17"/>
          <w:color w:val="auto"/>
        </w:rPr>
        <w:t>”); and (xiii) those certain 6.800% senior unsecured notes due 2037, issued by Weatherford International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applicable Prepetition Notes Indenture, in an aggregate principal amount outstanding of $258,767,000 (the “</w:t>
      </w:r>
      <w:r>
        <w:rPr>
          <w:rFonts w:ascii="Arial" w:cs="Arial" w:eastAsia="Arial" w:hAnsi="Arial"/>
          <w:sz w:val="18"/>
          <w:szCs w:val="18"/>
          <w:i w:val="1"/>
          <w:iCs w:val="1"/>
          <w:u w:val="single" w:color="auto"/>
          <w:color w:val="auto"/>
        </w:rPr>
        <w:t>6.800% Notes</w:t>
      </w:r>
      <w:r>
        <w:rPr>
          <w:rFonts w:ascii="Arial" w:cs="Arial" w:eastAsia="Arial" w:hAnsi="Arial"/>
          <w:sz w:val="18"/>
          <w:szCs w:val="18"/>
          <w:color w:val="auto"/>
        </w:rPr>
        <w:t>”).</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Claims</w:t>
      </w:r>
      <w:r>
        <w:rPr>
          <w:rFonts w:ascii="Arial" w:cs="Arial" w:eastAsia="Arial" w:hAnsi="Arial"/>
          <w:sz w:val="18"/>
          <w:szCs w:val="18"/>
          <w:color w:val="auto"/>
        </w:rPr>
        <w:t>” means any and all Claims arising from, under, or in connection with the Prepetition Notes, the Prepetition Notes Indentures or any document or agreement related to the Prepetition Notes or the Prepetition Notes Indentures.</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Indentures</w:t>
      </w:r>
      <w:r>
        <w:rPr>
          <w:rFonts w:ascii="Arial" w:cs="Arial" w:eastAsia="Arial" w:hAnsi="Arial"/>
          <w:sz w:val="16"/>
          <w:szCs w:val="16"/>
          <w:color w:val="auto"/>
        </w:rPr>
        <w:t>” means, collectively, (i) that certain Indenture, dated as of October 1, 2003, by and between Weatherford International Ltd., as issuer, the Prepetition Notes Indenture Trustee, as indenture trustee, and certain of the Debtors, as guarantors, governing the 5.125% Notes, the</w:t>
      </w:r>
    </w:p>
    <w:p>
      <w:pPr>
        <w:jc w:val="both"/>
        <w:spacing w:after="0" w:line="302" w:lineRule="auto"/>
        <w:rPr>
          <w:sz w:val="20"/>
          <w:szCs w:val="20"/>
          <w:color w:val="auto"/>
        </w:rPr>
      </w:pPr>
      <w:r>
        <w:rPr>
          <w:rFonts w:ascii="Arial" w:cs="Arial" w:eastAsia="Arial" w:hAnsi="Arial"/>
          <w:sz w:val="16"/>
          <w:szCs w:val="16"/>
          <w:color w:val="auto"/>
        </w:rPr>
        <w:t>7.750% Notes, the 5.875% Notes, the 4.500% Notes, the 8.250% Notes, the 9.875% 2024 Notes, the 6.500% Notes, the 7.00% Notes, the 9.875% 2039 Notes, the 6.750% Notes, and the 5.950% Notes, and (ii) that certain Indenture, dated as of June 18, 2007, by and between Weatherford International LLC, as issuer, the Prepetition Notes Indenture Trustee, as indenture trustee, and certain of the Debtors, as guarantors, governing the 9.875% 2025 Notes and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0" w:name="page191"/>
    <w:bookmarkEnd w:id="190"/>
    <w:p>
      <w:pPr>
        <w:ind w:right="100"/>
        <w:spacing w:after="0" w:line="277" w:lineRule="auto"/>
        <w:rPr>
          <w:sz w:val="20"/>
          <w:szCs w:val="20"/>
          <w:color w:val="auto"/>
        </w:rPr>
      </w:pPr>
      <w:r>
        <w:rPr>
          <w:rFonts w:ascii="Arial" w:cs="Arial" w:eastAsia="Arial" w:hAnsi="Arial"/>
          <w:sz w:val="18"/>
          <w:szCs w:val="18"/>
          <w:color w:val="auto"/>
        </w:rPr>
        <w:t>the 6.800% Notes, and with respect to each such Indenture, as amended, restated, modified, supplemented, or replaced from time to time prior to the Petition Date.</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Indenture Trustee</w:t>
      </w:r>
      <w:r>
        <w:rPr>
          <w:rFonts w:ascii="Arial" w:cs="Arial" w:eastAsia="Arial" w:hAnsi="Arial"/>
          <w:sz w:val="18"/>
          <w:szCs w:val="18"/>
          <w:color w:val="auto"/>
        </w:rPr>
        <w:t>” means Deutsche Bank Trust Company Americas, solely in its capacity as indenture trustee and in each other capacity for which it serves under or in connection with the Prepetition Notes Indentures; provided that if the context requires only certain of the foregoing capacities, then only in such capacity(ies).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Notes Indenture Trustee Charging Lien</w:t>
      </w:r>
      <w:r>
        <w:rPr>
          <w:rFonts w:ascii="Arial" w:cs="Arial" w:eastAsia="Arial" w:hAnsi="Arial"/>
          <w:sz w:val="17"/>
          <w:szCs w:val="17"/>
          <w:color w:val="auto"/>
        </w:rPr>
        <w:t>” means any Lien or other priority in payment in favor of the Prepetition Notes Indenture Trustee against distributions to be made to Holders of Allowed Prepetition Notes Claims for payment of any Prepetition Notes Indenture Trustee Fees and Expenses, which Lien or other priority in payment arose prior to the Effective Date and pursuant to the Prepetition Notes Indentures.</w:t>
      </w:r>
    </w:p>
    <w:p>
      <w:pPr>
        <w:spacing w:after="0" w:line="16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 Trustee Fees and Expenses</w:t>
      </w:r>
      <w:r>
        <w:rPr>
          <w:rFonts w:ascii="Arial" w:cs="Arial" w:eastAsia="Arial" w:hAnsi="Arial"/>
          <w:sz w:val="16"/>
          <w:szCs w:val="16"/>
          <w:color w:val="auto"/>
        </w:rPr>
        <w:t>” means the reasonable and documented compensation, fees, expenses, disbursements and indemnity claims incurred by the Prepetition Notes Indenture Trustee, including without limitation, attorneys’ and agents’ fees, expenses and disbursements, incurred by the Prepetition Notes Indenture Trustee, whether prior to or after the Petition Date and whether prior to or after consummation of this Plan, in each case to the extent payable or reimbursable under the Prepetition Notes Indentures. For the avoidance of doubt, the Prepetition Notes Indenture Trustee Fees and Expenses shall also include those fees and expenses incurred in connection with the Irish Examinership Proceedings.</w:t>
      </w:r>
    </w:p>
    <w:p>
      <w:pPr>
        <w:spacing w:after="0" w:line="15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w:t>
      </w:r>
      <w:r>
        <w:rPr>
          <w:rFonts w:ascii="Arial" w:cs="Arial" w:eastAsia="Arial" w:hAnsi="Arial"/>
          <w:sz w:val="18"/>
          <w:szCs w:val="18"/>
          <w:color w:val="auto"/>
        </w:rPr>
        <w:t>” means that certain 364-Day Revolving Credit Agreement, dated as of August 16, 2018, by and among Weatherford International Ltd., the other borrowers party thereto, the Prepetition Revolving Credit Agreement Agent, and the Prepetition Revolving Credit Agreement Lenders, as amended, supplemented, or modified from time to time prior to the Petition Date.</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Agent</w:t>
      </w:r>
      <w:r>
        <w:rPr>
          <w:rFonts w:ascii="Arial" w:cs="Arial" w:eastAsia="Arial" w:hAnsi="Arial"/>
          <w:sz w:val="18"/>
          <w:szCs w:val="18"/>
          <w:color w:val="auto"/>
        </w:rPr>
        <w:t>” means JPMorgan Chase Bank, N.A., in its capacity as administrative agent under the Prepetition Revolving Credit Agreement.</w:t>
      </w:r>
    </w:p>
    <w:p>
      <w:pPr>
        <w:spacing w:after="0" w:line="170" w:lineRule="exact"/>
        <w:rPr>
          <w:sz w:val="20"/>
          <w:szCs w:val="20"/>
          <w:color w:val="auto"/>
        </w:rPr>
      </w:pPr>
    </w:p>
    <w:p>
      <w:pPr>
        <w:ind w:right="18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Claims</w:t>
      </w:r>
      <w:r>
        <w:rPr>
          <w:rFonts w:ascii="Arial" w:cs="Arial" w:eastAsia="Arial" w:hAnsi="Arial"/>
          <w:sz w:val="18"/>
          <w:szCs w:val="18"/>
          <w:color w:val="auto"/>
        </w:rPr>
        <w:t>” means any and all Claims arising from, under or in connection with the Prepetition Revolving Credit Agreement (including, without limitation, any and all “Indebtedness” as defined therein) or any other Prepetition Loan Document relating to the Prepetition Revolving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Lenders</w:t>
      </w:r>
      <w:r>
        <w:rPr>
          <w:rFonts w:ascii="Arial" w:cs="Arial" w:eastAsia="Arial" w:hAnsi="Arial"/>
          <w:sz w:val="18"/>
          <w:szCs w:val="18"/>
          <w:color w:val="auto"/>
        </w:rPr>
        <w:t>” means the lenders party to the Prepetition Credit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Revolving Credit Agreement Liens</w:t>
      </w:r>
      <w:r>
        <w:rPr>
          <w:rFonts w:ascii="Arial" w:cs="Arial" w:eastAsia="Arial" w:hAnsi="Arial"/>
          <w:sz w:val="17"/>
          <w:szCs w:val="17"/>
          <w:color w:val="auto"/>
        </w:rPr>
        <w:t>” means the Liens securing the payment of the Prepetition Revolving Credit Agreement Claims.</w:t>
      </w:r>
    </w:p>
    <w:p>
      <w:pPr>
        <w:spacing w:after="0" w:line="23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w:t>
      </w:r>
      <w:r>
        <w:rPr>
          <w:rFonts w:ascii="Arial" w:cs="Arial" w:eastAsia="Arial" w:hAnsi="Arial"/>
          <w:sz w:val="18"/>
          <w:szCs w:val="18"/>
          <w:color w:val="auto"/>
        </w:rPr>
        <w:t>” means that certain Term Loan Agreement, dated as of May 4, 2016, by and among Weatherford International Ltd., the Prepetition Term Loan Agent and the Prepetition Term Loan Lenders, as amended, supplemented, or modified from time to time prior to the Petition Date.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1" w:name="page192"/>
    <w:bookmarkEnd w:id="191"/>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Administrative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Claims</w:t>
      </w:r>
      <w:r>
        <w:rPr>
          <w:rFonts w:ascii="Arial" w:cs="Arial" w:eastAsia="Arial" w:hAnsi="Arial"/>
          <w:sz w:val="18"/>
          <w:szCs w:val="18"/>
          <w:color w:val="auto"/>
        </w:rPr>
        <w:t>” means any and all Claims arising from, under or in connection with the Prepetition Term Loan Agreement (including, without limitation, any and all “Indebtedness” as defined therein) or any other Prepetition Loan Document relating to the Prepetition Term Loan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Lenders</w:t>
      </w:r>
      <w:r>
        <w:rPr>
          <w:rFonts w:ascii="Arial" w:cs="Arial" w:eastAsia="Arial" w:hAnsi="Arial"/>
          <w:sz w:val="18"/>
          <w:szCs w:val="18"/>
          <w:color w:val="auto"/>
        </w:rPr>
        <w:t>” means the lenders party to the Prepetition Term Loan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Liens</w:t>
      </w:r>
      <w:r>
        <w:rPr>
          <w:rFonts w:ascii="Arial" w:cs="Arial" w:eastAsia="Arial" w:hAnsi="Arial"/>
          <w:sz w:val="18"/>
          <w:szCs w:val="18"/>
          <w:color w:val="auto"/>
        </w:rPr>
        <w:t>” means the Liens securing the payment of the Prepetition Term Loan Agreement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Tax Claim</w:t>
      </w:r>
      <w:r>
        <w:rPr>
          <w:rFonts w:ascii="Arial" w:cs="Arial" w:eastAsia="Arial" w:hAnsi="Arial"/>
          <w:sz w:val="18"/>
          <w:szCs w:val="18"/>
          <w:color w:val="auto"/>
        </w:rPr>
        <w:t>” means any Claim of a Governmental Unit of the kind specified in section 507(a)(8) of the Bankruptcy Code.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the proportion that an Allowed Claim or Allowed Equity Interest in a particular class bears to the aggregate amount of Allowed Claims or Allowed Equity Interests in that Class.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w:t>
      </w:r>
      <w:r>
        <w:rPr>
          <w:rFonts w:ascii="Arial" w:cs="Arial" w:eastAsia="Arial" w:hAnsi="Arial"/>
          <w:sz w:val="18"/>
          <w:szCs w:val="18"/>
          <w:color w:val="auto"/>
        </w:rPr>
        <w:t>” means any Person or Entity retained by the Debtors in the Chapter 11 Cases pursuant to section 327, 328, or 363 of the Bankruptcy Code (other than an ordinary course professional).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Professional Fee Claim</w:t>
      </w:r>
      <w:r>
        <w:rPr>
          <w:rFonts w:ascii="Arial" w:cs="Arial" w:eastAsia="Arial" w:hAnsi="Arial"/>
          <w:sz w:val="16"/>
          <w:szCs w:val="16"/>
          <w:color w:val="auto"/>
        </w:rPr>
        <w:t>” means a Claim for Accrued Professional Compensation under sections 328, 330, 331, or 503 of the Bankruptcy Code.</w:t>
      </w:r>
    </w:p>
    <w:p>
      <w:pPr>
        <w:spacing w:after="0" w:line="2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 Fee Claim Reserve</w:t>
      </w:r>
      <w:r>
        <w:rPr>
          <w:rFonts w:ascii="Arial" w:cs="Arial" w:eastAsia="Arial" w:hAnsi="Arial"/>
          <w:sz w:val="18"/>
          <w:szCs w:val="18"/>
          <w:color w:val="auto"/>
        </w:rPr>
        <w:t>” means the reserve established and maintained by the Reorganized Debtors from Cash on hand existing immediately prior to the Effective Date to pay in full in Cash the Professional Fee Claims incurred on or prior to the Effective Date, as and when such claims become Allowed.</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Persons</w:t>
      </w:r>
      <w:r>
        <w:rPr>
          <w:rFonts w:ascii="Arial" w:cs="Arial" w:eastAsia="Arial" w:hAnsi="Arial"/>
          <w:sz w:val="17"/>
          <w:szCs w:val="17"/>
          <w:color w:val="auto"/>
        </w:rPr>
        <w:t xml:space="preserve">” means, with respect to any Person, such Person’s predecessors, successors, assigns and present and former Affiliates (whether by operation of law or otherwise) and subsidiaries, and each of their respective current and former officers, directors, principals, employees, shareholders, members (including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members and managing members), managers, managed accounts or funds, management companies, fund advisors, advisory or subcommittee board members, partners, agents, financial advisors, attorneys, accountants, investment bankers, investment advisors, consultants, representatives, and other professionals, in each case acting in such capacity at any time on or after the date of the Restructuring Support Agreement, and any Person claiming by or through any of them, including such Related Persons’ respective heirs, executors, estates, servants, and nominees;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insurer of any Debtor will constitute a Related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xml:space="preserve">” means the release given by the Releasing Parties to the Released Parties as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2" w:name="page193"/>
    <w:bookmarkEnd w:id="192"/>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Party</w:t>
      </w:r>
      <w:r>
        <w:rPr>
          <w:rFonts w:ascii="Arial" w:cs="Arial" w:eastAsia="Arial" w:hAnsi="Arial"/>
          <w:sz w:val="16"/>
          <w:szCs w:val="16"/>
          <w:color w:val="auto"/>
        </w:rPr>
        <w:t>” means, collectively: (a) the Debtors; (b) the Reorganized Debtors; (c) the Prepetition Agents; (d) the New Senior Unsecured Notes Indenture Trustee; (e) the DIP Agent; (f) the DIP Lenders; (g) the Prepetition Notes Indenture Trustee; (h) the Ad Hoc Noteholder Committee and the members thereof in their capacities as such; (i) the Consenting Noteholders; (j) the Backstop Parties; (k) the Distribution Agents; (l) the Exit Facility Lenders;</w:t>
      </w:r>
    </w:p>
    <w:p>
      <w:pPr>
        <w:ind w:right="100" w:firstLine="8"/>
        <w:spacing w:after="0" w:line="261" w:lineRule="auto"/>
        <w:tabs>
          <w:tab w:leader="none" w:pos="30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Exit Facility Agent, and (n) with respect to each of the foregoing Entities in clauses (a) through (m), each such Entity’s Related Persons, in each case solely in their capacity as such.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Reorganization Steps Overview</w:t>
      </w:r>
      <w:r>
        <w:rPr>
          <w:rFonts w:ascii="Arial" w:cs="Arial" w:eastAsia="Arial" w:hAnsi="Arial"/>
          <w:sz w:val="16"/>
          <w:szCs w:val="16"/>
          <w:color w:val="auto"/>
        </w:rPr>
        <w:t>” means the description of the steps of the Restructuring Transactions, substantially in the form Filed with the Plan Supplement in form and substance reasonably acceptable to the Debtors and the Required Consenting Noteholders and, to the extent required by the DIP Credit Agreement, in form and substance satisfactory or reasonably satisfactory, as applicable, to the DIP Agent and the Required DIP Lenders.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Debtors</w:t>
      </w:r>
      <w:r>
        <w:rPr>
          <w:rFonts w:ascii="Arial" w:cs="Arial" w:eastAsia="Arial" w:hAnsi="Arial"/>
          <w:sz w:val="18"/>
          <w:szCs w:val="18"/>
          <w:color w:val="auto"/>
        </w:rPr>
        <w:t>” means, subject to the Restructuring Transactions, the Debtors as reorganized pursuant to this Plan on or after the Effective Date, and their respective successors.</w:t>
      </w:r>
    </w:p>
    <w:p>
      <w:pPr>
        <w:spacing w:after="0" w:line="170" w:lineRule="exact"/>
        <w:rPr>
          <w:sz w:val="20"/>
          <w:szCs w:val="20"/>
          <w:color w:val="auto"/>
        </w:rPr>
      </w:pPr>
    </w:p>
    <w:p>
      <w:pPr>
        <w:jc w:val="both"/>
        <w:ind w:right="7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Reorganized Parent</w:t>
      </w:r>
      <w:r>
        <w:rPr>
          <w:rFonts w:ascii="Arial" w:cs="Arial" w:eastAsia="Arial" w:hAnsi="Arial"/>
          <w:sz w:val="16"/>
          <w:szCs w:val="16"/>
          <w:color w:val="auto"/>
        </w:rPr>
        <w:t>” means, subject to the Restructuring Transactions, Weatherford International plc, an Irish public limited company, as reorganized pursuant to this Plan on the Effective Date, its successor, or a newly-formed entity that issues the New Common Stock under this Plan.</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Bermuda</w:t>
      </w:r>
      <w:r>
        <w:rPr>
          <w:rFonts w:ascii="Arial" w:cs="Arial" w:eastAsia="Arial" w:hAnsi="Arial"/>
          <w:sz w:val="18"/>
          <w:szCs w:val="18"/>
          <w:color w:val="auto"/>
        </w:rPr>
        <w:t>” means, subject to the Restructuring Transactions, Weatherford International Ltd., a Bermuda exempted company, as reorganized pursuant to this Plan on the Effective Date, and its successors.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Delaware</w:t>
      </w:r>
      <w:r>
        <w:rPr>
          <w:rFonts w:ascii="Arial" w:cs="Arial" w:eastAsia="Arial" w:hAnsi="Arial"/>
          <w:sz w:val="18"/>
          <w:szCs w:val="18"/>
          <w:color w:val="auto"/>
        </w:rPr>
        <w:t>” means, subject to the Restructuring Transactions, Weatherford International, LLC, a Delaware limited liability company, as reorganized pursuant to this Plan on the Effective Date, and its successors.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Consenting Noteholders</w:t>
      </w:r>
      <w:r>
        <w:rPr>
          <w:rFonts w:ascii="Arial" w:cs="Arial" w:eastAsia="Arial" w:hAnsi="Arial"/>
          <w:sz w:val="16"/>
          <w:szCs w:val="16"/>
          <w:color w:val="auto"/>
        </w:rPr>
        <w:t>” means the “Required Consenting Noteholders” under, and as defined in, the Restructuring Support Agreement.</w:t>
      </w:r>
    </w:p>
    <w:p>
      <w:pPr>
        <w:spacing w:after="0" w:line="24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Restructuring Documents</w:t>
      </w:r>
      <w:r>
        <w:rPr>
          <w:rFonts w:ascii="Arial" w:cs="Arial" w:eastAsia="Arial" w:hAnsi="Arial"/>
          <w:sz w:val="17"/>
          <w:szCs w:val="17"/>
          <w:color w:val="auto"/>
        </w:rPr>
        <w:t>” means, collectively, the documents and agreements (and the exhibits, schedules, annexes and supplements thereto) necessary to implement, or entered into in connection with, this Plan, including, without limitation, the Plan Supplement, the Exhibits, the Plan Schedules, the Amended/New Corporate Governance Documents, the Exit Facility Loan Documents, the New Senior Unsecured Notes Documents, the New Warrant Agreement, and the Plan Securities and Documents, which documents and agreements shall, to the extent required by the DIP Credit Agreement, be in form and substance satisfactory or reasonably satisfactory, as applicable, to the DIP Agent and the Required DIP Lenders.</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Support Agreement</w:t>
      </w:r>
      <w:r>
        <w:rPr>
          <w:rFonts w:ascii="Arial" w:cs="Arial" w:eastAsia="Arial" w:hAnsi="Arial"/>
          <w:sz w:val="18"/>
          <w:szCs w:val="18"/>
          <w:color w:val="auto"/>
        </w:rPr>
        <w:t>” means that certain Restructuring Support Agreement, dated as of May 10, 2019, by and among the Debtors and the Consenting Noteholders (as amended, supplemented or modified from time to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3" w:name="page194"/>
    <w:bookmarkEnd w:id="193"/>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Term Sheet</w:t>
      </w:r>
      <w:r>
        <w:rPr>
          <w:rFonts w:ascii="Arial" w:cs="Arial" w:eastAsia="Arial" w:hAnsi="Arial"/>
          <w:sz w:val="18"/>
          <w:szCs w:val="18"/>
          <w:color w:val="auto"/>
        </w:rPr>
        <w:t>” means the term sheet attached as Exhibit A to the Restructuring Support Agreement, a copy of which is attached to the Disclosure Statement as Exhibit 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Transaction</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w:t>
      </w:r>
      <w:r>
        <w:rPr>
          <w:rFonts w:ascii="Arial" w:cs="Arial" w:eastAsia="Arial" w:hAnsi="Arial"/>
          <w:sz w:val="18"/>
          <w:szCs w:val="18"/>
          <w:color w:val="auto"/>
        </w:rPr>
        <w:t>” means that certain rights offering pursuant to which each holder of Prepetition Notes is entitled to receive Subscription Rights to acquire the New Tranche A Senior Unsecured Notes on a Pro Rata basis in accordance with the Rights Offering Procedures and which will be backstopped by the Backstop Parties pursuant to the Backstop Commitment Agreement.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 Procedures</w:t>
      </w:r>
      <w:r>
        <w:rPr>
          <w:rFonts w:ascii="Arial" w:cs="Arial" w:eastAsia="Arial" w:hAnsi="Arial"/>
          <w:sz w:val="18"/>
          <w:szCs w:val="18"/>
          <w:color w:val="auto"/>
        </w:rPr>
        <w:t>” means the procedures for the implementation of the Rights Offering as described in the Disclosure Statement, in form and substance acceptable to the Required Consenting Noteholders.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w:t>
      </w:r>
      <w:r>
        <w:rPr>
          <w:rFonts w:ascii="Arial" w:cs="Arial" w:eastAsia="Arial" w:hAnsi="Arial"/>
          <w:sz w:val="18"/>
          <w:szCs w:val="18"/>
          <w:color w:val="auto"/>
        </w:rPr>
        <w:t>” means with respect to any Claim, the status and amount, if any, of such Claim as set forth in the Schedules.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Schedules</w:t>
      </w:r>
      <w:r>
        <w:rPr>
          <w:rFonts w:ascii="Arial" w:cs="Arial" w:eastAsia="Arial" w:hAnsi="Arial"/>
          <w:sz w:val="18"/>
          <w:szCs w:val="18"/>
          <w:color w:val="auto"/>
        </w:rPr>
        <w:t>” means the schedules of assets and liabilities, schedules of Executory Contracts, and statement of financial affairs Filed by the Debtors pursuant to section 521 of the Bankruptcy Code and the applicable Bankruptcy Rules, as such Schedules may be amended, modified, or supplemented from time to time, if any such Schedules are required to be Filed by order of the Bankruptcy Court.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Claim</w:t>
      </w:r>
      <w:r>
        <w:rPr>
          <w:rFonts w:ascii="Arial" w:cs="Arial" w:eastAsia="Arial" w:hAnsi="Arial"/>
          <w:sz w:val="18"/>
          <w:szCs w:val="18"/>
          <w:color w:val="auto"/>
        </w:rPr>
        <w:t>” means a Claim that is secured by a Lien on property in which any of the Debtors’ Estates have an interest or that is subject to setoff under section 553 of the Bankruptcy Code, to the extent of the value of the Claim holder’s interest in such Estate’s interest in such property or to the extent of the amount subject to setoff, as applicable, as determined pursuant to section 506(a) of the Bankruptcy Code or, in the case of setoff, pursuant to section 553 of the Bankruptcy Code.</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Tax Claim</w:t>
      </w:r>
      <w:r>
        <w:rPr>
          <w:rFonts w:ascii="Arial" w:cs="Arial" w:eastAsia="Arial" w:hAnsi="Arial"/>
          <w:sz w:val="18"/>
          <w:szCs w:val="18"/>
          <w:color w:val="auto"/>
        </w:rPr>
        <w:t>” means any Secured Claim which, absent its secured status, would be entitled to priority in right of payment under section 507(a)(8) of the Bankruptcy Code.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15 U.S.C. §§ 77c-77aa, as now in effect or hereafter amended, and the rules and regulations promulgated thereunder.</w:t>
      </w:r>
    </w:p>
    <w:p>
      <w:pPr>
        <w:spacing w:after="0" w:line="170"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Stamp or Similar Tax</w:t>
      </w:r>
      <w:r>
        <w:rPr>
          <w:rFonts w:ascii="Arial" w:cs="Arial" w:eastAsia="Arial" w:hAnsi="Arial"/>
          <w:sz w:val="18"/>
          <w:szCs w:val="18"/>
          <w:color w:val="auto"/>
        </w:rPr>
        <w:t>” means any stamp tax, recording tax, conveyance fee, intangible or similar tax, mortgage tax, personal or real property tax, real estate transfer tax, sales tax, use tax, transaction privilege tax (including, without limitation, such taxes on prime contracting and owner-builder sales), privilege taxes (including, without limitation, privilege taxes on construction contracting with regard to speculative builders and owner builders), and other similar taxes or fees imposed or assessed by any Governmental Unit.</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Rights</w:t>
      </w:r>
      <w:r>
        <w:rPr>
          <w:rFonts w:ascii="Arial" w:cs="Arial" w:eastAsia="Arial" w:hAnsi="Arial"/>
          <w:sz w:val="18"/>
          <w:szCs w:val="18"/>
          <w:color w:val="auto"/>
        </w:rPr>
        <w:t>” means the subscription rights to acquire New Tranche A Senior Unsecured Notes in accordance with the Rights Offering Procedures.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94" w:name="page195"/>
    <w:bookmarkEnd w:id="194"/>
    <w:p>
      <w:pPr>
        <w:ind w:right="10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Distribution</w:t>
      </w:r>
      <w:r>
        <w:rPr>
          <w:rFonts w:ascii="Arial" w:cs="Arial" w:eastAsia="Arial" w:hAnsi="Arial"/>
          <w:sz w:val="18"/>
          <w:szCs w:val="18"/>
          <w:color w:val="auto"/>
        </w:rPr>
        <w:t>” means any distribution of property under this Plan to Holders of Allowed Claims or Allowed Equity Interests other than the initial distribution given to such Holders on the Initial Distribution Date.</w:t>
      </w:r>
    </w:p>
    <w:p>
      <w:pPr>
        <w:spacing w:after="0" w:line="170" w:lineRule="exact"/>
        <w:rPr>
          <w:sz w:val="20"/>
          <w:szCs w:val="20"/>
          <w:color w:val="auto"/>
        </w:rPr>
      </w:pPr>
    </w:p>
    <w:p>
      <w:pPr>
        <w:ind w:right="8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Subsequent Distribution Date</w:t>
      </w:r>
      <w:r>
        <w:rPr>
          <w:rFonts w:ascii="Arial" w:cs="Arial" w:eastAsia="Arial" w:hAnsi="Arial"/>
          <w:sz w:val="17"/>
          <w:szCs w:val="17"/>
          <w:color w:val="auto"/>
        </w:rPr>
        <w:t xml:space="preserve">” means the last Business Day of the month following the end of each calendar quarter after the Effective Date;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Effective Date is within thirty (30) days of the end of a calendar quarter, then the first Subsequent Distribution Date will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Business Day of the month following the end of the first (1</w:t>
      </w:r>
      <w:r>
        <w:rPr>
          <w:rFonts w:ascii="Arial" w:cs="Arial" w:eastAsia="Arial" w:hAnsi="Arial"/>
          <w:sz w:val="22"/>
          <w:szCs w:val="22"/>
          <w:color w:val="auto"/>
          <w:vertAlign w:val="superscript"/>
        </w:rPr>
        <w:t>st</w:t>
      </w:r>
      <w:r>
        <w:rPr>
          <w:rFonts w:ascii="Arial" w:cs="Arial" w:eastAsia="Arial" w:hAnsi="Arial"/>
          <w:sz w:val="17"/>
          <w:szCs w:val="17"/>
          <w:color w:val="auto"/>
        </w:rPr>
        <w:t>) calendar quarter after the calendar quarter in which the Effective Date falls.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Conversion Notes</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Equity Conversion</w:t>
      </w:r>
      <w:r>
        <w:rPr>
          <w:rFonts w:ascii="Arial" w:cs="Arial" w:eastAsia="Arial" w:hAnsi="Arial"/>
          <w:sz w:val="18"/>
          <w:szCs w:val="18"/>
          <w:color w:val="auto"/>
        </w:rPr>
        <w:t>” has the meaning set forth in Article III.B.7(c)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Party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Unexercised Equity Interests</w:t>
      </w:r>
      <w:r>
        <w:rPr>
          <w:rFonts w:ascii="Arial" w:cs="Arial" w:eastAsia="Arial" w:hAnsi="Arial"/>
          <w:sz w:val="17"/>
          <w:szCs w:val="17"/>
          <w:color w:val="auto"/>
        </w:rPr>
        <w:t>” means any and all unexercised options, performance, stock units, restricted stock units, restricted stock awards, warrants, calls, rights, puts, awards, commitments, or any other agreements, arrangements, or commitments of any character, kind, or nature to acquire, exchange for, or convert into an Equity Interest, as in existence immediately prior to the Effective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Unexpired Lease</w:t>
      </w:r>
      <w:r>
        <w:rPr>
          <w:rFonts w:ascii="Arial" w:cs="Arial" w:eastAsia="Arial" w:hAnsi="Arial"/>
          <w:sz w:val="16"/>
          <w:szCs w:val="16"/>
          <w:color w:val="auto"/>
        </w:rPr>
        <w:t>” means a lease to which any Debtor is a party that is subject to assumption or rejection under section 365 of the Bankruptcy Code.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Unimpaired</w:t>
      </w:r>
      <w:r>
        <w:rPr>
          <w:rFonts w:ascii="Arial" w:cs="Arial" w:eastAsia="Arial" w:hAnsi="Arial"/>
          <w:sz w:val="18"/>
          <w:szCs w:val="18"/>
          <w:color w:val="auto"/>
        </w:rPr>
        <w:t>” means, with respect to a Class of Claims or Equity Interests, a Claim or an Equity Interest that is “unimpaired” within the meaning of section 1124 of the Bankruptcy Code.</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Unused Cash Reserve Amount</w:t>
      </w:r>
      <w:r>
        <w:rPr>
          <w:rFonts w:ascii="Arial" w:cs="Arial" w:eastAsia="Arial" w:hAnsi="Arial"/>
          <w:sz w:val="16"/>
          <w:szCs w:val="16"/>
          <w:color w:val="auto"/>
        </w:rPr>
        <w:t>” means the remaining Cash, if any, in the Professional Fee Claim Reserve after all obligations and liabilities for which such reserve was established are paid, satisfied, and discharged in full in Cash or are disallowed by Final Order in accordance with this Plan.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Claims Agent</w:t>
      </w:r>
      <w:r>
        <w:rPr>
          <w:rFonts w:ascii="Arial" w:cs="Arial" w:eastAsia="Arial" w:hAnsi="Arial"/>
          <w:sz w:val="18"/>
          <w:szCs w:val="18"/>
          <w:color w:val="auto"/>
        </w:rPr>
        <w:t>” means Prime Clerk LLC, in its capacity as solicitation, notice, claims and balloting agent for the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Classes</w:t>
      </w:r>
      <w:r>
        <w:rPr>
          <w:rFonts w:ascii="Arial" w:cs="Arial" w:eastAsia="Arial" w:hAnsi="Arial"/>
          <w:sz w:val="18"/>
          <w:szCs w:val="18"/>
          <w:color w:val="auto"/>
        </w:rPr>
        <w:t>” means Classes 7 and 10.</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Deadline</w:t>
      </w:r>
      <w:r>
        <w:rPr>
          <w:rFonts w:ascii="Arial" w:cs="Arial" w:eastAsia="Arial" w:hAnsi="Arial"/>
          <w:sz w:val="18"/>
          <w:szCs w:val="18"/>
          <w:color w:val="auto"/>
        </w:rPr>
        <w:t>” means the date and time by which all Ballots must be received by the Voting and Claims Agent in accordance with the Disclosure Statement.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Record Date</w:t>
      </w:r>
      <w:r>
        <w:rPr>
          <w:rFonts w:ascii="Arial" w:cs="Arial" w:eastAsia="Arial" w:hAnsi="Arial"/>
          <w:sz w:val="18"/>
          <w:szCs w:val="18"/>
          <w:color w:val="auto"/>
        </w:rPr>
        <w:t>” means the date for determining which Holders of Claims and Equity Interests in the Voting Classes are entitled, as applicable, to receive the Disclosure Statement and to vote to accept or reject this Plan.</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Bermuda</w:t>
      </w:r>
      <w:r>
        <w:rPr>
          <w:rFonts w:ascii="Arial" w:cs="Arial" w:eastAsia="Arial" w:hAnsi="Arial"/>
          <w:sz w:val="18"/>
          <w:szCs w:val="18"/>
          <w:color w:val="auto"/>
        </w:rPr>
        <w:t>” means Weatherford International Ltd, a Bermuda company, as debtor-in-possession in these Chapter 11 Cases.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5" w:name="page196"/>
    <w:bookmarkEnd w:id="195"/>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Weatherford Delaware</w:t>
      </w:r>
      <w:r>
        <w:rPr>
          <w:rFonts w:ascii="Arial" w:cs="Arial" w:eastAsia="Arial" w:hAnsi="Arial"/>
          <w:sz w:val="16"/>
          <w:szCs w:val="16"/>
          <w:color w:val="auto"/>
        </w:rPr>
        <w:t>” means Weatherford International, LLC, a Delaware limited liability company, as debtor-in-possession in these Chapter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Cases.</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Parent</w:t>
      </w:r>
      <w:r>
        <w:rPr>
          <w:rFonts w:ascii="Arial" w:cs="Arial" w:eastAsia="Arial" w:hAnsi="Arial"/>
          <w:sz w:val="17"/>
          <w:szCs w:val="17"/>
          <w:color w:val="auto"/>
        </w:rPr>
        <w:t>” means Weatherford International plc, an Irish public limited company, as debtor-in-possession in these Chapter 11 Cases.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ADMINISTRATIVE, DIP FACILITY, AND PRIORITY TAX CLAIMS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Administrative Claims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sub-paragraph 1</w:t>
      </w:r>
      <w:r>
        <w:rPr>
          <w:rFonts w:ascii="Arial" w:cs="Arial" w:eastAsia="Arial" w:hAnsi="Arial"/>
          <w:sz w:val="17"/>
          <w:szCs w:val="17"/>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or Reorganized Debtors, as applicable, and the Holder of such Allowed Administrative Claim will have agreed upon in writing;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79" w:lineRule="exact"/>
        <w:rPr>
          <w:sz w:val="20"/>
          <w:szCs w:val="20"/>
          <w:color w:val="auto"/>
        </w:rPr>
      </w:pPr>
    </w:p>
    <w:p>
      <w:pPr>
        <w:ind w:left="980" w:hanging="324"/>
        <w:spacing w:after="0"/>
        <w:tabs>
          <w:tab w:leader="none" w:pos="98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the Professional Fees Bar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this Plan, in each case without further application or notice to or order of the Bankruptcy Court.</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Objections to any Professional Fee Claim must be Filed and served on the Reorganized Debtors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this Plan, the failure of the Professional Fee Claim Reserve to satisfy in full the Professional Fee Claims will not, in any way, operate or be construed as a cap or limitation on the amount of Professional Fee Claims due and payable by the Reorganized Debtors. The Professional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96" w:name="page197"/>
    <w:bookmarkEnd w:id="196"/>
    <w:p>
      <w:pPr>
        <w:spacing w:after="0" w:line="259" w:lineRule="auto"/>
        <w:rPr>
          <w:sz w:val="20"/>
          <w:szCs w:val="20"/>
          <w:color w:val="auto"/>
        </w:rPr>
      </w:pPr>
      <w:r>
        <w:rPr>
          <w:rFonts w:ascii="Arial" w:cs="Arial" w:eastAsia="Arial" w:hAnsi="Arial"/>
          <w:sz w:val="18"/>
          <w:szCs w:val="18"/>
          <w:color w:val="auto"/>
        </w:rPr>
        <w:t>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this Plan.</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DIP Facility Claims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the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CIP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Priority Tax Claims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Date, and continuing on each Subsequent Distribution Date thereafter until payment in full of the applicable Allowed Priority Tax Claim.</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CLASSIFICATION AND TREATMENT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CLASSIFIED CLAIMS AND EQUITY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Summary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Plan constitutes a separate plan of reorganization for each Debtor. All Claims and Equity Interests, except Administrative Claims, DIP Facility Claims, and Priority Tax Claims, are placed in the Classes set forth below. For all purposes under this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III.D</w:t>
      </w:r>
      <w:r>
        <w:rPr>
          <w:rFonts w:ascii="Arial" w:cs="Arial" w:eastAsia="Arial" w:hAnsi="Arial"/>
          <w:sz w:val="18"/>
          <w:szCs w:val="18"/>
          <w:color w:val="auto"/>
        </w:rPr>
        <w:t xml:space="preserve"> below.</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This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Class</w:t>
            </w:r>
          </w:p>
        </w:tc>
        <w:tc>
          <w:tcPr>
            <w:tcW w:w="460" w:type="dxa"/>
            <w:vAlign w:val="bottom"/>
          </w:tcPr>
          <w:p>
            <w:pPr>
              <w:spacing w:after="0"/>
              <w:rPr>
                <w:sz w:val="14"/>
                <w:szCs w:val="14"/>
                <w:color w:val="auto"/>
              </w:rPr>
            </w:pPr>
          </w:p>
        </w:tc>
        <w:tc>
          <w:tcPr>
            <w:tcW w:w="3060" w:type="dxa"/>
            <w:vAlign w:val="bottom"/>
          </w:tcPr>
          <w:p>
            <w:pPr>
              <w:ind w:left="1120"/>
              <w:spacing w:after="0"/>
              <w:rPr>
                <w:sz w:val="20"/>
                <w:szCs w:val="20"/>
                <w:color w:val="auto"/>
              </w:rPr>
            </w:pPr>
            <w:r>
              <w:rPr>
                <w:rFonts w:ascii="Arial" w:cs="Arial" w:eastAsia="Arial" w:hAnsi="Arial"/>
                <w:sz w:val="14"/>
                <w:szCs w:val="14"/>
                <w:b w:val="1"/>
                <w:bCs w:val="1"/>
                <w:color w:val="auto"/>
              </w:rPr>
              <w:t>Claim/Equity Interest</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Status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c>
          <w:tcPr>
            <w:tcW w:w="168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Priority Claims</w:t>
            </w: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4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Other Secured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Secured Tax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Prepetition Revolving Credit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Prepetition Term Loan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Prepetition A&amp;R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Prepetition Notes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Entitled to Vote</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General Unsecured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Intercompany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0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98" w:name="page199"/>
    <w:bookmarkEnd w:id="198"/>
    <w:tbl>
      <w:tblPr>
        <w:tblLayout w:type="fixed"/>
        <w:tblInd w:w="660" w:type="dxa"/>
        <w:tblCellMar>
          <w:top w:w="0" w:type="dxa"/>
          <w:left w:w="0" w:type="dxa"/>
          <w:bottom w:w="0" w:type="dxa"/>
          <w:right w:w="0" w:type="dxa"/>
        </w:tblCellMar>
      </w:tblPr>
      <w:tr>
        <w:trPr>
          <w:trHeight w:val="171"/>
        </w:trPr>
        <w:tc>
          <w:tcPr>
            <w:tcW w:w="1040" w:type="dxa"/>
            <w:vAlign w:val="bottom"/>
          </w:tcPr>
          <w:p>
            <w:pPr>
              <w:jc w:val="right"/>
              <w:ind w:right="634"/>
              <w:spacing w:after="0"/>
              <w:rPr>
                <w:sz w:val="20"/>
                <w:szCs w:val="20"/>
                <w:color w:val="auto"/>
              </w:rPr>
            </w:pPr>
            <w:r>
              <w:rPr>
                <w:rFonts w:ascii="Arial" w:cs="Arial" w:eastAsia="Arial" w:hAnsi="Arial"/>
                <w:sz w:val="14"/>
                <w:szCs w:val="14"/>
                <w:b w:val="1"/>
                <w:bCs w:val="1"/>
                <w:color w:val="auto"/>
                <w:w w:val="80"/>
              </w:rPr>
              <w:t>Class</w:t>
            </w:r>
          </w:p>
        </w:tc>
        <w:tc>
          <w:tcPr>
            <w:tcW w:w="460" w:type="dxa"/>
            <w:vAlign w:val="bottom"/>
          </w:tcPr>
          <w:p>
            <w:pPr>
              <w:spacing w:after="0"/>
              <w:rPr>
                <w:sz w:val="14"/>
                <w:szCs w:val="14"/>
                <w:color w:val="auto"/>
              </w:rPr>
            </w:pPr>
          </w:p>
        </w:tc>
        <w:tc>
          <w:tcPr>
            <w:tcW w:w="4040" w:type="dxa"/>
            <w:vAlign w:val="bottom"/>
            <w:gridSpan w:val="2"/>
          </w:tcPr>
          <w:p>
            <w:pPr>
              <w:ind w:left="1120"/>
              <w:spacing w:after="0"/>
              <w:rPr>
                <w:sz w:val="20"/>
                <w:szCs w:val="20"/>
                <w:color w:val="auto"/>
              </w:rPr>
            </w:pPr>
            <w:r>
              <w:rPr>
                <w:rFonts w:ascii="Arial" w:cs="Arial" w:eastAsia="Arial" w:hAnsi="Arial"/>
                <w:sz w:val="14"/>
                <w:szCs w:val="14"/>
                <w:b w:val="1"/>
                <w:bCs w:val="1"/>
                <w:color w:val="auto"/>
              </w:rPr>
              <w:t>Claim/Equity Interest</w:t>
            </w: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Status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r>
      <w:tr>
        <w:trPr>
          <w:trHeight w:val="210"/>
        </w:trPr>
        <w:tc>
          <w:tcPr>
            <w:tcW w:w="104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Existing Common Stock</w:t>
            </w:r>
            <w:r>
              <w:rPr>
                <w:rFonts w:ascii="Arial" w:cs="Arial" w:eastAsia="Arial" w:hAnsi="Arial"/>
                <w:sz w:val="23"/>
                <w:szCs w:val="23"/>
                <w:color w:val="auto"/>
                <w:vertAlign w:val="superscript"/>
              </w:rPr>
              <w:t>(2)</w:t>
            </w: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Impaired</w:t>
            </w:r>
          </w:p>
        </w:tc>
        <w:tc>
          <w:tcPr>
            <w:tcW w:w="4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Entitled to Vote</w:t>
            </w:r>
          </w:p>
        </w:tc>
      </w:tr>
      <w:tr>
        <w:trPr>
          <w:trHeight w:val="216"/>
        </w:trPr>
        <w:tc>
          <w:tcPr>
            <w:tcW w:w="1040" w:type="dxa"/>
            <w:vAlign w:val="bottom"/>
          </w:tcPr>
          <w:p>
            <w:pPr>
              <w:jc w:val="right"/>
              <w:ind w:right="314"/>
              <w:spacing w:after="0"/>
              <w:rPr>
                <w:sz w:val="20"/>
                <w:szCs w:val="20"/>
                <w:color w:val="auto"/>
              </w:rPr>
            </w:pPr>
            <w:r>
              <w:rPr>
                <w:rFonts w:ascii="Arial" w:cs="Arial" w:eastAsia="Arial" w:hAnsi="Arial"/>
                <w:sz w:val="18"/>
                <w:szCs w:val="18"/>
                <w:color w:val="auto"/>
              </w:rPr>
              <w:t>11.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Intercompany Equity Interests</w:t>
            </w: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216"/>
        </w:trPr>
        <w:tc>
          <w:tcPr>
            <w:tcW w:w="10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12.</w:t>
            </w:r>
          </w:p>
        </w:tc>
        <w:tc>
          <w:tcPr>
            <w:tcW w:w="45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Unexercised Equity Interests</w:t>
            </w: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Reject</w:t>
            </w:r>
          </w:p>
        </w:tc>
      </w:tr>
    </w:tbl>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Classification and Treatment of Claims and Equity Interests</w:t>
      </w:r>
    </w:p>
    <w:p>
      <w:pPr>
        <w:spacing w:after="0" w:line="225" w:lineRule="exact"/>
        <w:rPr>
          <w:sz w:val="20"/>
          <w:szCs w:val="20"/>
          <w:color w:val="auto"/>
        </w:rPr>
      </w:pPr>
    </w:p>
    <w:p>
      <w:pPr>
        <w:ind w:left="980" w:hanging="324"/>
        <w:spacing w:after="0"/>
        <w:tabs>
          <w:tab w:leader="none" w:pos="980"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0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1960" w:hanging="655"/>
        <w:spacing w:after="0" w:line="287" w:lineRule="auto"/>
        <w:tabs>
          <w:tab w:leader="none" w:pos="1967" w:val="left"/>
        </w:tabs>
        <w:numPr>
          <w:ilvl w:val="2"/>
          <w:numId w:val="402"/>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1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2" w:lineRule="exact"/>
        <w:rPr>
          <w:rFonts w:ascii="Arial" w:cs="Arial" w:eastAsia="Arial" w:hAnsi="Arial"/>
          <w:sz w:val="16"/>
          <w:szCs w:val="16"/>
          <w:color w:val="auto"/>
        </w:rPr>
      </w:pPr>
    </w:p>
    <w:p>
      <w:pPr>
        <w:jc w:val="both"/>
        <w:ind w:left="1960" w:right="120" w:hanging="655"/>
        <w:spacing w:after="0" w:line="264" w:lineRule="auto"/>
        <w:tabs>
          <w:tab w:leader="none" w:pos="1971" w:val="left"/>
        </w:tabs>
        <w:numPr>
          <w:ilvl w:val="2"/>
          <w:numId w:val="402"/>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 is an Unimpaired Class, and the Holders of Claims in Class 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this Plan.</w:t>
      </w:r>
    </w:p>
    <w:p>
      <w:pPr>
        <w:spacing w:after="0" w:line="381" w:lineRule="exact"/>
        <w:rPr>
          <w:rFonts w:ascii="Arial" w:cs="Arial" w:eastAsia="Arial" w:hAnsi="Arial"/>
          <w:sz w:val="18"/>
          <w:szCs w:val="18"/>
          <w:color w:val="auto"/>
        </w:rPr>
      </w:pPr>
    </w:p>
    <w:p>
      <w:pPr>
        <w:ind w:left="180" w:hanging="172"/>
        <w:spacing w:after="0"/>
        <w:tabs>
          <w:tab w:leader="none" w:pos="180" w:val="left"/>
        </w:tabs>
        <w:numPr>
          <w:ilvl w:val="0"/>
          <w:numId w:val="403"/>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99" w:name="page200"/>
    <w:bookmarkEnd w:id="199"/>
    <w:p>
      <w:pPr>
        <w:ind w:left="324" w:hanging="324"/>
        <w:spacing w:after="0"/>
        <w:tabs>
          <w:tab w:leader="none" w:pos="32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Class 2 - Other Secured Claims</w:t>
      </w:r>
    </w:p>
    <w:p>
      <w:pPr>
        <w:spacing w:after="0" w:line="225" w:lineRule="exact"/>
        <w:rPr>
          <w:rFonts w:ascii="Arial" w:cs="Arial" w:eastAsia="Arial" w:hAnsi="Arial"/>
          <w:sz w:val="18"/>
          <w:szCs w:val="18"/>
          <w:color w:val="auto"/>
        </w:rPr>
      </w:pPr>
    </w:p>
    <w:p>
      <w:pPr>
        <w:ind w:left="1304" w:right="460" w:hanging="655"/>
        <w:spacing w:after="0" w:line="277" w:lineRule="auto"/>
        <w:tabs>
          <w:tab w:leader="none" w:pos="1301" w:val="left"/>
        </w:tabs>
        <w:numPr>
          <w:ilvl w:val="1"/>
          <w:numId w:val="40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2 consists of the Other Secured Claims. Class 2 consists of separate subclasses for each Other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Claim.</w:t>
      </w:r>
    </w:p>
    <w:p>
      <w:pPr>
        <w:spacing w:after="0" w:line="170" w:lineRule="exact"/>
        <w:rPr>
          <w:rFonts w:ascii="Arial" w:cs="Arial" w:eastAsia="Arial" w:hAnsi="Arial"/>
          <w:sz w:val="18"/>
          <w:szCs w:val="18"/>
          <w:color w:val="auto"/>
        </w:rPr>
      </w:pPr>
    </w:p>
    <w:p>
      <w:pPr>
        <w:ind w:left="1304" w:hanging="655"/>
        <w:spacing w:after="0" w:line="269" w:lineRule="auto"/>
        <w:tabs>
          <w:tab w:leader="none" w:pos="1311" w:val="left"/>
        </w:tabs>
        <w:numPr>
          <w:ilvl w:val="1"/>
          <w:numId w:val="404"/>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such Class 2 Claim is an Allowed Class 2 Claim as of the Effective Date or (ii) the next Subsequent Distribution Date after the date on which such Class 2 Claim becomes an 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2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9" w:lineRule="exact"/>
        <w:rPr>
          <w:rFonts w:ascii="Arial" w:cs="Arial" w:eastAsia="Arial" w:hAnsi="Arial"/>
          <w:sz w:val="17"/>
          <w:szCs w:val="17"/>
          <w:color w:val="auto"/>
        </w:rPr>
      </w:pPr>
    </w:p>
    <w:p>
      <w:pPr>
        <w:jc w:val="both"/>
        <w:ind w:left="1304" w:right="120" w:hanging="655"/>
        <w:spacing w:after="0" w:line="264" w:lineRule="auto"/>
        <w:tabs>
          <w:tab w:leader="none" w:pos="1314" w:val="left"/>
        </w:tabs>
        <w:numPr>
          <w:ilvl w:val="1"/>
          <w:numId w:val="404"/>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2 is an Unimpaired Class, and the Holders of Claims in Class 2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Class 3 - Secured Tax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0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1304" w:hanging="655"/>
        <w:spacing w:after="0" w:line="291" w:lineRule="auto"/>
        <w:tabs>
          <w:tab w:leader="none" w:pos="1311" w:val="left"/>
        </w:tabs>
        <w:numPr>
          <w:ilvl w:val="1"/>
          <w:numId w:val="404"/>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if such Class 3 Claim is an Allowed Class 3 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w:t>
      </w:r>
    </w:p>
    <w:p>
      <w:pPr>
        <w:spacing w:after="0" w:line="16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200" w:name="page201"/>
    <w:bookmarkEnd w:id="200"/>
    <w:p>
      <w:pPr>
        <w:ind w:left="1304" w:right="100"/>
        <w:spacing w:after="0" w:line="287" w:lineRule="auto"/>
        <w:rPr>
          <w:sz w:val="20"/>
          <w:szCs w:val="20"/>
          <w:color w:val="auto"/>
        </w:rPr>
      </w:pPr>
      <w:r>
        <w:rPr>
          <w:rFonts w:ascii="Arial" w:cs="Arial" w:eastAsia="Arial" w:hAnsi="Arial"/>
          <w:sz w:val="16"/>
          <w:szCs w:val="16"/>
          <w:color w:val="auto"/>
        </w:rPr>
        <w:t xml:space="preserve">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69" w:lineRule="exact"/>
        <w:rPr>
          <w:sz w:val="20"/>
          <w:szCs w:val="20"/>
          <w:color w:val="auto"/>
        </w:rPr>
      </w:pPr>
    </w:p>
    <w:p>
      <w:pPr>
        <w:ind w:left="1304" w:hanging="655"/>
        <w:spacing w:after="0" w:line="264" w:lineRule="auto"/>
        <w:tabs>
          <w:tab w:leader="none" w:pos="1314" w:val="left"/>
        </w:tabs>
        <w:numPr>
          <w:ilvl w:val="1"/>
          <w:numId w:val="405"/>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3 is an Unimpaired Class, and the Holders of Claims in Class 3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3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Class 4 — Prepetition Revolving Credit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06"/>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1304" w:right="40" w:hanging="655"/>
        <w:spacing w:after="0" w:line="277" w:lineRule="auto"/>
        <w:tabs>
          <w:tab w:leader="none" w:pos="1311" w:val="left"/>
        </w:tabs>
        <w:numPr>
          <w:ilvl w:val="1"/>
          <w:numId w:val="406"/>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406"/>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Claims will, in full satisfaction, 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hanging="655"/>
        <w:spacing w:after="0" w:line="264" w:lineRule="auto"/>
        <w:tabs>
          <w:tab w:leader="none" w:pos="1311" w:val="left"/>
        </w:tabs>
        <w:numPr>
          <w:ilvl w:val="1"/>
          <w:numId w:val="406"/>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4 is an Unimpaired Class, and the Holders of Claims in Class 4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4 are not entitled to vote to accept or reject this Plan.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201" w:name="page202"/>
    <w:bookmarkEnd w:id="201"/>
    <w:p>
      <w:pPr>
        <w:ind w:left="324" w:hanging="324"/>
        <w:spacing w:after="0"/>
        <w:tabs>
          <w:tab w:leader="none" w:pos="3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Class 5 — Prepetition Term Loan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1304" w:right="440" w:hanging="655"/>
        <w:spacing w:after="0" w:line="277" w:lineRule="auto"/>
        <w:tabs>
          <w:tab w:leader="none" w:pos="1311" w:val="left"/>
        </w:tabs>
        <w:numPr>
          <w:ilvl w:val="1"/>
          <w:numId w:val="407"/>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Term Loans Claims are deemed Allowed in the aggregate principal amount of $297,500,000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Claims will, in full 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right="20" w:hanging="655"/>
        <w:spacing w:after="0" w:line="264" w:lineRule="auto"/>
        <w:tabs>
          <w:tab w:leader="none" w:pos="1311" w:val="left"/>
        </w:tabs>
        <w:numPr>
          <w:ilvl w:val="1"/>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5 is an Unimpaired Class, and the Holders of Claims in Class 5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5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Class 6 — Prepetition A&amp;R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1304" w:hanging="655"/>
        <w:spacing w:after="0" w:line="277" w:lineRule="auto"/>
        <w:tabs>
          <w:tab w:leader="none" w:pos="1311" w:val="left"/>
        </w:tabs>
        <w:numPr>
          <w:ilvl w:val="1"/>
          <w:numId w:val="407"/>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1304" w:right="20" w:hanging="655"/>
        <w:spacing w:after="0" w:line="302" w:lineRule="auto"/>
        <w:tabs>
          <w:tab w:leader="none" w:pos="1314" w:val="left"/>
        </w:tabs>
        <w:numPr>
          <w:ilvl w:val="1"/>
          <w:numId w:val="407"/>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Effective Date, the Allowed Prepetition A&amp;R Claims will, in full satisfaction, settlement, discharge and release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54" w:lineRule="exact"/>
        <w:rPr>
          <w:rFonts w:ascii="Arial" w:cs="Arial" w:eastAsia="Arial" w:hAnsi="Arial"/>
          <w:sz w:val="16"/>
          <w:szCs w:val="16"/>
          <w:color w:val="auto"/>
        </w:rPr>
      </w:pPr>
    </w:p>
    <w:p>
      <w:pPr>
        <w:ind w:left="1304" w:right="20" w:hanging="655"/>
        <w:spacing w:after="0" w:line="264" w:lineRule="auto"/>
        <w:tabs>
          <w:tab w:leader="none" w:pos="1311" w:val="left"/>
        </w:tabs>
        <w:numPr>
          <w:ilvl w:val="1"/>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6 is an Unimpaired Class, and the Holders of Claims in Class 6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6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07"/>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7 consists of the Prepetition Notes Claims.</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202" w:name="page203"/>
    <w:bookmarkEnd w:id="202"/>
    <w:p>
      <w:pPr>
        <w:ind w:left="760" w:right="40" w:hanging="655"/>
        <w:spacing w:after="0" w:line="277" w:lineRule="auto"/>
        <w:tabs>
          <w:tab w:leader="none" w:pos="767"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Notes Claims are deemed Allowed in the aggregate principal amount of $7,427,067,000,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 consisting of:</w:t>
      </w:r>
    </w:p>
    <w:p>
      <w:pPr>
        <w:spacing w:after="0" w:line="170" w:lineRule="exact"/>
        <w:rPr>
          <w:rFonts w:ascii="Arial" w:cs="Arial" w:eastAsia="Arial" w:hAnsi="Arial"/>
          <w:sz w:val="18"/>
          <w:szCs w:val="18"/>
          <w:color w:val="auto"/>
        </w:rPr>
      </w:pPr>
    </w:p>
    <w:p>
      <w:pPr>
        <w:ind w:left="1420" w:hanging="667"/>
        <w:spacing w:after="0"/>
        <w:tabs>
          <w:tab w:leader="none" w:pos="142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$365,107,000 in aggregate principal amount, plus accrued and unpaid interest on account of the 5.125%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7.750%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$1,265,000,000 in aggregate principal amount, plus accrued and unpaid interest on account of the 5.875%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$646,286,000 in aggregate principal amount, plus accrued and unpaid interest on account of the 4.500% Notes;</w:t>
      </w:r>
    </w:p>
    <w:p>
      <w:pPr>
        <w:spacing w:after="0" w:line="236" w:lineRule="exact"/>
        <w:rPr>
          <w:rFonts w:ascii="Arial" w:cs="Arial" w:eastAsia="Arial" w:hAnsi="Arial"/>
          <w:sz w:val="17"/>
          <w:szCs w:val="17"/>
          <w:color w:val="auto"/>
        </w:rPr>
      </w:pPr>
    </w:p>
    <w:p>
      <w:pPr>
        <w:ind w:left="1400" w:hanging="647"/>
        <w:spacing w:after="0"/>
        <w:tabs>
          <w:tab w:leader="none" w:pos="140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8.250%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$790,000,000 in aggregate principal amount, plus accrued and unpaid interest on account of the 9.875% 2024 Notes;</w:t>
      </w:r>
    </w:p>
    <w:p>
      <w:pPr>
        <w:spacing w:after="0" w:line="248" w:lineRule="exact"/>
        <w:rPr>
          <w:rFonts w:ascii="Arial" w:cs="Arial" w:eastAsia="Arial" w:hAnsi="Arial"/>
          <w:sz w:val="16"/>
          <w:szCs w:val="16"/>
          <w:color w:val="auto"/>
        </w:rPr>
      </w:pPr>
    </w:p>
    <w:p>
      <w:pPr>
        <w:ind w:left="1420" w:hanging="667"/>
        <w:spacing w:after="0"/>
        <w:tabs>
          <w:tab w:leader="none" w:pos="142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$453,045,000 in aggregate principal amount, plus accrued and unpaid interest on account of the 6.500%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$461,300,000 in aggregate principal amount, plus accrued and unpaid interest on account of the 7.000%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$250,000,000 in aggregate principal amount, plus accrued and unpaid interest on account of the 9.875% 2039 Notes;</w:t>
      </w:r>
    </w:p>
    <w:p>
      <w:pPr>
        <w:spacing w:after="0" w:line="248" w:lineRule="exact"/>
        <w:rPr>
          <w:rFonts w:ascii="Arial" w:cs="Arial" w:eastAsia="Arial" w:hAnsi="Arial"/>
          <w:sz w:val="16"/>
          <w:szCs w:val="16"/>
          <w:color w:val="auto"/>
        </w:rPr>
      </w:pPr>
    </w:p>
    <w:p>
      <w:pPr>
        <w:ind w:left="1400" w:hanging="647"/>
        <w:spacing w:after="0"/>
        <w:tabs>
          <w:tab w:leader="none" w:pos="140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$462,601,000 in aggregate principal amount, plus accrued and unpaid interest on account of the 6.750%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$374,961,000 in aggregate principal amount, plus accrued and unpaid interest on account of the 5.950%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$600,000,000 in aggregate principal amount, plus accrued and unpaid interest on account of the 9.875% 2025 Notes; and</w:t>
      </w:r>
    </w:p>
    <w:p>
      <w:pPr>
        <w:spacing w:after="0" w:line="248" w:lineRule="exact"/>
        <w:rPr>
          <w:rFonts w:ascii="Arial" w:cs="Arial" w:eastAsia="Arial" w:hAnsi="Arial"/>
          <w:sz w:val="16"/>
          <w:szCs w:val="16"/>
          <w:color w:val="auto"/>
        </w:rPr>
      </w:pPr>
    </w:p>
    <w:p>
      <w:pPr>
        <w:ind w:left="1440" w:hanging="687"/>
        <w:spacing w:after="0"/>
        <w:tabs>
          <w:tab w:leader="none" w:pos="144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$258,767,000 in aggregate principal amount, plus accrued and unpaid interest on account of the 6.8000% Notes.</w:t>
      </w:r>
    </w:p>
    <w:p>
      <w:pPr>
        <w:spacing w:after="0" w:line="236" w:lineRule="exact"/>
        <w:rPr>
          <w:rFonts w:ascii="Arial" w:cs="Arial" w:eastAsia="Arial" w:hAnsi="Arial"/>
          <w:sz w:val="17"/>
          <w:szCs w:val="17"/>
          <w:color w:val="auto"/>
        </w:rPr>
      </w:pPr>
    </w:p>
    <w:p>
      <w:pPr>
        <w:ind w:left="760" w:right="100" w:hanging="655"/>
        <w:spacing w:after="0" w:line="312" w:lineRule="auto"/>
        <w:tabs>
          <w:tab w:leader="none" w:pos="771" w:val="left"/>
        </w:tabs>
        <w:numPr>
          <w:ilvl w:val="0"/>
          <w:numId w:val="408"/>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Initial Distribution Date, each Holder of an Allowed Prepetition Notes Claim will receive, in full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discharge and release of, and in exchange for, such Claim, its Pro Rata share of (i) 99% of the New Common Stock, subject to dilution on account of equity issued pursuant to the New Management Incentive Plan, the Tranche</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2" w:right="319" w:bottom="1440" w:gutter="0" w:footer="0" w:header="0"/>
        </w:sectPr>
      </w:pPr>
    </w:p>
    <w:bookmarkStart w:id="203" w:name="page204"/>
    <w:bookmarkEnd w:id="203"/>
    <w:p>
      <w:pPr>
        <w:ind w:left="1304" w:right="40"/>
        <w:spacing w:after="0" w:line="269" w:lineRule="auto"/>
        <w:rPr>
          <w:sz w:val="20"/>
          <w:szCs w:val="20"/>
          <w:color w:val="auto"/>
        </w:rPr>
      </w:pPr>
      <w:r>
        <w:rPr>
          <w:rFonts w:ascii="Arial" w:cs="Arial" w:eastAsia="Arial" w:hAnsi="Arial"/>
          <w:sz w:val="17"/>
          <w:szCs w:val="17"/>
          <w:color w:val="auto"/>
        </w:rPr>
        <w:t xml:space="preserve">B Equity Conversion (as defined below), and the New Common Stock issuable pursuant to the New Warrants and (ii) the New Tranche B Senior Unsecured Notes;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each of such Holders will have the option, in its sole discretion, to convert its Pro Rata share of $500,000,000 in principal amount of the New Tranche B Senior Unsecured Notes into New Common Stock (the “</w:t>
      </w:r>
      <w:r>
        <w:rPr>
          <w:rFonts w:ascii="Arial" w:cs="Arial" w:eastAsia="Arial" w:hAnsi="Arial"/>
          <w:sz w:val="17"/>
          <w:szCs w:val="17"/>
          <w:b w:val="1"/>
          <w:bCs w:val="1"/>
          <w:u w:val="single" w:color="auto"/>
          <w:color w:val="auto"/>
        </w:rPr>
        <w:t>Tranche B Equity Conversion</w:t>
      </w:r>
      <w:r>
        <w:rPr>
          <w:rFonts w:ascii="Arial" w:cs="Arial" w:eastAsia="Arial" w:hAnsi="Arial"/>
          <w:sz w:val="17"/>
          <w:szCs w:val="17"/>
          <w:color w:val="auto"/>
        </w:rPr>
        <w:t xml:space="preserve">”) at a conversion price of $36.20 per share of New Common Stock;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 effectuation of the Tranche B Equity Conversion and the Overallotment Rights are set forth in Article V.U hereof. In addition, each of such Holders will receive Subscription Rights to purchase its Pro Rata share of New Tranche A Senior Unsecured Notes pursuant to the Rights Offering and in accordance with the applicable Rights Offerings Procedures.</w:t>
      </w:r>
    </w:p>
    <w:p>
      <w:pPr>
        <w:spacing w:after="0" w:line="180" w:lineRule="exact"/>
        <w:rPr>
          <w:sz w:val="20"/>
          <w:szCs w:val="20"/>
          <w:color w:val="auto"/>
        </w:rPr>
      </w:pPr>
    </w:p>
    <w:p>
      <w:pPr>
        <w:ind w:left="1304" w:hanging="655"/>
        <w:spacing w:after="0"/>
        <w:tabs>
          <w:tab w:leader="none" w:pos="1304" w:val="left"/>
        </w:tabs>
        <w:numPr>
          <w:ilvl w:val="1"/>
          <w:numId w:val="40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7 is Impaired, and Holders of Claims in Class 7 are entitled to vote to accept or reject this Plan.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Class 8 — General Unsecured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10"/>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304" w:hanging="655"/>
        <w:spacing w:after="0" w:line="259" w:lineRule="auto"/>
        <w:tabs>
          <w:tab w:leader="none" w:pos="1311" w:val="left"/>
        </w:tabs>
        <w:numPr>
          <w:ilvl w:val="1"/>
          <w:numId w:val="410"/>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The legal, equitable, and contractual rights of the holders of General Unsecured Claims are unaltered by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that a holder of a General Unsecured Claim agrees to a different treatment, on and after the Effective Date, the Debtors will continue to pay (if Allowed) or dispute each General Unsecured Claim in the ordinary course of business in accordance with applicable law.</w:t>
      </w:r>
    </w:p>
    <w:p>
      <w:pPr>
        <w:spacing w:after="0" w:line="186" w:lineRule="exact"/>
        <w:rPr>
          <w:rFonts w:ascii="Arial" w:cs="Arial" w:eastAsia="Arial" w:hAnsi="Arial"/>
          <w:sz w:val="18"/>
          <w:szCs w:val="18"/>
          <w:color w:val="auto"/>
        </w:rPr>
      </w:pPr>
    </w:p>
    <w:p>
      <w:pPr>
        <w:jc w:val="both"/>
        <w:ind w:left="1304" w:right="100" w:hanging="655"/>
        <w:spacing w:after="0" w:line="264" w:lineRule="auto"/>
        <w:tabs>
          <w:tab w:leader="none" w:pos="1314" w:val="left"/>
        </w:tabs>
        <w:numPr>
          <w:ilvl w:val="1"/>
          <w:numId w:val="410"/>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8 is an Unimpaired Class, and the Holders of Claims in Class 8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10"/>
        </w:numPr>
        <w:rPr>
          <w:rFonts w:ascii="Arial" w:cs="Arial" w:eastAsia="Arial" w:hAnsi="Arial"/>
          <w:sz w:val="18"/>
          <w:szCs w:val="18"/>
          <w:color w:val="auto"/>
        </w:rPr>
      </w:pPr>
      <w:r>
        <w:rPr>
          <w:rFonts w:ascii="Arial" w:cs="Arial" w:eastAsia="Arial" w:hAnsi="Arial"/>
          <w:sz w:val="18"/>
          <w:szCs w:val="18"/>
          <w:color w:val="auto"/>
        </w:rPr>
        <w:t>Class 9 — Intercompany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10"/>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304" w:right="380" w:hanging="655"/>
        <w:spacing w:after="0" w:line="277" w:lineRule="auto"/>
        <w:tabs>
          <w:tab w:leader="none" w:pos="1311" w:val="left"/>
        </w:tabs>
        <w:numPr>
          <w:ilvl w:val="1"/>
          <w:numId w:val="410"/>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Subject to the Restructuring Transactions, the Intercompany Claims will be adjusted, reinstated, compromised, or</w:t>
      </w:r>
      <w:r>
        <w:rPr>
          <w:rFonts w:ascii="Arial" w:cs="Arial" w:eastAsia="Arial" w:hAnsi="Arial"/>
          <w:sz w:val="18"/>
          <w:szCs w:val="18"/>
          <w:i w:val="1"/>
          <w:iCs w:val="1"/>
          <w:color w:val="auto"/>
        </w:rPr>
        <w:t xml:space="preserve"> </w:t>
      </w:r>
      <w:r>
        <w:rPr>
          <w:rFonts w:ascii="Arial" w:cs="Arial" w:eastAsia="Arial" w:hAnsi="Arial"/>
          <w:sz w:val="18"/>
          <w:szCs w:val="18"/>
          <w:color w:val="auto"/>
        </w:rPr>
        <w:t>cancelled to the extent</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204" w:name="page205"/>
    <w:bookmarkEnd w:id="204"/>
    <w:p>
      <w:pPr>
        <w:ind w:left="1960"/>
        <w:spacing w:after="0"/>
        <w:rPr>
          <w:sz w:val="20"/>
          <w:szCs w:val="20"/>
          <w:color w:val="auto"/>
        </w:rPr>
      </w:pPr>
      <w:r>
        <w:rPr>
          <w:rFonts w:ascii="Arial" w:cs="Arial" w:eastAsia="Arial" w:hAnsi="Arial"/>
          <w:sz w:val="18"/>
          <w:szCs w:val="18"/>
          <w:color w:val="auto"/>
        </w:rPr>
        <w:t>determined appropriate by the Debtors, with the consent of the Required Consenting Noteholders.</w:t>
      </w:r>
    </w:p>
    <w:p>
      <w:pPr>
        <w:spacing w:after="0" w:line="225" w:lineRule="exact"/>
        <w:rPr>
          <w:sz w:val="20"/>
          <w:szCs w:val="20"/>
          <w:color w:val="auto"/>
        </w:rPr>
      </w:pPr>
    </w:p>
    <w:p>
      <w:pPr>
        <w:ind w:left="1960" w:right="100" w:hanging="655"/>
        <w:spacing w:after="0" w:line="264" w:lineRule="auto"/>
        <w:tabs>
          <w:tab w:leader="none" w:pos="1971" w:val="left"/>
        </w:tabs>
        <w:numPr>
          <w:ilvl w:val="1"/>
          <w:numId w:val="411"/>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9 is an Unimpaired Class and the Holders of Claims in Class 9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41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10 consists of the Existing Common Stock.</w:t>
      </w:r>
      <w:r>
        <w:rPr>
          <w:rFonts w:ascii="Arial" w:cs="Arial" w:eastAsia="Arial" w:hAnsi="Arial"/>
          <w:sz w:val="23"/>
          <w:szCs w:val="23"/>
          <w:color w:val="auto"/>
          <w:vertAlign w:val="superscript"/>
        </w:rPr>
        <w:t>(3)</w:t>
      </w:r>
    </w:p>
    <w:p>
      <w:pPr>
        <w:spacing w:after="0" w:line="167" w:lineRule="exact"/>
        <w:rPr>
          <w:rFonts w:ascii="Arial" w:cs="Arial" w:eastAsia="Arial" w:hAnsi="Arial"/>
          <w:sz w:val="18"/>
          <w:szCs w:val="18"/>
          <w:color w:val="auto"/>
        </w:rPr>
      </w:pPr>
    </w:p>
    <w:p>
      <w:pPr>
        <w:ind w:left="1960" w:right="20" w:hanging="655"/>
        <w:spacing w:after="0" w:line="302" w:lineRule="auto"/>
        <w:tabs>
          <w:tab w:leader="none" w:pos="1967" w:val="left"/>
        </w:tabs>
        <w:numPr>
          <w:ilvl w:val="1"/>
          <w:numId w:val="412"/>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On the Effective Date, the Existing Common Stock will be cancelled without further notice to, approval of or action by</w:t>
      </w:r>
      <w:r>
        <w:rPr>
          <w:rFonts w:ascii="Arial" w:cs="Arial" w:eastAsia="Arial" w:hAnsi="Arial"/>
          <w:sz w:val="16"/>
          <w:szCs w:val="16"/>
          <w:i w:val="1"/>
          <w:iCs w:val="1"/>
          <w:color w:val="auto"/>
        </w:rPr>
        <w:t xml:space="preserve"> </w:t>
      </w:r>
      <w:r>
        <w:rPr>
          <w:rFonts w:ascii="Arial" w:cs="Arial" w:eastAsia="Arial" w:hAnsi="Arial"/>
          <w:sz w:val="16"/>
          <w:szCs w:val="16"/>
          <w:color w:val="auto"/>
        </w:rPr>
        <w:t>any Entity. On the 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this Plan and the occurrence of the Effective Date.</w:t>
      </w:r>
    </w:p>
    <w:p>
      <w:pPr>
        <w:spacing w:after="0" w:line="170" w:lineRule="exact"/>
        <w:rPr>
          <w:sz w:val="20"/>
          <w:szCs w:val="20"/>
          <w:color w:val="auto"/>
        </w:rPr>
      </w:pPr>
    </w:p>
    <w:p>
      <w:pPr>
        <w:ind w:left="1960" w:right="280" w:hanging="655"/>
        <w:spacing w:after="0" w:line="277" w:lineRule="auto"/>
        <w:tabs>
          <w:tab w:leader="none" w:pos="1971" w:val="left"/>
        </w:tabs>
        <w:numPr>
          <w:ilvl w:val="2"/>
          <w:numId w:val="413"/>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10 is Impaired, and the Holders of Existing Common Stock in Class 10 are entitled to vote to accept or reject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Class 11 — Intercompany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1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11 consists of Intercompany Equity Interests.</w:t>
      </w:r>
    </w:p>
    <w:p>
      <w:pPr>
        <w:spacing w:after="0" w:line="225" w:lineRule="exact"/>
        <w:rPr>
          <w:rFonts w:ascii="Arial" w:cs="Arial" w:eastAsia="Arial" w:hAnsi="Arial"/>
          <w:sz w:val="18"/>
          <w:szCs w:val="18"/>
          <w:color w:val="auto"/>
        </w:rPr>
      </w:pPr>
    </w:p>
    <w:p>
      <w:pPr>
        <w:ind w:left="1960" w:right="200" w:hanging="655"/>
        <w:spacing w:after="0" w:line="264" w:lineRule="auto"/>
        <w:tabs>
          <w:tab w:leader="none" w:pos="1967" w:val="left"/>
        </w:tabs>
        <w:numPr>
          <w:ilvl w:val="2"/>
          <w:numId w:val="414"/>
        </w:numPr>
        <w:rPr>
          <w:rFonts w:ascii="Arial" w:cs="Arial" w:eastAsia="Arial" w:hAnsi="Arial"/>
          <w:sz w:val="18"/>
          <w:szCs w:val="18"/>
          <w:color w:val="auto"/>
        </w:rPr>
      </w:pPr>
      <w:r>
        <w:rPr>
          <w:rFonts w:ascii="Arial" w:cs="Arial" w:eastAsia="Arial" w:hAnsi="Arial"/>
          <w:sz w:val="18"/>
          <w:szCs w:val="18"/>
          <w:i w:val="1"/>
          <w:iCs w:val="1"/>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71" w:val="left"/>
        </w:tabs>
        <w:numPr>
          <w:ilvl w:val="2"/>
          <w:numId w:val="414"/>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11 is an Unimpaired Class and the Holders of Claims in Class 11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Class 12 — Unexercised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14"/>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12 consists of Unexercised Equity Interests.</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15"/>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5" w:name="page206"/>
    <w:bookmarkEnd w:id="205"/>
    <w:p>
      <w:pPr>
        <w:ind w:left="1960" w:hanging="655"/>
        <w:spacing w:after="0" w:line="308" w:lineRule="auto"/>
        <w:tabs>
          <w:tab w:leader="none" w:pos="1967" w:val="left"/>
        </w:tabs>
        <w:numPr>
          <w:ilvl w:val="0"/>
          <w:numId w:val="416"/>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ind w:left="1960" w:right="340" w:hanging="655"/>
        <w:spacing w:after="0" w:line="264" w:lineRule="auto"/>
        <w:tabs>
          <w:tab w:leader="none" w:pos="1971" w:val="left"/>
        </w:tabs>
        <w:numPr>
          <w:ilvl w:val="0"/>
          <w:numId w:val="416"/>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12 is Impaired, and the Holders of Unexercised Equity Interests in Class 12 will be conclusively deemed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rejected this Plan pursuant to section 1126(g) of the Bankruptcy Code. Therefore, Holders of Unexercised Equity Interests in Class 12 will not be entitled to vote to accept or reject this Plan.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Special Provision Governing Unimpaired Claims</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Except as otherwise provided herein, nothing under this Plan will affect or limit the Debtors’ or the Reorganized Debtors’ rights and defenses (whether legal or equitable) in respect of any Unimpaired Claims, including, without limitation, all rights in respect of legal and equitable defenses to or setoffs or recoupments against any such Unimpaired Claims.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Elimination of Vacant Classes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this Plan for purposes of voting to accept or reject this Plan and for purposes of determining acceptance or rejection of this Plan by such Class pursuant to section 1129(a)(8) of the Bankruptcy Code.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ACCEPTANCE OR REJECTION OF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Presumed Acceptance of Plan</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Classes 1-6 and 8, 9, and 11 are Unimpaired under this Plan. Therefore, the Holders of Claims or Equity Interests in such Classes are deemed to have accepted this Plan pursuant to section 1126(f) of the Bankruptcy Code and are not entitled to vote to accept or reject this Plan.</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Presumed Rejection of Plan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this Plan. Accordingly, under section 1126(g) of the Bankruptcy Code, the votes of Holders of Unexercised Equity Interests in Class 12 will not be solicited and such Holders are deemed to reject this Plan.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Voting Classes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Classes 7 and 10 are Impaired and entitled to vote under this Plan. The Holders of Claims in Class 7 and Existing Common Stock in Class 10 as of the Voting Record Date are entitled to vote to accept or reject this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6" w:name="page207"/>
    <w:bookmarkEnd w:id="206"/>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Acceptance by Impaired Class of Claims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this Plan if the Holders of at least two-thirds (2/3) in dollar amount and more than one-half (1/2) in number of the Allowed Claims in such Class actually voting have voted to accept this Plan.</w:t>
      </w:r>
    </w:p>
    <w:p>
      <w:pPr>
        <w:spacing w:after="0" w:line="18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this Plan if the Holders of at least two-thirds (2/3) in amount of the Allowed Equity Interests in such Class actually have voted to accept this Plan.</w:t>
      </w:r>
    </w:p>
    <w:p>
      <w:pPr>
        <w:spacing w:after="0" w:line="181" w:lineRule="exact"/>
        <w:rPr>
          <w:sz w:val="20"/>
          <w:szCs w:val="20"/>
          <w:color w:val="auto"/>
        </w:rPr>
      </w:pPr>
    </w:p>
    <w:p>
      <w:pPr>
        <w:ind w:left="660" w:hanging="652"/>
        <w:spacing w:after="0"/>
        <w:tabs>
          <w:tab w:leader="none" w:pos="660" w:val="left"/>
        </w:tabs>
        <w:numPr>
          <w:ilvl w:val="0"/>
          <w:numId w:val="417"/>
        </w:numPr>
        <w:rPr>
          <w:rFonts w:ascii="Arial" w:cs="Arial" w:eastAsia="Arial" w:hAnsi="Arial"/>
          <w:sz w:val="18"/>
          <w:szCs w:val="18"/>
          <w:i w:val="1"/>
          <w:iCs w:val="1"/>
          <w:color w:val="auto"/>
        </w:rPr>
      </w:pPr>
      <w:r>
        <w:rPr>
          <w:rFonts w:ascii="Arial" w:cs="Arial" w:eastAsia="Arial" w:hAnsi="Arial"/>
          <w:sz w:val="18"/>
          <w:szCs w:val="18"/>
          <w:i w:val="1"/>
          <w:iCs w:val="1"/>
          <w:color w:val="auto"/>
        </w:rPr>
        <w:t>Confirmation Pursuant to Sections 1129(a)(10) and 1129(b) of the Bankruptcy Code; Cram Down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Section 1129(a)(10) of the Bankruptcy Code will be satisfied for purposes of Confirmation by acceptance of this Plan by Class 7. The Debtors request confirmation of this Plan under section 1129(b) of the Bankruptcy Code with respect to any Impaired Class that does not accept this Plan pursuant to section 1126 of the Bankruptcy Code. The Debtors reserve the right, in accordance with the terms of the Restructuring Support Agreement, to modify this Plan or any Exhibit or Plan Schedule in order to satisfy the requirements of section 1129(b) of the Bankruptcy Code, if necessary.</w:t>
      </w:r>
    </w:p>
    <w:p>
      <w:pPr>
        <w:spacing w:after="0" w:line="154" w:lineRule="exact"/>
        <w:rPr>
          <w:sz w:val="20"/>
          <w:szCs w:val="20"/>
          <w:color w:val="auto"/>
        </w:rPr>
      </w:pPr>
    </w:p>
    <w:p>
      <w:pPr>
        <w:ind w:left="640" w:hanging="632"/>
        <w:spacing w:after="0"/>
        <w:tabs>
          <w:tab w:leader="none" w:pos="640" w:val="left"/>
        </w:tabs>
        <w:numPr>
          <w:ilvl w:val="0"/>
          <w:numId w:val="418"/>
        </w:numPr>
        <w:rPr>
          <w:rFonts w:ascii="Arial" w:cs="Arial" w:eastAsia="Arial" w:hAnsi="Arial"/>
          <w:sz w:val="18"/>
          <w:szCs w:val="18"/>
          <w:i w:val="1"/>
          <w:iCs w:val="1"/>
          <w:color w:val="auto"/>
        </w:rPr>
      </w:pPr>
      <w:r>
        <w:rPr>
          <w:rFonts w:ascii="Arial" w:cs="Arial" w:eastAsia="Arial" w:hAnsi="Arial"/>
          <w:sz w:val="18"/>
          <w:szCs w:val="18"/>
          <w:i w:val="1"/>
          <w:iCs w:val="1"/>
          <w:color w:val="auto"/>
        </w:rPr>
        <w:t>Votes Solicited in Good Faith</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this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Parties will be entitled to, and upon the Confirmation Date are hereby granted, the protections of section 1125(e) of the Bankruptcy Code.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MEANS FOR IMPLEMENTATION OF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Restructuring Transactions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Without limiting any rights and remedies of the Debtors or Reorganized Debtors under this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this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7" w:name="page208"/>
    <w:bookmarkEnd w:id="207"/>
    <w:p>
      <w:pPr>
        <w:ind w:right="80"/>
        <w:spacing w:after="0" w:line="255" w:lineRule="auto"/>
        <w:rPr>
          <w:sz w:val="20"/>
          <w:szCs w:val="20"/>
          <w:color w:val="auto"/>
        </w:rPr>
      </w:pPr>
      <w:r>
        <w:rPr>
          <w:rFonts w:ascii="Arial" w:cs="Arial" w:eastAsia="Arial" w:hAnsi="Arial"/>
          <w:sz w:val="18"/>
          <w:szCs w:val="18"/>
          <w:color w:val="auto"/>
        </w:rPr>
        <w:t>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this Plan, the DIP Financing Documents (if applicable), and the Restructuring Documents and any consents or approvals required hereunder or thereunder (collectively, the “</w:t>
      </w:r>
      <w:r>
        <w:rPr>
          <w:rFonts w:ascii="Arial" w:cs="Arial" w:eastAsia="Arial" w:hAnsi="Arial"/>
          <w:sz w:val="18"/>
          <w:szCs w:val="18"/>
          <w:b w:val="1"/>
          <w:bCs w:val="1"/>
          <w:u w:val="single" w:color="auto"/>
          <w:color w:val="auto"/>
        </w:rPr>
        <w:t>Restructuring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Transactions</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this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this Plan and having such other terms to which the applicable Entities may agree; (iii) the filing of appropriate certificates or articles of merger, amalgamation, 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this Plan, the DIP Financing Documents (if applicable), and the Restructuring Documents and any consents or approvals required thereunder.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08" w:name="page209"/>
    <w:bookmarkEnd w:id="208"/>
    <w:p>
      <w:pPr>
        <w:ind w:left="660" w:hanging="652"/>
        <w:spacing w:after="0"/>
        <w:tabs>
          <w:tab w:leader="none" w:pos="660" w:val="left"/>
        </w:tabs>
        <w:numPr>
          <w:ilvl w:val="0"/>
          <w:numId w:val="419"/>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Corporate Existence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Subject to the Restructuring Transactions permitted by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this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this Plan or the Chapter 11 Cases.</w:t>
      </w:r>
    </w:p>
    <w:p>
      <w:pPr>
        <w:spacing w:after="0" w:line="197" w:lineRule="exact"/>
        <w:rPr>
          <w:sz w:val="20"/>
          <w:szCs w:val="20"/>
          <w:color w:val="auto"/>
        </w:rPr>
      </w:pPr>
    </w:p>
    <w:p>
      <w:pPr>
        <w:ind w:left="660" w:hanging="652"/>
        <w:spacing w:after="0"/>
        <w:tabs>
          <w:tab w:leader="none" w:pos="660" w:val="left"/>
        </w:tabs>
        <w:numPr>
          <w:ilvl w:val="0"/>
          <w:numId w:val="420"/>
        </w:numPr>
        <w:rPr>
          <w:rFonts w:ascii="Arial" w:cs="Arial" w:eastAsia="Arial" w:hAnsi="Arial"/>
          <w:sz w:val="18"/>
          <w:szCs w:val="18"/>
          <w:i w:val="1"/>
          <w:iCs w:val="1"/>
          <w:color w:val="auto"/>
        </w:rPr>
      </w:pPr>
      <w:r>
        <w:rPr>
          <w:rFonts w:ascii="Arial" w:cs="Arial" w:eastAsia="Arial" w:hAnsi="Arial"/>
          <w:sz w:val="18"/>
          <w:szCs w:val="18"/>
          <w:i w:val="1"/>
          <w:iCs w:val="1"/>
          <w:color w:val="auto"/>
        </w:rPr>
        <w:t>Vesting of Assets in the Reorganized Debtors Free and Clear of Liens and Claims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Except as otherwise expressly provided in this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this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Plan (including, without limitation, the Liens that secure the Exit 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this Plan or the Confirmation Order.</w:t>
      </w:r>
    </w:p>
    <w:p>
      <w:pPr>
        <w:spacing w:after="0" w:line="178" w:lineRule="exact"/>
        <w:rPr>
          <w:sz w:val="20"/>
          <w:szCs w:val="20"/>
          <w:color w:val="auto"/>
        </w:rPr>
      </w:pPr>
    </w:p>
    <w:p>
      <w:pPr>
        <w:ind w:left="660" w:hanging="652"/>
        <w:spacing w:after="0"/>
        <w:tabs>
          <w:tab w:leader="none" w:pos="660" w:val="left"/>
        </w:tabs>
        <w:numPr>
          <w:ilvl w:val="0"/>
          <w:numId w:val="421"/>
        </w:numPr>
        <w:rPr>
          <w:rFonts w:ascii="Arial" w:cs="Arial" w:eastAsia="Arial" w:hAnsi="Arial"/>
          <w:sz w:val="18"/>
          <w:szCs w:val="18"/>
          <w:i w:val="1"/>
          <w:iCs w:val="1"/>
          <w:color w:val="auto"/>
        </w:rPr>
      </w:pPr>
      <w:r>
        <w:rPr>
          <w:rFonts w:ascii="Arial" w:cs="Arial" w:eastAsia="Arial" w:hAnsi="Arial"/>
          <w:sz w:val="18"/>
          <w:szCs w:val="18"/>
          <w:i w:val="1"/>
          <w:iCs w:val="1"/>
          <w:color w:val="auto"/>
        </w:rPr>
        <w:t>Exit Facility Loan Documents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the Effective Date, the Debtors and the Reorganized Debtors, as applicable, will be authorized to execute and deliver, and to consummate the transactions contemplated by, the Exit 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9" w:name="page210"/>
    <w:bookmarkEnd w:id="209"/>
    <w:p>
      <w:pPr>
        <w:ind w:right="160"/>
        <w:spacing w:after="0" w:line="277" w:lineRule="auto"/>
        <w:rPr>
          <w:sz w:val="20"/>
          <w:szCs w:val="20"/>
          <w:color w:val="auto"/>
        </w:rPr>
      </w:pPr>
      <w:r>
        <w:rPr>
          <w:rFonts w:ascii="Arial" w:cs="Arial" w:eastAsia="Arial" w:hAnsi="Arial"/>
          <w:sz w:val="18"/>
          <w:szCs w:val="18"/>
          <w:color w:val="auto"/>
        </w:rPr>
        <w:t>deemed to be, enjoined or subject to discharge, impairment, release or avoidance under this Plan, the Confirmation Order or on account of the Confirmation or Consummation of this Plan.</w:t>
      </w:r>
    </w:p>
    <w:p>
      <w:pPr>
        <w:spacing w:after="0" w:line="170" w:lineRule="exact"/>
        <w:rPr>
          <w:sz w:val="20"/>
          <w:szCs w:val="20"/>
          <w:color w:val="auto"/>
        </w:rPr>
      </w:pPr>
    </w:p>
    <w:p>
      <w:pPr>
        <w:ind w:left="660" w:hanging="652"/>
        <w:spacing w:after="0"/>
        <w:tabs>
          <w:tab w:leader="none" w:pos="660" w:val="left"/>
        </w:tabs>
        <w:numPr>
          <w:ilvl w:val="0"/>
          <w:numId w:val="422"/>
        </w:numPr>
        <w:rPr>
          <w:rFonts w:ascii="Arial" w:cs="Arial" w:eastAsia="Arial" w:hAnsi="Arial"/>
          <w:sz w:val="18"/>
          <w:szCs w:val="18"/>
          <w:i w:val="1"/>
          <w:iCs w:val="1"/>
          <w:color w:val="auto"/>
        </w:rPr>
      </w:pPr>
      <w:r>
        <w:rPr>
          <w:rFonts w:ascii="Arial" w:cs="Arial" w:eastAsia="Arial" w:hAnsi="Arial"/>
          <w:sz w:val="18"/>
          <w:szCs w:val="18"/>
          <w:i w:val="1"/>
          <w:iCs w:val="1"/>
          <w:color w:val="auto"/>
        </w:rPr>
        <w:t>New Senior Unsecured Notes Indentures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New Common Stock; Book Entry</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the Effective Date, subject to the terms and conditions of this Plan and the Restructuring Transactions and as described more fully in the Reorganization Steps Overview, Reorganized Parent will issue the New Common Stock pursuant to this Plan and the Amended/New Corporate Governance Documents.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this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Listing of New Securities and Transfer Restrictions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Securities Exchange Act of 1934, as amended. Each share of New Common Stock will have the same rights, 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10" w:name="page211"/>
    <w:bookmarkEnd w:id="210"/>
    <w:p>
      <w:pPr>
        <w:ind w:left="660" w:hanging="652"/>
        <w:spacing w:after="0"/>
        <w:tabs>
          <w:tab w:leader="none" w:pos="660" w:val="left"/>
        </w:tabs>
        <w:numPr>
          <w:ilvl w:val="0"/>
          <w:numId w:val="423"/>
        </w:numPr>
        <w:rPr>
          <w:rFonts w:ascii="Arial" w:cs="Arial" w:eastAsia="Arial" w:hAnsi="Arial"/>
          <w:sz w:val="18"/>
          <w:szCs w:val="18"/>
          <w:i w:val="1"/>
          <w:iCs w:val="1"/>
          <w:color w:val="auto"/>
        </w:rPr>
      </w:pPr>
      <w:r>
        <w:rPr>
          <w:rFonts w:ascii="Arial" w:cs="Arial" w:eastAsia="Arial" w:hAnsi="Arial"/>
          <w:sz w:val="18"/>
          <w:szCs w:val="18"/>
          <w:i w:val="1"/>
          <w:iCs w:val="1"/>
          <w:color w:val="auto"/>
        </w:rPr>
        <w:t>New Registration Rights Agreement</w:t>
      </w:r>
    </w:p>
    <w:p>
      <w:pPr>
        <w:spacing w:after="0" w:line="225"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this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71" w:lineRule="exact"/>
        <w:rPr>
          <w:sz w:val="20"/>
          <w:szCs w:val="20"/>
          <w:color w:val="auto"/>
        </w:rPr>
      </w:pPr>
    </w:p>
    <w:p>
      <w:pPr>
        <w:ind w:left="660" w:hanging="652"/>
        <w:spacing w:after="0"/>
        <w:tabs>
          <w:tab w:leader="none" w:pos="660" w:val="left"/>
        </w:tabs>
        <w:numPr>
          <w:ilvl w:val="0"/>
          <w:numId w:val="424"/>
        </w:numPr>
        <w:rPr>
          <w:rFonts w:ascii="Arial" w:cs="Arial" w:eastAsia="Arial" w:hAnsi="Arial"/>
          <w:sz w:val="18"/>
          <w:szCs w:val="18"/>
          <w:i w:val="1"/>
          <w:iCs w:val="1"/>
          <w:color w:val="auto"/>
        </w:rPr>
      </w:pPr>
      <w:r>
        <w:rPr>
          <w:rFonts w:ascii="Arial" w:cs="Arial" w:eastAsia="Arial" w:hAnsi="Arial"/>
          <w:sz w:val="18"/>
          <w:szCs w:val="18"/>
          <w:i w:val="1"/>
          <w:iCs w:val="1"/>
          <w:color w:val="auto"/>
        </w:rPr>
        <w:t>New Management Incentive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7" w:lineRule="exact"/>
        <w:rPr>
          <w:sz w:val="20"/>
          <w:szCs w:val="20"/>
          <w:color w:val="auto"/>
        </w:rPr>
      </w:pPr>
    </w:p>
    <w:p>
      <w:pPr>
        <w:ind w:left="660" w:hanging="652"/>
        <w:spacing w:after="0"/>
        <w:tabs>
          <w:tab w:leader="none" w:pos="660" w:val="left"/>
        </w:tabs>
        <w:numPr>
          <w:ilvl w:val="0"/>
          <w:numId w:val="425"/>
        </w:numPr>
        <w:rPr>
          <w:rFonts w:ascii="Arial" w:cs="Arial" w:eastAsia="Arial" w:hAnsi="Arial"/>
          <w:sz w:val="18"/>
          <w:szCs w:val="18"/>
          <w:i w:val="1"/>
          <w:iCs w:val="1"/>
          <w:color w:val="auto"/>
        </w:rPr>
      </w:pPr>
      <w:r>
        <w:rPr>
          <w:rFonts w:ascii="Arial" w:cs="Arial" w:eastAsia="Arial" w:hAnsi="Arial"/>
          <w:sz w:val="18"/>
          <w:szCs w:val="18"/>
          <w:i w:val="1"/>
          <w:iCs w:val="1"/>
          <w:color w:val="auto"/>
        </w:rPr>
        <w:t>New Warrants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4" w:lineRule="exact"/>
        <w:rPr>
          <w:sz w:val="20"/>
          <w:szCs w:val="20"/>
          <w:color w:val="auto"/>
        </w:rPr>
      </w:pPr>
    </w:p>
    <w:p>
      <w:pPr>
        <w:ind w:left="660" w:hanging="652"/>
        <w:spacing w:after="0"/>
        <w:tabs>
          <w:tab w:leader="none" w:pos="660" w:val="left"/>
        </w:tabs>
        <w:numPr>
          <w:ilvl w:val="0"/>
          <w:numId w:val="426"/>
        </w:numPr>
        <w:rPr>
          <w:rFonts w:ascii="Arial" w:cs="Arial" w:eastAsia="Arial" w:hAnsi="Arial"/>
          <w:sz w:val="18"/>
          <w:szCs w:val="18"/>
          <w:i w:val="1"/>
          <w:iCs w:val="1"/>
          <w:color w:val="auto"/>
        </w:rPr>
      </w:pPr>
      <w:r>
        <w:rPr>
          <w:rFonts w:ascii="Arial" w:cs="Arial" w:eastAsia="Arial" w:hAnsi="Arial"/>
          <w:sz w:val="18"/>
          <w:szCs w:val="18"/>
          <w:i w:val="1"/>
          <w:iCs w:val="1"/>
          <w:color w:val="auto"/>
        </w:rPr>
        <w:t>Plan Securities and Related Documentation; Exemption from Securities Laws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On and after the Effective Date, the Debtors and the Reorganized Debtors, as applicable, are authorized to and will provide or issue, as applicable, the New Common Stock, the New Warrants, and the New Senior Unsecured Notes to be distributed and issued under this Plan (collectively,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and any and all other notes, stock, instruments, certificates, and other documents or agreements required to be distributed, issued, executed 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or in connection with this Plan (collectively, the “</w:t>
      </w:r>
      <w:r>
        <w:rPr>
          <w:rFonts w:ascii="Arial" w:cs="Arial" w:eastAsia="Arial" w:hAnsi="Arial"/>
          <w:sz w:val="16"/>
          <w:szCs w:val="16"/>
          <w:b w:val="1"/>
          <w:bCs w:val="1"/>
          <w:u w:val="single" w:color="auto"/>
          <w:color w:val="auto"/>
        </w:rPr>
        <w:t>Plan Securities and Documents</w:t>
      </w:r>
      <w:r>
        <w:rPr>
          <w:rFonts w:ascii="Arial" w:cs="Arial" w:eastAsia="Arial" w:hAnsi="Arial"/>
          <w:sz w:val="16"/>
          <w:szCs w:val="16"/>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offer, distribution, and issuance, as applicable, of the Plan Securities and Documents under this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1" w:name="page212"/>
    <w:bookmarkEnd w:id="211"/>
    <w:p>
      <w:pPr>
        <w:spacing w:after="0" w:line="291" w:lineRule="auto"/>
        <w:rPr>
          <w:sz w:val="20"/>
          <w:szCs w:val="20"/>
          <w:color w:val="auto"/>
        </w:rPr>
      </w:pPr>
      <w:r>
        <w:rPr>
          <w:rFonts w:ascii="Arial" w:cs="Arial" w:eastAsia="Arial" w:hAnsi="Arial"/>
          <w:sz w:val="16"/>
          <w:szCs w:val="16"/>
          <w:color w:val="auto"/>
        </w:rPr>
        <w:t xml:space="preserve">delivery of a prospectus for offer or sale of a security or registration or licensing of an issuer of a security) pursuant to section 1145(a) of the Bankruptcy Code and/or other applicable exemptions;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this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6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73" w:lineRule="exact"/>
        <w:rPr>
          <w:sz w:val="20"/>
          <w:szCs w:val="20"/>
          <w:color w:val="auto"/>
        </w:rPr>
      </w:pPr>
    </w:p>
    <w:p>
      <w:pPr>
        <w:ind w:left="660" w:hanging="652"/>
        <w:spacing w:after="0"/>
        <w:tabs>
          <w:tab w:leader="none" w:pos="660" w:val="left"/>
        </w:tabs>
        <w:numPr>
          <w:ilvl w:val="0"/>
          <w:numId w:val="427"/>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Liens and Claims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To the fullest extent provided under section 1141(c) and other applicable provisions of the Bankruptcy Code, except as otherwise provided herein (including, without limitation, Article V.D, V.E, V.F, and V.G of this Plan) or in any contract, instrument, release or other agreement or document entered into or delivered in connection with this Plan, on the Effective Date and concurrently with the applicable distributions made pursuant to Article VII hereof,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Liens at the sole cost and expense of the Reorganized Debtors, promptly execute and deliver to the Reorganized Debtors such instruments of termination, release, satisfaction and/or assignment (in recordable form) as may be reasonably requested by the Reorganized Debtors.</w:t>
      </w:r>
    </w:p>
    <w:p>
      <w:pPr>
        <w:spacing w:after="0" w:line="173" w:lineRule="exact"/>
        <w:rPr>
          <w:sz w:val="20"/>
          <w:szCs w:val="20"/>
          <w:color w:val="auto"/>
        </w:rPr>
      </w:pPr>
    </w:p>
    <w:p>
      <w:pPr>
        <w:ind w:left="660" w:hanging="652"/>
        <w:spacing w:after="0"/>
        <w:tabs>
          <w:tab w:leader="none" w:pos="660" w:val="left"/>
        </w:tabs>
        <w:numPr>
          <w:ilvl w:val="0"/>
          <w:numId w:val="428"/>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Governance Documents of the Reorganized Debtors</w:t>
      </w:r>
    </w:p>
    <w:p>
      <w:pPr>
        <w:spacing w:after="0" w:line="225"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The respective corporate governance documents of each of the Debtors will be amended and restated or replaced (as applicable) by the New/Amended Corporate Governance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2" w:name="page213"/>
    <w:bookmarkEnd w:id="212"/>
    <w:p>
      <w:pPr>
        <w:spacing w:after="0" w:line="271" w:lineRule="auto"/>
        <w:rPr>
          <w:sz w:val="20"/>
          <w:szCs w:val="20"/>
          <w:color w:val="auto"/>
        </w:rPr>
      </w:pPr>
      <w:r>
        <w:rPr>
          <w:rFonts w:ascii="Arial" w:cs="Arial" w:eastAsia="Arial" w:hAnsi="Arial"/>
          <w:sz w:val="17"/>
          <w:szCs w:val="17"/>
          <w:color w:val="auto"/>
        </w:rPr>
        <w:t>(subject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this Plan (including as a result of the exercise of New Warrants); and (iii) to the extent necessary or appropriate, include such provisions as may be needed to effectuate and consummate this Plan and the transactions contemplated herein. After the Effective Date, the Reorganized Debtors may, subject to the terms and conditions of the New/Amended Corporate Governance Documents, amend and restate their respective corporate governance documents as permitted thereby and by applicable law.</w:t>
      </w:r>
    </w:p>
    <w:p>
      <w:pPr>
        <w:spacing w:after="0" w:line="179" w:lineRule="exact"/>
        <w:rPr>
          <w:sz w:val="20"/>
          <w:szCs w:val="20"/>
          <w:color w:val="auto"/>
        </w:rPr>
      </w:pPr>
    </w:p>
    <w:p>
      <w:pPr>
        <w:ind w:left="660" w:hanging="652"/>
        <w:spacing w:after="0"/>
        <w:tabs>
          <w:tab w:leader="none" w:pos="660" w:val="left"/>
        </w:tabs>
        <w:numPr>
          <w:ilvl w:val="0"/>
          <w:numId w:val="429"/>
        </w:numPr>
        <w:rPr>
          <w:rFonts w:ascii="Arial" w:cs="Arial" w:eastAsia="Arial" w:hAnsi="Arial"/>
          <w:sz w:val="18"/>
          <w:szCs w:val="18"/>
          <w:i w:val="1"/>
          <w:iCs w:val="1"/>
          <w:color w:val="auto"/>
        </w:rPr>
      </w:pPr>
      <w:r>
        <w:rPr>
          <w:rFonts w:ascii="Arial" w:cs="Arial" w:eastAsia="Arial" w:hAnsi="Arial"/>
          <w:sz w:val="18"/>
          <w:szCs w:val="18"/>
          <w:i w:val="1"/>
          <w:iCs w:val="1"/>
          <w:color w:val="auto"/>
        </w:rPr>
        <w:t>Directors and Officers of the Reorganized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w:t>
      </w:r>
      <w:r>
        <w:rPr>
          <w:rFonts w:ascii="Arial" w:cs="Arial" w:eastAsia="Arial" w:hAnsi="Arial"/>
          <w:sz w:val="15"/>
          <w:szCs w:val="15"/>
          <w:color w:val="auto"/>
        </w:rPr>
        <w:t>Corporate Governance</w:t>
      </w:r>
      <w:r>
        <w:rPr>
          <w:rFonts w:ascii="Arial" w:cs="Arial" w:eastAsia="Arial" w:hAnsi="Arial"/>
          <w:sz w:val="16"/>
          <w:szCs w:val="16"/>
          <w:color w:val="auto"/>
        </w:rPr>
        <w:t xml:space="preserv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67" w:lineRule="exact"/>
        <w:rPr>
          <w:sz w:val="20"/>
          <w:szCs w:val="20"/>
          <w:color w:val="auto"/>
        </w:rPr>
      </w:pPr>
    </w:p>
    <w:p>
      <w:pPr>
        <w:ind w:left="660" w:hanging="652"/>
        <w:spacing w:after="0"/>
        <w:tabs>
          <w:tab w:leader="none" w:pos="660" w:val="left"/>
        </w:tabs>
        <w:numPr>
          <w:ilvl w:val="0"/>
          <w:numId w:val="431"/>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Action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 provisions of this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such actions being in accordance with the law of the Debtor’s jurisdiction of incorporation to the extent such non-bankruptcy law is applicable).</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this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the Effective Date, all matters provided for in this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this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this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89" w:lineRule="exact"/>
        <w:rPr>
          <w:sz w:val="20"/>
          <w:szCs w:val="20"/>
          <w:color w:val="auto"/>
        </w:rPr>
      </w:pPr>
    </w:p>
    <w:p>
      <w:pPr>
        <w:ind w:left="640" w:hanging="632"/>
        <w:spacing w:after="0"/>
        <w:tabs>
          <w:tab w:leader="none" w:pos="640" w:val="left"/>
        </w:tabs>
        <w:numPr>
          <w:ilvl w:val="0"/>
          <w:numId w:val="432"/>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of Notes, Certificates and Instruments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On the Effective Date, except to the extent otherwise provided in this Plan (including, without limitation, Article II.B, Article V.B, Article V.E, and Article V.K of this Plan), all notes, indentures, instruments, certificates, agreements and other documents evidencing or relating to any Impaired Claim (including, for the avoidance of doubt and without limitation, the Prepetition Notes Indentures and the Prepetition Notes, or any Claim being paid in full in Cash under this Plan, will be fully released, terminated, extinguished and discharged (including, in respect of DIP Facility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this Plan; provided that the Prepetition Debt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4" w:name="page215"/>
    <w:bookmarkEnd w:id="214"/>
    <w:p>
      <w:pPr>
        <w:ind w:right="60"/>
        <w:spacing w:after="0" w:line="287" w:lineRule="auto"/>
        <w:rPr>
          <w:sz w:val="20"/>
          <w:szCs w:val="20"/>
          <w:color w:val="auto"/>
        </w:rPr>
      </w:pPr>
      <w:r>
        <w:rPr>
          <w:rFonts w:ascii="Arial" w:cs="Arial" w:eastAsia="Arial" w:hAnsi="Arial"/>
          <w:sz w:val="16"/>
          <w:szCs w:val="16"/>
          <w:color w:val="auto"/>
        </w:rPr>
        <w:t>Documents and the DIP Facility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this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this Plan, and (iv) preserving the DIP Contingent Claims as contemplated by Article II.B of this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For the avoidance of doubt, nothing in this paragraph will affect or impair the Prepetition Notes Indenture Trustee Charging Lien, which will remain in full force and effect as of and after the Effective Date. For the avoidance of doubt, nothing contained in this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this Plan or otherwise.</w:t>
      </w:r>
    </w:p>
    <w:p>
      <w:pPr>
        <w:spacing w:after="0" w:line="169" w:lineRule="exact"/>
        <w:rPr>
          <w:sz w:val="20"/>
          <w:szCs w:val="20"/>
          <w:color w:val="auto"/>
        </w:rPr>
      </w:pPr>
    </w:p>
    <w:p>
      <w:pPr>
        <w:ind w:left="660" w:hanging="652"/>
        <w:spacing w:after="0"/>
        <w:tabs>
          <w:tab w:leader="none" w:pos="660" w:val="left"/>
        </w:tabs>
        <w:numPr>
          <w:ilvl w:val="0"/>
          <w:numId w:val="433"/>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Equity Interests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this Plan, where such amendment or modification is permitted under the law of the Parent Subsidiary’s jurisdiction of incorporation to the extent such non-bankruptcy law is applicable.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R</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Sources of Cash for Plan Distributions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All Cash necessary for the Debtors or the Reorganized Debtors, as applicable, to make payments required pursuant to this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5" w:name="page216"/>
    <w:bookmarkEnd w:id="215"/>
    <w:p>
      <w:pPr>
        <w:ind w:right="80"/>
        <w:spacing w:after="0" w:line="277" w:lineRule="auto"/>
        <w:rPr>
          <w:sz w:val="20"/>
          <w:szCs w:val="20"/>
          <w:color w:val="auto"/>
        </w:rPr>
      </w:pPr>
      <w:r>
        <w:rPr>
          <w:rFonts w:ascii="Arial" w:cs="Arial" w:eastAsia="Arial" w:hAnsi="Arial"/>
          <w:sz w:val="18"/>
          <w:szCs w:val="18"/>
          <w:color w:val="auto"/>
        </w:rPr>
        <w:t>considered prepetition claims of Weatherford Parent in the Irish Scheme of Arrangement so long as such payments are in the ordinary course of business and otherwise in accordance with the terms of this Plan and the DIP Orders.</w:t>
      </w:r>
    </w:p>
    <w:p>
      <w:pPr>
        <w:spacing w:after="0" w:line="170" w:lineRule="exact"/>
        <w:rPr>
          <w:sz w:val="20"/>
          <w:szCs w:val="20"/>
          <w:color w:val="auto"/>
        </w:rPr>
      </w:pPr>
    </w:p>
    <w:p>
      <w:pPr>
        <w:ind w:left="660" w:hanging="652"/>
        <w:spacing w:after="0"/>
        <w:tabs>
          <w:tab w:leader="none" w:pos="660" w:val="left"/>
        </w:tabs>
        <w:numPr>
          <w:ilvl w:val="0"/>
          <w:numId w:val="434"/>
        </w:numPr>
        <w:rPr>
          <w:rFonts w:ascii="Arial" w:cs="Arial" w:eastAsia="Arial" w:hAnsi="Arial"/>
          <w:sz w:val="18"/>
          <w:szCs w:val="18"/>
          <w:i w:val="1"/>
          <w:iCs w:val="1"/>
          <w:color w:val="auto"/>
        </w:rPr>
      </w:pPr>
      <w:r>
        <w:rPr>
          <w:rFonts w:ascii="Arial" w:cs="Arial" w:eastAsia="Arial" w:hAnsi="Arial"/>
          <w:sz w:val="18"/>
          <w:szCs w:val="18"/>
          <w:i w:val="1"/>
          <w:iCs w:val="1"/>
          <w:color w:val="auto"/>
        </w:rPr>
        <w:t>Funding and Use of Professional Fee Claim Reserve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this Plan.</w:t>
      </w:r>
    </w:p>
    <w:p>
      <w:pPr>
        <w:spacing w:after="0" w:line="171"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8" w:lineRule="exact"/>
        <w:rPr>
          <w:sz w:val="20"/>
          <w:szCs w:val="20"/>
          <w:color w:val="auto"/>
        </w:rPr>
      </w:pPr>
    </w:p>
    <w:p>
      <w:pPr>
        <w:ind w:left="660" w:hanging="652"/>
        <w:spacing w:after="0"/>
        <w:tabs>
          <w:tab w:leader="none" w:pos="660" w:val="left"/>
        </w:tabs>
        <w:numPr>
          <w:ilvl w:val="0"/>
          <w:numId w:val="435"/>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Certain Creditors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 during the Chapter 11 Cases), without the need for application by any such parties to the Bankruptcy Court, and without notice and a hearing pursuant to section 1129(a)(4) of the Bankruptcy Code or otherwise.</w:t>
      </w:r>
    </w:p>
    <w:p>
      <w:pPr>
        <w:spacing w:after="0" w:line="187" w:lineRule="exact"/>
        <w:rPr>
          <w:sz w:val="20"/>
          <w:szCs w:val="20"/>
          <w:color w:val="auto"/>
        </w:rPr>
      </w:pPr>
    </w:p>
    <w:p>
      <w:pPr>
        <w:ind w:left="660" w:hanging="652"/>
        <w:spacing w:after="0"/>
        <w:tabs>
          <w:tab w:leader="none" w:pos="660" w:val="left"/>
        </w:tabs>
        <w:numPr>
          <w:ilvl w:val="0"/>
          <w:numId w:val="436"/>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the Prepetition Notes Indenture Trustee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6" w:name="page217"/>
    <w:bookmarkEnd w:id="216"/>
    <w:p>
      <w:pPr>
        <w:ind w:right="40"/>
        <w:spacing w:after="0" w:line="257" w:lineRule="auto"/>
        <w:rPr>
          <w:sz w:val="20"/>
          <w:szCs w:val="20"/>
          <w:color w:val="auto"/>
        </w:rPr>
      </w:pPr>
      <w:r>
        <w:rPr>
          <w:rFonts w:ascii="Arial" w:cs="Arial" w:eastAsia="Arial" w:hAnsi="Arial"/>
          <w:sz w:val="18"/>
          <w:szCs w:val="18"/>
          <w:color w:val="auto"/>
        </w:rPr>
        <w:t>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this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V</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Tranche B Equity Conversion and Overallotment Rights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 Notes that were not subscribed for by Holders of the Prepetition Notes (the “</w:t>
      </w:r>
      <w:r>
        <w:rPr>
          <w:rFonts w:ascii="Arial" w:cs="Arial" w:eastAsia="Arial" w:hAnsi="Arial"/>
          <w:sz w:val="17"/>
          <w:szCs w:val="17"/>
          <w:b w:val="1"/>
          <w:bCs w:val="1"/>
          <w:u w:val="single" w:color="auto"/>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Holders of the Prepetition Notes will be able to elect to receive New Common Stock in lieu of New Tranche B Senior Unsecured Notes by using the subscription form that will be delivered during the Chapter 11 Cases. The subscription form must be returned to the Voting and Claims Agent on or before the Business Day that is not less than ten (10) Business Days 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 Amount</w:t>
      </w:r>
      <w:r>
        <w:rPr>
          <w:rFonts w:ascii="Arial" w:cs="Arial" w:eastAsia="Arial" w:hAnsi="Arial"/>
          <w:sz w:val="18"/>
          <w:szCs w:val="18"/>
          <w:color w:val="auto"/>
        </w:rPr>
        <w:t>”).</w:t>
      </w:r>
    </w:p>
    <w:p>
      <w:pPr>
        <w:spacing w:after="0" w:line="188"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together with the other Plan Securities to be issued to the Holders of the Prepetition Notes under Article III of this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7" w:name="page218"/>
    <w:bookmarkEnd w:id="217"/>
    <w:p>
      <w:pPr>
        <w:spacing w:after="0"/>
        <w:tabs>
          <w:tab w:leader="none" w:pos="640" w:val="left"/>
        </w:tabs>
        <w:rPr>
          <w:sz w:val="20"/>
          <w:szCs w:val="20"/>
          <w:color w:val="auto"/>
        </w:rPr>
      </w:pPr>
      <w:r>
        <w:rPr>
          <w:rFonts w:ascii="Arial" w:cs="Arial" w:eastAsia="Arial" w:hAnsi="Arial"/>
          <w:sz w:val="18"/>
          <w:szCs w:val="18"/>
          <w:i w:val="1"/>
          <w:iCs w:val="1"/>
          <w:color w:val="auto"/>
        </w:rPr>
        <w:t>W</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Rights Offering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this Plan and the Rights Offering Procedures. Pursuant to the Rights Offering Procedures and this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this Plan, the Reorganized Debtors will be authorized to issue the New Tranche A Senior Unsecured Notes on the Effective Date in accordance with this Plan and the Rights Offering Procedures. Pursuant to the Backstop Commitment Agreement, the Backstop Commitment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TREATMENT OF EXECUTORY CONTRACTS AND UNEXPIRED LEASES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Assumption of Executory Contracts and Unexpired Leases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320" w:hanging="664"/>
        <w:spacing w:after="0"/>
        <w:tabs>
          <w:tab w:leader="none" w:pos="13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right="100" w:firstLine="656"/>
        <w:spacing w:after="0" w:line="259" w:lineRule="auto"/>
        <w:tabs>
          <w:tab w:leader="none" w:pos="133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are identified by the Debtors (with the consent of the Required Consenting Noteholders) and Filed in the Plan Supplement, which Plan Schedule may be amended by the Debtors (with the consent of the Required Consenting Noteholders) to add or remove Executory Contracts and Unexpired Leases by filing with the Bankruptcy Court an amended Plan Schedule and serving it on the affected non-Debtor contract parties at least seven (7) days prior to the Plan Objection Deadline; or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18" w:name="page219"/>
    <w:bookmarkEnd w:id="218"/>
    <w:p>
      <w:pPr>
        <w:ind w:firstLine="648"/>
        <w:spacing w:after="0" w:line="268" w:lineRule="auto"/>
        <w:rPr>
          <w:sz w:val="20"/>
          <w:szCs w:val="20"/>
          <w:color w:val="auto"/>
        </w:rPr>
      </w:pPr>
      <w:r>
        <w:rPr>
          <w:rFonts w:ascii="Arial" w:cs="Arial" w:eastAsia="Arial" w:hAnsi="Arial"/>
          <w:sz w:val="17"/>
          <w:szCs w:val="17"/>
          <w:color w:val="auto"/>
        </w:rPr>
        <w:t>To the extent any provision in any Executory Contract or Unexpired Lease assumed or assumed and assigned (as applicable) pursuant to this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this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this Plan, in each case subject to the remaining terms and conditions of this Article VI.</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this Plan will revest in and be fully enforceable by the applicable Reorganized Debtor or the applicable assignee in accordance with its terms and conditions, except as modified by the provisions of this Plan, any order of the Bankruptcy Court approving its assumption and/or assignment, or applicable law.</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Cure of Defaults; Assignment of Executory Contracts and Unexpired Leases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Any defaults under each Executory Contract and Unexpired Lease to be assumed, or assumed and assigned, pursuant to this Plan will be satisfied, pursuant to and to the extent required by section 365(b)(1) of the Bankruptcy Code, by payment of the applicable default amount in Cash on the Effective Date or on such other terms as the Bankruptcy Court may order or the parties to such Executory Contracts or Unexpired Leases may otherwise agree in writing (with the consent of the Required Consenting Noteholders) (the “</w:t>
      </w:r>
      <w:r>
        <w:rPr>
          <w:rFonts w:ascii="Arial" w:cs="Arial" w:eastAsia="Arial" w:hAnsi="Arial"/>
          <w:sz w:val="17"/>
          <w:szCs w:val="17"/>
          <w:b w:val="1"/>
          <w:bCs w:val="1"/>
          <w:u w:val="single" w:color="auto"/>
          <w:color w:val="auto"/>
        </w:rPr>
        <w:t>Cure Claim Amount</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of an assumption, or an assumption and assignment, of an Executory Contract or Unexpired Lease under this Plan, at least twenty-one</w:t>
      </w:r>
    </w:p>
    <w:p>
      <w:pPr>
        <w:spacing w:after="0" w:line="46" w:lineRule="exact"/>
        <w:rPr>
          <w:sz w:val="20"/>
          <w:szCs w:val="20"/>
          <w:color w:val="auto"/>
        </w:rPr>
      </w:pPr>
    </w:p>
    <w:p>
      <w:pPr>
        <w:ind w:right="100" w:firstLine="8"/>
        <w:spacing w:after="0" w:line="254" w:lineRule="auto"/>
        <w:tabs>
          <w:tab w:leader="none" w:pos="34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days prior to the Plan Objection Deadline (or, in the case of an Executory Contract or Unexpired Lease removed from the Plan Schedule after such date, no later than one (1) Business Day after such removal), the Debtors will File and serve upon counterparties to such Executory Contracts and Unexpired Leases, a notice of the proposed assumption, or proposed assumption and assignment, which will: (a) list the applicable Cure Claim Amount, if any; (b) if applicable, identify the party to which the Executory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9" w:name="page220"/>
    <w:bookmarkEnd w:id="219"/>
    <w:p>
      <w:pPr>
        <w:ind w:right="120"/>
        <w:spacing w:after="0" w:line="277" w:lineRule="auto"/>
        <w:rPr>
          <w:sz w:val="20"/>
          <w:szCs w:val="20"/>
          <w:color w:val="auto"/>
        </w:rPr>
      </w:pPr>
      <w:r>
        <w:rPr>
          <w:rFonts w:ascii="Arial" w:cs="Arial" w:eastAsia="Arial" w:hAnsi="Arial"/>
          <w:sz w:val="18"/>
          <w:szCs w:val="18"/>
          <w:color w:val="auto"/>
        </w:rPr>
        <w:t>Contract or Unexpired Lease will be assigned; (c) describe the procedures for filing objections thereto; and (d) explain the process by which related disputes will be resolved by the Bankruptcy Court.</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Any objection by a counterparty to an Executory Contract or Unexpired Lease to a proposed assumption, or proposed assumption and assignment under this Plan, or any related cure amount, must be Filed, served and actually received by the Debtors prior to the Plan Objection Deadline (notwithstanding anything in the Schedules or a proof of Claim to the contrary). Any counterparty to an Executory Contract or Unexpired Lease that fails to object timely to the proposed assumption, or proposed assumption and assignment, or cure amount will be deemed to have consented to such matters and will be deemed to have forever released and waived any objection to such proposed assumption, proposed assumption and assignment, and cure amount. The Confirmation Order will constitute an order of the Bankruptcy Court approving each proposed assumption, or proposed assumption and assignment, of Executory Contracts and Unexpired Leases pursuant to sections 365 and 1123 of the Bankruptcy Code as of the Effective Date.</w:t>
      </w:r>
    </w:p>
    <w:p>
      <w:pPr>
        <w:spacing w:after="0" w:line="167"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Subject to any cure claims Filed with respect thereto, assumption or assumption and assignment of any Executory Contract or Unexpired Lease pursuant to this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this Article VI.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With respect to any Executory Contract or Unexpired Lease assumed and assigned pursuant to this Plan, upon and as of the Effective Date, the applicable assignee will be deemed to be substituted as a party thereto for the applicable Debtor party to such assigned Executory 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0" w:name="page221"/>
    <w:bookmarkEnd w:id="220"/>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Rejection of Executory Contracts and Unexpired Leases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w:t>
      </w:r>
      <w:r>
        <w:rPr>
          <w:rFonts w:ascii="Arial" w:cs="Arial" w:eastAsia="Arial" w:hAnsi="Arial"/>
          <w:sz w:val="18"/>
          <w:szCs w:val="18"/>
          <w:u w:val="single" w:color="auto"/>
          <w:color w:val="auto"/>
        </w:rPr>
        <w:t>Plan Schedule</w:t>
      </w:r>
      <w:r>
        <w:rPr>
          <w:rFonts w:ascii="Arial" w:cs="Arial" w:eastAsia="Arial" w:hAnsi="Arial"/>
          <w:sz w:val="18"/>
          <w:szCs w:val="18"/>
          <w:color w:val="auto"/>
        </w:rPr>
        <w:t xml:space="preserve"> will be deemed rejected as of the Effective Date. The Confirmation Order will constitute an order of the Bankruptcy Court approving the rejections described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pursuant to sections 365 and 1123 of the Bankruptcy Code as of the Effective Date. Rejection of any Executory Contract or Unexpired Lease pursuant to this Plan or otherwise will not constitute a termination of any preexisting obligations owed to the Debtors or the Reorganized Debtors, as applicable, under such Executory Contracts or Unexpired Leases.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Claims on Account of the Rejection of Executory Contracts or Unexpired Leases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this Plan or the Confirmation Order, if any, must be filed with the Bankruptcy Court within thirty (30) days after service of an order of the Bankruptcy Court (including the Confirmation Order) approving such rejection.</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hereof.</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D&amp;O Liability Insurance Policies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 nothing in this Plan otherwise alters the terms and conditions of the D&amp;O Liability Insurance Policies. Confirmation and Consummation of this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1" w:name="page222"/>
    <w:bookmarkEnd w:id="221"/>
    <w:p>
      <w:pPr>
        <w:ind w:right="120"/>
        <w:spacing w:after="0" w:line="312" w:lineRule="auto"/>
        <w:rPr>
          <w:sz w:val="20"/>
          <w:szCs w:val="20"/>
          <w:color w:val="auto"/>
        </w:rPr>
      </w:pPr>
      <w:r>
        <w:rPr>
          <w:rFonts w:ascii="Arial" w:cs="Arial" w:eastAsia="Arial" w:hAnsi="Arial"/>
          <w:sz w:val="16"/>
          <w:szCs w:val="16"/>
          <w:color w:val="auto"/>
        </w:rPr>
        <w:t>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Indemnification Provisions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this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Employment Plans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Insurance Contracts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 Consummation of this Plan will not impair or otherwise modify any available defenses of the Reorganized Debtors or any insurer under the Insurance Contracts.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2" w:name="page223"/>
    <w:bookmarkEnd w:id="222"/>
    <w:p>
      <w:pPr>
        <w:spacing w:after="0"/>
        <w:tabs>
          <w:tab w:leader="none" w:pos="640" w:val="left"/>
        </w:tabs>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Extension of Time to Assume or Reject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this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J</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Modifications, Amendments, Supplements, Restatements, or Other Agreements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Unless otherwise provided in this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PROVISIONS GOVERNING DISTRIBUTIONS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Distributions for Claims Allowed as of the Effective 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this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No Postpetition Interest on Claims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otherwise specifically provided for in this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 Holder of a Claim (except a DIP Facility Claim) will be entitled to interest accruing on or after the Petition Date on any Claim.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3" w:name="page224"/>
    <w:bookmarkEnd w:id="223"/>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Distributions by the Reorganized Debtors or Other Applicable Distribution Agent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Other than as specifically set forth below or as otherwise provided in this Plan, the Reorganized Debtors or other applicable Distribution Agent will make all distributions required to be distributed under this Plan. Distributions on account of the Allowed Prepetition Debt Claims and Allowed DIP Facility Claims will be made to the Prepetition Agents, the Prepetition Notes Indenture Trustee, and the DIP Facility Agent, respectively, and such agent or trustee will be, and will act as, the Distribution Agent with respect to its respective Class of Claims in accordance with the terms and conditions of this Plan and the applicable debt documents. All distributions to Holders of Prepetition Debt Claims and DIP Facility Claims will be deemed completed when made by the Reorganized Debtors to the Prepetition Agents, the Prepetition Notes Indenture Trustee (or as directed by the Prepetition Notes Indenture Trustee), and the DIP Facility Agent, or as otherwise provided in this Plan, as applicable. The Reorganized Debtors may employ or contract with other Entities to assist in or make the distributions required by this Plan and may pay the reasonable fees and expenses of such Entities and the Distribution Agents in the ordinary course of business. No Distribution Agent will be required to give any bond or surety or other security for the performance of its duties unless otherwise ordered by the Bankruptcy Court. The DIP Agent shall not have any liability to any person with respect to distributions made or directed to be made by the DIP Agent.</w:t>
      </w:r>
    </w:p>
    <w:p>
      <w:pPr>
        <w:spacing w:after="0" w:line="1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distributions of New Common Stock and New Tranche B Senior Unsecured Notes to be made under this Plan to Holders of Allowed Prepetition Notes Claims shall be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Holders of Allowed Prepetition Notes Claims in accordance with the Prepetition Notes Indenture or as set forth below. Notwithstanding anything to the contrary in this Plan, the Prepetition Notes Indenture Trustee may transfer or direct the transfer of such distributions through the facilities of DTC and, in such event, will be entitled to recognize and deal for all purposes under this Plan with Holders of the Prepetition Notes to the extent consistent with the policies or customary practices of DTC. If such distributions cannot be made through the facilities of DTC, the Debtors or Reorganized Debtors, as applicable, shall implement procedures in consultation with the Prepetition Notes Indenture Trustee to make distributions with respect to the Prepetition Notes. The Debtors or Reorganized Debtors (as applicable) shall use their best efforts to make the New Common Stock and New Tranche B Senior Unsecured Notes to be distributed to Holders of the Prepetition Notes eligible for distribution through the facilities of DTC. The distributions of Subscription Rights under this Plan to Holders of Allowed Prepetition Notes Claims shall be made by the Voting and Claims Agent as provided in the Rights Offering Procedures. The obligations of the Prepetition Notes Indenture Trustee under the Prepetition Notes Indentures, the Prepetition Notes, and this Plan shall be deemed fully satisfied upon DTC’s receipt of the distributions with respect to the Prepetition Notes.</w:t>
      </w:r>
    </w:p>
    <w:p>
      <w:pPr>
        <w:spacing w:after="0" w:line="17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distributions of New Common Stock and New Warrants to be made under this Plan to Holders of Allowed Existing Common Stock shall be made by the Debtors or Reorganized Debtors, as applicable, and may include the distribution of that New Common Stock and New 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224" w:name="page225"/>
    <w:bookmarkEnd w:id="224"/>
    <w:p>
      <w:pPr>
        <w:ind w:left="660" w:hanging="652"/>
        <w:spacing w:after="0"/>
        <w:tabs>
          <w:tab w:leader="none" w:pos="660" w:val="left"/>
        </w:tabs>
        <w:numPr>
          <w:ilvl w:val="0"/>
          <w:numId w:val="439"/>
        </w:numPr>
        <w:rPr>
          <w:rFonts w:ascii="Arial" w:cs="Arial" w:eastAsia="Arial" w:hAnsi="Arial"/>
          <w:sz w:val="18"/>
          <w:szCs w:val="18"/>
          <w:color w:val="auto"/>
        </w:rPr>
      </w:pPr>
      <w:r>
        <w:rPr>
          <w:rFonts w:ascii="Arial" w:cs="Arial" w:eastAsia="Arial" w:hAnsi="Arial"/>
          <w:sz w:val="18"/>
          <w:szCs w:val="18"/>
          <w:i w:val="1"/>
          <w:iCs w:val="1"/>
          <w:color w:val="auto"/>
        </w:rPr>
        <w:t>Delivery and Distributions; Undeliverable or Unclaimed Distributions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this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1300" w:hanging="644"/>
        <w:spacing w:after="0"/>
        <w:tabs>
          <w:tab w:leader="none" w:pos="1300"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300" w:hanging="644"/>
        <w:spacing w:after="0"/>
        <w:tabs>
          <w:tab w:leader="none" w:pos="1300"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this Plan would otherwise be called for, the actual payment or distribution will reflect a rounding of such fraction down to the 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5" w:name="page226"/>
    <w:bookmarkEnd w:id="225"/>
    <w:p>
      <w:pPr>
        <w:ind w:right="40" w:firstLine="648"/>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this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below.</w:t>
      </w:r>
    </w:p>
    <w:p>
      <w:pPr>
        <w:spacing w:after="0" w:line="188" w:lineRule="exact"/>
        <w:rPr>
          <w:sz w:val="20"/>
          <w:szCs w:val="20"/>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sz w:val="20"/>
          <w:szCs w:val="20"/>
          <w:color w:val="auto"/>
        </w:rPr>
      </w:pPr>
    </w:p>
    <w:p>
      <w:pPr>
        <w:ind w:left="1940" w:hanging="635"/>
        <w:spacing w:after="0"/>
        <w:tabs>
          <w:tab w:leader="none" w:pos="19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Holding of Certain Undeliverable Distributions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If the distribution to any Holder of an Allowed Claim or an Allowed Equity Interest is 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until such time as any such distributions become deliverable. Undeliverable distributions will not be entitled to any additional interest, dividends or other accruals of any kind on account of their distribution being undeliverable.</w:t>
      </w:r>
    </w:p>
    <w:p>
      <w:pPr>
        <w:spacing w:after="0" w:line="189" w:lineRule="exact"/>
        <w:rPr>
          <w:sz w:val="20"/>
          <w:szCs w:val="20"/>
          <w:color w:val="auto"/>
        </w:rPr>
      </w:pPr>
    </w:p>
    <w:p>
      <w:pPr>
        <w:ind w:left="1960" w:hanging="655"/>
        <w:spacing w:after="0"/>
        <w:tabs>
          <w:tab w:leader="none" w:pos="19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Failure to Claim Undeliverable Distributions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Holder of an Allowed Claim or an Allowed Equity Interest (or any successor or assignee or other Person or Entity claiming by, through, or on behalf of, such Holder) that does not assert a right pursuant to this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this Plan. Nothing contained in this Plan will require the Debtors, the Reorganized Debtors, or any Distribution Agent to attempt to locate any Holder of an Allowed Claim or an Allowed Equity Interest.</w:t>
      </w:r>
    </w:p>
    <w:p>
      <w:pPr>
        <w:spacing w:after="0" w:line="167" w:lineRule="exact"/>
        <w:rPr>
          <w:sz w:val="20"/>
          <w:szCs w:val="20"/>
          <w:color w:val="auto"/>
        </w:rPr>
      </w:pPr>
    </w:p>
    <w:p>
      <w:pPr>
        <w:ind w:left="1960" w:hanging="655"/>
        <w:spacing w:after="0"/>
        <w:tabs>
          <w:tab w:leader="none" w:pos="19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Failure to Present Checks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Checks issued by the Distribution Agent on account of Allowed Claims or Allowed Equity Interests will be 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6" w:name="page227"/>
    <w:bookmarkEnd w:id="226"/>
    <w:p>
      <w:pPr>
        <w:ind w:right="20"/>
        <w:spacing w:after="0" w:line="255" w:lineRule="auto"/>
        <w:rPr>
          <w:sz w:val="20"/>
          <w:szCs w:val="20"/>
          <w:color w:val="auto"/>
        </w:rPr>
      </w:pPr>
      <w:r>
        <w:rPr>
          <w:rFonts w:ascii="Arial" w:cs="Arial" w:eastAsia="Arial" w:hAnsi="Arial"/>
          <w:sz w:val="18"/>
          <w:szCs w:val="18"/>
          <w:color w:val="auto"/>
        </w:rPr>
        <w:t>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this Plan.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Compliance with Tax Requirements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connection with this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this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this Article VII.E will be treated as if distributed to the Holder of the Allowed Claim.</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[Intentionally Omitted]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Means of Cash Payment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of Cash made pursuant to this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this Plan to the DIP Agent on account of the DIP Facility Claims shall be made by wire transfer.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Timing and Calculation of Amounts to Be Distributed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Except as otherwise provided in the “Treatment” sections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this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hereof. Except as otherwise provided herein, Holders of Claims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7" w:name="page228"/>
    <w:bookmarkEnd w:id="227"/>
    <w:p>
      <w:pPr>
        <w:ind w:right="260"/>
        <w:spacing w:after="0" w:line="277" w:lineRule="auto"/>
        <w:rPr>
          <w:sz w:val="20"/>
          <w:szCs w:val="20"/>
          <w:color w:val="auto"/>
        </w:rPr>
      </w:pPr>
      <w:r>
        <w:rPr>
          <w:rFonts w:ascii="Arial" w:cs="Arial" w:eastAsia="Arial" w:hAnsi="Arial"/>
          <w:sz w:val="18"/>
          <w:szCs w:val="18"/>
          <w:color w:val="auto"/>
        </w:rPr>
        <w:t>will not be entitled to interest, dividends or accruals on the distributions provided for herein, regardless of whether such distributions are delivered on or at any time after the Effective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Setoffs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this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PROCEDURES FOR RESOLVING CONTINGENT,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UNLIQUIDATED, AND DISPUTED CLAIMS AND EQUITY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Resolution of Disputed Claims and Equity Interests</w:t>
      </w:r>
    </w:p>
    <w:p>
      <w:pPr>
        <w:spacing w:after="0" w:line="225" w:lineRule="exact"/>
        <w:rPr>
          <w:sz w:val="20"/>
          <w:szCs w:val="20"/>
          <w:color w:val="auto"/>
        </w:rPr>
      </w:pPr>
    </w:p>
    <w:p>
      <w:pPr>
        <w:ind w:left="1300" w:hanging="644"/>
        <w:spacing w:after="0"/>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Allowance of Claims and Equity Interests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the Effective Date, and except as otherwise provided in this Plan, the Reorganized Debtors will have and will retain any and all available rights and defenses that the Debtors had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8" w:name="page229"/>
    <w:bookmarkEnd w:id="228"/>
    <w:p>
      <w:pPr>
        <w:ind w:right="40"/>
        <w:spacing w:after="0" w:line="259" w:lineRule="auto"/>
        <w:rPr>
          <w:sz w:val="20"/>
          <w:szCs w:val="20"/>
          <w:color w:val="auto"/>
        </w:rPr>
      </w:pPr>
      <w:r>
        <w:rPr>
          <w:rFonts w:ascii="Arial" w:cs="Arial" w:eastAsia="Arial" w:hAnsi="Arial"/>
          <w:sz w:val="18"/>
          <w:szCs w:val="18"/>
          <w:color w:val="auto"/>
        </w:rPr>
        <w:t>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87" w:lineRule="exact"/>
        <w:rPr>
          <w:sz w:val="20"/>
          <w:szCs w:val="20"/>
          <w:color w:val="auto"/>
        </w:rPr>
      </w:pPr>
    </w:p>
    <w:p>
      <w:pPr>
        <w:ind w:left="1300" w:hanging="644"/>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After the Confirmation Date but before the Effective Date, the Debtors (in consultation with the Ad Hoc Noteholder Committee), and after the Effective Date, the Reorganized Debtors, will have the authority to File objections to Claims and Equity Interests (other than those that are Allowed under this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66" w:lineRule="exact"/>
        <w:rPr>
          <w:sz w:val="20"/>
          <w:szCs w:val="20"/>
          <w:color w:val="auto"/>
        </w:rPr>
      </w:pPr>
    </w:p>
    <w:p>
      <w:pPr>
        <w:ind w:left="1300" w:hanging="644"/>
        <w:spacing w:after="0"/>
        <w:tabs>
          <w:tab w:leader="none" w:pos="1300"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ind w:left="1300" w:hanging="644"/>
        <w:spacing w:after="0"/>
        <w:tabs>
          <w:tab w:leader="none" w:pos="1300" w:val="left"/>
        </w:tabs>
        <w:numPr>
          <w:ilvl w:val="0"/>
          <w:numId w:val="449"/>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Except as otherwise provided in this Plan, including, without limitation Article VI.G,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and the Reorganized Debtors, as applicable, reserve the right to object to any Claim or Equity Interest that is entitled, or deemed to be entitled, to a distribution under this Plan or is rendered Unimpaired under this Plan. Instead, the Debtors intend to make distributions,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29" w:name="page230"/>
    <w:bookmarkEnd w:id="229"/>
    <w:p>
      <w:pPr>
        <w:spacing w:after="0" w:line="270" w:lineRule="auto"/>
        <w:rPr>
          <w:sz w:val="20"/>
          <w:szCs w:val="20"/>
          <w:color w:val="auto"/>
        </w:rPr>
      </w:pPr>
      <w:r>
        <w:rPr>
          <w:rFonts w:ascii="Arial" w:cs="Arial" w:eastAsia="Arial" w:hAnsi="Arial"/>
          <w:sz w:val="17"/>
          <w:szCs w:val="17"/>
          <w:color w:val="auto"/>
        </w:rPr>
        <w:t xml:space="preserve">as required by this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or any other appropriate motion or adversary proceeding with respect thereto. All such objections will be litigated to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may, with the consent of the Required Consenting Noteholders, compromise, settle, withdraw or resolve by any other method approved by the Bankruptcy Court any objections to Claims or Equity Interests.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No Distributions Pending Allowance</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Notwithstanding any other provision of this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this Plan to Holders of Allowed Prepetition Notes Claims will be made in full on the Initial Distribution Date, regardless of whether such Holders hold any Disputed Claims.</w:t>
      </w:r>
    </w:p>
    <w:p>
      <w:pPr>
        <w:spacing w:after="0" w:line="173" w:lineRule="exact"/>
        <w:rPr>
          <w:sz w:val="20"/>
          <w:szCs w:val="20"/>
          <w:color w:val="auto"/>
        </w:rPr>
      </w:pPr>
    </w:p>
    <w:p>
      <w:pPr>
        <w:ind w:left="660" w:right="400" w:hanging="647"/>
        <w:spacing w:after="0" w:line="277" w:lineRule="auto"/>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Distributions on Account of Disputed Claims and Disputed Equity Interests Once They Are Allowed and Additional Distributions on Account of Previously Allowed Claims and Allowed Equity Interests</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 xml:space="preserve">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 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or Paragraph B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any dividends or other distributions arising from property distributed to holders of Allowed Claims and Allowed Equity Interests in a Class and paid to such Holders under this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0" w:name="page231"/>
    <w:bookmarkEnd w:id="230"/>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Reserve for Disputed Claims and Disputed Equity Interests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this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 TO CONFIRMATION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CONSUMMATION OF THE PLAN</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Conditions Precedent to Confirmation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Unless satisfied or waived pursuant to the provisions of </w:t>
      </w:r>
      <w:r>
        <w:rPr>
          <w:rFonts w:ascii="Arial" w:cs="Arial" w:eastAsia="Arial" w:hAnsi="Arial"/>
          <w:sz w:val="17"/>
          <w:szCs w:val="17"/>
          <w:u w:val="single" w:color="auto"/>
          <w:color w:val="auto"/>
        </w:rPr>
        <w:t>Article IX.C</w:t>
      </w:r>
      <w:r>
        <w:rPr>
          <w:rFonts w:ascii="Arial" w:cs="Arial" w:eastAsia="Arial" w:hAnsi="Arial"/>
          <w:sz w:val="17"/>
          <w:szCs w:val="17"/>
          <w:color w:val="auto"/>
        </w:rPr>
        <w:t xml:space="preserve"> hereof, the following are conditions precedent to Confirmation of this Plan.</w:t>
      </w:r>
    </w:p>
    <w:p>
      <w:pPr>
        <w:spacing w:after="0" w:line="237" w:lineRule="exact"/>
        <w:rPr>
          <w:sz w:val="20"/>
          <w:szCs w:val="20"/>
          <w:color w:val="auto"/>
        </w:rPr>
      </w:pPr>
    </w:p>
    <w:p>
      <w:pPr>
        <w:jc w:val="both"/>
        <w:ind w:right="40" w:firstLine="656"/>
        <w:spacing w:after="0" w:line="279" w:lineRule="auto"/>
        <w:tabs>
          <w:tab w:leader="none" w:pos="1296"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This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 otherwise consistent with the Restructuring Term Sheet and the Restructuring Support Agreement;</w:t>
      </w:r>
    </w:p>
    <w:p>
      <w:pPr>
        <w:spacing w:after="0" w:line="171" w:lineRule="exact"/>
        <w:rPr>
          <w:rFonts w:ascii="Arial" w:cs="Arial" w:eastAsia="Arial" w:hAnsi="Arial"/>
          <w:sz w:val="17"/>
          <w:szCs w:val="17"/>
          <w:color w:val="auto"/>
        </w:rPr>
      </w:pPr>
    </w:p>
    <w:p>
      <w:pPr>
        <w:jc w:val="both"/>
        <w:ind w:right="160" w:firstLine="656"/>
        <w:spacing w:after="0" w:line="257" w:lineRule="auto"/>
        <w:tabs>
          <w:tab w:leader="none" w:pos="1296"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Conditions Precedent to Consummation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hereof, the following are conditions precedent to Consummation of this Plan.</w:t>
      </w:r>
    </w:p>
    <w:p>
      <w:pPr>
        <w:spacing w:after="0" w:line="248" w:lineRule="exact"/>
        <w:rPr>
          <w:sz w:val="20"/>
          <w:szCs w:val="20"/>
          <w:color w:val="auto"/>
        </w:rPr>
      </w:pPr>
    </w:p>
    <w:p>
      <w:pPr>
        <w:jc w:val="center"/>
        <w:ind w:left="5620" w:right="840" w:hanging="4964"/>
        <w:spacing w:after="0" w:line="528" w:lineRule="auto"/>
        <w:tabs>
          <w:tab w:leader="none" w:pos="1301"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Confirmation Order has become a Final Order and such order has not been amended, modified, vacated, stayed, or reversed;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1" w:name="page232"/>
    <w:bookmarkEnd w:id="231"/>
    <w:p>
      <w:pPr>
        <w:ind w:left="-20" w:firstLine="656"/>
        <w:spacing w:after="0" w:line="264" w:lineRule="auto"/>
        <w:tabs>
          <w:tab w:leader="none" w:pos="127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this Plan and the Plan Supplement;</w:t>
      </w:r>
    </w:p>
    <w:p>
      <w:pPr>
        <w:spacing w:after="0" w:line="181" w:lineRule="exact"/>
        <w:rPr>
          <w:rFonts w:ascii="Arial" w:cs="Arial" w:eastAsia="Arial" w:hAnsi="Arial"/>
          <w:sz w:val="18"/>
          <w:szCs w:val="18"/>
          <w:color w:val="auto"/>
        </w:rPr>
      </w:pPr>
    </w:p>
    <w:p>
      <w:pPr>
        <w:ind w:left="-20" w:right="80" w:firstLine="656"/>
        <w:spacing w:after="0" w:line="279" w:lineRule="auto"/>
        <w:tabs>
          <w:tab w:leader="none" w:pos="1276"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This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Credit Agreement, in form and substance satisfactory or reasonably satisfactory, as applicable, to the DIP Agent and the DIP Required Lenders in the manner set forth in the DIP Facility Documents;</w:t>
      </w:r>
    </w:p>
    <w:p>
      <w:pPr>
        <w:spacing w:after="0" w:line="171" w:lineRule="exact"/>
        <w:rPr>
          <w:rFonts w:ascii="Arial" w:cs="Arial" w:eastAsia="Arial" w:hAnsi="Arial"/>
          <w:sz w:val="17"/>
          <w:szCs w:val="17"/>
          <w:color w:val="auto"/>
        </w:rPr>
      </w:pPr>
    </w:p>
    <w:p>
      <w:pPr>
        <w:ind w:left="-20" w:right="200" w:firstLine="656"/>
        <w:spacing w:after="0" w:line="257" w:lineRule="auto"/>
        <w:tabs>
          <w:tab w:leader="none" w:pos="127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this Plan;</w:t>
      </w:r>
    </w:p>
    <w:p>
      <w:pPr>
        <w:spacing w:after="0" w:line="188" w:lineRule="exact"/>
        <w:rPr>
          <w:rFonts w:ascii="Arial" w:cs="Arial" w:eastAsia="Arial" w:hAnsi="Arial"/>
          <w:sz w:val="18"/>
          <w:szCs w:val="18"/>
          <w:color w:val="auto"/>
        </w:rPr>
      </w:pPr>
    </w:p>
    <w:p>
      <w:pPr>
        <w:ind w:left="-20" w:firstLine="656"/>
        <w:spacing w:after="0" w:line="259" w:lineRule="auto"/>
        <w:tabs>
          <w:tab w:leader="none" w:pos="127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this Plan and all conditions precedent to issuance of the New Tranche A Senior Unsecured Notes have been satisfied or waived;</w:t>
      </w:r>
    </w:p>
    <w:p>
      <w:pPr>
        <w:spacing w:after="0" w:line="186" w:lineRule="exact"/>
        <w:rPr>
          <w:rFonts w:ascii="Arial" w:cs="Arial" w:eastAsia="Arial" w:hAnsi="Arial"/>
          <w:sz w:val="18"/>
          <w:szCs w:val="18"/>
          <w:color w:val="auto"/>
        </w:rPr>
      </w:pPr>
    </w:p>
    <w:p>
      <w:pPr>
        <w:ind w:left="-20" w:right="20" w:firstLine="656"/>
        <w:spacing w:after="0" w:line="264" w:lineRule="auto"/>
        <w:tabs>
          <w:tab w:leader="none" w:pos="127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Any documents governing the New Tranche B Senior Unsecured Notes, which shall be in form and substance acceptable to the Debtors and the Required Consenting Noteholders, have become effective or will become effective concurrently with effectiveness of this Plan and all conditions precedent to issuance of the New Tranche B Senior Unsecured Notes have been satisfied or waived;</w:t>
      </w:r>
    </w:p>
    <w:p>
      <w:pPr>
        <w:spacing w:after="0" w:line="181" w:lineRule="exact"/>
        <w:rPr>
          <w:rFonts w:ascii="Arial" w:cs="Arial" w:eastAsia="Arial" w:hAnsi="Arial"/>
          <w:sz w:val="18"/>
          <w:szCs w:val="18"/>
          <w:color w:val="auto"/>
        </w:rPr>
      </w:pPr>
    </w:p>
    <w:p>
      <w:pPr>
        <w:ind w:left="-20" w:right="740" w:firstLine="656"/>
        <w:spacing w:after="0" w:line="277" w:lineRule="auto"/>
        <w:tabs>
          <w:tab w:leader="none" w:pos="127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this Plan, in accordance with the terms of the DIP Credit Agreement;</w:t>
      </w:r>
    </w:p>
    <w:p>
      <w:pPr>
        <w:spacing w:after="0" w:line="170" w:lineRule="exact"/>
        <w:rPr>
          <w:rFonts w:ascii="Arial" w:cs="Arial" w:eastAsia="Arial" w:hAnsi="Arial"/>
          <w:sz w:val="18"/>
          <w:szCs w:val="18"/>
          <w:color w:val="auto"/>
        </w:rPr>
      </w:pPr>
    </w:p>
    <w:p>
      <w:pPr>
        <w:ind w:left="-20" w:right="460" w:firstLine="656"/>
        <w:spacing w:after="0" w:line="277" w:lineRule="auto"/>
        <w:tabs>
          <w:tab w:leader="none" w:pos="127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70" w:lineRule="exact"/>
        <w:rPr>
          <w:rFonts w:ascii="Arial" w:cs="Arial" w:eastAsia="Arial" w:hAnsi="Arial"/>
          <w:sz w:val="18"/>
          <w:szCs w:val="18"/>
          <w:color w:val="auto"/>
        </w:rPr>
      </w:pPr>
    </w:p>
    <w:p>
      <w:pPr>
        <w:ind w:left="-20" w:right="520" w:firstLine="656"/>
        <w:spacing w:after="0" w:line="308" w:lineRule="auto"/>
        <w:tabs>
          <w:tab w:leader="none" w:pos="1276" w:val="left"/>
        </w:tabs>
        <w:numPr>
          <w:ilvl w:val="0"/>
          <w:numId w:val="452"/>
        </w:numPr>
        <w:rPr>
          <w:rFonts w:ascii="Arial" w:cs="Arial" w:eastAsia="Arial" w:hAnsi="Arial"/>
          <w:sz w:val="17"/>
          <w:szCs w:val="17"/>
          <w:color w:val="auto"/>
        </w:rPr>
      </w:pPr>
      <w:r>
        <w:rPr>
          <w:rFonts w:ascii="Arial" w:cs="Arial" w:eastAsia="Arial" w:hAnsi="Arial"/>
          <w:sz w:val="17"/>
          <w:szCs w:val="17"/>
          <w:color w:val="auto"/>
        </w:rPr>
        <w:t>Any Amended/New Corporate Governance Documents, which shall be in form and substance acceptable to the Required Consenting Noteholders in their sole discretion, have become effective or will become effective concurrently with the effectiveness of this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232" w:name="page233"/>
    <w:bookmarkEnd w:id="232"/>
    <w:p>
      <w:pPr>
        <w:ind w:firstLine="656"/>
        <w:spacing w:after="0" w:line="264" w:lineRule="auto"/>
        <w:tabs>
          <w:tab w:leader="none" w:pos="129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Irish Scheme of Arrangement has been approved by the High Court of Ireland,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this Plan;</w:t>
      </w:r>
    </w:p>
    <w:p>
      <w:pPr>
        <w:spacing w:after="0" w:line="181" w:lineRule="exact"/>
        <w:rPr>
          <w:rFonts w:ascii="Arial" w:cs="Arial" w:eastAsia="Arial" w:hAnsi="Arial"/>
          <w:sz w:val="18"/>
          <w:szCs w:val="18"/>
          <w:color w:val="auto"/>
        </w:rPr>
      </w:pPr>
    </w:p>
    <w:p>
      <w:pPr>
        <w:jc w:val="both"/>
        <w:ind w:right="480" w:firstLine="656"/>
        <w:spacing w:after="0" w:line="279" w:lineRule="auto"/>
        <w:tabs>
          <w:tab w:leader="none" w:pos="1285" w:val="left"/>
        </w:tabs>
        <w:numPr>
          <w:ilvl w:val="0"/>
          <w:numId w:val="453"/>
        </w:numPr>
        <w:rPr>
          <w:rFonts w:ascii="Arial" w:cs="Arial" w:eastAsia="Arial" w:hAnsi="Arial"/>
          <w:sz w:val="17"/>
          <w:szCs w:val="17"/>
          <w:color w:val="auto"/>
        </w:rPr>
      </w:pPr>
      <w:r>
        <w:rPr>
          <w:rFonts w:ascii="Arial" w:cs="Arial" w:eastAsia="Arial" w:hAnsi="Arial"/>
          <w:sz w:val="17"/>
          <w:szCs w:val="17"/>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this Plan.</w:t>
      </w:r>
    </w:p>
    <w:p>
      <w:pPr>
        <w:spacing w:after="0" w:line="171" w:lineRule="exact"/>
        <w:rPr>
          <w:rFonts w:ascii="Arial" w:cs="Arial" w:eastAsia="Arial" w:hAnsi="Arial"/>
          <w:sz w:val="17"/>
          <w:szCs w:val="17"/>
          <w:color w:val="auto"/>
        </w:rPr>
      </w:pPr>
    </w:p>
    <w:p>
      <w:pPr>
        <w:ind w:right="160" w:firstLine="656"/>
        <w:spacing w:after="0" w:line="312" w:lineRule="auto"/>
        <w:tabs>
          <w:tab w:leader="none" w:pos="1292" w:val="left"/>
        </w:tabs>
        <w:numPr>
          <w:ilvl w:val="0"/>
          <w:numId w:val="453"/>
        </w:numPr>
        <w:rPr>
          <w:rFonts w:ascii="Arial" w:cs="Arial" w:eastAsia="Arial" w:hAnsi="Arial"/>
          <w:sz w:val="16"/>
          <w:szCs w:val="16"/>
          <w:color w:val="auto"/>
        </w:rPr>
      </w:pPr>
      <w:r>
        <w:rPr>
          <w:rFonts w:ascii="Arial" w:cs="Arial" w:eastAsia="Arial" w:hAnsi="Arial"/>
          <w:sz w:val="16"/>
          <w:szCs w:val="16"/>
          <w:color w:val="auto"/>
        </w:rPr>
        <w:t>All consents, actions, documents, certificates and agreements necessary to implement this Plan and the transactions contemplated by this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46" w:lineRule="exact"/>
        <w:rPr>
          <w:rFonts w:ascii="Arial" w:cs="Arial" w:eastAsia="Arial" w:hAnsi="Arial"/>
          <w:sz w:val="16"/>
          <w:szCs w:val="16"/>
          <w:color w:val="auto"/>
        </w:rPr>
      </w:pPr>
    </w:p>
    <w:p>
      <w:pPr>
        <w:ind w:right="60" w:firstLine="656"/>
        <w:spacing w:after="0" w:line="259" w:lineRule="auto"/>
        <w:tabs>
          <w:tab w:leader="none" w:pos="129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this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right="80" w:firstLine="656"/>
        <w:spacing w:after="0" w:line="277" w:lineRule="auto"/>
        <w:tabs>
          <w:tab w:leader="none" w:pos="129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The Professional Fee Claim Reserve has been funded in full in Cash by the Debtors in accordance with the terms and conditions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right="520" w:firstLine="656"/>
        <w:spacing w:after="0" w:line="277" w:lineRule="auto"/>
        <w:tabs>
          <w:tab w:leader="none" w:pos="129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right="180" w:firstLine="656"/>
        <w:spacing w:after="0" w:line="277" w:lineRule="auto"/>
        <w:tabs>
          <w:tab w:leader="none" w:pos="129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To the extent invoiced, all Ad Hoc Noteholder Committee Fees and Expenses and Prepetition Notes Indenture Trustee Fees and Expenses have been paid in full in Cash.</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Waiver of Conditions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Subject to section 1127 of the Bankruptcy Code, the conditions to Confirmation and Consummation of this Plan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may be waived by the Debtors,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3" w:name="page234"/>
    <w:bookmarkEnd w:id="233"/>
    <w:p>
      <w:pPr>
        <w:spacing w:after="0" w:line="279" w:lineRule="auto"/>
        <w:rPr>
          <w:sz w:val="20"/>
          <w:szCs w:val="20"/>
          <w:color w:val="auto"/>
        </w:rPr>
      </w:pPr>
      <w:r>
        <w:rPr>
          <w:rFonts w:ascii="Arial" w:cs="Arial" w:eastAsia="Arial" w:hAnsi="Arial"/>
          <w:sz w:val="17"/>
          <w:szCs w:val="17"/>
          <w:color w:val="auto"/>
        </w:rPr>
        <w:t>consent of the Required Consenting Noteholders in the manner set forth in the Restructuring Support Agreement, or, in the case of Article IX.B.15, B.19, and B.9, the Required Consenting Noteholders in their sole discretion, without notice, leave or order of the Bankruptcy Court or any formal action other than proceeding to confirm or consummate this Plan. The failure of the Debtors or Reorganized Debtors to exercise any of the foregoing rights will not be deemed a waiver of any other rights, and each right will be deemed an ongoing right that may be asserted at any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Effect of Non-Occurrence of Conditions to Confirmation or Consummation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Confirmation or the Consummation of this Plan does not occur with respect to one or more of the Debtors, then this Plan will, with respect to such applicable Debtor or Debtors, be null and void in all respects and nothing contained in this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DISCHARGE, INJUNCTION AND RELATED PROVISIONS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General</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this Plan, upon the Effective Date, the provisions of this Plan shall constitute a good faith compromise and settlement of all Claims and Equity Interests and controversies resolved pursuant to this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this Plan and the contracts, instruments, releases, indentures, and other agreements or documents delivered under or in connection with this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4" w:name="page235"/>
    <w:bookmarkEnd w:id="234"/>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Release of Claims and Causes of Action</w:t>
      </w:r>
    </w:p>
    <w:p>
      <w:pPr>
        <w:spacing w:after="0" w:line="221" w:lineRule="exact"/>
        <w:rPr>
          <w:sz w:val="20"/>
          <w:szCs w:val="20"/>
          <w:color w:val="auto"/>
        </w:rPr>
      </w:pPr>
    </w:p>
    <w:p>
      <w:pPr>
        <w:ind w:firstLine="656"/>
        <w:spacing w:after="0" w:line="284" w:lineRule="auto"/>
        <w:tabs>
          <w:tab w:leader="none" w:pos="1296" w:val="left"/>
        </w:tabs>
        <w:numPr>
          <w:ilvl w:val="0"/>
          <w:numId w:val="45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the Debtors and their Estates</w:t>
      </w:r>
      <w:r>
        <w:rPr>
          <w:rFonts w:ascii="Arial" w:cs="Arial" w:eastAsia="Arial" w:hAnsi="Arial"/>
          <w:sz w:val="16"/>
          <w:szCs w:val="16"/>
          <w:b w:val="1"/>
          <w:bCs w:val="1"/>
          <w:color w:val="auto"/>
        </w:rPr>
        <w:t>. Pursuant to section 1123(b) and any other applicable provisions of the Bankruptcy Code,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and except as otherwise expressly provided in this Plan, effective as of the Effective Date, for good and valuable consideration provided by each of the Released Parties, the adequacy and sufficiency of which is hereby confirmed, the Debtors and the Reorganized Debtors, in their respective individual 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6"/>
          <w:szCs w:val="16"/>
          <w:b w:val="1"/>
          <w:bCs w:val="1"/>
          <w:u w:val="single" w:color="auto"/>
          <w:color w:val="auto"/>
        </w:rPr>
        <w:t>Debtor 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6"/>
          <w:szCs w:val="16"/>
          <w:b w:val="1"/>
          <w:bCs w:val="1"/>
          <w:u w:val="single" w:color="auto"/>
          <w:color w:val="auto"/>
        </w:rPr>
        <w:t>Debtor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 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that the foregoing provisions of this Debtor Release shall not operate to waive or release: (i) any Causes of Action arising from willful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misconduct, actual fraud, or gross negligence of such applicable Released Party as determined by Final Order of the Bankruptcy Court or any other court of competent jurisdiction; and/or (ii) the rights of such Debtor Releasing Party to enforce this Plan and the contracts, instruments, releases, indentures, and other agreements or documents delivered under or in connection with this Plan or assumed pursuant to this Plan or assumed pursuant to Final Order of the Bankruptcy Court. The foregoing release shall be effective as of the Effective Date without further notice to or order of the Bankruptcy Court, act or action under applicable law, regulation, order, or rule or the vote, consent,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5" w:name="page236"/>
    <w:bookmarkEnd w:id="235"/>
    <w:p>
      <w:pPr>
        <w:spacing w:after="0" w:line="272" w:lineRule="auto"/>
        <w:rPr>
          <w:sz w:val="20"/>
          <w:szCs w:val="20"/>
          <w:color w:val="auto"/>
        </w:rPr>
      </w:pPr>
      <w:r>
        <w:rPr>
          <w:rFonts w:ascii="Arial" w:cs="Arial" w:eastAsia="Arial" w:hAnsi="Arial"/>
          <w:sz w:val="17"/>
          <w:szCs w:val="17"/>
          <w:b w:val="1"/>
          <w:bCs w:val="1"/>
          <w:color w:val="auto"/>
        </w:rPr>
        <w:t xml:space="preserve">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this </w:t>
      </w:r>
      <w:r>
        <w:rPr>
          <w:rFonts w:ascii="Arial" w:cs="Arial" w:eastAsia="Arial" w:hAnsi="Arial"/>
          <w:sz w:val="17"/>
          <w:szCs w:val="17"/>
          <w:b w:val="1"/>
          <w:bCs w:val="1"/>
          <w:u w:val="single" w:color="auto"/>
          <w:color w:val="auto"/>
        </w:rPr>
        <w:t>Article X.B</w:t>
      </w:r>
      <w:r>
        <w:rPr>
          <w:rFonts w:ascii="Arial" w:cs="Arial" w:eastAsia="Arial" w:hAnsi="Arial"/>
          <w:sz w:val="17"/>
          <w:szCs w:val="17"/>
          <w:b w:val="1"/>
          <w:bCs w:val="1"/>
          <w:color w:val="auto"/>
        </w:rPr>
        <w:t xml:space="preserve"> shall or shall be deemed to (i)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this Plan.</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68" w:lineRule="exact"/>
        <w:rPr>
          <w:sz w:val="20"/>
          <w:szCs w:val="20"/>
          <w:color w:val="auto"/>
        </w:rPr>
      </w:pPr>
    </w:p>
    <w:p>
      <w:pPr>
        <w:ind w:right="20" w:firstLine="656"/>
        <w:spacing w:after="0" w:line="286" w:lineRule="auto"/>
        <w:tabs>
          <w:tab w:leader="none" w:pos="1296" w:val="left"/>
        </w:tabs>
        <w:numPr>
          <w:ilvl w:val="0"/>
          <w:numId w:val="45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Third Parties</w:t>
      </w:r>
      <w:r>
        <w:rPr>
          <w:rFonts w:ascii="Arial" w:cs="Arial" w:eastAsia="Arial" w:hAnsi="Arial"/>
          <w:sz w:val="16"/>
          <w:szCs w:val="16"/>
          <w:b w:val="1"/>
          <w:bCs w:val="1"/>
          <w:color w:val="auto"/>
        </w:rPr>
        <w:t>. Except as otherwise expressly provided in this Plan, effective as of the Effective Date, to the fullest extent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permitted by applicable law, for good and valuable consideration provided by each of the Released Parties, the adequacy and sufficiency of which is hereby confirmed, and without limiting or otherwise modifying the scope of the Debtor Release provided by the Debtor Releasing Parties 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 Release</w:t>
      </w:r>
      <w:r>
        <w:rPr>
          <w:rFonts w:ascii="Arial" w:cs="Arial" w:eastAsia="Arial" w:hAnsi="Arial"/>
          <w:sz w:val="16"/>
          <w:szCs w:val="16"/>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6" w:name="page237"/>
    <w:bookmarkEnd w:id="236"/>
    <w:p>
      <w:pPr>
        <w:ind w:right="20"/>
        <w:spacing w:after="0" w:line="287" w:lineRule="auto"/>
        <w:rPr>
          <w:sz w:val="20"/>
          <w:szCs w:val="20"/>
          <w:color w:val="auto"/>
        </w:rPr>
      </w:pPr>
      <w:r>
        <w:rPr>
          <w:rFonts w:ascii="Arial" w:cs="Arial" w:eastAsia="Arial" w:hAnsi="Arial"/>
          <w:sz w:val="16"/>
          <w:szCs w:val="16"/>
          <w:b w:val="1"/>
          <w:bCs w:val="1"/>
          <w:color w:val="auto"/>
        </w:rPr>
        <w:t xml:space="preserve">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 Release shall not operate to waive or release (i) any Causes of Action arising from willful misconduct, actual fraud, or gross negligence of such applicable Released Party as determined by Final Order of the Bankruptcy Court or any other court of competent jurisdiction; (ii) the rights of such Non-Debtor Releasing Party to enforce this Plan and the contracts, instruments, releases, indentures, and other agreements and documents delivered under or in connection with this Plan or assumed pursuant to this Plan or Final Order of the Bankruptcy Court; and/or (iii) any obligations of any Entity arising after the Effective Date under the Exit Facility Loan Documents or any document, instrument or agreement set forth in the Plan Supplement.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2" w:lineRule="exact"/>
        <w:rPr>
          <w:sz w:val="20"/>
          <w:szCs w:val="20"/>
          <w:color w:val="auto"/>
        </w:rPr>
      </w:pPr>
    </w:p>
    <w:p>
      <w:pPr>
        <w:ind w:left="660" w:hanging="652"/>
        <w:spacing w:after="0"/>
        <w:tabs>
          <w:tab w:leader="none" w:pos="660" w:val="left"/>
        </w:tabs>
        <w:numPr>
          <w:ilvl w:val="0"/>
          <w:numId w:val="456"/>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Statutory Limitations on Releases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this Plan are effective regardless of whether those released matters are presently known, unknown, suspected or unsuspected, foreseen or unforeseen.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7" w:name="page238"/>
    <w:bookmarkEnd w:id="237"/>
    <w:p>
      <w:pPr>
        <w:ind w:left="660" w:hanging="652"/>
        <w:spacing w:after="0"/>
        <w:tabs>
          <w:tab w:leader="none" w:pos="660" w:val="left"/>
        </w:tabs>
        <w:numPr>
          <w:ilvl w:val="0"/>
          <w:numId w:val="457"/>
        </w:numPr>
        <w:rPr>
          <w:rFonts w:ascii="Arial" w:cs="Arial" w:eastAsia="Arial" w:hAnsi="Arial"/>
          <w:sz w:val="18"/>
          <w:szCs w:val="18"/>
          <w:i w:val="1"/>
          <w:iCs w:val="1"/>
          <w:color w:val="auto"/>
        </w:rPr>
      </w:pPr>
      <w:r>
        <w:rPr>
          <w:rFonts w:ascii="Arial" w:cs="Arial" w:eastAsia="Arial" w:hAnsi="Arial"/>
          <w:sz w:val="18"/>
          <w:szCs w:val="18"/>
          <w:i w:val="1"/>
          <w:iCs w:val="1"/>
          <w:color w:val="auto"/>
        </w:rPr>
        <w:t>Discharge of Claims and Equity Interests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To the fullest extent provided under section 1141(d)(1)(A) and other applicable provisions of the Bankruptcy Code, except as otherwise expressly provided by this Plan (including, without limitation, </w:t>
      </w:r>
      <w:r>
        <w:rPr>
          <w:rFonts w:ascii="Arial" w:cs="Arial" w:eastAsia="Arial" w:hAnsi="Arial"/>
          <w:sz w:val="16"/>
          <w:szCs w:val="16"/>
          <w:u w:val="single" w:color="auto"/>
          <w:color w:val="auto"/>
        </w:rPr>
        <w:t>Article V.D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V.E</w:t>
      </w:r>
      <w:r>
        <w:rPr>
          <w:rFonts w:ascii="Arial" w:cs="Arial" w:eastAsia="Arial" w:hAnsi="Arial"/>
          <w:sz w:val="16"/>
          <w:szCs w:val="16"/>
          <w:color w:val="auto"/>
        </w:rPr>
        <w:t xml:space="preserve"> of this Plan) or the Confirmation Order, effective as of the Effective Date, all consideration distributed under this Plan shall be in exchange for, and in complete satisfaction, settlement, discharge, and release of, all Claims, Equity Interests and Causes 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this Plan on account of such Claims, Equity Interests or Causes of Action.</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Except as otherwise expressly provided by this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this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expressly provided by this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this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660" w:hanging="652"/>
        <w:spacing w:after="0"/>
        <w:tabs>
          <w:tab w:leader="none" w:pos="660" w:val="left"/>
        </w:tabs>
        <w:numPr>
          <w:ilvl w:val="0"/>
          <w:numId w:val="458"/>
        </w:numPr>
        <w:rPr>
          <w:rFonts w:ascii="Arial" w:cs="Arial" w:eastAsia="Arial" w:hAnsi="Arial"/>
          <w:sz w:val="18"/>
          <w:szCs w:val="18"/>
          <w:i w:val="1"/>
          <w:iCs w:val="1"/>
          <w:color w:val="auto"/>
        </w:rPr>
      </w:pPr>
      <w:r>
        <w:rPr>
          <w:rFonts w:ascii="Arial" w:cs="Arial" w:eastAsia="Arial" w:hAnsi="Arial"/>
          <w:sz w:val="18"/>
          <w:szCs w:val="18"/>
          <w:i w:val="1"/>
          <w:iCs w:val="1"/>
          <w:color w:val="auto"/>
        </w:rPr>
        <w:t>Exculpation</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this Plan, the Disclosure Statement, the Restructuring Documents, the DIP Financing Documents, or any contract, instrument, release or other agreement or document created or entered into in connection with this Plan, including the Restructuring Support Agreement, or any other prepetition or postpetition act taken or omitted to be taken in connection with or in contemplation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38" w:name="page239"/>
    <w:bookmarkEnd w:id="238"/>
    <w:p>
      <w:pPr>
        <w:spacing w:after="0" w:line="287" w:lineRule="auto"/>
        <w:rPr>
          <w:sz w:val="20"/>
          <w:szCs w:val="20"/>
          <w:color w:val="auto"/>
        </w:rPr>
      </w:pPr>
      <w:r>
        <w:rPr>
          <w:rFonts w:ascii="Arial" w:cs="Arial" w:eastAsia="Arial" w:hAnsi="Arial"/>
          <w:sz w:val="16"/>
          <w:szCs w:val="16"/>
          <w:color w:val="auto"/>
        </w:rPr>
        <w:t xml:space="preserve">restructuring of the Debtors, the approval of the Disclosure Statement or Confirmation or Consummation of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this Plan and the contracts, instruments, releases, indentures, and other agreements and documents delivered under or in connection with this Plan or assumed pursuant to this Plan or Final Order of the Bankruptcy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this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this Plan.</w:t>
      </w:r>
    </w:p>
    <w:p>
      <w:pPr>
        <w:spacing w:after="0" w:line="173" w:lineRule="exact"/>
        <w:rPr>
          <w:sz w:val="20"/>
          <w:szCs w:val="20"/>
          <w:color w:val="auto"/>
        </w:rPr>
      </w:pPr>
    </w:p>
    <w:p>
      <w:pPr>
        <w:ind w:left="640" w:hanging="632"/>
        <w:spacing w:after="0"/>
        <w:tabs>
          <w:tab w:leader="none" w:pos="640" w:val="left"/>
        </w:tabs>
        <w:numPr>
          <w:ilvl w:val="0"/>
          <w:numId w:val="459"/>
        </w:numPr>
        <w:rPr>
          <w:rFonts w:ascii="Arial" w:cs="Arial" w:eastAsia="Arial" w:hAnsi="Arial"/>
          <w:sz w:val="18"/>
          <w:szCs w:val="18"/>
          <w:i w:val="1"/>
          <w:iCs w:val="1"/>
          <w:color w:val="auto"/>
        </w:rPr>
      </w:pPr>
      <w:r>
        <w:rPr>
          <w:rFonts w:ascii="Arial" w:cs="Arial" w:eastAsia="Arial" w:hAnsi="Arial"/>
          <w:sz w:val="18"/>
          <w:szCs w:val="18"/>
          <w:i w:val="1"/>
          <w:iCs w:val="1"/>
          <w:color w:val="auto"/>
        </w:rPr>
        <w:t>Preservation of Causes of Action</w:t>
      </w:r>
    </w:p>
    <w:p>
      <w:pPr>
        <w:spacing w:after="0" w:line="225" w:lineRule="exact"/>
        <w:rPr>
          <w:rFonts w:ascii="Arial" w:cs="Arial" w:eastAsia="Arial" w:hAnsi="Arial"/>
          <w:sz w:val="18"/>
          <w:szCs w:val="18"/>
          <w:i w:val="1"/>
          <w:iCs w:val="1"/>
          <w:color w:val="auto"/>
        </w:rPr>
      </w:pPr>
    </w:p>
    <w:p>
      <w:pPr>
        <w:ind w:left="980" w:hanging="324"/>
        <w:spacing w:after="0"/>
        <w:tabs>
          <w:tab w:leader="none" w:pos="980" w:val="left"/>
        </w:tabs>
        <w:numPr>
          <w:ilvl w:val="1"/>
          <w:numId w:val="459"/>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without limitation, and for the avoidance of doubt, the Releases contained in </w:t>
      </w:r>
      <w:r>
        <w:rPr>
          <w:rFonts w:ascii="Arial" w:cs="Arial" w:eastAsia="Arial" w:hAnsi="Arial"/>
          <w:sz w:val="16"/>
          <w:szCs w:val="16"/>
          <w:u w:val="single" w:color="auto"/>
          <w:color w:val="auto"/>
        </w:rPr>
        <w:t>Article X.B</w:t>
      </w:r>
      <w:r>
        <w:rPr>
          <w:rFonts w:ascii="Arial" w:cs="Arial" w:eastAsia="Arial" w:hAnsi="Arial"/>
          <w:sz w:val="16"/>
          <w:szCs w:val="16"/>
          <w:color w:val="auto"/>
        </w:rPr>
        <w:t xml:space="preserve"> and Exculpation contained in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hereof) or elsewhere in this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65" w:lineRule="exact"/>
        <w:rPr>
          <w:sz w:val="20"/>
          <w:szCs w:val="20"/>
          <w:color w:val="auto"/>
        </w:rPr>
      </w:pPr>
    </w:p>
    <w:p>
      <w:pPr>
        <w:ind w:left="980" w:hanging="324"/>
        <w:spacing w:after="0"/>
        <w:tabs>
          <w:tab w:leader="none" w:pos="980"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collateral estoppel, issue preclusion, claim preclusion, waiver, estoppel (judicial, equitable or otherwise) or laches shall apply to such Causes of Action or Litigation Claims upon or after the Confirmation or Consummation of this Plan based on the Disclosure Statement, this Plan or the Confirmation Order, except in each case where such Causes of Action or Litigation Claims have been expressly waived, relinquished, released, compromised or settled in this Plan (including, without limitation, and for the avoidance of doubt, the Releases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9" w:name="page240"/>
    <w:bookmarkEnd w:id="239"/>
    <w:p>
      <w:pPr>
        <w:ind w:right="160"/>
        <w:spacing w:after="0" w:line="259" w:lineRule="auto"/>
        <w:rPr>
          <w:sz w:val="20"/>
          <w:szCs w:val="20"/>
          <w:color w:val="auto"/>
        </w:rPr>
      </w:pPr>
      <w:r>
        <w:rPr>
          <w:rFonts w:ascii="Arial" w:cs="Arial" w:eastAsia="Arial" w:hAnsi="Arial"/>
          <w:sz w:val="18"/>
          <w:szCs w:val="18"/>
          <w:color w:val="auto"/>
        </w:rPr>
        <w:t xml:space="preserve">contained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and Exculpation contained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hereof)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87" w:lineRule="exact"/>
        <w:rPr>
          <w:sz w:val="20"/>
          <w:szCs w:val="20"/>
          <w:color w:val="auto"/>
        </w:rPr>
      </w:pPr>
    </w:p>
    <w:p>
      <w:pPr>
        <w:ind w:left="660" w:hanging="652"/>
        <w:spacing w:after="0"/>
        <w:tabs>
          <w:tab w:leader="none" w:pos="660" w:val="left"/>
        </w:tabs>
        <w:numPr>
          <w:ilvl w:val="0"/>
          <w:numId w:val="461"/>
        </w:numPr>
        <w:rPr>
          <w:rFonts w:ascii="Arial" w:cs="Arial" w:eastAsia="Arial" w:hAnsi="Arial"/>
          <w:sz w:val="18"/>
          <w:szCs w:val="18"/>
          <w:i w:val="1"/>
          <w:iCs w:val="1"/>
          <w:color w:val="auto"/>
        </w:rPr>
      </w:pPr>
      <w:r>
        <w:rPr>
          <w:rFonts w:ascii="Arial" w:cs="Arial" w:eastAsia="Arial" w:hAnsi="Arial"/>
          <w:sz w:val="18"/>
          <w:szCs w:val="18"/>
          <w:i w:val="1"/>
          <w:iCs w:val="1"/>
          <w:color w:val="auto"/>
        </w:rPr>
        <w:t>Injunction</w:t>
      </w:r>
    </w:p>
    <w:p>
      <w:pPr>
        <w:spacing w:after="0" w:line="2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b w:val="1"/>
          <w:bCs w:val="1"/>
          <w:color w:val="auto"/>
        </w:rPr>
        <w:t>EXCEPT AS OTHERWISE EXPRESSLY PROVIDED IN THIS PLAN OR THE CONFIRMATION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 (II) ENFORCING, ATTACHING, COLLECTING, OR RECOVERING IN ANY MANNER ANY JUDGMENT, AWARD, DECREE, OR ORDER; (III) CREATING, PERFECTING, OR ENFORCING ANY LIEN OR ENCUMBRANCE; (IV) ASSERTING A SETOFF OR RIGHT OF SUBROGATION OF ANY KIND; OR</w:t>
      </w:r>
    </w:p>
    <w:p>
      <w:pPr>
        <w:ind w:firstLine="8"/>
        <w:spacing w:after="0" w:line="252" w:lineRule="auto"/>
        <w:tabs>
          <w:tab w:leader="none" w:pos="295"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t>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THIS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2" w:lineRule="exact"/>
        <w:rPr>
          <w:sz w:val="20"/>
          <w:szCs w:val="20"/>
          <w:color w:val="auto"/>
        </w:rPr>
      </w:pPr>
    </w:p>
    <w:p>
      <w:pPr>
        <w:ind w:left="660" w:hanging="652"/>
        <w:spacing w:after="0"/>
        <w:tabs>
          <w:tab w:leader="none" w:pos="660" w:val="left"/>
        </w:tabs>
        <w:numPr>
          <w:ilvl w:val="0"/>
          <w:numId w:val="463"/>
        </w:numPr>
        <w:rPr>
          <w:rFonts w:ascii="Arial" w:cs="Arial" w:eastAsia="Arial" w:hAnsi="Arial"/>
          <w:sz w:val="18"/>
          <w:szCs w:val="18"/>
          <w:i w:val="1"/>
          <w:iCs w:val="1"/>
          <w:color w:val="auto"/>
        </w:rPr>
      </w:pPr>
      <w:r>
        <w:rPr>
          <w:rFonts w:ascii="Arial" w:cs="Arial" w:eastAsia="Arial" w:hAnsi="Arial"/>
          <w:sz w:val="18"/>
          <w:szCs w:val="18"/>
          <w:i w:val="1"/>
          <w:iCs w:val="1"/>
          <w:color w:val="auto"/>
        </w:rPr>
        <w:t>Binding Nature Of Plan</w:t>
      </w:r>
    </w:p>
    <w:p>
      <w:pPr>
        <w:spacing w:after="0" w:line="22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THIS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THIS PLAN, EACH PERSON AND ENTITY ACQUIRING PROPERTY UNDER THIS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THIS PLAN, (II) HAS FILED A PROOF OF CLAIM OR INTEREST IN THE CHAPTER 11 CASES OR (III) FAILED TO VOTE TO</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0" w:name="page241"/>
    <w:bookmarkEnd w:id="240"/>
    <w:p>
      <w:pPr>
        <w:ind w:right="80"/>
        <w:spacing w:after="0" w:line="282" w:lineRule="auto"/>
        <w:rPr>
          <w:sz w:val="20"/>
          <w:szCs w:val="20"/>
          <w:color w:val="auto"/>
        </w:rPr>
      </w:pPr>
      <w:r>
        <w:rPr>
          <w:rFonts w:ascii="Arial" w:cs="Arial" w:eastAsia="Arial" w:hAnsi="Arial"/>
          <w:sz w:val="18"/>
          <w:szCs w:val="18"/>
          <w:b w:val="1"/>
          <w:bCs w:val="1"/>
          <w:color w:val="auto"/>
        </w:rPr>
        <w:t>ACCEPT OR REJECT THIS PLAN, AFFIRMATIVELY VOTED TO REJECT THIS PLAN OR IS CONCLUSIVELY PRESUMED TO REJECT THIS PLAN.</w:t>
      </w:r>
    </w:p>
    <w:p>
      <w:pPr>
        <w:spacing w:after="0" w:line="166" w:lineRule="exact"/>
        <w:rPr>
          <w:sz w:val="20"/>
          <w:szCs w:val="20"/>
          <w:color w:val="auto"/>
        </w:rPr>
      </w:pPr>
    </w:p>
    <w:p>
      <w:pPr>
        <w:ind w:left="660" w:hanging="652"/>
        <w:spacing w:after="0"/>
        <w:tabs>
          <w:tab w:leader="none" w:pos="660" w:val="left"/>
        </w:tabs>
        <w:numPr>
          <w:ilvl w:val="0"/>
          <w:numId w:val="464"/>
        </w:numPr>
        <w:rPr>
          <w:rFonts w:ascii="Arial" w:cs="Arial" w:eastAsia="Arial" w:hAnsi="Arial"/>
          <w:sz w:val="18"/>
          <w:szCs w:val="18"/>
          <w:i w:val="1"/>
          <w:iCs w:val="1"/>
          <w:color w:val="auto"/>
        </w:rPr>
      </w:pPr>
      <w:r>
        <w:rPr>
          <w:rFonts w:ascii="Arial" w:cs="Arial" w:eastAsia="Arial" w:hAnsi="Arial"/>
          <w:sz w:val="18"/>
          <w:szCs w:val="18"/>
          <w:i w:val="1"/>
          <w:iCs w:val="1"/>
          <w:color w:val="auto"/>
        </w:rPr>
        <w:t>Protection Against Discriminatory Treatment</w:t>
      </w:r>
    </w:p>
    <w:p>
      <w:pPr>
        <w:spacing w:after="0" w:line="225" w:lineRule="exact"/>
        <w:rPr>
          <w:sz w:val="20"/>
          <w:szCs w:val="20"/>
          <w:color w:val="auto"/>
        </w:rPr>
      </w:pPr>
    </w:p>
    <w:p>
      <w:pPr>
        <w:jc w:val="both"/>
        <w:ind w:right="60" w:firstLine="648"/>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ind w:left="660" w:hanging="652"/>
        <w:spacing w:after="0"/>
        <w:tabs>
          <w:tab w:leader="none" w:pos="660" w:val="left"/>
        </w:tabs>
        <w:numPr>
          <w:ilvl w:val="0"/>
          <w:numId w:val="465"/>
        </w:numPr>
        <w:rPr>
          <w:rFonts w:ascii="Arial" w:cs="Arial" w:eastAsia="Arial" w:hAnsi="Arial"/>
          <w:sz w:val="18"/>
          <w:szCs w:val="18"/>
          <w:i w:val="1"/>
          <w:iCs w:val="1"/>
          <w:color w:val="auto"/>
        </w:rPr>
      </w:pPr>
      <w:r>
        <w:rPr>
          <w:rFonts w:ascii="Arial" w:cs="Arial" w:eastAsia="Arial" w:hAnsi="Arial"/>
          <w:sz w:val="18"/>
          <w:szCs w:val="18"/>
          <w:i w:val="1"/>
          <w:iCs w:val="1"/>
          <w:color w:val="auto"/>
        </w:rPr>
        <w:t>Integral Part of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Each of the provisions set forth in this Plan with respect to the settlement, release, discharge, exculpation, injunction, indemnification and insurance of, for or with respect to Claims and/or Causes of Action are an integral part of this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this Plan as legally permissible, including, without limitation, jurisdiction to:</w:t>
      </w:r>
    </w:p>
    <w:p>
      <w:pPr>
        <w:spacing w:after="0" w:line="166" w:lineRule="exact"/>
        <w:rPr>
          <w:sz w:val="20"/>
          <w:szCs w:val="20"/>
          <w:color w:val="auto"/>
        </w:rPr>
      </w:pPr>
    </w:p>
    <w:p>
      <w:pPr>
        <w:ind w:right="200" w:firstLine="656"/>
        <w:spacing w:after="0" w:line="264" w:lineRule="auto"/>
        <w:tabs>
          <w:tab w:leader="none" w:pos="97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81" w:lineRule="exact"/>
        <w:rPr>
          <w:rFonts w:ascii="Arial" w:cs="Arial" w:eastAsia="Arial" w:hAnsi="Arial"/>
          <w:sz w:val="18"/>
          <w:szCs w:val="18"/>
          <w:color w:val="auto"/>
        </w:rPr>
      </w:pPr>
    </w:p>
    <w:p>
      <w:pPr>
        <w:ind w:right="20" w:firstLine="656"/>
        <w:spacing w:after="0" w:line="259" w:lineRule="auto"/>
        <w:tabs>
          <w:tab w:leader="none" w:pos="972"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this Plan, for periods ending on or before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right="180" w:firstLine="656"/>
        <w:spacing w:after="0" w:line="308" w:lineRule="auto"/>
        <w:tabs>
          <w:tab w:leader="none" w:pos="972" w:val="left"/>
        </w:tabs>
        <w:numPr>
          <w:ilvl w:val="0"/>
          <w:numId w:val="466"/>
        </w:numPr>
        <w:rPr>
          <w:rFonts w:ascii="Arial" w:cs="Arial" w:eastAsia="Arial" w:hAnsi="Arial"/>
          <w:sz w:val="17"/>
          <w:szCs w:val="17"/>
          <w:color w:val="auto"/>
        </w:rPr>
      </w:pPr>
      <w:r>
        <w:rPr>
          <w:rFonts w:ascii="Arial" w:cs="Arial" w:eastAsia="Arial" w:hAnsi="Arial"/>
          <w:sz w:val="17"/>
          <w:szCs w:val="17"/>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this Plan after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1" w:name="page242"/>
    <w:bookmarkEnd w:id="241"/>
    <w:p>
      <w:pPr>
        <w:ind w:right="260"/>
        <w:spacing w:after="0" w:line="277" w:lineRule="auto"/>
        <w:rPr>
          <w:sz w:val="20"/>
          <w:szCs w:val="20"/>
          <w:color w:val="auto"/>
        </w:rPr>
      </w:pPr>
      <w:r>
        <w:rPr>
          <w:rFonts w:ascii="Arial" w:cs="Arial" w:eastAsia="Arial" w:hAnsi="Arial"/>
          <w:sz w:val="18"/>
          <w:szCs w:val="18"/>
          <w:color w:val="auto"/>
        </w:rPr>
        <w:t>the Effective Date to add Executory Contracts or Unexpired Leases to the list of Executory Contracts and Unexpired Leases to be assumed or rejected (as applicable);</w:t>
      </w:r>
    </w:p>
    <w:p>
      <w:pPr>
        <w:spacing w:after="0" w:line="170" w:lineRule="exact"/>
        <w:rPr>
          <w:sz w:val="20"/>
          <w:szCs w:val="20"/>
          <w:color w:val="auto"/>
        </w:rPr>
      </w:pPr>
    </w:p>
    <w:p>
      <w:pPr>
        <w:ind w:left="980" w:hanging="324"/>
        <w:spacing w:after="0"/>
        <w:tabs>
          <w:tab w:leader="none" w:pos="9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ensure that distributions to Holders of Allowed Claims or Allowed Equity Interests are accomplished pursuant to the provisions of this Plan;</w:t>
      </w:r>
    </w:p>
    <w:p>
      <w:pPr>
        <w:spacing w:after="0" w:line="248" w:lineRule="exact"/>
        <w:rPr>
          <w:rFonts w:ascii="Arial" w:cs="Arial" w:eastAsia="Arial" w:hAnsi="Arial"/>
          <w:sz w:val="16"/>
          <w:szCs w:val="16"/>
          <w:color w:val="auto"/>
        </w:rPr>
      </w:pPr>
    </w:p>
    <w:p>
      <w:pPr>
        <w:jc w:val="both"/>
        <w:ind w:firstLine="656"/>
        <w:spacing w:after="0" w:line="259" w:lineRule="auto"/>
        <w:tabs>
          <w:tab w:leader="none" w:pos="972"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 Date or instituted by the Reorganized Debtors after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86" w:lineRule="exact"/>
        <w:rPr>
          <w:rFonts w:ascii="Arial" w:cs="Arial" w:eastAsia="Arial" w:hAnsi="Arial"/>
          <w:sz w:val="18"/>
          <w:szCs w:val="18"/>
          <w:color w:val="auto"/>
        </w:rPr>
      </w:pPr>
    </w:p>
    <w:p>
      <w:pPr>
        <w:ind w:right="20" w:firstLine="656"/>
        <w:spacing w:after="0" w:line="342" w:lineRule="auto"/>
        <w:tabs>
          <w:tab w:leader="none" w:pos="972" w:val="left"/>
        </w:tabs>
        <w:numPr>
          <w:ilvl w:val="0"/>
          <w:numId w:val="467"/>
        </w:numPr>
        <w:rPr>
          <w:rFonts w:ascii="Arial" w:cs="Arial" w:eastAsia="Arial" w:hAnsi="Arial"/>
          <w:sz w:val="16"/>
          <w:szCs w:val="16"/>
          <w:color w:val="auto"/>
        </w:rPr>
      </w:pPr>
      <w:r>
        <w:rPr>
          <w:rFonts w:ascii="Arial" w:cs="Arial" w:eastAsia="Arial" w:hAnsi="Arial"/>
          <w:sz w:val="16"/>
          <w:szCs w:val="16"/>
          <w:color w:val="auto"/>
        </w:rPr>
        <w:t>enter such orders as may be necessary or appropriate to implement or consummate the provisions of this Plan and all other contracts, instruments, releases, indentures and other agreements or documents adopted in connection with this Plan, the Plan Supplement or the Disclosure Statement;</w:t>
      </w:r>
    </w:p>
    <w:p>
      <w:pPr>
        <w:spacing w:after="0" w:line="123" w:lineRule="exact"/>
        <w:rPr>
          <w:rFonts w:ascii="Arial" w:cs="Arial" w:eastAsia="Arial" w:hAnsi="Arial"/>
          <w:sz w:val="16"/>
          <w:szCs w:val="16"/>
          <w:color w:val="auto"/>
        </w:rPr>
      </w:pPr>
    </w:p>
    <w:p>
      <w:pPr>
        <w:ind w:right="240" w:firstLine="656"/>
        <w:spacing w:after="0" w:line="277" w:lineRule="auto"/>
        <w:tabs>
          <w:tab w:leader="none" w:pos="972" w:val="left"/>
        </w:tabs>
        <w:numPr>
          <w:ilvl w:val="0"/>
          <w:numId w:val="467"/>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that may arise in connection with the Consummation, interpretation or enforcement of this Plan or any Person or Entity’s obligations incurred in connection with this Plan;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hear and determine all Causes of Action that are pending as of the Effective Date or that may be commenced in the future;</w:t>
      </w:r>
    </w:p>
    <w:p>
      <w:pPr>
        <w:spacing w:after="0" w:line="225" w:lineRule="exact"/>
        <w:rPr>
          <w:rFonts w:ascii="Arial" w:cs="Arial" w:eastAsia="Arial" w:hAnsi="Arial"/>
          <w:sz w:val="18"/>
          <w:szCs w:val="18"/>
          <w:color w:val="auto"/>
        </w:rPr>
      </w:pPr>
    </w:p>
    <w:p>
      <w:pPr>
        <w:ind w:right="140" w:firstLine="656"/>
        <w:spacing w:after="0" w:line="277" w:lineRule="auto"/>
        <w:tabs>
          <w:tab w:leader="none" w:pos="96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this 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enforce the terms and conditions of this Plan, the Confirmation Order, and the Restructuring Documents;</w:t>
      </w:r>
    </w:p>
    <w:p>
      <w:pPr>
        <w:spacing w:after="0" w:line="225" w:lineRule="exact"/>
        <w:rPr>
          <w:rFonts w:ascii="Arial" w:cs="Arial" w:eastAsia="Arial" w:hAnsi="Arial"/>
          <w:sz w:val="18"/>
          <w:szCs w:val="18"/>
          <w:color w:val="auto"/>
        </w:rPr>
      </w:pPr>
    </w:p>
    <w:p>
      <w:pPr>
        <w:ind w:right="580" w:firstLine="656"/>
        <w:spacing w:after="0" w:line="264" w:lineRule="auto"/>
        <w:tabs>
          <w:tab w:leader="none" w:pos="96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resolve any cases, controversies, suits or disputes with respect to the Release, the Exculpation, the indemnification and other provisions contained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right="180" w:firstLine="656"/>
        <w:spacing w:after="0" w:line="277" w:lineRule="auto"/>
        <w:tabs>
          <w:tab w:leader="none" w:pos="96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right="420" w:firstLine="656"/>
        <w:spacing w:after="0" w:line="277" w:lineRule="auto"/>
        <w:tabs>
          <w:tab w:leader="none" w:pos="96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this Plan, the Disclosure Statement, the Confirmation Order or any release or exculpation adopted in connection with this Plan; and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42" w:name="page243"/>
    <w:bookmarkEnd w:id="242"/>
    <w:p>
      <w:pPr>
        <w:ind w:left="660"/>
        <w:spacing w:after="0"/>
        <w:rPr>
          <w:sz w:val="20"/>
          <w:szCs w:val="20"/>
          <w:color w:val="auto"/>
        </w:rPr>
      </w:pPr>
      <w:r>
        <w:rPr>
          <w:rFonts w:ascii="Arial" w:cs="Arial" w:eastAsia="Arial" w:hAnsi="Arial"/>
          <w:sz w:val="18"/>
          <w:szCs w:val="18"/>
          <w:color w:val="auto"/>
        </w:rPr>
        <w:t>16. enter an order concluding or closing the Chapter 11 Cases.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 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 to the Chapter 11 Cases, including the matters set forth in this Article of this Plan,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will have no effect upon and will not control, prohibit, or limit the exercise of jurisdiction by any other court having jurisdiction with respect to such matter.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660" w:hanging="652"/>
        <w:spacing w:after="0"/>
        <w:tabs>
          <w:tab w:leader="none" w:pos="660" w:val="left"/>
        </w:tabs>
        <w:numPr>
          <w:ilvl w:val="0"/>
          <w:numId w:val="468"/>
        </w:numPr>
        <w:rPr>
          <w:rFonts w:ascii="Arial" w:cs="Arial" w:eastAsia="Arial" w:hAnsi="Arial"/>
          <w:sz w:val="18"/>
          <w:szCs w:val="18"/>
          <w:i w:val="1"/>
          <w:iCs w:val="1"/>
          <w:color w:val="auto"/>
        </w:rPr>
      </w:pPr>
      <w:r>
        <w:rPr>
          <w:rFonts w:ascii="Arial" w:cs="Arial" w:eastAsia="Arial" w:hAnsi="Arial"/>
          <w:sz w:val="18"/>
          <w:szCs w:val="18"/>
          <w:i w:val="1"/>
          <w:iCs w:val="1"/>
          <w:color w:val="auto"/>
        </w:rPr>
        <w:t>Substantial Consummation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“Substantial Consummation” of this Plan, as defined in 11 U.S.C. § 1101(2), will be deemed to occur on the Effective Date.</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468"/>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Statutory Fees; Post-Effective Date Fees and Expenses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this Plan and the Restructuring Documents.</w:t>
      </w:r>
    </w:p>
    <w:p>
      <w:pPr>
        <w:spacing w:after="0" w:line="158" w:lineRule="exact"/>
        <w:rPr>
          <w:sz w:val="20"/>
          <w:szCs w:val="20"/>
          <w:color w:val="auto"/>
        </w:rPr>
      </w:pPr>
    </w:p>
    <w:p>
      <w:pPr>
        <w:ind w:left="660" w:hanging="652"/>
        <w:spacing w:after="0"/>
        <w:tabs>
          <w:tab w:leader="none" w:pos="660" w:val="left"/>
        </w:tabs>
        <w:numPr>
          <w:ilvl w:val="0"/>
          <w:numId w:val="469"/>
        </w:numPr>
        <w:rPr>
          <w:rFonts w:ascii="Arial" w:cs="Arial" w:eastAsia="Arial" w:hAnsi="Arial"/>
          <w:sz w:val="18"/>
          <w:szCs w:val="18"/>
          <w:i w:val="1"/>
          <w:iCs w:val="1"/>
          <w:color w:val="auto"/>
        </w:rPr>
      </w:pPr>
      <w:r>
        <w:rPr>
          <w:rFonts w:ascii="Arial" w:cs="Arial" w:eastAsia="Arial" w:hAnsi="Arial"/>
          <w:sz w:val="18"/>
          <w:szCs w:val="18"/>
          <w:i w:val="1"/>
          <w:iCs w:val="1"/>
          <w:color w:val="auto"/>
        </w:rPr>
        <w:t>Statutory Committee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the Effective Date, the current and former members of the Committee, if any,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limited purpose of pursuing claims and final fee applications filed pursuant to sections 330 and 331 of the Bankruptcy Code. Following the completion of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43" w:name="page244"/>
    <w:bookmarkEnd w:id="243"/>
    <w:p>
      <w:pPr>
        <w:ind w:right="320"/>
        <w:spacing w:after="0" w:line="277" w:lineRule="auto"/>
        <w:rPr>
          <w:sz w:val="20"/>
          <w:szCs w:val="20"/>
          <w:color w:val="auto"/>
        </w:rPr>
      </w:pPr>
      <w:r>
        <w:rPr>
          <w:rFonts w:ascii="Arial" w:cs="Arial" w:eastAsia="Arial" w:hAnsi="Arial"/>
          <w:sz w:val="18"/>
          <w:szCs w:val="18"/>
          <w:color w:val="auto"/>
        </w:rPr>
        <w:t>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70" w:lineRule="exact"/>
        <w:rPr>
          <w:sz w:val="20"/>
          <w:szCs w:val="20"/>
          <w:color w:val="auto"/>
        </w:rPr>
      </w:pPr>
    </w:p>
    <w:p>
      <w:pPr>
        <w:ind w:left="660" w:hanging="652"/>
        <w:spacing w:after="0"/>
        <w:tabs>
          <w:tab w:leader="none" w:pos="660" w:val="left"/>
        </w:tabs>
        <w:numPr>
          <w:ilvl w:val="0"/>
          <w:numId w:val="470"/>
        </w:numPr>
        <w:rPr>
          <w:rFonts w:ascii="Arial" w:cs="Arial" w:eastAsia="Arial" w:hAnsi="Arial"/>
          <w:sz w:val="18"/>
          <w:szCs w:val="18"/>
          <w:i w:val="1"/>
          <w:iCs w:val="1"/>
          <w:color w:val="auto"/>
        </w:rPr>
      </w:pPr>
      <w:r>
        <w:rPr>
          <w:rFonts w:ascii="Arial" w:cs="Arial" w:eastAsia="Arial" w:hAnsi="Arial"/>
          <w:sz w:val="18"/>
          <w:szCs w:val="18"/>
          <w:i w:val="1"/>
          <w:iCs w:val="1"/>
          <w:color w:val="auto"/>
        </w:rPr>
        <w:t>Conflicts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this Plan or the Confirmation Order, the provision of this Plan and the Confirmation Order (as applicable) will govern and control to the extent of such conflict. In the event that a provision of this Plan conflicts with a provision of the Confirmation Order, the provision of the Confirmation Order will govern and control to the extent of such conflict.</w:t>
      </w:r>
    </w:p>
    <w:p>
      <w:pPr>
        <w:spacing w:after="0" w:line="187" w:lineRule="exact"/>
        <w:rPr>
          <w:sz w:val="20"/>
          <w:szCs w:val="20"/>
          <w:color w:val="auto"/>
        </w:rPr>
      </w:pPr>
    </w:p>
    <w:p>
      <w:pPr>
        <w:ind w:left="660" w:hanging="652"/>
        <w:spacing w:after="0"/>
        <w:tabs>
          <w:tab w:leader="none" w:pos="660" w:val="left"/>
        </w:tabs>
        <w:numPr>
          <w:ilvl w:val="0"/>
          <w:numId w:val="471"/>
        </w:numPr>
        <w:rPr>
          <w:rFonts w:ascii="Arial" w:cs="Arial" w:eastAsia="Arial" w:hAnsi="Arial"/>
          <w:sz w:val="18"/>
          <w:szCs w:val="18"/>
          <w:color w:val="auto"/>
        </w:rPr>
      </w:pPr>
      <w:r>
        <w:rPr>
          <w:rFonts w:ascii="Arial" w:cs="Arial" w:eastAsia="Arial" w:hAnsi="Arial"/>
          <w:sz w:val="18"/>
          <w:szCs w:val="18"/>
          <w:i w:val="1"/>
          <w:iCs w:val="1"/>
          <w:color w:val="auto"/>
        </w:rPr>
        <w:t>Modification of Plan</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Effective as of the date hereof and subject to the limitations and rights contained in this Plan: (a) the Debtors reserve the right, in accordance with the Bankruptcy Code and the Bankruptcy Rules, to amend or modify this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1127(a) of the Bankruptcy Code; and (b) after the entry of the Confirmation Order, the Debtors or the Reorganized Debtors, as applicable, may, upon order of the Bankruptcy Court, amend or modify this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1127(b) of the Bankruptcy Code or to remedy any defect or omission or reconcile any inconsistency in this Plan in such manner as may be necessary to carry out the purpose and intent of this Plan. A Holder of a Claim or Equity Interest that has accepted this Plan will be deemed to have accepted this Plan, as altered, amended or modified, if the proposed alteration, amendment or modification does not materially and adversely change the treatment of the Claim or Equity Interest of such Holder.</w:t>
      </w:r>
    </w:p>
    <w:p>
      <w:pPr>
        <w:spacing w:after="0" w:line="185" w:lineRule="exact"/>
        <w:rPr>
          <w:sz w:val="20"/>
          <w:szCs w:val="20"/>
          <w:color w:val="auto"/>
        </w:rPr>
      </w:pPr>
    </w:p>
    <w:p>
      <w:pPr>
        <w:ind w:left="640" w:hanging="632"/>
        <w:spacing w:after="0"/>
        <w:tabs>
          <w:tab w:leader="none" w:pos="640" w:val="left"/>
        </w:tabs>
        <w:numPr>
          <w:ilvl w:val="0"/>
          <w:numId w:val="472"/>
        </w:numPr>
        <w:rPr>
          <w:rFonts w:ascii="Arial" w:cs="Arial" w:eastAsia="Arial" w:hAnsi="Arial"/>
          <w:sz w:val="18"/>
          <w:szCs w:val="18"/>
          <w:i w:val="1"/>
          <w:iCs w:val="1"/>
          <w:color w:val="auto"/>
        </w:rPr>
      </w:pPr>
      <w:r>
        <w:rPr>
          <w:rFonts w:ascii="Arial" w:cs="Arial" w:eastAsia="Arial" w:hAnsi="Arial"/>
          <w:sz w:val="18"/>
          <w:szCs w:val="18"/>
          <w:i w:val="1"/>
          <w:iCs w:val="1"/>
          <w:color w:val="auto"/>
        </w:rPr>
        <w:t>Revocation or Withdrawal of Plan</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Debtors reserve the right to revoke or withdraw this Plan prior to the Effective Date and/or to File subsequent chapter 11 plans, with respect to one or more of the Debtors. If the Debtors revoke or withdraw this Plan, or if Confirmation or Consummation of this Plan does not occur with respect to one or more of the Debtors, then with respect to the applicable Debtor or Debtors for which this Plan was revoked or withdrawn or for which Confirmation or Consummation of this Plan did not occur: (1) this Plan will be null and void in all respects; (2) any settlement or compromise embodied in this Plan, assumption or rejection of Executory Contracts or Unexpired Leases effected by this Plan and any document or agreement executed pursuant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4" w:name="page245"/>
    <w:bookmarkEnd w:id="244"/>
    <w:p>
      <w:pPr>
        <w:ind w:right="140"/>
        <w:spacing w:after="0" w:line="259" w:lineRule="auto"/>
        <w:rPr>
          <w:sz w:val="20"/>
          <w:szCs w:val="20"/>
          <w:color w:val="auto"/>
        </w:rPr>
      </w:pPr>
      <w:r>
        <w:rPr>
          <w:rFonts w:ascii="Arial" w:cs="Arial" w:eastAsia="Arial" w:hAnsi="Arial"/>
          <w:sz w:val="18"/>
          <w:szCs w:val="18"/>
          <w:color w:val="auto"/>
        </w:rPr>
        <w:t>hereto will be deemed null and void except as may be set forth in a separate order entered by the Bankruptcy Court; and (3) nothing contained in this Plan will: (a) 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187" w:lineRule="exact"/>
        <w:rPr>
          <w:sz w:val="20"/>
          <w:szCs w:val="20"/>
          <w:color w:val="auto"/>
        </w:rPr>
      </w:pPr>
    </w:p>
    <w:p>
      <w:pPr>
        <w:ind w:left="660" w:hanging="652"/>
        <w:spacing w:after="0"/>
        <w:tabs>
          <w:tab w:leader="none" w:pos="660" w:val="left"/>
        </w:tabs>
        <w:numPr>
          <w:ilvl w:val="0"/>
          <w:numId w:val="473"/>
        </w:numPr>
        <w:rPr>
          <w:rFonts w:ascii="Arial" w:cs="Arial" w:eastAsia="Arial" w:hAnsi="Arial"/>
          <w:sz w:val="18"/>
          <w:szCs w:val="18"/>
          <w:i w:val="1"/>
          <w:iCs w:val="1"/>
          <w:color w:val="auto"/>
        </w:rPr>
      </w:pPr>
      <w:r>
        <w:rPr>
          <w:rFonts w:ascii="Arial" w:cs="Arial" w:eastAsia="Arial" w:hAnsi="Arial"/>
          <w:sz w:val="18"/>
          <w:szCs w:val="18"/>
          <w:i w:val="1"/>
          <w:iCs w:val="1"/>
          <w:color w:val="auto"/>
        </w:rPr>
        <w:t>Successors and Assigns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Plan will be binding upon and inure to the benefit of the Debtors, the Reorganized Debtors, all present and former Holders of Claims and Equity Interests, other parties-in-interest, and their respective heirs, executors, administrators, successors, and assigns. The rights, benefits, and obligations of any Person or Entity named or referred to in this Plan will be binding on, and will inure to the benefit of, any heir, executor, administrator, successor, or assign of such Person or Entity.</w:t>
      </w:r>
    </w:p>
    <w:p>
      <w:pPr>
        <w:spacing w:after="0" w:line="187" w:lineRule="exact"/>
        <w:rPr>
          <w:sz w:val="20"/>
          <w:szCs w:val="20"/>
          <w:color w:val="auto"/>
        </w:rPr>
      </w:pPr>
    </w:p>
    <w:p>
      <w:pPr>
        <w:ind w:left="660" w:hanging="652"/>
        <w:spacing w:after="0"/>
        <w:tabs>
          <w:tab w:leader="none" w:pos="660" w:val="left"/>
        </w:tabs>
        <w:numPr>
          <w:ilvl w:val="0"/>
          <w:numId w:val="474"/>
        </w:numPr>
        <w:rPr>
          <w:rFonts w:ascii="Arial" w:cs="Arial" w:eastAsia="Arial" w:hAnsi="Arial"/>
          <w:sz w:val="18"/>
          <w:szCs w:val="18"/>
          <w:i w:val="1"/>
          <w:iCs w:val="1"/>
          <w:color w:val="auto"/>
        </w:rPr>
      </w:pPr>
      <w:r>
        <w:rPr>
          <w:rFonts w:ascii="Arial" w:cs="Arial" w:eastAsia="Arial" w:hAnsi="Arial"/>
          <w:sz w:val="18"/>
          <w:szCs w:val="18"/>
          <w:i w:val="1"/>
          <w:iCs w:val="1"/>
          <w:color w:val="auto"/>
        </w:rPr>
        <w:t>Reservation of Rights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Except as expressly set forth herein, this Plan will have no force or effect unless and until the Bankruptcy Court enters the Confirmation Order and this Plan is Consummated. Neither the filing of this Plan, any statement or provision contained herein, nor the taking of any action by the Debtors or any other Entity with respect to this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54" w:lineRule="exact"/>
        <w:rPr>
          <w:sz w:val="20"/>
          <w:szCs w:val="20"/>
          <w:color w:val="auto"/>
        </w:rPr>
      </w:pPr>
    </w:p>
    <w:p>
      <w:pPr>
        <w:ind w:left="660" w:hanging="652"/>
        <w:spacing w:after="0"/>
        <w:tabs>
          <w:tab w:leader="none" w:pos="660" w:val="left"/>
        </w:tabs>
        <w:numPr>
          <w:ilvl w:val="0"/>
          <w:numId w:val="475"/>
        </w:numPr>
        <w:rPr>
          <w:rFonts w:ascii="Arial" w:cs="Arial" w:eastAsia="Arial" w:hAnsi="Arial"/>
          <w:sz w:val="18"/>
          <w:szCs w:val="18"/>
          <w:i w:val="1"/>
          <w:iCs w:val="1"/>
          <w:color w:val="auto"/>
        </w:rPr>
      </w:pPr>
      <w:r>
        <w:rPr>
          <w:rFonts w:ascii="Arial" w:cs="Arial" w:eastAsia="Arial" w:hAnsi="Arial"/>
          <w:sz w:val="18"/>
          <w:szCs w:val="18"/>
          <w:i w:val="1"/>
          <w:iCs w:val="1"/>
          <w:color w:val="auto"/>
        </w:rPr>
        <w:t>Further Assurances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this Plan or the Confirmation Order.</w:t>
      </w:r>
    </w:p>
    <w:p>
      <w:pPr>
        <w:spacing w:after="0" w:line="181" w:lineRule="exact"/>
        <w:rPr>
          <w:sz w:val="20"/>
          <w:szCs w:val="20"/>
          <w:color w:val="auto"/>
        </w:rPr>
      </w:pPr>
    </w:p>
    <w:p>
      <w:pPr>
        <w:ind w:left="660" w:hanging="652"/>
        <w:spacing w:after="0"/>
        <w:tabs>
          <w:tab w:leader="none" w:pos="660" w:val="left"/>
        </w:tabs>
        <w:numPr>
          <w:ilvl w:val="0"/>
          <w:numId w:val="476"/>
        </w:numPr>
        <w:rPr>
          <w:rFonts w:ascii="Arial" w:cs="Arial" w:eastAsia="Arial" w:hAnsi="Arial"/>
          <w:sz w:val="18"/>
          <w:szCs w:val="18"/>
          <w:i w:val="1"/>
          <w:iCs w:val="1"/>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prior to the Confirmation Date, any term or provision of this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will constitute a judicial determination and will provide that each term and provision of this Plan, as it may have been altered or interpreted in accordance with the foregoing, is valid and enforceable pursuant to its terms.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5" w:name="page246"/>
    <w:bookmarkEnd w:id="245"/>
    <w:p>
      <w:pPr>
        <w:ind w:left="660" w:hanging="652"/>
        <w:spacing w:after="0"/>
        <w:tabs>
          <w:tab w:leader="none" w:pos="660" w:val="left"/>
        </w:tabs>
        <w:numPr>
          <w:ilvl w:val="0"/>
          <w:numId w:val="477"/>
        </w:numPr>
        <w:rPr>
          <w:rFonts w:ascii="Arial" w:cs="Arial" w:eastAsia="Arial" w:hAnsi="Arial"/>
          <w:sz w:val="18"/>
          <w:szCs w:val="18"/>
          <w:i w:val="1"/>
          <w:iCs w:val="1"/>
          <w:color w:val="auto"/>
        </w:rPr>
      </w:pPr>
      <w:r>
        <w:rPr>
          <w:rFonts w:ascii="Arial" w:cs="Arial" w:eastAsia="Arial" w:hAnsi="Arial"/>
          <w:sz w:val="18"/>
          <w:szCs w:val="18"/>
          <w:i w:val="1"/>
          <w:iCs w:val="1"/>
          <w:color w:val="auto"/>
        </w:rPr>
        <w:t>Service of Documents</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this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Debtors</w:t>
      </w:r>
      <w:r>
        <w:rPr>
          <w:rFonts w:ascii="Arial" w:cs="Arial" w:eastAsia="Arial" w:hAnsi="Arial"/>
          <w:sz w:val="18"/>
          <w:szCs w:val="18"/>
          <w:color w:val="auto"/>
        </w:rPr>
        <w: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Ad Hoc Noteholder Committee</w:t>
      </w:r>
      <w:r>
        <w:rPr>
          <w:rFonts w:ascii="Arial" w:cs="Arial" w:eastAsia="Arial" w:hAnsi="Arial"/>
          <w:sz w:val="18"/>
          <w:szCs w:val="18"/>
          <w:color w:val="auto"/>
        </w:rPr>
        <w: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246" w:name="page247"/>
    <w:bookmarkEnd w:id="246"/>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ind w:left="660" w:hanging="652"/>
        <w:spacing w:after="0"/>
        <w:tabs>
          <w:tab w:leader="none" w:pos="660" w:val="left"/>
        </w:tabs>
        <w:numPr>
          <w:ilvl w:val="0"/>
          <w:numId w:val="478"/>
        </w:numPr>
        <w:rPr>
          <w:rFonts w:ascii="Arial" w:cs="Arial" w:eastAsia="Arial" w:hAnsi="Arial"/>
          <w:sz w:val="18"/>
          <w:szCs w:val="18"/>
          <w:i w:val="1"/>
          <w:iCs w:val="1"/>
          <w:color w:val="auto"/>
        </w:rPr>
      </w:pPr>
      <w:r>
        <w:rPr>
          <w:rFonts w:ascii="Arial" w:cs="Arial" w:eastAsia="Arial" w:hAnsi="Arial"/>
          <w:sz w:val="18"/>
          <w:szCs w:val="18"/>
          <w:i w:val="1"/>
          <w:iCs w:val="1"/>
          <w:color w:val="auto"/>
        </w:rPr>
        <w:t>Exemption from Transfer Taxes Pursuant to Section 1146(a) of the Bankruptcy Code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this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this Plan or the Restructuring Documents, (ii) the issuance and distribution of the New Common Stock or Plan Securities and Documents, and (iii) the maintenance or creation of security interests or any Lien as contemplated by this Plan or the Restructuring Documents.</w:t>
      </w:r>
    </w:p>
    <w:p>
      <w:pPr>
        <w:spacing w:after="0" w:line="182" w:lineRule="exact"/>
        <w:rPr>
          <w:sz w:val="20"/>
          <w:szCs w:val="20"/>
          <w:color w:val="auto"/>
        </w:rPr>
      </w:pPr>
    </w:p>
    <w:p>
      <w:pPr>
        <w:ind w:left="660" w:hanging="652"/>
        <w:spacing w:after="0"/>
        <w:tabs>
          <w:tab w:leader="none" w:pos="660" w:val="left"/>
        </w:tabs>
        <w:numPr>
          <w:ilvl w:val="0"/>
          <w:numId w:val="479"/>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Except to the extent that the Bankruptcy Code, the Bankruptcy Rules or other federal law is applicable, or to the extent that a Restructuring Document or an exhibit or schedule to this Plan provides otherwise, the rights and obligations arising under this Plan will be governed by, and construed and enforced in accordance with, the laws of New York, without giving effect to the principles of conflicts of law of such jurisdiction.</w:t>
      </w:r>
    </w:p>
    <w:p>
      <w:pPr>
        <w:spacing w:after="0" w:line="166" w:lineRule="exact"/>
        <w:rPr>
          <w:sz w:val="20"/>
          <w:szCs w:val="20"/>
          <w:color w:val="auto"/>
        </w:rPr>
      </w:pPr>
    </w:p>
    <w:p>
      <w:pPr>
        <w:ind w:left="660" w:hanging="652"/>
        <w:spacing w:after="0"/>
        <w:tabs>
          <w:tab w:leader="none" w:pos="660" w:val="left"/>
        </w:tabs>
        <w:numPr>
          <w:ilvl w:val="0"/>
          <w:numId w:val="480"/>
        </w:numPr>
        <w:rPr>
          <w:rFonts w:ascii="Arial" w:cs="Arial" w:eastAsia="Arial" w:hAnsi="Arial"/>
          <w:sz w:val="18"/>
          <w:szCs w:val="18"/>
          <w:i w:val="1"/>
          <w:iCs w:val="1"/>
          <w:color w:val="auto"/>
        </w:rPr>
      </w:pPr>
      <w:r>
        <w:rPr>
          <w:rFonts w:ascii="Arial" w:cs="Arial" w:eastAsia="Arial" w:hAnsi="Arial"/>
          <w:sz w:val="18"/>
          <w:szCs w:val="18"/>
          <w:i w:val="1"/>
          <w:iCs w:val="1"/>
          <w:color w:val="auto"/>
        </w:rPr>
        <w:t>Tax Reporting and Compliance</w:t>
      </w:r>
    </w:p>
    <w:p>
      <w:pPr>
        <w:spacing w:after="0" w:line="225"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4" w:lineRule="exact"/>
        <w:rPr>
          <w:sz w:val="20"/>
          <w:szCs w:val="20"/>
          <w:color w:val="auto"/>
        </w:rPr>
      </w:pPr>
    </w:p>
    <w:p>
      <w:pPr>
        <w:ind w:left="660" w:hanging="652"/>
        <w:spacing w:after="0"/>
        <w:tabs>
          <w:tab w:leader="none" w:pos="660" w:val="left"/>
        </w:tabs>
        <w:numPr>
          <w:ilvl w:val="0"/>
          <w:numId w:val="481"/>
        </w:numPr>
        <w:rPr>
          <w:rFonts w:ascii="Arial" w:cs="Arial" w:eastAsia="Arial" w:hAnsi="Arial"/>
          <w:sz w:val="18"/>
          <w:szCs w:val="18"/>
          <w:i w:val="1"/>
          <w:iCs w:val="1"/>
          <w:color w:val="auto"/>
        </w:rPr>
      </w:pPr>
      <w:r>
        <w:rPr>
          <w:rFonts w:ascii="Arial" w:cs="Arial" w:eastAsia="Arial" w:hAnsi="Arial"/>
          <w:sz w:val="18"/>
          <w:szCs w:val="18"/>
          <w:i w:val="1"/>
          <w:iCs w:val="1"/>
          <w:color w:val="auto"/>
        </w:rPr>
        <w:t>Schedules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exhibits and schedules to this Plan, including the Exhibits and Plan Schedules, are incorporated herein and are a part of this Plan as if set forth in full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7" w:name="page248"/>
    <w:bookmarkEnd w:id="247"/>
    <w:p>
      <w:pPr>
        <w:ind w:left="640" w:hanging="632"/>
        <w:spacing w:after="0"/>
        <w:tabs>
          <w:tab w:leader="none" w:pos="640" w:val="left"/>
        </w:tabs>
        <w:numPr>
          <w:ilvl w:val="0"/>
          <w:numId w:val="482"/>
        </w:numPr>
        <w:rPr>
          <w:rFonts w:ascii="Arial" w:cs="Arial" w:eastAsia="Arial" w:hAnsi="Arial"/>
          <w:sz w:val="18"/>
          <w:szCs w:val="18"/>
          <w:i w:val="1"/>
          <w:iCs w:val="1"/>
          <w:color w:val="auto"/>
        </w:rPr>
      </w:pPr>
      <w:r>
        <w:rPr>
          <w:rFonts w:ascii="Arial" w:cs="Arial" w:eastAsia="Arial" w:hAnsi="Arial"/>
          <w:sz w:val="18"/>
          <w:szCs w:val="18"/>
          <w:i w:val="1"/>
          <w:iCs w:val="1"/>
          <w:color w:val="auto"/>
        </w:rPr>
        <w:t>No Strict Construction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This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this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this Plan, the Disclosure Statement, the Exhibits or the Plan Schedules, or the documents ancillary and related thereto.</w:t>
      </w:r>
    </w:p>
    <w:p>
      <w:pPr>
        <w:spacing w:after="0" w:line="178" w:lineRule="exact"/>
        <w:rPr>
          <w:sz w:val="20"/>
          <w:szCs w:val="20"/>
          <w:color w:val="auto"/>
        </w:rPr>
      </w:pPr>
    </w:p>
    <w:p>
      <w:pPr>
        <w:ind w:left="660" w:hanging="652"/>
        <w:spacing w:after="0"/>
        <w:tabs>
          <w:tab w:leader="none" w:pos="660" w:val="left"/>
        </w:tabs>
        <w:numPr>
          <w:ilvl w:val="0"/>
          <w:numId w:val="483"/>
        </w:numPr>
        <w:rPr>
          <w:rFonts w:ascii="Arial" w:cs="Arial" w:eastAsia="Arial" w:hAnsi="Arial"/>
          <w:sz w:val="18"/>
          <w:szCs w:val="18"/>
          <w:i w:val="1"/>
          <w:iCs w:val="1"/>
          <w:color w:val="auto"/>
        </w:rPr>
      </w:pPr>
      <w:r>
        <w:rPr>
          <w:rFonts w:ascii="Arial" w:cs="Arial" w:eastAsia="Arial" w:hAnsi="Arial"/>
          <w:sz w:val="18"/>
          <w:szCs w:val="18"/>
          <w:i w:val="1"/>
          <w:iCs w:val="1"/>
          <w:color w:val="auto"/>
        </w:rPr>
        <w:t>Entire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Except as otherwise provided herein or therein, this Plan and the Restructuring Documents supersede all previous and contemporaneous negotiations, promises, covenants, agreements, understandings, and representations on such subjects, all of which have become merged and integrated into this Plan and the Restructuring Documents.</w:t>
      </w:r>
    </w:p>
    <w:p>
      <w:pPr>
        <w:spacing w:after="0" w:line="181" w:lineRule="exact"/>
        <w:rPr>
          <w:sz w:val="20"/>
          <w:szCs w:val="20"/>
          <w:color w:val="auto"/>
        </w:rPr>
      </w:pPr>
    </w:p>
    <w:p>
      <w:pPr>
        <w:ind w:left="660" w:hanging="652"/>
        <w:spacing w:after="0"/>
        <w:tabs>
          <w:tab w:leader="none" w:pos="660" w:val="left"/>
        </w:tabs>
        <w:numPr>
          <w:ilvl w:val="0"/>
          <w:numId w:val="484"/>
        </w:numPr>
        <w:rPr>
          <w:rFonts w:ascii="Arial" w:cs="Arial" w:eastAsia="Arial" w:hAnsi="Arial"/>
          <w:sz w:val="18"/>
          <w:szCs w:val="18"/>
          <w:i w:val="1"/>
          <w:iCs w:val="1"/>
          <w:color w:val="auto"/>
        </w:rPr>
      </w:pPr>
      <w:r>
        <w:rPr>
          <w:rFonts w:ascii="Arial" w:cs="Arial" w:eastAsia="Arial" w:hAnsi="Arial"/>
          <w:sz w:val="18"/>
          <w:szCs w:val="18"/>
          <w:i w:val="1"/>
          <w:iCs w:val="1"/>
          <w:color w:val="auto"/>
        </w:rPr>
        <w:t>Closing of Chapter 11 Cases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70" w:lineRule="exact"/>
        <w:rPr>
          <w:sz w:val="20"/>
          <w:szCs w:val="20"/>
          <w:color w:val="auto"/>
        </w:rPr>
      </w:pPr>
    </w:p>
    <w:p>
      <w:pPr>
        <w:ind w:left="660" w:hanging="652"/>
        <w:spacing w:after="0"/>
        <w:tabs>
          <w:tab w:leader="none" w:pos="660" w:val="left"/>
        </w:tabs>
        <w:numPr>
          <w:ilvl w:val="0"/>
          <w:numId w:val="485"/>
        </w:numPr>
        <w:rPr>
          <w:rFonts w:ascii="Arial" w:cs="Arial" w:eastAsia="Arial" w:hAnsi="Arial"/>
          <w:sz w:val="18"/>
          <w:szCs w:val="18"/>
          <w:color w:val="auto"/>
        </w:rPr>
      </w:pPr>
      <w:r>
        <w:rPr>
          <w:rFonts w:ascii="Arial" w:cs="Arial" w:eastAsia="Arial" w:hAnsi="Arial"/>
          <w:sz w:val="18"/>
          <w:szCs w:val="18"/>
          <w:i w:val="1"/>
          <w:iCs w:val="1"/>
          <w:color w:val="auto"/>
        </w:rPr>
        <w:t>2002 Notice Parties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t>Dated: June 28, 2019</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PLC AND ITS AFFILIATE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57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c>
          <w:tcPr>
            <w:tcW w:w="40" w:type="dxa"/>
            <w:vAlign w:val="bottom"/>
          </w:tcPr>
          <w:p>
            <w:pPr>
              <w:spacing w:after="0"/>
              <w:rPr>
                <w:sz w:val="20"/>
                <w:szCs w:val="20"/>
                <w:color w:val="auto"/>
              </w:rPr>
            </w:pPr>
          </w:p>
        </w:tc>
      </w:tr>
      <w:tr>
        <w:trPr>
          <w:trHeight w:val="210"/>
        </w:trPr>
        <w:tc>
          <w:tcPr>
            <w:tcW w:w="6360" w:type="dxa"/>
            <w:vAlign w:val="bottom"/>
          </w:tcPr>
          <w:p>
            <w:pPr>
              <w:ind w:left="5720"/>
              <w:spacing w:after="0"/>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426"/>
        </w:trPr>
        <w:tc>
          <w:tcPr>
            <w:tcW w:w="6360" w:type="dxa"/>
            <w:vAlign w:val="bottom"/>
          </w:tcPr>
          <w:p>
            <w:pPr>
              <w:jc w:val="right"/>
              <w:ind w:right="470"/>
              <w:spacing w:after="0"/>
              <w:rPr>
                <w:sz w:val="20"/>
                <w:szCs w:val="20"/>
                <w:color w:val="auto"/>
              </w:rPr>
            </w:pPr>
            <w:r>
              <w:rPr>
                <w:rFonts w:ascii="Arial" w:cs="Arial" w:eastAsia="Arial" w:hAnsi="Arial"/>
                <w:sz w:val="18"/>
                <w:szCs w:val="18"/>
                <w:color w:val="auto"/>
              </w:rPr>
              <w:t>73</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6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49" w:name="page250"/>
    <w:bookmarkEnd w:id="249"/>
    <w:p>
      <w:pPr>
        <w:jc w:val="center"/>
        <w:ind w:right="-2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Liquidation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18"/>
          <w:szCs w:val="18"/>
          <w:b w:val="1"/>
          <w:bCs w:val="1"/>
          <w:u w:val="single" w:color="auto"/>
          <w:color w:val="auto"/>
        </w:rPr>
        <w:t>LIQUIDATION ANALYSIS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Often referred to as the “best interests of creditors” test, section 1129(a)(7) of the Bankruptcy Code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requires that a Bankruptcy Court find, as a condition to confirmation of a plan of reorganization, that each holder of a claim or interest in each impaired class either (i) has accepted the plan; or (ii) will receive or retain under the plan property of a value, as of the effective date of the confirmed plan, that is not less than the amount such holder would receive if the debtor was liquidated under chapter 7 of the Bankruptcy Code.</w:t>
      </w:r>
      <w:r>
        <w:rPr>
          <w:rFonts w:ascii="Arial" w:cs="Arial" w:eastAsia="Arial" w:hAnsi="Arial"/>
          <w:sz w:val="23"/>
          <w:szCs w:val="23"/>
          <w:color w:val="auto"/>
          <w:vertAlign w:val="superscript"/>
        </w:rPr>
        <w:t>(2)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 conduct this Liquidation Analysis, the Debtors and their advisors have taken the following steps:</w:t>
      </w:r>
    </w:p>
    <w:p>
      <w:pPr>
        <w:spacing w:after="0" w:line="221" w:lineRule="exact"/>
        <w:rPr>
          <w:sz w:val="20"/>
          <w:szCs w:val="20"/>
          <w:color w:val="auto"/>
        </w:rPr>
      </w:pPr>
    </w:p>
    <w:p>
      <w:pPr>
        <w:ind w:left="720" w:right="20" w:hanging="334"/>
        <w:spacing w:after="0" w:line="282" w:lineRule="auto"/>
        <w:tabs>
          <w:tab w:leader="none" w:pos="735" w:val="left"/>
        </w:tabs>
        <w:numPr>
          <w:ilvl w:val="0"/>
          <w:numId w:val="486"/>
        </w:numPr>
        <w:rPr>
          <w:rFonts w:ascii="Arial" w:cs="Arial" w:eastAsia="Arial" w:hAnsi="Arial"/>
          <w:sz w:val="18"/>
          <w:szCs w:val="18"/>
          <w:color w:val="auto"/>
        </w:rPr>
      </w:pPr>
      <w:r>
        <w:rPr>
          <w:rFonts w:ascii="Arial" w:cs="Arial" w:eastAsia="Arial" w:hAnsi="Arial"/>
          <w:sz w:val="18"/>
          <w:szCs w:val="18"/>
          <w:color w:val="auto"/>
        </w:rPr>
        <w:t>estimated the cash proceeds that a chapter 7 trustee (a “</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 would generate if each Debtor’s chapter 11 case was converted to a chapter 7 case on the Effective Date and the assets of such Debtor’s estate were liquidated (the “</w:t>
      </w:r>
      <w:r>
        <w:rPr>
          <w:rFonts w:ascii="Arial" w:cs="Arial" w:eastAsia="Arial" w:hAnsi="Arial"/>
          <w:sz w:val="18"/>
          <w:szCs w:val="18"/>
          <w:b w:val="1"/>
          <w:bCs w:val="1"/>
          <w:u w:val="single" w:color="auto"/>
          <w:color w:val="auto"/>
        </w:rPr>
        <w:t>Liquidation Proceeds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720" w:right="100" w:hanging="334"/>
        <w:spacing w:after="0" w:line="277" w:lineRule="auto"/>
        <w:tabs>
          <w:tab w:leader="none" w:pos="745" w:val="left"/>
        </w:tabs>
        <w:numPr>
          <w:ilvl w:val="0"/>
          <w:numId w:val="486"/>
        </w:numPr>
        <w:rPr>
          <w:rFonts w:ascii="Arial" w:cs="Arial" w:eastAsia="Arial" w:hAnsi="Arial"/>
          <w:sz w:val="18"/>
          <w:szCs w:val="18"/>
          <w:color w:val="auto"/>
        </w:rPr>
      </w:pPr>
      <w:r>
        <w:rPr>
          <w:rFonts w:ascii="Arial" w:cs="Arial" w:eastAsia="Arial" w:hAnsi="Arial"/>
          <w:sz w:val="18"/>
          <w:szCs w:val="18"/>
          <w:color w:val="auto"/>
        </w:rPr>
        <w:t>determined the distribution that each holder of a Claim or Interest would receive from the Liquidation Proceeds under the priority scheme set forth in chapter 7 (the “</w:t>
      </w:r>
      <w:r>
        <w:rPr>
          <w:rFonts w:ascii="Arial" w:cs="Arial" w:eastAsia="Arial" w:hAnsi="Arial"/>
          <w:sz w:val="18"/>
          <w:szCs w:val="18"/>
          <w:b w:val="1"/>
          <w:bCs w:val="1"/>
          <w:u w:val="single" w:color="auto"/>
          <w:color w:val="auto"/>
        </w:rPr>
        <w:t>Liquidation Distribution</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720" w:right="140" w:hanging="334"/>
        <w:spacing w:after="0" w:line="277" w:lineRule="auto"/>
        <w:tabs>
          <w:tab w:leader="none" w:pos="75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compared each holder’s Liquidation Distribution to the distribution such holder would receive under the Debtors’ chapter 11 Plan if the Plan were confirmed and consummated (the “</w:t>
      </w:r>
      <w:r>
        <w:rPr>
          <w:rFonts w:ascii="Arial" w:cs="Arial" w:eastAsia="Arial" w:hAnsi="Arial"/>
          <w:sz w:val="18"/>
          <w:szCs w:val="18"/>
          <w:b w:val="1"/>
          <w:bCs w:val="1"/>
          <w:u w:val="single" w:color="auto"/>
          <w:color w:val="auto"/>
        </w:rPr>
        <w:t>Plan Distribution</w:t>
      </w:r>
      <w:r>
        <w:rPr>
          <w:rFonts w:ascii="Arial" w:cs="Arial" w:eastAsia="Arial" w:hAnsi="Arial"/>
          <w:sz w:val="18"/>
          <w:szCs w:val="18"/>
          <w:color w:val="auto"/>
        </w:rPr>
        <w: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Liquidation Analysis represents an estimate of cash distributions and recovery percentages based on a hypothetical chapter 7 liquidation of the Debtors’ assets. It is therefore a hypothetical analysis based on certain assumptions discussed herein and in the Disclosure Statement. As such, asset values and claims discussed herein may differ materially from amounts referred to in the Plan and Disclosure Statement. The Liquidation Analysis should be read in conjunction with the assumptions, qualifications, and explanations set forth in the Disclosure Statement and the Plan in their entirety, as well as the notes and assumptions set forth below.</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determination of the costs of, and proceeds from, the hypothetical liquidation of the Debtors’ assets in a chapter 7 case involves the use of estimates and assumptions that, although considered reasonable by the Debtors based on their business judgment and input from their advisors, are subject to significant business, economic, and competitive uncertainties and contingencies beyond the control of the Debtors, their management and their advisors. The Liquidation Analysis was prepared for the sole purpose of generating a reasonable, good faith estimate of the proceeds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26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3" w:lineRule="exact"/>
        <w:rPr>
          <w:sz w:val="20"/>
          <w:szCs w:val="20"/>
          <w:color w:val="auto"/>
        </w:rPr>
      </w:pPr>
    </w:p>
    <w:p>
      <w:pPr>
        <w:ind w:right="160" w:firstLine="8"/>
        <w:spacing w:after="0" w:line="242" w:lineRule="auto"/>
        <w:tabs>
          <w:tab w:leader="none" w:pos="141" w:val="left"/>
        </w:tabs>
        <w:numPr>
          <w:ilvl w:val="0"/>
          <w:numId w:val="487"/>
        </w:numPr>
        <w:rPr>
          <w:rFonts w:ascii="Arial" w:cs="Arial" w:eastAsia="Arial" w:hAnsi="Arial"/>
          <w:sz w:val="16"/>
          <w:szCs w:val="16"/>
          <w:color w:val="auto"/>
          <w:vertAlign w:val="superscript"/>
        </w:rPr>
      </w:pPr>
      <w:r>
        <w:rPr>
          <w:rFonts w:ascii="Arial" w:cs="Arial" w:eastAsia="Arial" w:hAnsi="Arial"/>
          <w:sz w:val="13"/>
          <w:szCs w:val="13"/>
          <w:color w:val="auto"/>
        </w:rPr>
        <w:t xml:space="preserve">Capitalized terms used but not otherwise defined herein have the meanings ascribed to them in the Disclosure Statement, to which this Liquidation Analysis is attached as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xml:space="preserve"> or the Plan attached to the Disclosure Statement as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w:t>
      </w:r>
    </w:p>
    <w:p>
      <w:pPr>
        <w:spacing w:after="0" w:line="113" w:lineRule="exact"/>
        <w:rPr>
          <w:rFonts w:ascii="Arial" w:cs="Arial" w:eastAsia="Arial" w:hAnsi="Arial"/>
          <w:sz w:val="16"/>
          <w:szCs w:val="16"/>
          <w:color w:val="auto"/>
          <w:vertAlign w:val="superscript"/>
        </w:rPr>
      </w:pPr>
    </w:p>
    <w:p>
      <w:pPr>
        <w:ind w:right="160" w:firstLine="8"/>
        <w:spacing w:after="0" w:line="263" w:lineRule="auto"/>
        <w:tabs>
          <w:tab w:leader="none" w:pos="133" w:val="left"/>
        </w:tabs>
        <w:numPr>
          <w:ilvl w:val="0"/>
          <w:numId w:val="487"/>
        </w:numPr>
        <w:rPr>
          <w:rFonts w:ascii="Arial" w:cs="Arial" w:eastAsia="Arial" w:hAnsi="Arial"/>
          <w:sz w:val="15"/>
          <w:szCs w:val="15"/>
          <w:color w:val="auto"/>
          <w:vertAlign w:val="superscript"/>
        </w:rPr>
      </w:pPr>
      <w:r>
        <w:rPr>
          <w:rFonts w:ascii="Arial" w:cs="Arial" w:eastAsia="Arial" w:hAnsi="Arial"/>
          <w:sz w:val="12"/>
          <w:szCs w:val="12"/>
          <w:color w:val="auto"/>
        </w:rPr>
        <w:t>Additional references to chapter 7 throughout this exhibit assumed to encompass similar insolvency proceedings in non-US jurisdictions. Local / jurisdictional laws and/or rules governing liquidation priorities outside the US are assumed to be generally consistent with those set forth in chapter 7 of the Bankruptcy Code. Any deviations of such laws and/or rules would not materially impact the conclusions of this analysis.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1" w:name="page252"/>
    <w:bookmarkEnd w:id="251"/>
    <w:p>
      <w:pPr>
        <w:ind w:right="280"/>
        <w:spacing w:after="0" w:line="277" w:lineRule="auto"/>
        <w:rPr>
          <w:sz w:val="20"/>
          <w:szCs w:val="20"/>
          <w:color w:val="auto"/>
        </w:rPr>
      </w:pPr>
      <w:r>
        <w:rPr>
          <w:rFonts w:ascii="Arial" w:cs="Arial" w:eastAsia="Arial" w:hAnsi="Arial"/>
          <w:sz w:val="18"/>
          <w:szCs w:val="18"/>
          <w:color w:val="auto"/>
        </w:rPr>
        <w:t>would be generated if the Debtors’ assets were liquidated in accordance with chapter 7 of the Bankruptcy Code. The Liquidation Analysis is not intended, and should not be used, for any other purpose.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of the limitations and risk factors set forth in the Disclosure Statement are applicable to this Liquidation Analysis and are incorporated by reference herein. The underlying financial information in the Liquidation Analysis was prepared using policies that are generally consistent with those applied in historical financial statements but was not compiled or examined by independent accountants and was not prepared to comply with GAAP or SEC reporting requirements.</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DEBTORS AND THEIR ADVISORS MAKE NO REPRESENTATIONS OR WARRANTIES REGARDING THE ACCURACY OF THE ESTIMATES CONTAINED HEREIN OR A CHAPTER 7 TRUSTEE’S ABILITY TO ACHIEVE FORECASTED RESULTS. IN THE EVENT THESE CHAPTER 11 CASES ARE CONVERTED TO A CHAPTER 7 LIQUIDATION, ACTUAL RESULTS COULD VARY FROM THE ESTIMATES SET FORTH IN THIS LIQUIDATION ANALYSIS.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Liquidation Analysis has been prepared assuming that the Debtors’ chapter 7 liquidation commences on or about September 30, 2019 (the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pro forma values referenced herein are projected as of the Liquidation Date and utilize the March 31, 2019 balance sheet and projected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cash flow over the projection period to the assumed Liquidation Date. The Debtors have assumed that the Liquidation Date is a reasonable proxy for the anticipated Effective Date. The Liquidation Analysis was prepared on a legal entity basis for each Debtor (and non-debtor) and, for presentation purposes, summarized into a consolidated report.</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preparing the Liquidation Analysis, the Debtors estimated Allowed Claims based on a review of the Debtors’ financial statements and projected results of operations and cash flow over the projection period to account for estimated liabilities, as necessary. The cessation of business in a liquidation is likely to trigger certain claims and funding requirements that would otherwise not exist under the Plan absent a liquidation. Such claims could include chapter 7 administrative expense claims, including, wind down costs, trustee fees, and professional fees, among other claims. Some of these claims and funding obligations could be significant and would be entitled to administrative or priority status in payment from liquidation proceeds. The Debtors’ estimates of Allowed Claims set forth in the Liquidation Analysis should not be relied on for the purpose of determining the value of any distribution to be made on account of Allowed Claims or Interests under the Plan.</w:t>
      </w:r>
    </w:p>
    <w:p>
      <w:pPr>
        <w:spacing w:after="0" w:line="18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NOTHING CONTAINED IN THE LIQUIDATION ANALYSIS IS INTENDED TO BE, OR CONSTITUTES, A CONCESSION, ADMISSION, OR ALLOWANCE OF ANY CLAIM BY THE DEBTORS. THE ACTUAL AMOUNT OR PRIORITY OF ALLOWED CLAIMS IN THE CHAPTER 11 CASES COULD MATERIALLY DIFFER FROM THE ESTIMATED AMOUNTS SET FORTH AND USED IN THE LIQUIDATION ANALYSIS. THE DEBTORS RESERVE ALL RIGHTS TO SUPPLEMENT, MODIFY, OR AMEND THE ANALYSIS SET FORTH HEREIN.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2" w:name="page253"/>
    <w:bookmarkEnd w:id="252"/>
    <w:p>
      <w:pPr>
        <w:ind w:right="20"/>
        <w:spacing w:after="0" w:line="259" w:lineRule="auto"/>
        <w:rPr>
          <w:sz w:val="20"/>
          <w:szCs w:val="20"/>
          <w:color w:val="auto"/>
        </w:rPr>
      </w:pPr>
      <w:r>
        <w:rPr>
          <w:rFonts w:ascii="Arial" w:cs="Arial" w:eastAsia="Arial" w:hAnsi="Arial"/>
          <w:sz w:val="18"/>
          <w:szCs w:val="18"/>
          <w:color w:val="auto"/>
        </w:rPr>
        <w:t>Chapter 7 administrative expense claims that arise in a liquidation scenario would be paid in full from the Liquidation Proceeds prior to proceeds being made available for distribution to holders of Allowed Claims. Under the “absolute priority rule,” no junior creditor may receive any distributions until all senior creditors are paid in full, and no equity holder may receive any distribution until all creditors are paid in full. The assumed distributions to creditors as reflected in the Liquidation Analysis are estimated in accordance with the absolute priority rule.</w:t>
      </w:r>
    </w:p>
    <w:p>
      <w:pPr>
        <w:spacing w:after="0" w:line="18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Liquidation Analysis does not include any recoveries or related litigation costs resulting from any potential preference, fraudulent transfer, or other litigation or avoidance actions that may be available under the Bankruptcy Code because of the cost of such litigation, the uncertainty of the outcome, and potential disputes regarding these matters. In addition, the Liquidation Analysis assumes all customer contracts are terminated on the Liquidation Date. Rejection damages claims have not, however, been estimated for purposes of this analysis, though such claims could be material. Finally, the Liquidation Analysis does not include estimates for the tax consequences that may be triggered upon the liquidation and sale of assets in the manner described above. Such tax consequences could be material.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LIQUIDATION PROCESS</w:t>
      </w:r>
    </w:p>
    <w:p>
      <w:pPr>
        <w:spacing w:after="0" w:line="229" w:lineRule="exact"/>
        <w:rPr>
          <w:sz w:val="20"/>
          <w:szCs w:val="20"/>
          <w:color w:val="auto"/>
        </w:rPr>
      </w:pPr>
    </w:p>
    <w:p>
      <w:pPr>
        <w:jc w:val="both"/>
        <w:ind w:right="220"/>
        <w:spacing w:after="0" w:line="273" w:lineRule="auto"/>
        <w:rPr>
          <w:sz w:val="20"/>
          <w:szCs w:val="20"/>
          <w:color w:val="auto"/>
        </w:rPr>
      </w:pPr>
      <w:r>
        <w:rPr>
          <w:rFonts w:ascii="Arial" w:cs="Arial" w:eastAsia="Arial" w:hAnsi="Arial"/>
          <w:sz w:val="18"/>
          <w:szCs w:val="18"/>
          <w:color w:val="auto"/>
        </w:rPr>
        <w:t>The Debtors’ liquidation would be conducted pursuant to chapter 7 of the Bankruptcy Code. The Debtors have assumed that their liquidation would occur over approximately six months during which the Trustee would efficiently and effectively monetize substantially all the assets on the consolidated balance sheet and administer and wind-down the estates.</w:t>
      </w:r>
      <w:r>
        <w:rPr>
          <w:rFonts w:ascii="Arial" w:cs="Arial" w:eastAsia="Arial" w:hAnsi="Arial"/>
          <w:sz w:val="23"/>
          <w:szCs w:val="23"/>
          <w:color w:val="auto"/>
          <w:vertAlign w:val="superscript"/>
        </w:rPr>
        <w:t>(3)</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part of the Trustee’s liquidation process, the initial step would be to develop a liquidation plan designed to generate proceeds from the sale of assets that it would then distribute to creditors. This liquidation process would have three major components:</w:t>
      </w:r>
    </w:p>
    <w:p>
      <w:pPr>
        <w:spacing w:after="0" w:line="166" w:lineRule="exact"/>
        <w:rPr>
          <w:sz w:val="20"/>
          <w:szCs w:val="20"/>
          <w:color w:val="auto"/>
        </w:rPr>
      </w:pPr>
    </w:p>
    <w:p>
      <w:pPr>
        <w:ind w:left="720" w:hanging="334"/>
        <w:spacing w:after="0"/>
        <w:tabs>
          <w:tab w:leader="none" w:pos="72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Cash proceeds from asset sales (“</w:t>
      </w:r>
      <w:r>
        <w:rPr>
          <w:rFonts w:ascii="Arial" w:cs="Arial" w:eastAsia="Arial" w:hAnsi="Arial"/>
          <w:sz w:val="18"/>
          <w:szCs w:val="18"/>
          <w:b w:val="1"/>
          <w:bCs w:val="1"/>
          <w:u w:val="single" w:color="auto"/>
          <w:color w:val="auto"/>
        </w:rPr>
        <w:t>Gross Distribution Proceeds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Costs to liquidate the business and administer the estates under chapter 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Liquidation Adjustments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Remaining proceeds available for distribution to claimants (“</w:t>
      </w:r>
      <w:r>
        <w:rPr>
          <w:rFonts w:ascii="Arial" w:cs="Arial" w:eastAsia="Arial" w:hAnsi="Arial"/>
          <w:sz w:val="18"/>
          <w:szCs w:val="18"/>
          <w:b w:val="1"/>
          <w:bCs w:val="1"/>
          <w:u w:val="single" w:color="auto"/>
          <w:color w:val="auto"/>
        </w:rPr>
        <w:t>Net Distribution Proceeds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Gross Distribution Proceeds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Gross Distribution Proceeds reflect the proceeds the Trustee would generate from a hypothetical chapter 7 liquidation. Under section 704 of the Bankruptcy Code, a Trustee must, among other duties, collect and convert property of the Estates as expeditiously as is compatible with the best interests of parties in interest, which could result in potentially distressed recoveries. This Liquidation Analysis assumes the Trustee will market the assets on an accelerated timeline and consummate the sale transactions within six months from the Liquidation Date. Asset values in the liquidation process will likely be materially reduced due to, among other things,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firstLine="8"/>
        <w:spacing w:after="0"/>
        <w:tabs>
          <w:tab w:leader="none" w:pos="133" w:val="left"/>
        </w:tabs>
        <w:numPr>
          <w:ilvl w:val="0"/>
          <w:numId w:val="490"/>
        </w:numPr>
        <w:rPr>
          <w:rFonts w:ascii="Arial" w:cs="Arial" w:eastAsia="Arial" w:hAnsi="Arial"/>
          <w:sz w:val="15"/>
          <w:szCs w:val="15"/>
          <w:color w:val="auto"/>
          <w:vertAlign w:val="superscript"/>
        </w:rPr>
      </w:pPr>
      <w:r>
        <w:rPr>
          <w:rFonts w:ascii="Arial" w:cs="Arial" w:eastAsia="Arial" w:hAnsi="Arial"/>
          <w:sz w:val="12"/>
          <w:szCs w:val="12"/>
          <w:color w:val="auto"/>
        </w:rPr>
        <w:t>Although the Liquidation Analysis assumes the liquidation process would occur over a six-month period, it is possible the disposition and recovery from certain assets could take shorter or longer to realize.</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53" w:name="page254"/>
    <w:bookmarkEnd w:id="253"/>
    <w:p>
      <w:pPr>
        <w:spacing w:after="0"/>
        <w:rPr>
          <w:sz w:val="20"/>
          <w:szCs w:val="20"/>
          <w:color w:val="auto"/>
        </w:rPr>
      </w:pPr>
      <w:r>
        <w:rPr>
          <w:rFonts w:ascii="Arial" w:cs="Arial" w:eastAsia="Arial" w:hAnsi="Arial"/>
          <w:sz w:val="16"/>
          <w:szCs w:val="16"/>
          <w:color w:val="auto"/>
        </w:rPr>
        <w:t>accelerated time frame in which the assets are marketed and sold; (ii) negative vendor / customer reaction; and (iii) the generally forced nature of the sale.</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Debtors have assumed the Trustee will retain lawyers, financial advisors, and investment bankers to support the sale and transition of assets over the six-month liquidation period.</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The Liquidation Adjustments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Liquidation Adjustments reflect the costs the Trustee would incur to monetize the assets and wind down the estates in chapter 7 and include the following:</w:t>
      </w:r>
    </w:p>
    <w:p>
      <w:pPr>
        <w:spacing w:after="0" w:line="166" w:lineRule="exact"/>
        <w:rPr>
          <w:sz w:val="20"/>
          <w:szCs w:val="20"/>
          <w:color w:val="auto"/>
        </w:rPr>
      </w:pPr>
    </w:p>
    <w:p>
      <w:pPr>
        <w:ind w:left="940" w:hanging="284"/>
        <w:spacing w:after="0"/>
        <w:tabs>
          <w:tab w:leader="none" w:pos="94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Expenses necessary to efficiently and effectively monetize the assets (the “</w:t>
      </w:r>
      <w:r>
        <w:rPr>
          <w:rFonts w:ascii="Arial" w:cs="Arial" w:eastAsia="Arial" w:hAnsi="Arial"/>
          <w:sz w:val="18"/>
          <w:szCs w:val="18"/>
          <w:b w:val="1"/>
          <w:bCs w:val="1"/>
          <w:color w:val="auto"/>
        </w:rPr>
        <w:t>Wind Down Budget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Chapter 7 professional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Chapter 7 Trustee fees;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Employee severance paid pursuant to local laws.</w:t>
      </w:r>
    </w:p>
    <w:p>
      <w:pPr>
        <w:spacing w:after="0" w:line="221" w:lineRule="exact"/>
        <w:rPr>
          <w:rFonts w:ascii="Arial" w:cs="Arial" w:eastAsia="Arial" w:hAnsi="Arial"/>
          <w:sz w:val="18"/>
          <w:szCs w:val="18"/>
          <w:color w:val="auto"/>
        </w:rPr>
      </w:pPr>
    </w:p>
    <w:p>
      <w:pPr>
        <w:ind w:left="320" w:hanging="312"/>
        <w:spacing w:after="0"/>
        <w:tabs>
          <w:tab w:leader="none" w:pos="32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Net Distribution Proceeds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Net Distribution Proceeds reflect amounts available to Holders of Claims after the Liquidation Adjustments are netted against the Gross Distribution Proceeds. Under this analysis, the Liquidation Proceeds are distributed to Holders of Claims against, and Equity Interests in, the Debtors in accordance with the Bankruptcy Code’s priority scheme:</w:t>
      </w:r>
    </w:p>
    <w:p>
      <w:pPr>
        <w:spacing w:after="0" w:line="181" w:lineRule="exact"/>
        <w:rPr>
          <w:sz w:val="20"/>
          <w:szCs w:val="20"/>
          <w:color w:val="auto"/>
        </w:rPr>
      </w:pPr>
    </w:p>
    <w:p>
      <w:pPr>
        <w:ind w:left="980" w:right="220" w:hanging="324"/>
        <w:spacing w:after="0" w:line="277" w:lineRule="auto"/>
        <w:tabs>
          <w:tab w:leader="none" w:pos="944"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Superpriority Carve-Out Claims</w:t>
      </w:r>
      <w:r>
        <w:rPr>
          <w:rFonts w:ascii="Arial" w:cs="Arial" w:eastAsia="Arial" w:hAnsi="Arial"/>
          <w:sz w:val="18"/>
          <w:szCs w:val="18"/>
          <w:color w:val="auto"/>
        </w:rPr>
        <w:t xml:space="preserve"> — Claims attributed to accrued and unpaid fees for the U.S. Trustee and Clerk of the Bankruptcy Court, and certain professionals;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Superpriority DIP Claims</w:t>
      </w:r>
      <w:r>
        <w:rPr>
          <w:rFonts w:ascii="Arial" w:cs="Arial" w:eastAsia="Arial" w:hAnsi="Arial"/>
          <w:sz w:val="18"/>
          <w:szCs w:val="18"/>
          <w:color w:val="auto"/>
        </w:rPr>
        <w:t xml:space="preserve"> — Claims attributed to the DIP Credit Agreement, including accrued and unpaid principal and interest as of the Liquidation Date;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Other Priority Claims</w:t>
      </w:r>
      <w:r>
        <w:rPr>
          <w:rFonts w:ascii="Arial" w:cs="Arial" w:eastAsia="Arial" w:hAnsi="Arial"/>
          <w:sz w:val="18"/>
          <w:szCs w:val="18"/>
          <w:color w:val="auto"/>
        </w:rPr>
        <w:t xml:space="preserve"> — there are no assumed Other Priority Claims for purposes of the Liquidation Analysis;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Other Secured Claims</w:t>
      </w:r>
      <w:r>
        <w:rPr>
          <w:rFonts w:ascii="Arial" w:cs="Arial" w:eastAsia="Arial" w:hAnsi="Arial"/>
          <w:sz w:val="18"/>
          <w:szCs w:val="18"/>
          <w:color w:val="auto"/>
        </w:rPr>
        <w:t xml:space="preserve"> — there are no assumed Other Secured Claims for purposes of the Liquidation Analysis;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Secured Tax Claims</w:t>
      </w:r>
      <w:r>
        <w:rPr>
          <w:rFonts w:ascii="Arial" w:cs="Arial" w:eastAsia="Arial" w:hAnsi="Arial"/>
          <w:sz w:val="18"/>
          <w:szCs w:val="18"/>
          <w:color w:val="auto"/>
        </w:rPr>
        <w:t xml:space="preserve"> — Claims attributed to accrued and unpaid income, sales and use, franchise, property, VAT and other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92"/>
        </w:numPr>
        <w:rPr>
          <w:rFonts w:ascii="Arial" w:cs="Arial" w:eastAsia="Arial" w:hAnsi="Arial"/>
          <w:sz w:val="16"/>
          <w:szCs w:val="16"/>
          <w:color w:val="auto"/>
        </w:rPr>
      </w:pPr>
      <w:r>
        <w:rPr>
          <w:rFonts w:ascii="Arial" w:cs="Arial" w:eastAsia="Arial" w:hAnsi="Arial"/>
          <w:sz w:val="16"/>
          <w:szCs w:val="16"/>
          <w:u w:val="single" w:color="auto"/>
          <w:color w:val="auto"/>
        </w:rPr>
        <w:t>Prepetition Revolving Credit Claims</w:t>
      </w:r>
      <w:r>
        <w:rPr>
          <w:rFonts w:ascii="Arial" w:cs="Arial" w:eastAsia="Arial" w:hAnsi="Arial"/>
          <w:sz w:val="16"/>
          <w:szCs w:val="16"/>
          <w:color w:val="auto"/>
        </w:rPr>
        <w:t xml:space="preserve"> — There are no assumed Prepetition Revolving Credit Claims for purposes of the Liquidation Analysis;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Prepetition Term Loan Claims</w:t>
      </w:r>
      <w:r>
        <w:rPr>
          <w:rFonts w:ascii="Arial" w:cs="Arial" w:eastAsia="Arial" w:hAnsi="Arial"/>
          <w:sz w:val="18"/>
          <w:szCs w:val="18"/>
          <w:color w:val="auto"/>
        </w:rPr>
        <w:t xml:space="preserve"> — There are no assumed Prepetition Term Loan Claims for purposes of the Liquidation Analysis;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54" w:name="page255"/>
    <w:bookmarkEnd w:id="254"/>
    <w:p>
      <w:pPr>
        <w:ind w:left="980" w:right="240" w:hanging="324"/>
        <w:spacing w:after="0" w:line="264" w:lineRule="auto"/>
        <w:tabs>
          <w:tab w:leader="none" w:pos="944"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Chapter 11 Administrative Expense &amp; Priority Claims</w:t>
      </w:r>
      <w:r>
        <w:rPr>
          <w:rFonts w:ascii="Arial" w:cs="Arial" w:eastAsia="Arial" w:hAnsi="Arial"/>
          <w:sz w:val="18"/>
          <w:szCs w:val="18"/>
          <w:color w:val="auto"/>
        </w:rPr>
        <w:t xml:space="preserve"> — Claims for post-petition accounts payable, post-petition intercompany claims, post-petition accrued expenses, claims arising under section 503(b)(9) of the Bankruptcy Code, and certain unsecured claims entitled to priority under section 507 of the Bankruptcy Code;</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Prepetition A&amp;R Claims</w:t>
      </w:r>
      <w:r>
        <w:rPr>
          <w:rFonts w:ascii="Arial" w:cs="Arial" w:eastAsia="Arial" w:hAnsi="Arial"/>
          <w:sz w:val="18"/>
          <w:szCs w:val="18"/>
          <w:color w:val="auto"/>
        </w:rPr>
        <w:t xml:space="preserve"> — Claims arising from the unsecured senior revolving credit agreement;</w:t>
      </w:r>
    </w:p>
    <w:p>
      <w:pPr>
        <w:spacing w:after="0" w:line="221" w:lineRule="exact"/>
        <w:rPr>
          <w:rFonts w:ascii="Arial" w:cs="Arial" w:eastAsia="Arial" w:hAnsi="Arial"/>
          <w:sz w:val="18"/>
          <w:szCs w:val="18"/>
          <w:color w:val="auto"/>
        </w:rPr>
      </w:pPr>
    </w:p>
    <w:p>
      <w:pPr>
        <w:ind w:left="940" w:hanging="284"/>
        <w:spacing w:after="0"/>
        <w:tabs>
          <w:tab w:leader="none" w:pos="940"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Prepetition Notes Claims</w:t>
      </w:r>
      <w:r>
        <w:rPr>
          <w:rFonts w:ascii="Arial" w:cs="Arial" w:eastAsia="Arial" w:hAnsi="Arial"/>
          <w:sz w:val="18"/>
          <w:szCs w:val="18"/>
          <w:color w:val="auto"/>
        </w:rPr>
        <w:t xml:space="preserve"> — Claims arising from unsecured senior notes, including (collectively, the “</w:t>
      </w:r>
      <w:r>
        <w:rPr>
          <w:rFonts w:ascii="Arial" w:cs="Arial" w:eastAsia="Arial" w:hAnsi="Arial"/>
          <w:sz w:val="18"/>
          <w:szCs w:val="18"/>
          <w:b w:val="1"/>
          <w:bCs w:val="1"/>
          <w:u w:val="single" w:color="auto"/>
          <w:color w:val="auto"/>
        </w:rPr>
        <w:t>Prepetition Notes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5.125% Senior Notes due 2020</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5.875% Senior Notes due 2021</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7.75% Senior Notes due 2021</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4.50% Senior Notes due 2022</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8.25% Senior Notes due 2023</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9.875% Senior Notes due 2024</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9.875% Senior Notes due 2025</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6.50% Senior Notes due 2036</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6.80% Senior Notes due 2037</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7.00% Senior Notes due 2038</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9.875% Senior Notes due 2039</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6.75% Senior Notes due 2040</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5.95% Senior Notes due 2042</w:t>
      </w:r>
    </w:p>
    <w:p>
      <w:pPr>
        <w:spacing w:after="0" w:line="210"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General Unsecured Claims</w:t>
      </w:r>
      <w:r>
        <w:rPr>
          <w:rFonts w:ascii="Arial" w:cs="Arial" w:eastAsia="Arial" w:hAnsi="Arial"/>
          <w:sz w:val="18"/>
          <w:szCs w:val="18"/>
          <w:color w:val="auto"/>
        </w:rPr>
        <w:t xml:space="preserve"> — Claims arising from non-priority debt, including certain pre-petition liabilities not subject to first-day relief and various other unsecured liabilities;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Intercompany Claims</w:t>
      </w:r>
      <w:r>
        <w:rPr>
          <w:rFonts w:ascii="Arial" w:cs="Arial" w:eastAsia="Arial" w:hAnsi="Arial"/>
          <w:sz w:val="18"/>
          <w:szCs w:val="18"/>
          <w:color w:val="auto"/>
        </w:rPr>
        <w:t xml:space="preserve"> — Claims arising from amounts the Debtors owe to other Debtors and/or non-debtor entities;</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Existing Common Stock</w:t>
      </w:r>
      <w:r>
        <w:rPr>
          <w:rFonts w:ascii="Arial" w:cs="Arial" w:eastAsia="Arial" w:hAnsi="Arial"/>
          <w:sz w:val="18"/>
          <w:szCs w:val="18"/>
          <w:color w:val="auto"/>
        </w:rPr>
        <w:t xml:space="preserve"> — Claims arising from common equity interests in Weatherford International plc resulting from the issuance of common stock;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Intercompany Interests</w:t>
      </w:r>
      <w:r>
        <w:rPr>
          <w:rFonts w:ascii="Arial" w:cs="Arial" w:eastAsia="Arial" w:hAnsi="Arial"/>
          <w:sz w:val="18"/>
          <w:szCs w:val="18"/>
          <w:color w:val="auto"/>
        </w:rPr>
        <w:t xml:space="preserve"> — Claims arising from equity interests in other Debtors and non-debtor subsidiaries.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Debtors have determined, as summarized in the table below, on the Effective Date, that the Plan will provide all Holders of Allowed Claims and Interests with a recovery that is not less than what they would otherwise receive pursuant to a liquidation of the Debtors’ assets under chapter 7 of the Bankruptcy Code. Accordingly, the Plan satisfies the requirement of 1129(a)(7) of the Bankruptcy Code.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55" w:name="page256"/>
    <w:bookmarkEnd w:id="2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5351145" cy="19983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53511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Liquidation Analysis should be reviewed with the accompanying “Specific Notes to the Liquidation Analysis” set forth on the following pages.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below tables reflect the consolidation of the standalone liquidation analyses for each Debtor and non-debtor.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55568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55568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8" w:name="page259"/>
    <w:bookmarkEnd w:id="258"/>
    <w:p>
      <w:pPr>
        <w:ind w:left="3500"/>
        <w:spacing w:after="0"/>
        <w:rPr>
          <w:sz w:val="20"/>
          <w:szCs w:val="20"/>
          <w:color w:val="auto"/>
        </w:rPr>
      </w:pPr>
      <w:r>
        <w:rPr>
          <w:rFonts w:ascii="Arial" w:cs="Arial" w:eastAsia="Arial" w:hAnsi="Arial"/>
          <w:sz w:val="18"/>
          <w:szCs w:val="18"/>
          <w:b w:val="1"/>
          <w:bCs w:val="1"/>
          <w:color w:val="auto"/>
        </w:rPr>
        <w:t>SPECIFIC NOTES TO THE LIQUIDATION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Gross Liquidation Proceeds from External Assets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below table summarizes asset recoverability percentages for the Debtors’ and non-debtors’ assets. Net Distribution Proceeds on the sale of non-debtor assets are recovered by the Debtors via settlement of intercompany receivables and/or equity distributions factoring the priority of claims that reside at each non-debtor (reference Value Redistribution section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720" w:type="dxa"/>
            <w:vAlign w:val="bottom"/>
            <w:vMerge w:val="restart"/>
          </w:tcPr>
          <w:p>
            <w:pPr>
              <w:jc w:val="center"/>
              <w:ind w:left="988"/>
              <w:spacing w:after="0"/>
              <w:rPr>
                <w:sz w:val="20"/>
                <w:szCs w:val="20"/>
                <w:color w:val="auto"/>
              </w:rPr>
            </w:pPr>
            <w:r>
              <w:rPr>
                <w:rFonts w:ascii="Arial" w:cs="Arial" w:eastAsia="Arial" w:hAnsi="Arial"/>
                <w:sz w:val="14"/>
                <w:szCs w:val="14"/>
                <w:b w:val="1"/>
                <w:bCs w:val="1"/>
                <w:color w:val="auto"/>
                <w:w w:val="95"/>
              </w:rPr>
              <w:t>Debtors’</w:t>
            </w:r>
          </w:p>
        </w:tc>
        <w:tc>
          <w:tcPr>
            <w:tcW w:w="1100" w:type="dxa"/>
            <w:vAlign w:val="bottom"/>
          </w:tcPr>
          <w:p>
            <w:pPr>
              <w:jc w:val="center"/>
              <w:ind w:left="44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Note</w:t>
            </w:r>
          </w:p>
        </w:tc>
        <w:tc>
          <w:tcPr>
            <w:tcW w:w="496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Asset Type / Assumptions</w:t>
            </w:r>
          </w:p>
        </w:tc>
        <w:tc>
          <w:tcPr>
            <w:tcW w:w="2720" w:type="dxa"/>
            <w:vAlign w:val="bottom"/>
            <w:vMerge w:val="continue"/>
          </w:tcPr>
          <w:p>
            <w:pPr>
              <w:spacing w:after="0"/>
              <w:rPr>
                <w:sz w:val="12"/>
                <w:szCs w:val="12"/>
                <w:color w:val="auto"/>
              </w:rPr>
            </w:pPr>
          </w:p>
        </w:tc>
        <w:tc>
          <w:tcPr>
            <w:tcW w:w="110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4"/>
              </w:rPr>
              <w:t>debtors’</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4960" w:type="dxa"/>
            <w:vAlign w:val="bottom"/>
            <w:vMerge w:val="continue"/>
          </w:tcPr>
          <w:p>
            <w:pPr>
              <w:spacing w:after="0"/>
              <w:rPr>
                <w:sz w:val="16"/>
                <w:szCs w:val="16"/>
                <w:color w:val="auto"/>
              </w:rPr>
            </w:pPr>
          </w:p>
        </w:tc>
        <w:tc>
          <w:tcPr>
            <w:tcW w:w="2720" w:type="dxa"/>
            <w:vAlign w:val="bottom"/>
          </w:tcPr>
          <w:p>
            <w:pPr>
              <w:jc w:val="center"/>
              <w:ind w:left="988"/>
              <w:spacing w:after="0"/>
              <w:rPr>
                <w:sz w:val="20"/>
                <w:szCs w:val="20"/>
                <w:color w:val="auto"/>
              </w:rPr>
            </w:pPr>
            <w:r>
              <w:rPr>
                <w:rFonts w:ascii="Arial" w:cs="Arial" w:eastAsia="Arial" w:hAnsi="Arial"/>
                <w:sz w:val="14"/>
                <w:szCs w:val="14"/>
                <w:b w:val="1"/>
                <w:bCs w:val="1"/>
                <w:color w:val="auto"/>
                <w:w w:val="91"/>
              </w:rPr>
              <w:t>Recovery</w:t>
            </w:r>
          </w:p>
        </w:tc>
        <w:tc>
          <w:tcPr>
            <w:tcW w:w="1100" w:type="dxa"/>
            <w:vAlign w:val="bottom"/>
          </w:tcPr>
          <w:p>
            <w:pPr>
              <w:jc w:val="center"/>
              <w:ind w:left="448"/>
              <w:spacing w:after="0"/>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557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ind w:left="1360" w:right="3600" w:hanging="883"/>
        <w:spacing w:after="0" w:line="281" w:lineRule="auto"/>
        <w:tabs>
          <w:tab w:leader="none" w:pos="136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Unrestricted cash consist of all cash and liquid investments, if applicable, with maturities of three months or less in bank accounts, and restricted cash consist of cash collateralizing letters of credit. The Liquidation Analysis assumes cash collateralized letters of credit are</w:t>
      </w: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drawn on the Liquidation Date and are not recoverable.</w:t>
            </w:r>
          </w:p>
        </w:tc>
        <w:tc>
          <w:tcPr>
            <w:tcW w:w="1740" w:type="dxa"/>
            <w:vAlign w:val="bottom"/>
          </w:tcPr>
          <w:p>
            <w:pPr>
              <w:jc w:val="right"/>
              <w:ind w:right="530"/>
              <w:spacing w:after="0"/>
              <w:rPr>
                <w:sz w:val="20"/>
                <w:szCs w:val="20"/>
                <w:color w:val="auto"/>
              </w:rPr>
            </w:pPr>
            <w:r>
              <w:rPr>
                <w:rFonts w:ascii="Arial" w:cs="Arial" w:eastAsia="Arial" w:hAnsi="Arial"/>
                <w:sz w:val="18"/>
                <w:szCs w:val="18"/>
                <w:color w:val="auto"/>
              </w:rPr>
              <w:t>26%</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r>
      <w:tr>
        <w:trPr>
          <w:trHeight w:val="202"/>
        </w:trPr>
        <w:tc>
          <w:tcPr>
            <w:tcW w:w="98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B</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Accounts Receivable consist of trade amounts owed for equipment and services provided</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 oil &amp; natural gas exploration and production customers. The analysis assumes that</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customers would terminate contracts at the Liquidation Date and offset the costs associated</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with switching to a new provider against amounts owed. The interruption of business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caused by the liquidation could further impact the ability of the Trustee to collect on these</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w:t>
            </w:r>
          </w:p>
        </w:tc>
        <w:tc>
          <w:tcPr>
            <w:tcW w:w="17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C</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Inventory consist of a wide variety of raw materials as well as parts and components made</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by other manufacturers and suppliers used as part of manufacturing operations.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Additionally, Inventory includes items that are sold to outside customers, or used as spares,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consumables, or replacement parts to support oilfield services provided to customers on a</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contract service or rental basis.</w:t>
            </w:r>
          </w:p>
        </w:tc>
        <w:tc>
          <w:tcPr>
            <w:tcW w:w="17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D</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Other Current Assets consist of prepaid (1) customs and duties fees, insurance, rent, taxes</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other miscellaneous prepaid items; (2) supplier, customer and other miscellaneous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deposits; (3) deferred charges; and (4) deferred tax assets. Prepaid expenses are assumed to</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 recoverable to the extent such amounts can be refunded or used to offset expenses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included in the Wind Down</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r>
      <w:tr>
        <w:trPr>
          <w:trHeight w:val="648"/>
        </w:trPr>
        <w:tc>
          <w:tcPr>
            <w:tcW w:w="980" w:type="dxa"/>
            <w:vAlign w:val="bottom"/>
          </w:tcPr>
          <w:p>
            <w:pPr>
              <w:spacing w:after="0"/>
              <w:rPr>
                <w:sz w:val="24"/>
                <w:szCs w:val="24"/>
                <w:color w:val="auto"/>
              </w:rPr>
            </w:pPr>
          </w:p>
        </w:tc>
        <w:tc>
          <w:tcPr>
            <w:tcW w:w="7660" w:type="dxa"/>
            <w:vAlign w:val="bottom"/>
          </w:tcPr>
          <w:p>
            <w:pPr>
              <w:ind w:left="4640"/>
              <w:spacing w:after="0"/>
              <w:rPr>
                <w:sz w:val="20"/>
                <w:szCs w:val="20"/>
                <w:color w:val="auto"/>
              </w:rPr>
            </w:pPr>
            <w:r>
              <w:rPr>
                <w:rFonts w:ascii="Arial" w:cs="Arial" w:eastAsia="Arial" w:hAnsi="Arial"/>
                <w:sz w:val="18"/>
                <w:szCs w:val="18"/>
                <w:color w:val="auto"/>
              </w:rPr>
              <w:t>10</w:t>
            </w: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Debtors’</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688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Asset Type / Assumptions</w:t>
            </w:r>
          </w:p>
        </w:tc>
        <w:tc>
          <w:tcPr>
            <w:tcW w:w="166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debtors’</w:t>
            </w:r>
          </w:p>
        </w:tc>
        <w:tc>
          <w:tcPr>
            <w:tcW w:w="0" w:type="dxa"/>
            <w:vAlign w:val="bottom"/>
          </w:tcPr>
          <w:p>
            <w:pPr>
              <w:spacing w:after="0"/>
              <w:rPr>
                <w:sz w:val="1"/>
                <w:szCs w:val="1"/>
                <w:color w:val="auto"/>
              </w:rPr>
            </w:pPr>
          </w:p>
        </w:tc>
      </w:tr>
      <w:tr>
        <w:trPr>
          <w:trHeight w:val="171"/>
        </w:trPr>
        <w:tc>
          <w:tcPr>
            <w:tcW w:w="1360" w:type="dxa"/>
            <w:vAlign w:val="bottom"/>
            <w:gridSpan w:val="2"/>
            <w:vMerge w:val="continue"/>
          </w:tcPr>
          <w:p>
            <w:pPr>
              <w:spacing w:after="0"/>
              <w:rPr>
                <w:sz w:val="14"/>
                <w:szCs w:val="14"/>
                <w:color w:val="auto"/>
              </w:rPr>
            </w:pPr>
          </w:p>
        </w:tc>
        <w:tc>
          <w:tcPr>
            <w:tcW w:w="6880" w:type="dxa"/>
            <w:vAlign w:val="bottom"/>
            <w:gridSpan w:val="2"/>
            <w:vMerge w:val="continue"/>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Recovery</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Budget. Additionally, Other Current Assets include rig assets currently marketed for sale.</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60" w:right="3460" w:hanging="874"/>
        <w:spacing w:after="0" w:line="286" w:lineRule="auto"/>
        <w:tabs>
          <w:tab w:leader="none" w:pos="136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Property, Plant &amp; Equipment (“PP&amp;E”) includes drilling tools, manufacturing equipment, service equipment and rental equipment used in providing services across four primary offerings: (1) Production, (2) Completions, (3) Drilling and Evaluation and (4) Well Construction. Additionally, PP&amp;E includes domestic and international owned real estate,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246620" cy="10979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7720" w:type="dxa"/>
            <w:vAlign w:val="bottom"/>
          </w:tcPr>
          <w:p>
            <w:pPr>
              <w:ind w:left="380"/>
              <w:spacing w:after="0" w:line="203" w:lineRule="exact"/>
              <w:rPr>
                <w:sz w:val="20"/>
                <w:szCs w:val="20"/>
                <w:color w:val="auto"/>
              </w:rPr>
            </w:pPr>
            <w:r>
              <w:rPr>
                <w:rFonts w:ascii="Arial" w:cs="Arial" w:eastAsia="Arial" w:hAnsi="Arial"/>
                <w:sz w:val="18"/>
                <w:szCs w:val="18"/>
                <w:color w:val="auto"/>
                <w:w w:val="99"/>
              </w:rPr>
              <w:t>well as other miscellaneous assets (automobiles, FF&amp;E, leasehold improvements, etc.). The</w:t>
            </w: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7720" w:type="dxa"/>
            <w:vAlign w:val="bottom"/>
          </w:tcPr>
          <w:p>
            <w:pPr>
              <w:ind w:left="380"/>
              <w:spacing w:after="0"/>
              <w:rPr>
                <w:sz w:val="20"/>
                <w:szCs w:val="20"/>
                <w:color w:val="auto"/>
              </w:rPr>
            </w:pPr>
            <w:r>
              <w:rPr>
                <w:rFonts w:ascii="Arial" w:cs="Arial" w:eastAsia="Arial" w:hAnsi="Arial"/>
                <w:sz w:val="18"/>
                <w:szCs w:val="18"/>
                <w:color w:val="auto"/>
              </w:rPr>
              <w:t>Liquidation Analysis assumes all active customer contracts are terminated upon conversion</w:t>
            </w: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720" w:type="dxa"/>
            <w:vAlign w:val="bottom"/>
          </w:tcPr>
          <w:p>
            <w:pPr>
              <w:ind w:left="380"/>
              <w:spacing w:after="0"/>
              <w:rPr>
                <w:sz w:val="20"/>
                <w:szCs w:val="20"/>
                <w:color w:val="auto"/>
              </w:rPr>
            </w:pPr>
            <w:r>
              <w:rPr>
                <w:rFonts w:ascii="Arial" w:cs="Arial" w:eastAsia="Arial" w:hAnsi="Arial"/>
                <w:sz w:val="18"/>
                <w:szCs w:val="18"/>
                <w:color w:val="auto"/>
              </w:rPr>
              <w:t>to a chapter 7 but the Debtors have not quantified respective rejection damages claims for</w:t>
            </w: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720" w:type="dxa"/>
            <w:vAlign w:val="bottom"/>
          </w:tcPr>
          <w:p>
            <w:pPr>
              <w:ind w:left="380"/>
              <w:spacing w:after="0"/>
              <w:rPr>
                <w:sz w:val="20"/>
                <w:szCs w:val="20"/>
                <w:color w:val="auto"/>
              </w:rPr>
            </w:pPr>
            <w:r>
              <w:rPr>
                <w:rFonts w:ascii="Arial" w:cs="Arial" w:eastAsia="Arial" w:hAnsi="Arial"/>
                <w:sz w:val="18"/>
                <w:szCs w:val="18"/>
                <w:color w:val="auto"/>
              </w:rPr>
              <w:t>purposes of the Liquidation Analysis. Such claims could be material.</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15%</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9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F</w:t>
            </w:r>
          </w:p>
        </w:tc>
        <w:tc>
          <w:tcPr>
            <w:tcW w:w="772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Goodwill represents the excess of consideration paid over the fair value of net tangible and</w:t>
            </w:r>
          </w:p>
        </w:tc>
        <w:tc>
          <w:tcPr>
            <w:tcW w:w="1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980" w:type="dxa"/>
            <w:vAlign w:val="bottom"/>
            <w:shd w:val="clear" w:color="auto" w:fill="CCEEFF"/>
          </w:tcPr>
          <w:p>
            <w:pPr>
              <w:spacing w:after="0"/>
              <w:rPr>
                <w:sz w:val="20"/>
                <w:szCs w:val="20"/>
                <w:color w:val="auto"/>
              </w:rPr>
            </w:pPr>
          </w:p>
        </w:tc>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identifiable intangible assets acquired in business combinations.</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360" w:hanging="883"/>
        <w:spacing w:after="0"/>
        <w:tabs>
          <w:tab w:leader="none" w:pos="13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Intangible Assets, excluding goodwill, consist of acquired technology, licenses,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685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customer relationships and other identifiable intangible assets. Intangible Assets are</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amortized over their estimated economic lives generally ranging from two to 20 years,</w:t>
            </w: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except for intangible assets with indefinite lives, which are not amortized, but tested for</w:t>
            </w: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1780" w:type="dxa"/>
            <w:vAlign w:val="bottom"/>
          </w:tcPr>
          <w:p>
            <w:pPr>
              <w:jc w:val="right"/>
              <w:ind w:right="71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H</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Other Long-Term Assets consist of (1) capitalized debt issuance costs; (2) deferred</w:t>
            </w:r>
          </w:p>
        </w:tc>
        <w:tc>
          <w:tcPr>
            <w:tcW w:w="1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charges/deposits; and (3) deferred tax assets. Certain deposits are assumed to be</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recoverable to the extent such amounts can be refunded or used to offset expenses included</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 the Wind Down Budget.</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Liquidation Adjustments</w:t>
      </w:r>
    </w:p>
    <w:p>
      <w:pPr>
        <w:spacing w:after="0" w:line="225" w:lineRule="exact"/>
        <w:rPr>
          <w:sz w:val="20"/>
          <w:szCs w:val="20"/>
          <w:color w:val="auto"/>
        </w:rPr>
      </w:pPr>
    </w:p>
    <w:p>
      <w:pPr>
        <w:ind w:left="320" w:hanging="312"/>
        <w:spacing w:after="0"/>
        <w:tabs>
          <w:tab w:leader="none" w:pos="320"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Wind Down Budget</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44"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Wind Down Budget includes the expenses the Trustee will incur to efficiently and effectively monetize the assets over the six-month liquidation period. These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260" w:name="page261"/>
    <w:bookmarkEnd w:id="260"/>
    <w:p>
      <w:pPr>
        <w:jc w:val="both"/>
        <w:ind w:left="980" w:right="160"/>
        <w:spacing w:after="0" w:line="264" w:lineRule="auto"/>
        <w:rPr>
          <w:sz w:val="20"/>
          <w:szCs w:val="20"/>
          <w:color w:val="auto"/>
        </w:rPr>
      </w:pPr>
      <w:r>
        <w:rPr>
          <w:rFonts w:ascii="Arial" w:cs="Arial" w:eastAsia="Arial" w:hAnsi="Arial"/>
          <w:sz w:val="18"/>
          <w:szCs w:val="18"/>
          <w:color w:val="auto"/>
        </w:rPr>
        <w:t>relate to labor, building rent, warehouses and facilities expenses, transportation expense, insurance, health and safety expenses, and taxes. The Liquidation Analysis assumes total wind down costs of approximately $47 million for the Debtors and non-debtors over the six-month period following the Liquidation Date.</w:t>
      </w:r>
    </w:p>
    <w:p>
      <w:pPr>
        <w:spacing w:after="0" w:line="181" w:lineRule="exact"/>
        <w:rPr>
          <w:sz w:val="20"/>
          <w:szCs w:val="20"/>
          <w:color w:val="auto"/>
        </w:rPr>
      </w:pPr>
    </w:p>
    <w:p>
      <w:pPr>
        <w:ind w:left="340" w:hanging="332"/>
        <w:spacing w:after="0"/>
        <w:tabs>
          <w:tab w:leader="none" w:pos="340"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Professional Fees</w:t>
      </w:r>
    </w:p>
    <w:p>
      <w:pPr>
        <w:spacing w:after="0" w:line="225" w:lineRule="exact"/>
        <w:rPr>
          <w:rFonts w:ascii="Arial" w:cs="Arial" w:eastAsia="Arial" w:hAnsi="Arial"/>
          <w:sz w:val="18"/>
          <w:szCs w:val="18"/>
          <w:color w:val="auto"/>
        </w:rPr>
      </w:pPr>
    </w:p>
    <w:p>
      <w:pPr>
        <w:ind w:left="980" w:hanging="324"/>
        <w:spacing w:after="0" w:line="257" w:lineRule="auto"/>
        <w:tabs>
          <w:tab w:leader="none" w:pos="94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post-conversion Professional Fees include estimates for certain professionals that will provide assistance and services during the wind down period. The Liquidation Analysis assumes the Trustee will retain lawyers, financial advisors, and investment bankers to assist in the liquidation. These advisors will assist in marketing the Debtors’ assets, litigating claims and resolving tax litigation matters, and resolving other matters relating to the wind down of the Debtors’ estates. The Liquidation Analysis estimates Professional Fees at a range of 1% to 2% of Gross Liquidation Proceeds from External Assets.</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Trustee Fees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1"/>
          <w:numId w:val="498"/>
        </w:numPr>
        <w:rPr>
          <w:rFonts w:ascii="Arial" w:cs="Arial" w:eastAsia="Arial" w:hAnsi="Arial"/>
          <w:sz w:val="17"/>
          <w:szCs w:val="17"/>
          <w:color w:val="auto"/>
        </w:rPr>
      </w:pPr>
      <w:r>
        <w:rPr>
          <w:rFonts w:ascii="Arial" w:cs="Arial" w:eastAsia="Arial" w:hAnsi="Arial"/>
          <w:sz w:val="17"/>
          <w:szCs w:val="17"/>
          <w:color w:val="auto"/>
        </w:rPr>
        <w:t xml:space="preserve">Section 326(a) of the Bankruptcy Code provides that Trustee Fees may not exceed 3% of distributable proceeds </w:t>
      </w:r>
      <w:r>
        <w:rPr>
          <w:rFonts w:ascii="Arial" w:cs="Arial" w:eastAsia="Arial" w:hAnsi="Arial"/>
          <w:sz w:val="17"/>
          <w:szCs w:val="17"/>
          <w:i w:val="1"/>
          <w:iCs w:val="1"/>
          <w:color w:val="auto"/>
        </w:rPr>
        <w:t>in excess</w:t>
      </w:r>
      <w:r>
        <w:rPr>
          <w:rFonts w:ascii="Arial" w:cs="Arial" w:eastAsia="Arial" w:hAnsi="Arial"/>
          <w:sz w:val="17"/>
          <w:szCs w:val="17"/>
          <w:color w:val="auto"/>
        </w:rPr>
        <w:t xml:space="preserve"> of $1 million. The Liquidation Analysis assumes the Trustee Fees would be 1% of Gross Liquidation Proceeds from External Assets.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Severance Costs</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4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In certain locations, local laws require the accrual of eventual separation payments that will be due upon the termination of employees regardless of the reason for separation. The Liquidation Analysis assumes total severance payments for the Debtors and non-debtors of approximately $70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Value Redistribution</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For purposes of determining the recoverability of (i) intercompany receivables owed to the Debtors from non-debtor entities and (ii) the Debtors’ equity interests in non-debtor subsidiaries, individual liquidation analyses were performed on each Debtor and non-debtor entity on a standalone basis. The recoverability of the Debtors’ intercompany receivables and investments in subsidiaries was calculated prior to determining the proceeds available for distribution to the Debtors’ claimants.</w:t>
      </w:r>
    </w:p>
    <w:p>
      <w:pPr>
        <w:spacing w:after="0" w:line="187" w:lineRule="exact"/>
        <w:rPr>
          <w:sz w:val="20"/>
          <w:szCs w:val="20"/>
          <w:color w:val="auto"/>
        </w:rPr>
      </w:pPr>
    </w:p>
    <w:p>
      <w:pPr>
        <w:ind w:left="340" w:hanging="332"/>
        <w:spacing w:after="0"/>
        <w:tabs>
          <w:tab w:leader="none" w:pos="340"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Intercompany Receivables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Historically, the Debtors and their subsidiaries created intercompany loans on an as-needed basis pursuant to various transactions related to intercompany trade debt, note agreements, overhead and expense allocations, and other intercompany charges. In addition, there are several entities that act as cash poolers for the organization. Intercompany loan agreements reflect arm’s length interest rates in effect at the commencement of the loans. The recoverability of Intercompany Receivables owed to the Debtors is assumed to be approximately 3%, or $404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1" w:name="page262"/>
    <w:bookmarkEnd w:id="261"/>
    <w:p>
      <w:pPr>
        <w:ind w:left="340" w:hanging="332"/>
        <w:spacing w:after="0"/>
        <w:tabs>
          <w:tab w:leader="none" w:pos="340"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Investments in Subsidiaries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Debtors’ Investments in Subsidiaries include the Debtors’ equity interests in debtor and non-debtor subsidiaries. The Liquidation Analysis assumes de minimis recoveries on the Debtors’ equity interests in non-debtor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Liquidation Proceeds Available for Distribution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on the Liquidation Analysis, the Net Liquidation Proceeds Available for Distribution to the Debtors’ claimants range from approximately $455 million to $654 million. As discussed below, these proceeds are divided between proceeds encumbered by secured claims and proceeds unencumbered by secured claims.</w:t>
      </w:r>
    </w:p>
    <w:p>
      <w:pPr>
        <w:spacing w:after="0" w:line="181" w:lineRule="exact"/>
        <w:rPr>
          <w:sz w:val="20"/>
          <w:szCs w:val="20"/>
          <w:color w:val="auto"/>
        </w:rPr>
      </w:pPr>
    </w:p>
    <w:p>
      <w:pPr>
        <w:ind w:left="340" w:hanging="332"/>
        <w:spacing w:after="0"/>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u w:val="single" w:color="auto"/>
          <w:color w:val="auto"/>
        </w:rPr>
        <w:t>Proceeds 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Liquidation Analysis assumes a range of approximately $455 million to $654 million in proceeds encumbered by secured claims at the Debtors.</w:t>
      </w:r>
    </w:p>
    <w:p>
      <w:pPr>
        <w:spacing w:after="0" w:line="237" w:lineRule="exact"/>
        <w:rPr>
          <w:sz w:val="20"/>
          <w:szCs w:val="20"/>
          <w:color w:val="auto"/>
        </w:rPr>
      </w:pPr>
    </w:p>
    <w:p>
      <w:pPr>
        <w:ind w:left="320" w:hanging="312"/>
        <w:spacing w:after="0"/>
        <w:tabs>
          <w:tab w:leader="none" w:pos="320"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Proceeds Unencumbered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are no proceeds unencumbered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Claims</w:t>
      </w:r>
    </w:p>
    <w:p>
      <w:pPr>
        <w:spacing w:after="0" w:line="225" w:lineRule="exact"/>
        <w:rPr>
          <w:sz w:val="20"/>
          <w:szCs w:val="20"/>
          <w:color w:val="auto"/>
        </w:rPr>
      </w:pPr>
    </w:p>
    <w:p>
      <w:pPr>
        <w:ind w:left="340" w:hanging="332"/>
        <w:spacing w:after="0"/>
        <w:tabs>
          <w:tab w:leader="none" w:pos="340" w:val="left"/>
        </w:tabs>
        <w:numPr>
          <w:ilvl w:val="0"/>
          <w:numId w:val="503"/>
        </w:numPr>
        <w:rPr>
          <w:rFonts w:ascii="Arial" w:cs="Arial" w:eastAsia="Arial" w:hAnsi="Arial"/>
          <w:sz w:val="18"/>
          <w:szCs w:val="18"/>
          <w:color w:val="auto"/>
        </w:rPr>
      </w:pPr>
      <w:r>
        <w:rPr>
          <w:rFonts w:ascii="Arial" w:cs="Arial" w:eastAsia="Arial" w:hAnsi="Arial"/>
          <w:sz w:val="18"/>
          <w:szCs w:val="18"/>
          <w:u w:val="single" w:color="auto"/>
          <w:color w:val="auto"/>
        </w:rPr>
        <w:t>DIP Claims and DIP Carveout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DIP Claims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Bankruptcy Code grants superpriority status to claims made pursuant to the Debtors’ DIP Credit Agreement. The Liquidation Analysis assumes DIP Claims outstanding as of the Liquidation Date include unpaid principal and interest in the amount of approximately $1,744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Carve-Out Claims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proposed DIP Order grants superpriority status to chapter 11 Professional Persons for fees incurred </w:t>
      </w:r>
      <w:r>
        <w:rPr>
          <w:rFonts w:ascii="Arial" w:cs="Arial" w:eastAsia="Arial" w:hAnsi="Arial"/>
          <w:sz w:val="18"/>
          <w:szCs w:val="18"/>
          <w:i w:val="1"/>
          <w:iCs w:val="1"/>
          <w:color w:val="auto"/>
        </w:rPr>
        <w:t>prior</w:t>
      </w:r>
      <w:r>
        <w:rPr>
          <w:rFonts w:ascii="Arial" w:cs="Arial" w:eastAsia="Arial" w:hAnsi="Arial"/>
          <w:sz w:val="18"/>
          <w:szCs w:val="18"/>
          <w:color w:val="auto"/>
        </w:rPr>
        <w:t xml:space="preserve"> to notice of conversion to a chapter 7 liquidation, allowed by the Bankruptcy Court, and payable under the Bankruptcy Code. Additionally, the proposed DIP Order provides for payment of fees to chapter 11 Professionals, subject to the Post Carve-Out Trigger Notice Cap (as defined in the proposed DIP Order), incurred </w:t>
      </w:r>
      <w:r>
        <w:rPr>
          <w:rFonts w:ascii="Arial" w:cs="Arial" w:eastAsia="Arial" w:hAnsi="Arial"/>
          <w:sz w:val="18"/>
          <w:szCs w:val="18"/>
          <w:i w:val="1"/>
          <w:iCs w:val="1"/>
          <w:color w:val="auto"/>
        </w:rPr>
        <w:t>after</w:t>
      </w:r>
      <w:r>
        <w:rPr>
          <w:rFonts w:ascii="Arial" w:cs="Arial" w:eastAsia="Arial" w:hAnsi="Arial"/>
          <w:sz w:val="18"/>
          <w:szCs w:val="18"/>
          <w:color w:val="auto"/>
        </w:rPr>
        <w:t xml:space="preserve"> the date the DIP Agent issues a default notice (assumed conversion to a chapter 7 liquidation thereafter).</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DIP Credit Agreement is guaranteed by certain non-debtor entities. Claims at guarantor non-debtor entities are treated as secured claims (classified as Other Secured Claims at non-debtors). The Liquidation Analysis assumes the Liquidation Proceeds (from Debtors and non-debtor guarantors, in the aggregate) would be sufficient to satisfy 100% of the DIP Claims and DIP Carve-Out Claims.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2" w:name="page263"/>
    <w:bookmarkEnd w:id="262"/>
    <w:p>
      <w:pPr>
        <w:ind w:left="340" w:hanging="332"/>
        <w:spacing w:after="0"/>
        <w:tabs>
          <w:tab w:leader="none" w:pos="340"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Other Priority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Other Priority Claims as of the Liquidation Date.</w:t>
      </w:r>
    </w:p>
    <w:p>
      <w:pPr>
        <w:spacing w:after="0" w:line="225" w:lineRule="exact"/>
        <w:rPr>
          <w:sz w:val="20"/>
          <w:szCs w:val="20"/>
          <w:color w:val="auto"/>
        </w:rPr>
      </w:pPr>
    </w:p>
    <w:p>
      <w:pPr>
        <w:ind w:left="340" w:hanging="332"/>
        <w:spacing w:after="0"/>
        <w:tabs>
          <w:tab w:leader="none" w:pos="340"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Other Secured Claims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Liquidation Analysis assumes there will be no Other Secured Claims at the Debtors as of the Liquidation Date. Reference above treatment for claims arising from the DIP credit Agreement for non-debtor guarantors.</w:t>
      </w:r>
    </w:p>
    <w:p>
      <w:pPr>
        <w:spacing w:after="0" w:line="170" w:lineRule="exact"/>
        <w:rPr>
          <w:sz w:val="20"/>
          <w:szCs w:val="20"/>
          <w:color w:val="auto"/>
        </w:rPr>
      </w:pPr>
    </w:p>
    <w:p>
      <w:pPr>
        <w:ind w:left="320" w:hanging="312"/>
        <w:spacing w:after="0"/>
        <w:tabs>
          <w:tab w:leader="none" w:pos="320"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Secured Tax Claims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Secured Tax Claims consist of accrued and unpaid income, sales and use, franchise, property, VAT and other taxes owed at the Debtors and non-debtors. The Liquidation Analysis assumes the Liquidation Proceeds would be sufficient to satisfy approximately 100% and 96% of the Secured Tax Claims at the Debtors and non-debtors, respectively.</w:t>
      </w:r>
    </w:p>
    <w:p>
      <w:pPr>
        <w:spacing w:after="0" w:line="181" w:lineRule="exact"/>
        <w:rPr>
          <w:sz w:val="20"/>
          <w:szCs w:val="20"/>
          <w:color w:val="auto"/>
        </w:rPr>
      </w:pPr>
    </w:p>
    <w:p>
      <w:pPr>
        <w:ind w:left="340" w:hanging="332"/>
        <w:spacing w:after="0"/>
        <w:tabs>
          <w:tab w:leader="none" w:pos="340"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Prepetition Revolving Credit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Prepetition Revolving Claims at the Debtors as of the Liquidation Date.</w:t>
      </w:r>
    </w:p>
    <w:p>
      <w:pPr>
        <w:spacing w:after="0" w:line="225" w:lineRule="exact"/>
        <w:rPr>
          <w:sz w:val="20"/>
          <w:szCs w:val="20"/>
          <w:color w:val="auto"/>
        </w:rPr>
      </w:pPr>
    </w:p>
    <w:p>
      <w:pPr>
        <w:ind w:left="320" w:hanging="312"/>
        <w:spacing w:after="0"/>
        <w:tabs>
          <w:tab w:leader="none" w:pos="320"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Prepetition Term Loan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Prepetition Revolving Claims at the Debtors as of the Liquidation Date.</w:t>
      </w:r>
    </w:p>
    <w:p>
      <w:pPr>
        <w:spacing w:after="0" w:line="225" w:lineRule="exact"/>
        <w:rPr>
          <w:sz w:val="20"/>
          <w:szCs w:val="20"/>
          <w:color w:val="auto"/>
        </w:rPr>
      </w:pPr>
    </w:p>
    <w:p>
      <w:pPr>
        <w:ind w:left="320" w:hanging="312"/>
        <w:spacing w:after="0"/>
        <w:tabs>
          <w:tab w:leader="none" w:pos="320"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Chapter 11 Administrative Expense &amp; Priority Claims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Chapter 11 Administrative Expense &amp; Priority Claims consist of estimated post-petition accrued operating expenditures and other administrative and professional services. The Liquidation Analysis assumes approximately $1 million in Chapter 11 Administrative Expense &amp; Priority Claims at the Liquidation Date. The Liquidation Analysis further assumes the Liquidation Proceeds would be sufficient to satisfy approximately 100% of the Chapter 11 Administrative Expense &amp; Priority Claims.</w:t>
      </w:r>
    </w:p>
    <w:p>
      <w:pPr>
        <w:spacing w:after="0" w:line="187" w:lineRule="exact"/>
        <w:rPr>
          <w:sz w:val="20"/>
          <w:szCs w:val="20"/>
          <w:color w:val="auto"/>
        </w:rPr>
      </w:pPr>
    </w:p>
    <w:p>
      <w:pPr>
        <w:ind w:left="340" w:hanging="332"/>
        <w:spacing w:after="0"/>
        <w:tabs>
          <w:tab w:leader="none" w:pos="340"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t>Prepetition A&amp;R Claims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Prepetition A&amp;R Claims consist of claims arising from the unsecured senior revolving credit agreement for accrued and unpaid principal, interest and fees through June 30, 2019. The Prepetition A&amp;R Claims are guaranteed by certain non-debtor entities. The Liquidation Analysis assumes approximately $307 million in Prepetition A&amp;R Claims at the Liquidation Date. The Liquidation Analysis further assumes the Liquidation Proceeds (at the Debtors and non-debtor guarantors) would be sufficient to satisfy approximately 100% of the Prepetition A&amp;R Claims.</w:t>
      </w:r>
    </w:p>
    <w:p>
      <w:pPr>
        <w:spacing w:after="0" w:line="171" w:lineRule="exact"/>
        <w:rPr>
          <w:sz w:val="20"/>
          <w:szCs w:val="20"/>
          <w:color w:val="auto"/>
        </w:rPr>
      </w:pPr>
    </w:p>
    <w:p>
      <w:pPr>
        <w:ind w:left="320" w:hanging="312"/>
        <w:spacing w:after="0"/>
        <w:tabs>
          <w:tab w:leader="none" w:pos="320" w:val="left"/>
        </w:tabs>
        <w:numPr>
          <w:ilvl w:val="0"/>
          <w:numId w:val="511"/>
        </w:numPr>
        <w:rPr>
          <w:rFonts w:ascii="Arial" w:cs="Arial" w:eastAsia="Arial" w:hAnsi="Arial"/>
          <w:sz w:val="18"/>
          <w:szCs w:val="18"/>
          <w:color w:val="auto"/>
        </w:rPr>
      </w:pPr>
      <w:r>
        <w:rPr>
          <w:rFonts w:ascii="Arial" w:cs="Arial" w:eastAsia="Arial" w:hAnsi="Arial"/>
          <w:sz w:val="18"/>
          <w:szCs w:val="18"/>
          <w:u w:val="single" w:color="auto"/>
          <w:color w:val="auto"/>
        </w:rPr>
        <w:t>Prepetition Notes Claims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Prepetition Note Claims consist of claims arising Claims arising from the Senior unsecured Notes for accrued and unpaid principal, interest and fees through June 30, 2019. The Liquidation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3" w:name="page264"/>
    <w:bookmarkEnd w:id="263"/>
    <w:p>
      <w:pPr>
        <w:spacing w:after="0" w:line="277" w:lineRule="auto"/>
        <w:rPr>
          <w:sz w:val="20"/>
          <w:szCs w:val="20"/>
          <w:color w:val="auto"/>
        </w:rPr>
      </w:pPr>
      <w:r>
        <w:rPr>
          <w:rFonts w:ascii="Arial" w:cs="Arial" w:eastAsia="Arial" w:hAnsi="Arial"/>
          <w:sz w:val="18"/>
          <w:szCs w:val="18"/>
          <w:color w:val="auto"/>
        </w:rPr>
        <w:t>Analysis assumes approximately $7,620 million in Prepetition Note Claims at the Liquidation Date. The Liquidation Analysis further assumes the Liquidation Proceeds would be sufficient to satisfy approximately 4% of the Prepetition Note Claims.</w:t>
      </w:r>
    </w:p>
    <w:p>
      <w:pPr>
        <w:spacing w:after="0" w:line="170" w:lineRule="exact"/>
        <w:rPr>
          <w:sz w:val="20"/>
          <w:szCs w:val="20"/>
          <w:color w:val="auto"/>
        </w:rPr>
      </w:pPr>
    </w:p>
    <w:p>
      <w:pPr>
        <w:ind w:left="340" w:hanging="332"/>
        <w:spacing w:after="0"/>
        <w:tabs>
          <w:tab w:leader="none" w:pos="340"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General Unsecured Claims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General Unsecured Claims consist certain pre-petition liabilities not subject to first-day relief (applicable to Debtors), and other accrued and unpaid operating, administrative and professional services-related expenditures at non-debtors outstanding on the Liquidation Date. The actual amount of General Unsecured Claims could vary materially from these estimates. No order has been entered by the Bankruptcy Court estimating or otherwise fixing the amount of General Unsecured Claims at the Debtors. The Liquidation Analysis assumes approximately $7 million and $1,225 million in General Unsecured Claims at the Liquidation Date at the Debtors and non-debtors, respectively. The Liquidation Analysis further assumes the Liquidation Proceeds would be sufficient to satisfy approximately 2% and 32% of the General Unsecured Claims at the Debtors and non-debtors, respectively.</w:t>
      </w:r>
    </w:p>
    <w:p>
      <w:pPr>
        <w:spacing w:after="0" w:line="165" w:lineRule="exact"/>
        <w:rPr>
          <w:sz w:val="20"/>
          <w:szCs w:val="20"/>
          <w:color w:val="auto"/>
        </w:rPr>
      </w:pPr>
    </w:p>
    <w:p>
      <w:pPr>
        <w:ind w:left="360" w:hanging="352"/>
        <w:spacing w:after="0"/>
        <w:tabs>
          <w:tab w:leader="none" w:pos="360"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Intercompany Claims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Intercompany Claims consist of amounts owed by and between the Debtors and/or non-debtor entities for pre-petition intercompany activity. The Liquidation Analysis assumes approximately $19,274 million in Intercompany Claims owed by the Debtors to non-debtors at the Liquidation Date. The Liquidation Analysis further assumes there would be no recovery on these Claims. See Value Redistribution section above for further detail on recoverability of amounts owed by the non-debtors to the Debtors.</w:t>
      </w:r>
    </w:p>
    <w:p>
      <w:pPr>
        <w:spacing w:after="0" w:line="187" w:lineRule="exact"/>
        <w:rPr>
          <w:sz w:val="20"/>
          <w:szCs w:val="20"/>
          <w:color w:val="auto"/>
        </w:rPr>
      </w:pPr>
    </w:p>
    <w:p>
      <w:pPr>
        <w:ind w:left="340" w:hanging="332"/>
        <w:spacing w:after="0"/>
        <w:tabs>
          <w:tab w:leader="none" w:pos="340"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Existing Common Stock</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Existing Common Stock consist of common equity interests in Weatherford International arising from the issuance of common stock. The Liquidation Analysis assumes there would be no recovery on these Interests.</w:t>
      </w:r>
    </w:p>
    <w:p>
      <w:pPr>
        <w:spacing w:after="0" w:line="170" w:lineRule="exact"/>
        <w:rPr>
          <w:sz w:val="20"/>
          <w:szCs w:val="20"/>
          <w:color w:val="auto"/>
        </w:rPr>
      </w:pPr>
    </w:p>
    <w:p>
      <w:pPr>
        <w:ind w:left="340" w:hanging="332"/>
        <w:spacing w:after="0"/>
        <w:tabs>
          <w:tab w:leader="none" w:pos="34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Intercompany Interests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Intercompany Interests consist of the Debtors’ equity interests held by other Debtors and non-debtor subsidiaries. The Liquidation Analysis assumes there would be no recovery on these Interests. See Value Redistribution section above for further detail on the recoverability of the Debtors’ equity interests in non-debtor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b w:val="1"/>
          <w:bCs w:val="1"/>
          <w:u w:val="single" w:color="auto"/>
          <w:color w:val="auto"/>
        </w:rPr>
        <w:t>Financial Projections</w:t>
      </w:r>
    </w:p>
    <w:p>
      <w:pPr>
        <w:spacing w:after="0" w:line="229" w:lineRule="exact"/>
        <w:rPr>
          <w:sz w:val="20"/>
          <w:szCs w:val="20"/>
          <w:color w:val="auto"/>
        </w:rPr>
      </w:pPr>
    </w:p>
    <w:p>
      <w:pPr>
        <w:ind w:right="80" w:firstLine="662"/>
        <w:spacing w:after="0" w:line="254" w:lineRule="auto"/>
        <w:rPr>
          <w:sz w:val="20"/>
          <w:szCs w:val="20"/>
          <w:color w:val="auto"/>
        </w:rPr>
      </w:pPr>
      <w:r>
        <w:rPr>
          <w:rFonts w:ascii="Arial" w:cs="Arial" w:eastAsia="Arial" w:hAnsi="Arial"/>
          <w:sz w:val="17"/>
          <w:szCs w:val="17"/>
          <w:color w:val="auto"/>
        </w:rPr>
        <w:t>The Debtors believe that the Plan</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meets the feasibility requirement set forth in section 1129(a)(11) of the Bankruptcy Code, as confirmation is not likely to be followed by liquidation or the need for further financial reorganization of the Debtors or any successor under the Plan. In connection with the planning and development of a plan of reorganization and for the purposes of determining whether such plan would satisfy this feasibility standard, the Debtors analyzed their ability to satisfy their financial obligations while maintaining sufficient liquidity and capital resources.</w:t>
      </w:r>
    </w:p>
    <w:p>
      <w:pPr>
        <w:spacing w:after="0" w:line="192" w:lineRule="exact"/>
        <w:rPr>
          <w:sz w:val="20"/>
          <w:szCs w:val="20"/>
          <w:color w:val="auto"/>
        </w:rPr>
      </w:pPr>
    </w:p>
    <w:p>
      <w:pPr>
        <w:jc w:val="both"/>
        <w:ind w:right="260" w:firstLine="662"/>
        <w:spacing w:after="0" w:line="279" w:lineRule="auto"/>
        <w:rPr>
          <w:sz w:val="20"/>
          <w:szCs w:val="20"/>
          <w:color w:val="auto"/>
        </w:rPr>
      </w:pPr>
      <w:r>
        <w:rPr>
          <w:rFonts w:ascii="Arial" w:cs="Arial" w:eastAsia="Arial" w:hAnsi="Arial"/>
          <w:sz w:val="17"/>
          <w:szCs w:val="17"/>
          <w:color w:val="auto"/>
        </w:rPr>
        <w:t>The Debtors do not, as a matter of course, publish their business plans or strategies, projections or anticipated financial position. Accordingly, the Debtors do not anticipate that they will, and disclaim any obligation to, furnish updated business plans or the Financial Projections to holders of Claims or other parties in interest going forward, or to include such information in documents required to be filed with the SEC or otherwise make such information public, unless required to do so by the SEC or other regulatory bodies pursuant to the provisions of the Plan.</w:t>
      </w:r>
    </w:p>
    <w:p>
      <w:pPr>
        <w:spacing w:after="0" w:line="167" w:lineRule="exact"/>
        <w:rPr>
          <w:sz w:val="20"/>
          <w:szCs w:val="20"/>
          <w:color w:val="auto"/>
        </w:rPr>
      </w:pPr>
    </w:p>
    <w:p>
      <w:pPr>
        <w:ind w:firstLine="662"/>
        <w:spacing w:after="0" w:line="266" w:lineRule="auto"/>
        <w:rPr>
          <w:sz w:val="20"/>
          <w:szCs w:val="20"/>
          <w:color w:val="auto"/>
        </w:rPr>
      </w:pPr>
      <w:r>
        <w:rPr>
          <w:rFonts w:ascii="Arial" w:cs="Arial" w:eastAsia="Arial" w:hAnsi="Arial"/>
          <w:sz w:val="18"/>
          <w:szCs w:val="18"/>
          <w:color w:val="auto"/>
        </w:rPr>
        <w:t>In connection with the Disclosure Statement, the Debtors’ management team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 prepared the Financial Projections for the years 2019 through 2022 (the “</w:t>
      </w:r>
      <w:r>
        <w:rPr>
          <w:rFonts w:ascii="Arial" w:cs="Arial" w:eastAsia="Arial" w:hAnsi="Arial"/>
          <w:sz w:val="18"/>
          <w:szCs w:val="18"/>
          <w:b w:val="1"/>
          <w:bCs w:val="1"/>
          <w:u w:val="single" w:color="auto"/>
          <w:color w:val="auto"/>
        </w:rPr>
        <w:t>Projection Period</w:t>
      </w:r>
      <w:r>
        <w:rPr>
          <w:rFonts w:ascii="Arial" w:cs="Arial" w:eastAsia="Arial" w:hAnsi="Arial"/>
          <w:sz w:val="18"/>
          <w:szCs w:val="18"/>
          <w:color w:val="auto"/>
        </w:rPr>
        <w:t>”). The Financial Projections were prepared by Management and are based on several assumptions made by Management with respect to the future performance of the Reorganized Debtors’ operations.</w:t>
      </w:r>
    </w:p>
    <w:p>
      <w:pPr>
        <w:spacing w:after="0" w:line="180"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The Debtors have prepared the Financial Projections based on information available to them, including information derived from public sources that have not been independently verified. No representation or warranty, expressed or implied, is provided in relation to fairness, accuracy, correctness, completeness, or reliability of the information, opinions, or conclusions expressed herein.</w:t>
      </w:r>
    </w:p>
    <w:p>
      <w:pPr>
        <w:spacing w:after="0" w:line="181" w:lineRule="exact"/>
        <w:rPr>
          <w:sz w:val="20"/>
          <w:szCs w:val="20"/>
          <w:color w:val="auto"/>
        </w:rPr>
      </w:pPr>
    </w:p>
    <w:p>
      <w:pPr>
        <w:jc w:val="both"/>
        <w:ind w:right="120" w:firstLine="662"/>
        <w:spacing w:after="0" w:line="264" w:lineRule="auto"/>
        <w:rPr>
          <w:sz w:val="20"/>
          <w:szCs w:val="20"/>
          <w:color w:val="auto"/>
        </w:rPr>
      </w:pPr>
      <w:r>
        <w:rPr>
          <w:rFonts w:ascii="Arial" w:cs="Arial" w:eastAsia="Arial" w:hAnsi="Arial"/>
          <w:sz w:val="18"/>
          <w:szCs w:val="18"/>
          <w:color w:val="auto"/>
        </w:rPr>
        <w:t>THESE FINANCIAL PROJECTIONS WERE NOT PREPARED WITH A VIEW TOWARD COMPLIANCE WITH PUBLISHED GUIDELINES OF THE SEC OR GUIDELINES ESTABLISHED BY THE AMERICAN INSTITUTE OF CERTIFIED PUBLIC ACCOUNTANTS FOR PREPARATION AND PRESENTATION OF PROSPECTIVE FINANCIAL INFORMATION.</w:t>
      </w:r>
    </w:p>
    <w:p>
      <w:pPr>
        <w:spacing w:after="0" w:line="181"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ALTHOUGH MANAGEMENT HAS PREPARED THE FINANCIAL PROJECTIONS IN GOOD FAITH AND BELIEVES THE ASSUMPTIONS TO BE REASONABLE, IT IS IMPORTANT TO NOTE THAT NEITHER THE DEBTORS NOR THE REORGANIZED DEBTORS CAN PROVIDE ANY ASSURANCE THAT SUCH ASSUMPTIONS WILL BE REALIZED. AS DESCRIBED IN DETAIL IN THE DISCLOSURE STATEMENT, A VARIETY OF RISK FACTORS COULD AFFECT THE REORGANIZED DEBTORS’ FINANCIAL RESULTS AND MUST BE CONSIDERED. ACCORDINGLY, THE FINANCIAL PROJECTIONS SHOULD BE REVIEWED IN CONJUNCTION WITH A REVIEW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268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8" w:lineRule="exact"/>
        <w:rPr>
          <w:sz w:val="20"/>
          <w:szCs w:val="20"/>
          <w:color w:val="auto"/>
        </w:rPr>
      </w:pPr>
    </w:p>
    <w:p>
      <w:pPr>
        <w:ind w:right="20" w:firstLine="8"/>
        <w:spacing w:after="0" w:line="238" w:lineRule="auto"/>
        <w:tabs>
          <w:tab w:leader="none" w:pos="141" w:val="left"/>
        </w:tabs>
        <w:numPr>
          <w:ilvl w:val="0"/>
          <w:numId w:val="516"/>
        </w:numPr>
        <w:rPr>
          <w:rFonts w:ascii="Arial" w:cs="Arial" w:eastAsia="Arial" w:hAnsi="Arial"/>
          <w:sz w:val="16"/>
          <w:szCs w:val="16"/>
          <w:color w:val="auto"/>
          <w:vertAlign w:val="superscript"/>
        </w:rPr>
      </w:pPr>
      <w:r>
        <w:rPr>
          <w:rFonts w:ascii="Arial" w:cs="Arial" w:eastAsia="Arial" w:hAnsi="Arial"/>
          <w:sz w:val="13"/>
          <w:szCs w:val="13"/>
          <w:color w:val="auto"/>
        </w:rPr>
        <w:t xml:space="preserve">Capitalized terms used but not otherwise defined herein have the meanings ascribed to them in the Disclosure Statement, to which these Financial Projections are attached as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or the Plan attached to the Disclosure Statement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6" w:name="page267"/>
    <w:bookmarkEnd w:id="266"/>
    <w:p>
      <w:pPr>
        <w:ind w:right="900"/>
        <w:spacing w:after="0" w:line="277" w:lineRule="auto"/>
        <w:rPr>
          <w:sz w:val="20"/>
          <w:szCs w:val="20"/>
          <w:color w:val="auto"/>
        </w:rPr>
      </w:pPr>
      <w:r>
        <w:rPr>
          <w:rFonts w:ascii="Arial" w:cs="Arial" w:eastAsia="Arial" w:hAnsi="Arial"/>
          <w:sz w:val="18"/>
          <w:szCs w:val="18"/>
          <w:color w:val="auto"/>
        </w:rPr>
        <w:t>DISCLOSURE STATEMENT AND THE ASSUMPTIONS DESCRIBED HEREIN, INCLUDING ALL RELEVANT QUALIFICATIONS AND FOOTNOTES.</w:t>
      </w:r>
    </w:p>
    <w:p>
      <w:pPr>
        <w:spacing w:after="0" w:line="170" w:lineRule="exact"/>
        <w:rPr>
          <w:sz w:val="20"/>
          <w:szCs w:val="20"/>
          <w:color w:val="auto"/>
        </w:rPr>
      </w:pPr>
    </w:p>
    <w:p>
      <w:pPr>
        <w:ind w:right="40" w:firstLine="662"/>
        <w:spacing w:after="0" w:line="270" w:lineRule="auto"/>
        <w:rPr>
          <w:sz w:val="20"/>
          <w:szCs w:val="20"/>
          <w:color w:val="auto"/>
        </w:rPr>
      </w:pPr>
      <w:r>
        <w:rPr>
          <w:rFonts w:ascii="Arial" w:cs="Arial" w:eastAsia="Arial" w:hAnsi="Arial"/>
          <w:sz w:val="17"/>
          <w:szCs w:val="17"/>
          <w:color w:val="auto"/>
        </w:rPr>
        <w:t>The Financial Projections contain certain forward-looking statements, all of which are based on various estimates and assumptions. Such forward looking statements are subject to inherent uncertainties and to a wide variety of significant business, economic, and competitive risks, including those summarized herein. When used in the Financial Projections, the words, “anticipate,” “believe,” “estimate,” “will,” “may,” “intend,” “expect,” and similar expressions should be generally identified as forward-looking statements. Although the Debtors believe that their plans, intentions, and expectations reflected in the forward-looking statements are reasonable, they cannot be sure that they will be achieved. These statements are only predictions and are not guarantees of future performance or results. Forward-looking statements are subject to risks and uncertainties that could cause actual results to differ materially from those contemplated by a forward-looking statement. All forward-looking statements attributable to the Debtors or Persons or Entities acting on their behalf are expressly qualified in their entirety by the cautionary statements set forth herein. Forward-looking statements speak only as of the date on which they are made. Except as required by law, the Debtors expressly disclaim any obligation to update any forward-looking statement, whether because of new information, future events, or otherwise.</w:t>
      </w:r>
    </w:p>
    <w:p>
      <w:pPr>
        <w:spacing w:after="0" w:line="178"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The financial projections should be read in conjunction with the assumptions, qualifications, and explanations set forth in the Disclosure Statement and the Plan in their entirety as well as the notes and assumptions set forth below.</w:t>
      </w:r>
    </w:p>
    <w:p>
      <w:pPr>
        <w:spacing w:after="0" w:line="170"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The Financial Projections are subject to inherent risks and uncertainties, most of which are difficult to predict and many of which are beyond Management’s control. Although Management believes these assumptions are reasonable under the circumstances, such assumptions are subject to significant uncertainties, including, but not limited to, (a) changes in capital spending on oil field services in various end markets; (b) oil, natural gas, and other commodity pricing; (c) applicable laws and regulations; (d) interest rates and inflation; (e) business combinations among the Debtors’ competitors, suppliers and customers; (f) severe or unseasonable weather; and (g) availability and cost of steel, fuel and other raw materials. Additional information regarding these uncertainties are described in Article V of the Disclosure Statement. Should one or more of the risks or uncertainties referenced in the Disclosure Statement occur, or should underlying assumptions prove incorrect, actual results and plans could differ materially from those expressed in the Financial Projections. Further, new factors could cause actual results to differ materially from those described in the Financial Projections, and it is not possible to predict all such factors, or to the extent to which any such factor or combination of factors may cause actual results to differ from those contained in the Financial Projections. The Financial Projections herein are not, and must not be viewed as, a representation of fact, prediction or guaranty of the reorganized Debtors’ future performance.</w:t>
      </w:r>
    </w:p>
    <w:p>
      <w:pPr>
        <w:spacing w:after="0" w:line="179" w:lineRule="exact"/>
        <w:rPr>
          <w:sz w:val="20"/>
          <w:szCs w:val="20"/>
          <w:color w:val="auto"/>
        </w:rPr>
      </w:pPr>
    </w:p>
    <w:p>
      <w:pPr>
        <w:ind w:left="340" w:right="9420" w:hanging="332"/>
        <w:spacing w:after="0" w:line="604" w:lineRule="auto"/>
        <w:tabs>
          <w:tab w:leader="none" w:pos="341" w:val="left"/>
        </w:tabs>
        <w:numPr>
          <w:ilvl w:val="0"/>
          <w:numId w:val="517"/>
        </w:numPr>
        <w:rPr>
          <w:rFonts w:ascii="Arial" w:cs="Arial" w:eastAsia="Arial" w:hAnsi="Arial"/>
          <w:sz w:val="15"/>
          <w:szCs w:val="15"/>
          <w:b w:val="1"/>
          <w:bCs w:val="1"/>
          <w:color w:val="auto"/>
        </w:rPr>
      </w:pPr>
      <w:r>
        <w:rPr>
          <w:rFonts w:ascii="Arial" w:cs="Arial" w:eastAsia="Arial" w:hAnsi="Arial"/>
          <w:sz w:val="15"/>
          <w:szCs w:val="15"/>
          <w:b w:val="1"/>
          <w:bCs w:val="1"/>
          <w:color w:val="auto"/>
        </w:rPr>
        <w:t>General Assumptions A. Overview</w:t>
      </w:r>
    </w:p>
    <w:p>
      <w:pPr>
        <w:ind w:right="760" w:firstLine="662"/>
        <w:spacing w:after="0" w:line="342" w:lineRule="auto"/>
        <w:rPr>
          <w:sz w:val="20"/>
          <w:szCs w:val="20"/>
          <w:color w:val="auto"/>
        </w:rPr>
      </w:pPr>
      <w:r>
        <w:rPr>
          <w:rFonts w:ascii="Arial" w:cs="Arial" w:eastAsia="Arial" w:hAnsi="Arial"/>
          <w:sz w:val="16"/>
          <w:szCs w:val="16"/>
          <w:color w:val="auto"/>
        </w:rPr>
        <w:t>The Debtors and their consolidated subsidiaries are a leading provider of equipment and services to the oil and natural gas exploration and production industry. The Debtors principal business is to provide equipment and services to the oil and natural gas exploration and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7" w:name="page268"/>
    <w:bookmarkEnd w:id="267"/>
    <w:p>
      <w:pPr>
        <w:spacing w:after="0" w:line="271" w:lineRule="auto"/>
        <w:rPr>
          <w:sz w:val="20"/>
          <w:szCs w:val="20"/>
          <w:color w:val="auto"/>
        </w:rPr>
      </w:pPr>
      <w:r>
        <w:rPr>
          <w:rFonts w:ascii="Arial" w:cs="Arial" w:eastAsia="Arial" w:hAnsi="Arial"/>
          <w:sz w:val="17"/>
          <w:szCs w:val="17"/>
          <w:color w:val="auto"/>
        </w:rPr>
        <w:t>industry, both onshore and offshore. Product and services include: (1) Production, (2) Completions, (3) Drilling and Evaluation and (4) Well Construction. Demand for the Debtors services and products depends upon commodity prices for oil and gas, the number of oil and natural gas wells drilled, the depth and drilling conditions of wells, the number of well completions, the depletion and age of existing wells and the level of workover activity worldwide. Technology is critical to the oil and natural gas marketplace as a result of the maturity of the world’s oil and natural gas reservoirs, the acceleration of production decline rates and the focus on complex well designs, including deep-water prospects. Clients continue to seek, test and use production-enabling technologies at an increasing rate. The Debtors have invested a substantial amount of our time and resources into building our technology offerings, which helps us to provide our clients with more efficient tools to find and produce oil and natural gas. Products and services are provided worldwide and in a variety of distinct segments with various other competitors and suppliers.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ind w:right="260" w:firstLine="662"/>
        <w:spacing w:after="0" w:line="266" w:lineRule="auto"/>
        <w:rPr>
          <w:sz w:val="20"/>
          <w:szCs w:val="20"/>
          <w:color w:val="auto"/>
        </w:rPr>
      </w:pPr>
      <w:r>
        <w:rPr>
          <w:rFonts w:ascii="Arial" w:cs="Arial" w:eastAsia="Arial" w:hAnsi="Arial"/>
          <w:sz w:val="18"/>
          <w:szCs w:val="18"/>
          <w:color w:val="auto"/>
        </w:rPr>
        <w:t>The Financial Projections are presented on a basis of accounting consistent with Generally Accepted Accounting Principles (“</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GAAP requires that majority-owned subsidiaries be reported under the consolidation method of accounting. As a result, the Company has shown the results of all consolidated entities within the Financial Projections presented herein.</w:t>
      </w:r>
    </w:p>
    <w:p>
      <w:pPr>
        <w:spacing w:after="0" w:line="1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Accounting Policies</w:t>
      </w:r>
    </w:p>
    <w:p>
      <w:pPr>
        <w:spacing w:after="0" w:line="229"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 xml:space="preserve">The Financial Projections have been prepared using accounting policies that are materially consistent with those applied in the Company’s historical financial statements. The Financial Projections do not reflect the formal implementation of reorganization accounting pursuant to FASB Accounting Standards Codification Topic 852, </w:t>
      </w:r>
      <w:r>
        <w:rPr>
          <w:rFonts w:ascii="Arial" w:cs="Arial" w:eastAsia="Arial" w:hAnsi="Arial"/>
          <w:sz w:val="18"/>
          <w:szCs w:val="18"/>
          <w:i w:val="1"/>
          <w:iCs w:val="1"/>
          <w:color w:val="auto"/>
        </w:rPr>
        <w:t>Reorganizations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ASC 852</w:t>
      </w:r>
      <w:r>
        <w:rPr>
          <w:rFonts w:ascii="Arial" w:cs="Arial" w:eastAsia="Arial" w:hAnsi="Arial"/>
          <w:sz w:val="18"/>
          <w:szCs w:val="18"/>
          <w:color w:val="auto"/>
        </w:rPr>
        <w:t>”). Overall, the implementation of ASC 852 is not anticipated to have a material impact on the underlying economics of the Plan.</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Methodology</w:t>
      </w:r>
    </w:p>
    <w:p>
      <w:pPr>
        <w:spacing w:after="0" w:line="229" w:lineRule="exact"/>
        <w:rPr>
          <w:sz w:val="20"/>
          <w:szCs w:val="20"/>
          <w:color w:val="auto"/>
        </w:rPr>
      </w:pPr>
    </w:p>
    <w:p>
      <w:pPr>
        <w:ind w:right="100" w:firstLine="662"/>
        <w:spacing w:after="0" w:line="264" w:lineRule="auto"/>
        <w:rPr>
          <w:sz w:val="20"/>
          <w:szCs w:val="20"/>
          <w:color w:val="auto"/>
        </w:rPr>
      </w:pPr>
      <w:r>
        <w:rPr>
          <w:rFonts w:ascii="Arial" w:cs="Arial" w:eastAsia="Arial" w:hAnsi="Arial"/>
          <w:sz w:val="18"/>
          <w:szCs w:val="18"/>
          <w:color w:val="auto"/>
        </w:rPr>
        <w:t>In developing the Financial Projections, Management reviewed current utilization of products and services by region and segment, as well as backlog of firm orders. Management evaluates customer activity in relevant markets and their capital spending outlook to assess whether contracts are likely to be renewed. Depending on the service line, customer and location, contracts vary in their terms and provisions.</w:t>
      </w:r>
    </w:p>
    <w:p>
      <w:pPr>
        <w:spacing w:after="0" w:line="17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Market Forecast</w:t>
      </w:r>
    </w:p>
    <w:p>
      <w:pPr>
        <w:spacing w:after="0" w:line="229"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The Financial Projections were prepared based on the level of spending in the energy industry, which is heavily influenced by the current and expected future prices of oil and natural gas. Changes in expenditures result in an increased or decreased demand for products and services. Rig activity is an indicator of the level of spending for the exploration and production of oil and natural gas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8" w:name="page269"/>
    <w:bookmarkEnd w:id="268"/>
    <w:p>
      <w:pPr>
        <w:ind w:left="660" w:hanging="328"/>
        <w:spacing w:after="0"/>
        <w:tabs>
          <w:tab w:leader="none" w:pos="660" w:val="left"/>
        </w:tabs>
        <w:numPr>
          <w:ilvl w:val="1"/>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Plan Consummation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Financial Projections assume that the Plan will be consummated on or around September 30, 2019.</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with Respect to the Projected Cash Flow Statement</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projected results of operations and cash flows over the projected period to the assumed emergence date of September 30, 2019.</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1"/>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Working capital assumptions are based on movements in accounts receivable, accounts payable, and other accrued current assets and liabilities. Projected balances are based on the historical cash conversion cycle of the Company’s specific business units. Prospective working capital assumptions were supplemented by Management as deemed appropriate.</w:t>
      </w:r>
    </w:p>
    <w:p>
      <w:pPr>
        <w:spacing w:after="0" w:line="17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Capital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reorganized Company’s estimated post-emergence capital structure is assumed to be effective beginning October 1, 2019 or shortly thereafter.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Projections assume the following key assumptions at emergence:</w:t>
      </w:r>
    </w:p>
    <w:p>
      <w:pPr>
        <w:spacing w:after="0" w:line="211" w:lineRule="exact"/>
        <w:rPr>
          <w:sz w:val="20"/>
          <w:szCs w:val="20"/>
          <w:color w:val="auto"/>
        </w:rPr>
      </w:pPr>
    </w:p>
    <w:p>
      <w:pPr>
        <w:ind w:left="720" w:right="80" w:hanging="334"/>
        <w:spacing w:after="0" w:line="279" w:lineRule="auto"/>
        <w:tabs>
          <w:tab w:leader="none" w:pos="684" w:val="left"/>
        </w:tabs>
        <w:numPr>
          <w:ilvl w:val="1"/>
          <w:numId w:val="520"/>
        </w:numPr>
        <w:rPr>
          <w:rFonts w:ascii="Arial" w:cs="Arial" w:eastAsia="Arial" w:hAnsi="Arial"/>
          <w:sz w:val="17"/>
          <w:szCs w:val="17"/>
          <w:color w:val="auto"/>
        </w:rPr>
      </w:pPr>
      <w:r>
        <w:rPr>
          <w:rFonts w:ascii="Arial" w:cs="Arial" w:eastAsia="Arial" w:hAnsi="Arial"/>
          <w:sz w:val="17"/>
          <w:szCs w:val="17"/>
          <w:color w:val="auto"/>
        </w:rPr>
        <w:t>A first lien secured Exit RCF Facility maturing 2024, with $1.0 billion in commitments and a $500 million LC Sub-Facility. The Exit Facility is assumed to have no amounts drawn as of the effective date and $415 million of letters of credit under the LC Sub-facility, reducing the Company’s availability by that amount as of the Effective Date. The Exit Facility bears cash interest at an annual rate of LIBOR plus 300 basis points, an unused commitment fee of 50 basis points, and fees on outstanding letters of credit at an annual rate of 200 basis points.</w:t>
      </w:r>
    </w:p>
    <w:p>
      <w:pPr>
        <w:spacing w:after="0" w:line="171" w:lineRule="exact"/>
        <w:rPr>
          <w:rFonts w:ascii="Arial" w:cs="Arial" w:eastAsia="Arial" w:hAnsi="Arial"/>
          <w:sz w:val="17"/>
          <w:szCs w:val="17"/>
          <w:color w:val="auto"/>
        </w:rPr>
      </w:pPr>
    </w:p>
    <w:p>
      <w:pPr>
        <w:ind w:left="720" w:right="380" w:hanging="334"/>
        <w:spacing w:after="0" w:line="342" w:lineRule="auto"/>
        <w:tabs>
          <w:tab w:leader="none" w:pos="684" w:val="left"/>
        </w:tabs>
        <w:numPr>
          <w:ilvl w:val="1"/>
          <w:numId w:val="520"/>
        </w:numPr>
        <w:rPr>
          <w:rFonts w:ascii="Arial" w:cs="Arial" w:eastAsia="Arial" w:hAnsi="Arial"/>
          <w:sz w:val="16"/>
          <w:szCs w:val="16"/>
          <w:color w:val="auto"/>
        </w:rPr>
      </w:pPr>
      <w:r>
        <w:rPr>
          <w:rFonts w:ascii="Arial" w:cs="Arial" w:eastAsia="Arial" w:hAnsi="Arial"/>
          <w:sz w:val="16"/>
          <w:szCs w:val="16"/>
          <w:color w:val="auto"/>
        </w:rPr>
        <w:t>$1.25 billion of Tranche A Exit Senior Notes maturing in 2024. $500 million of the Tranche A Exit Senior Notes are callable at the Company’s option prior to maturity at 103% of par. The Tranche A Exit Senior Notes accrue cash interest at an annual rate of 9%, payable semi-annually.</w:t>
      </w:r>
    </w:p>
    <w:p>
      <w:pPr>
        <w:spacing w:after="0" w:line="123" w:lineRule="exact"/>
        <w:rPr>
          <w:rFonts w:ascii="Arial" w:cs="Arial" w:eastAsia="Arial" w:hAnsi="Arial"/>
          <w:sz w:val="16"/>
          <w:szCs w:val="16"/>
          <w:color w:val="auto"/>
        </w:rPr>
      </w:pPr>
    </w:p>
    <w:p>
      <w:pPr>
        <w:ind w:left="720" w:hanging="334"/>
        <w:spacing w:after="0" w:line="264" w:lineRule="auto"/>
        <w:tabs>
          <w:tab w:leader="none" w:pos="684" w:val="left"/>
        </w:tabs>
        <w:numPr>
          <w:ilvl w:val="1"/>
          <w:numId w:val="520"/>
        </w:numPr>
        <w:rPr>
          <w:rFonts w:ascii="Arial" w:cs="Arial" w:eastAsia="Arial" w:hAnsi="Arial"/>
          <w:sz w:val="18"/>
          <w:szCs w:val="18"/>
          <w:color w:val="auto"/>
        </w:rPr>
      </w:pPr>
      <w:r>
        <w:rPr>
          <w:rFonts w:ascii="Arial" w:cs="Arial" w:eastAsia="Arial" w:hAnsi="Arial"/>
          <w:sz w:val="18"/>
          <w:szCs w:val="18"/>
          <w:color w:val="auto"/>
        </w:rPr>
        <w:t>$1.25 billion of Tranche B Exit Senior Notes maturing in 2026. $500 million of the Tranche B Exit Senior Notes can be converted into equity at the option of the Unsecured Noteholders prior to emergence at the midpoint of the Plan equity value. The Tranche B Exit Senior Notes accrue cash interest at an annual rate of 8%, payable semi-annually.</w:t>
      </w:r>
    </w:p>
    <w:p>
      <w:pPr>
        <w:spacing w:after="0" w:line="177" w:lineRule="exact"/>
        <w:rPr>
          <w:rFonts w:ascii="Arial" w:cs="Arial" w:eastAsia="Arial" w:hAnsi="Arial"/>
          <w:sz w:val="18"/>
          <w:szCs w:val="18"/>
          <w:color w:val="auto"/>
        </w:rPr>
      </w:pPr>
    </w:p>
    <w:p>
      <w:pPr>
        <w:ind w:left="340" w:hanging="332"/>
        <w:spacing w:after="0"/>
        <w:tabs>
          <w:tab w:leader="none" w:pos="34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with Respect to the Projected Income Statement</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ind w:right="480" w:firstLine="662"/>
        <w:spacing w:after="0" w:line="342" w:lineRule="auto"/>
        <w:rPr>
          <w:sz w:val="20"/>
          <w:szCs w:val="20"/>
          <w:color w:val="auto"/>
        </w:rPr>
      </w:pPr>
      <w:r>
        <w:rPr>
          <w:rFonts w:ascii="Arial" w:cs="Arial" w:eastAsia="Arial" w:hAnsi="Arial"/>
          <w:sz w:val="16"/>
          <w:szCs w:val="16"/>
          <w:color w:val="auto"/>
        </w:rPr>
        <w:t>The Financial Projections include revenue generated by product and services sales, either separately or bundled together to provide integrated solutions up to, and including, integrated well construction where the Company is responsible for the entire process of drilling, constructing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269" w:name="page270"/>
    <w:bookmarkEnd w:id="269"/>
    <w:p>
      <w:pPr>
        <w:ind w:right="340"/>
        <w:spacing w:after="0" w:line="277" w:lineRule="auto"/>
        <w:rPr>
          <w:sz w:val="20"/>
          <w:szCs w:val="20"/>
          <w:color w:val="auto"/>
        </w:rPr>
      </w:pPr>
      <w:r>
        <w:rPr>
          <w:rFonts w:ascii="Arial" w:cs="Arial" w:eastAsia="Arial" w:hAnsi="Arial"/>
          <w:sz w:val="18"/>
          <w:szCs w:val="18"/>
          <w:color w:val="auto"/>
        </w:rPr>
        <w:t>completing a well. Higher or lower activity and productivity related to the increase in rig count, and utilization in the Company’s product lines, are major factors in revenue generation.</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Operating Expenses</w:t>
      </w:r>
    </w:p>
    <w:p>
      <w:pPr>
        <w:spacing w:after="0" w:line="225" w:lineRule="exact"/>
        <w:rPr>
          <w:sz w:val="20"/>
          <w:szCs w:val="20"/>
          <w:color w:val="auto"/>
        </w:rPr>
      </w:pPr>
    </w:p>
    <w:p>
      <w:pPr>
        <w:ind w:right="180" w:firstLine="662"/>
        <w:spacing w:after="0" w:line="261" w:lineRule="auto"/>
        <w:rPr>
          <w:sz w:val="20"/>
          <w:szCs w:val="20"/>
          <w:color w:val="auto"/>
        </w:rPr>
      </w:pPr>
      <w:r>
        <w:rPr>
          <w:rFonts w:ascii="Arial" w:cs="Arial" w:eastAsia="Arial" w:hAnsi="Arial"/>
          <w:sz w:val="18"/>
          <w:szCs w:val="18"/>
          <w:color w:val="auto"/>
        </w:rPr>
        <w:t>Operating costs (“</w:t>
      </w:r>
      <w:r>
        <w:rPr>
          <w:rFonts w:ascii="Arial" w:cs="Arial" w:eastAsia="Arial" w:hAnsi="Arial"/>
          <w:sz w:val="18"/>
          <w:szCs w:val="18"/>
          <w:b w:val="1"/>
          <w:bCs w:val="1"/>
          <w:u w:val="single" w:color="auto"/>
          <w:color w:val="auto"/>
        </w:rPr>
        <w:t>OpEx</w:t>
      </w:r>
      <w:r>
        <w:rPr>
          <w:rFonts w:ascii="Arial" w:cs="Arial" w:eastAsia="Arial" w:hAnsi="Arial"/>
          <w:sz w:val="18"/>
          <w:szCs w:val="18"/>
          <w:color w:val="auto"/>
        </w:rPr>
        <w:t>”) are based on the Company’s ability to manage the workforce, supply chain and business processes, information technology systems and technological innovation and commercialization, including the impact of restructuring, business enhancements, and transformation efforts. OpEx is projected based on historical operating costs and expected utilization of products and services currently under contract and expectations regarding future contracts. OpEx is projected by segment and region.</w:t>
      </w:r>
    </w:p>
    <w:p>
      <w:pPr>
        <w:spacing w:after="0" w:line="184" w:lineRule="exact"/>
        <w:rPr>
          <w:sz w:val="20"/>
          <w:szCs w:val="20"/>
          <w:color w:val="auto"/>
        </w:rPr>
      </w:pPr>
    </w:p>
    <w:p>
      <w:pPr>
        <w:ind w:right="20" w:firstLine="662"/>
        <w:spacing w:after="0" w:line="308" w:lineRule="auto"/>
        <w:rPr>
          <w:sz w:val="20"/>
          <w:szCs w:val="20"/>
          <w:color w:val="auto"/>
        </w:rPr>
      </w:pPr>
      <w:r>
        <w:rPr>
          <w:rFonts w:ascii="Arial" w:cs="Arial" w:eastAsia="Arial" w:hAnsi="Arial"/>
          <w:sz w:val="17"/>
          <w:szCs w:val="17"/>
          <w:color w:val="auto"/>
        </w:rPr>
        <w:t>Furthermore, through the Company’s transformation program, Management continue to see improvements in operating efficiency, ongoing lowering of non-productive time, improvements in collaboration with customers and continuing progress towards transformation targets.</w:t>
      </w:r>
    </w:p>
    <w:p>
      <w:pPr>
        <w:spacing w:after="0" w:line="14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General and Administrative Expenses</w:t>
      </w:r>
    </w:p>
    <w:p>
      <w:pPr>
        <w:spacing w:after="0" w:line="225" w:lineRule="exact"/>
        <w:rPr>
          <w:sz w:val="20"/>
          <w:szCs w:val="20"/>
          <w:color w:val="auto"/>
        </w:rPr>
      </w:pPr>
    </w:p>
    <w:p>
      <w:pPr>
        <w:ind w:right="260" w:firstLine="662"/>
        <w:spacing w:after="0" w:line="266" w:lineRule="auto"/>
        <w:rPr>
          <w:sz w:val="20"/>
          <w:szCs w:val="20"/>
          <w:color w:val="auto"/>
        </w:rPr>
      </w:pPr>
      <w:r>
        <w:rPr>
          <w:rFonts w:ascii="Arial" w:cs="Arial" w:eastAsia="Arial" w:hAnsi="Arial"/>
          <w:sz w:val="18"/>
          <w:szCs w:val="18"/>
          <w:color w:val="auto"/>
        </w:rPr>
        <w:t>General and Administrative Costs (“</w:t>
      </w:r>
      <w:r>
        <w:rPr>
          <w:rFonts w:ascii="Arial" w:cs="Arial" w:eastAsia="Arial" w:hAnsi="Arial"/>
          <w:sz w:val="18"/>
          <w:szCs w:val="18"/>
          <w:b w:val="1"/>
          <w:bCs w:val="1"/>
          <w:u w:val="single" w:color="auto"/>
          <w:color w:val="auto"/>
        </w:rPr>
        <w:t>G&amp;A</w:t>
      </w:r>
      <w:r>
        <w:rPr>
          <w:rFonts w:ascii="Arial" w:cs="Arial" w:eastAsia="Arial" w:hAnsi="Arial"/>
          <w:sz w:val="18"/>
          <w:szCs w:val="18"/>
          <w:color w:val="auto"/>
        </w:rPr>
        <w:t>”) are primarily comprised of labor costs, legal expenses, and other expenses associated with corporate overhead. Projected G&amp;A is based primarily on historical G&amp;A costs, adjusted for recent cost reduction efforts. Annual G&amp;A is projected to be approximately $30 million in 2019 with annual increases of 2% to 4% through the projection period.</w:t>
      </w:r>
    </w:p>
    <w:p>
      <w:pPr>
        <w:spacing w:after="0" w:line="176" w:lineRule="exact"/>
        <w:rPr>
          <w:sz w:val="20"/>
          <w:szCs w:val="20"/>
          <w:color w:val="auto"/>
        </w:rPr>
      </w:pPr>
    </w:p>
    <w:p>
      <w:pPr>
        <w:ind w:left="660" w:hanging="328"/>
        <w:spacing w:after="0"/>
        <w:tabs>
          <w:tab w:leader="none" w:pos="660"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Depreciation and Amortization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Depreciation and amortization reflects the anticipated book expenses based on the carrying asset values.</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color w:val="auto"/>
        </w:rPr>
        <w:t>Post-emergence interest expense is forecasted based on the Company’s pro forma capital structure as more fully described in the Capital Structure section included herein and the Plan and the exhibits thereto.</w:t>
      </w:r>
    </w:p>
    <w:p>
      <w:pPr>
        <w:spacing w:after="0" w:line="166"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Income Tax (Expense) Benefit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 expenses are forecasted based on the projected earnings and tax rates by jurisdiction where the Company’s earnings are generated.</w:t>
      </w:r>
    </w:p>
    <w:p>
      <w:pPr>
        <w:spacing w:after="0" w:line="24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Capital Expenditures</w:t>
      </w:r>
    </w:p>
    <w:p>
      <w:pPr>
        <w:spacing w:after="0" w:line="229" w:lineRule="exact"/>
        <w:rPr>
          <w:sz w:val="20"/>
          <w:szCs w:val="20"/>
          <w:color w:val="auto"/>
        </w:rPr>
      </w:pPr>
    </w:p>
    <w:p>
      <w:pPr>
        <w:jc w:val="both"/>
        <w:ind w:firstLine="662"/>
        <w:spacing w:after="0" w:line="312" w:lineRule="auto"/>
        <w:rPr>
          <w:sz w:val="20"/>
          <w:szCs w:val="20"/>
          <w:color w:val="auto"/>
        </w:rPr>
      </w:pPr>
      <w:r>
        <w:rPr>
          <w:rFonts w:ascii="Arial" w:cs="Arial" w:eastAsia="Arial" w:hAnsi="Arial"/>
          <w:sz w:val="16"/>
          <w:szCs w:val="16"/>
          <w:color w:val="auto"/>
        </w:rPr>
        <w:t>Forecasted capital expenditures were prepared with consideration for the needs of the Company’s fixed assets. Capital expenditures primarily relate to maintaining and continuing to invest in the Company’s worldwide drill pipe and rental equipment inventory, sustaining its drilling rig fleet by keeping each rig in proper working condition, as well as capital outlays required for customer-related rig upgrades. Capital expenditures also include capitalized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0" w:name="page271"/>
    <w:bookmarkEnd w:id="270"/>
    <w:p>
      <w:pPr>
        <w:spacing w:after="0"/>
        <w:rPr>
          <w:sz w:val="20"/>
          <w:szCs w:val="20"/>
          <w:color w:val="auto"/>
        </w:rPr>
      </w:pPr>
      <w:r>
        <w:rPr>
          <w:rFonts w:ascii="Arial" w:cs="Arial" w:eastAsia="Arial" w:hAnsi="Arial"/>
          <w:sz w:val="16"/>
          <w:szCs w:val="16"/>
          <w:color w:val="auto"/>
        </w:rPr>
        <w:t>expenditures, such as expenditures required to maintain the Company’s information technology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67575" cy="35693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356933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71" w:name="page272"/>
    <w:bookmarkEnd w:id="271"/>
    <w:p>
      <w:pPr>
        <w:jc w:val="center"/>
        <w:ind w:right="-20"/>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Valuation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u w:val="single" w:color="auto"/>
          <w:color w:val="auto"/>
        </w:rPr>
        <w:t>Valuation Analysis of Reorganized Weatherford</w:t>
      </w:r>
    </w:p>
    <w:p>
      <w:pPr>
        <w:spacing w:after="0" w:line="229"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THE INFORMATION CONTAINED HEREIN IS NOT A PREDICTION OR GUARANTEE OF THE ACTUAL MARKET VALUE THAT MAY BE REALIZED THROUGH THE SALE OF ANY SECURITIES TO BE ISSUED PURSUANT TO THE PLAN. THE INFORMATION IS PRESENTED SOLELY FOR THE PURPOSE OF PROVIDING ADEQUATE INFORMATION UNDER SECTION 1125 OF THE BANKRUPTCY CODE TO ENABLE THE HOLDERS OF CLAIMS ENTITLED TO VOTE TO ACCEPT OR REJECT THE PLAN TO MAKE AN INFORMED JUDGMENT ABOUT THE PLAN AND SHOULD NOT BE USED OR RELIED UPON FOR ANY OTHER PURPOSE, INCLUDING THE PURCHASE OR SALE OF CLAIMS AGAINST THE DEBTORS OR ANY OF THEIR AFFILIATES.</w:t>
      </w:r>
      <w:r>
        <w:rPr>
          <w:rFonts w:ascii="Arial" w:cs="Arial" w:eastAsia="Arial" w:hAnsi="Arial"/>
          <w:sz w:val="23"/>
          <w:szCs w:val="23"/>
          <w:color w:val="auto"/>
          <w:vertAlign w:val="superscript"/>
        </w:rPr>
        <w:t>(1)</w:t>
      </w:r>
    </w:p>
    <w:p>
      <w:pPr>
        <w:spacing w:after="0" w:line="101" w:lineRule="exact"/>
        <w:rPr>
          <w:sz w:val="20"/>
          <w:szCs w:val="20"/>
          <w:color w:val="auto"/>
        </w:rPr>
      </w:pPr>
    </w:p>
    <w:p>
      <w:pPr>
        <w:ind w:left="660" w:hanging="328"/>
        <w:spacing w:after="0"/>
        <w:tabs>
          <w:tab w:leader="none" w:pos="660" w:val="left"/>
        </w:tabs>
        <w:numPr>
          <w:ilvl w:val="0"/>
          <w:numId w:val="522"/>
        </w:numPr>
        <w:rPr>
          <w:rFonts w:ascii="Arial" w:cs="Arial" w:eastAsia="Arial" w:hAnsi="Arial"/>
          <w:sz w:val="18"/>
          <w:szCs w:val="18"/>
          <w:color w:val="auto"/>
        </w:rPr>
      </w:pPr>
      <w:r>
        <w:rPr>
          <w:rFonts w:ascii="Arial" w:cs="Arial" w:eastAsia="Arial" w:hAnsi="Arial"/>
          <w:sz w:val="18"/>
          <w:szCs w:val="18"/>
          <w:b w:val="1"/>
          <w:bCs w:val="1"/>
          <w:u w:val="single" w:color="auto"/>
          <w:color w:val="auto"/>
        </w:rPr>
        <w:t>Estimated Valuation</w:t>
      </w:r>
    </w:p>
    <w:p>
      <w:pPr>
        <w:spacing w:after="0" w:line="225"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Solely for the purposes of the Plan and the Disclosure Statement, Lazard Frères &amp; Co. LLC (“</w:t>
      </w:r>
      <w:r>
        <w:rPr>
          <w:rFonts w:ascii="Arial" w:cs="Arial" w:eastAsia="Arial" w:hAnsi="Arial"/>
          <w:sz w:val="18"/>
          <w:szCs w:val="18"/>
          <w:b w:val="1"/>
          <w:bCs w:val="1"/>
          <w:u w:val="single" w:color="auto"/>
          <w:color w:val="auto"/>
        </w:rPr>
        <w:t>Lazard</w:t>
      </w:r>
      <w:r>
        <w:rPr>
          <w:rFonts w:ascii="Arial" w:cs="Arial" w:eastAsia="Arial" w:hAnsi="Arial"/>
          <w:sz w:val="18"/>
          <w:szCs w:val="18"/>
          <w:color w:val="auto"/>
        </w:rPr>
        <w:t>”), as investment banker to the Debtors, has estimated a range of total enterprise value (“</w:t>
      </w:r>
      <w:r>
        <w:rPr>
          <w:rFonts w:ascii="Arial" w:cs="Arial" w:eastAsia="Arial" w:hAnsi="Arial"/>
          <w:sz w:val="18"/>
          <w:szCs w:val="18"/>
          <w:b w:val="1"/>
          <w:bCs w:val="1"/>
          <w:u w:val="single" w:color="auto"/>
          <w:color w:val="auto"/>
        </w:rPr>
        <w:t>Enterprise Value</w:t>
      </w:r>
      <w:r>
        <w:rPr>
          <w:rFonts w:ascii="Arial" w:cs="Arial" w:eastAsia="Arial" w:hAnsi="Arial"/>
          <w:sz w:val="18"/>
          <w:szCs w:val="18"/>
          <w:color w:val="auto"/>
        </w:rPr>
        <w:t>”) for Reorganized Weatherford on a consolidated going-concern basis and pro forma for the transactions contemplated by the Plan (the “</w:t>
      </w:r>
      <w:r>
        <w:rPr>
          <w:rFonts w:ascii="Arial" w:cs="Arial" w:eastAsia="Arial" w:hAnsi="Arial"/>
          <w:sz w:val="18"/>
          <w:szCs w:val="18"/>
          <w:b w:val="1"/>
          <w:bCs w:val="1"/>
          <w:u w:val="single" w:color="auto"/>
          <w:color w:val="auto"/>
        </w:rPr>
        <w:t>Valuation Analysis</w:t>
      </w:r>
      <w:r>
        <w:rPr>
          <w:rFonts w:ascii="Arial" w:cs="Arial" w:eastAsia="Arial" w:hAnsi="Arial"/>
          <w:sz w:val="18"/>
          <w:szCs w:val="18"/>
          <w:color w:val="auto"/>
        </w:rPr>
        <w:t xml:space="preserve">”). The Valuation Analysis is based on financial information and projections provided by the Debtors’ management, including the Financial Projections attached to the Disclosure Statement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(collectively the “</w:t>
      </w:r>
      <w:r>
        <w:rPr>
          <w:rFonts w:ascii="Arial" w:cs="Arial" w:eastAsia="Arial" w:hAnsi="Arial"/>
          <w:sz w:val="18"/>
          <w:szCs w:val="18"/>
          <w:b w:val="1"/>
          <w:bCs w:val="1"/>
          <w:u w:val="single" w:color="auto"/>
          <w:color w:val="auto"/>
        </w:rPr>
        <w:t>Projections</w:t>
      </w:r>
      <w:r>
        <w:rPr>
          <w:rFonts w:ascii="Arial" w:cs="Arial" w:eastAsia="Arial" w:hAnsi="Arial"/>
          <w:sz w:val="18"/>
          <w:szCs w:val="18"/>
          <w:color w:val="auto"/>
        </w:rPr>
        <w:t>”), and information provided by other sources. The Valuation Analysis assumes that the Effective Date will occur on September 30, 2019. The valuation estimates set forth herein represent valuation analyses of Reorganized Weatherford generally based on the application of customary valuation techniques deemed appropriate by Lazard.</w:t>
      </w:r>
    </w:p>
    <w:p>
      <w:pPr>
        <w:spacing w:after="0" w:line="193"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Based on the Projections and solely for the purposes of the Plan, Lazard estimates that the potential range of Reorganized Weatherford’s operations on a going concern basis (the “</w:t>
      </w:r>
      <w:r>
        <w:rPr>
          <w:rFonts w:ascii="Arial" w:cs="Arial" w:eastAsia="Arial" w:hAnsi="Arial"/>
          <w:sz w:val="16"/>
          <w:szCs w:val="16"/>
          <w:b w:val="1"/>
          <w:bCs w:val="1"/>
          <w:u w:val="single" w:color="auto"/>
          <w:color w:val="auto"/>
        </w:rPr>
        <w:t>Enterprise Value</w:t>
      </w:r>
      <w:r>
        <w:rPr>
          <w:rFonts w:ascii="Arial" w:cs="Arial" w:eastAsia="Arial" w:hAnsi="Arial"/>
          <w:sz w:val="16"/>
          <w:szCs w:val="16"/>
          <w:color w:val="auto"/>
        </w:rPr>
        <w:t>”) is approximately $4.80 to $6.80 billion. Based on the potential range of Enterprise Value and assumed net cash of $320 million as of the Effective Date, Lazard estimates an imputed range of potential equity value of $2.62 to $4.62 billion, following the issuance of the $1.25 billion of Tranche A Exit Notes and $1.25 billion of Tranche B Exit Notes. For purposes of the Valuation Analysis, Lazard assumed that, between the date of filing of the Disclosure Statement and the assumed Effective Date, no material changes that would affect estimated valuation will occur. Reorganized Weatherford’s assumed net cash is the sum of (i) $1,158 million of balance sheet cash as of the Effective Date (including restricted cash) and</w:t>
      </w:r>
    </w:p>
    <w:p>
      <w:pPr>
        <w:spacing w:after="0" w:line="5" w:lineRule="exact"/>
        <w:rPr>
          <w:sz w:val="20"/>
          <w:szCs w:val="20"/>
          <w:color w:val="auto"/>
        </w:rPr>
      </w:pPr>
    </w:p>
    <w:p>
      <w:pPr>
        <w:ind w:left="280" w:hanging="272"/>
        <w:spacing w:after="0"/>
        <w:tabs>
          <w:tab w:leader="none" w:pos="28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$ 1.25 billion of Tranche A Exit Notes proceeds, less the sum of (i) $1.0 billion of DIP Term Loan repayment, (ii) $715 million of DIP RCF repayment,</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$307 million of Unsecured RCFs repayment, and (iv) $67 million of exit costs.</w:t>
      </w:r>
    </w:p>
    <w:p>
      <w:pPr>
        <w:spacing w:after="0" w:line="21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value of the New Warrants has been estimated using a Black-Scholes valuation model and reflecting the estimated range of Reorganized Weatherford’s equity value above. Based on that analysis, the value of the New Warrants is estimated at $3.8 million to $38.9 million, with a midpoint of $15.5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ind w:right="120" w:firstLine="8"/>
        <w:spacing w:after="0" w:line="275" w:lineRule="auto"/>
        <w:tabs>
          <w:tab w:leader="none" w:pos="133" w:val="left"/>
        </w:tabs>
        <w:numPr>
          <w:ilvl w:val="0"/>
          <w:numId w:val="524"/>
        </w:numPr>
        <w:rPr>
          <w:rFonts w:ascii="Arial" w:cs="Arial" w:eastAsia="Arial" w:hAnsi="Arial"/>
          <w:sz w:val="15"/>
          <w:szCs w:val="15"/>
          <w:color w:val="auto"/>
          <w:vertAlign w:val="superscript"/>
        </w:rPr>
      </w:pPr>
      <w:r>
        <w:rPr>
          <w:rFonts w:ascii="Arial" w:cs="Arial" w:eastAsia="Arial" w:hAnsi="Arial"/>
          <w:sz w:val="12"/>
          <w:szCs w:val="12"/>
          <w:color w:val="auto"/>
        </w:rPr>
        <w:t xml:space="preserve">All capitalized terms used but not otherwise defined herein shall have the meanings ascribed to them in the </w:t>
      </w:r>
      <w:r>
        <w:rPr>
          <w:rFonts w:ascii="Arial" w:cs="Arial" w:eastAsia="Arial" w:hAnsi="Arial"/>
          <w:sz w:val="12"/>
          <w:szCs w:val="12"/>
          <w:i w:val="1"/>
          <w:iCs w:val="1"/>
          <w:color w:val="auto"/>
        </w:rPr>
        <w:t>Disclosure Statement for the Joint Chapter 11 Plan of Reorganization for Weatherford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Its Debtor Affiliates </w:t>
      </w:r>
      <w:r>
        <w:rPr>
          <w:rFonts w:ascii="Arial" w:cs="Arial" w:eastAsia="Arial" w:hAnsi="Arial"/>
          <w:sz w:val="12"/>
          <w:szCs w:val="12"/>
          <w:color w:val="auto"/>
        </w:rPr>
        <w:t>(the “</w:t>
      </w:r>
      <w:r>
        <w:rPr>
          <w:rFonts w:ascii="Arial" w:cs="Arial" w:eastAsia="Arial" w:hAnsi="Arial"/>
          <w:sz w:val="12"/>
          <w:szCs w:val="12"/>
          <w:b w:val="1"/>
          <w:bCs w:val="1"/>
          <w:u w:val="single" w:color="auto"/>
          <w:color w:val="auto"/>
        </w:rPr>
        <w:t>Disclosure Statement</w:t>
      </w:r>
      <w:r>
        <w:rPr>
          <w:rFonts w:ascii="Arial" w:cs="Arial" w:eastAsia="Arial" w:hAnsi="Arial"/>
          <w:sz w:val="12"/>
          <w:szCs w:val="12"/>
          <w:color w:val="auto"/>
        </w:rPr>
        <w:t>”), to which this Valuation Analysis is attached as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Exhibit E</w:t>
      </w:r>
      <w:r>
        <w:rPr>
          <w:rFonts w:ascii="Arial" w:cs="Arial" w:eastAsia="Arial" w:hAnsi="Arial"/>
          <w:sz w:val="12"/>
          <w:szCs w:val="12"/>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73" w:name="page274"/>
    <w:bookmarkEnd w:id="273"/>
    <w:p>
      <w:pPr>
        <w:ind w:right="240" w:firstLine="648"/>
        <w:spacing w:after="0" w:line="277" w:lineRule="auto"/>
        <w:rPr>
          <w:sz w:val="20"/>
          <w:szCs w:val="20"/>
          <w:color w:val="auto"/>
        </w:rPr>
      </w:pPr>
      <w:r>
        <w:rPr>
          <w:rFonts w:ascii="Arial" w:cs="Arial" w:eastAsia="Arial" w:hAnsi="Arial"/>
          <w:sz w:val="18"/>
          <w:szCs w:val="18"/>
          <w:color w:val="auto"/>
        </w:rPr>
        <w:t>Lazard’s Valuation Analysis does not constitute an opinion as to fairness from a financial point of view of the consideration to be received or paid under the Plan, of the terms and provisions of the Plan, or with respect to any other matters.</w:t>
      </w:r>
    </w:p>
    <w:p>
      <w:pPr>
        <w:spacing w:after="0" w:line="166" w:lineRule="exact"/>
        <w:rPr>
          <w:sz w:val="20"/>
          <w:szCs w:val="20"/>
          <w:color w:val="auto"/>
        </w:rPr>
      </w:pPr>
    </w:p>
    <w:p>
      <w:pPr>
        <w:ind w:left="660" w:hanging="328"/>
        <w:spacing w:after="0"/>
        <w:tabs>
          <w:tab w:leader="none" w:pos="660" w:val="left"/>
        </w:tabs>
        <w:numPr>
          <w:ilvl w:val="1"/>
          <w:numId w:val="525"/>
        </w:numPr>
        <w:rPr>
          <w:rFonts w:ascii="Arial" w:cs="Arial" w:eastAsia="Arial" w:hAnsi="Arial"/>
          <w:sz w:val="18"/>
          <w:szCs w:val="18"/>
          <w:color w:val="auto"/>
        </w:rPr>
      </w:pPr>
      <w:r>
        <w:rPr>
          <w:rFonts w:ascii="Arial" w:cs="Arial" w:eastAsia="Arial" w:hAnsi="Arial"/>
          <w:sz w:val="18"/>
          <w:szCs w:val="18"/>
          <w:b w:val="1"/>
          <w:bCs w:val="1"/>
          <w:u w:val="single" w:color="auto"/>
          <w:color w:val="auto"/>
        </w:rPr>
        <w:t>Valuation Methodology</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consolidated value of Reorganized Weatherford was estimated by primarily relying on two generally accepted valuation techniques:</w:t>
      </w:r>
    </w:p>
    <w:p>
      <w:pPr>
        <w:spacing w:after="0" w:line="34" w:lineRule="exact"/>
        <w:rPr>
          <w:rFonts w:ascii="Arial" w:cs="Arial" w:eastAsia="Arial" w:hAnsi="Arial"/>
          <w:sz w:val="18"/>
          <w:szCs w:val="18"/>
          <w:color w:val="auto"/>
        </w:rPr>
      </w:pPr>
    </w:p>
    <w:p>
      <w:pPr>
        <w:ind w:right="100" w:firstLine="8"/>
        <w:spacing w:after="0" w:line="255" w:lineRule="auto"/>
        <w:tabs>
          <w:tab w:leader="none" w:pos="215" w:val="left"/>
        </w:tabs>
        <w:numPr>
          <w:ilvl w:val="0"/>
          <w:numId w:val="526"/>
        </w:numPr>
        <w:rPr>
          <w:rFonts w:ascii="Arial" w:cs="Arial" w:eastAsia="Arial" w:hAnsi="Arial"/>
          <w:sz w:val="18"/>
          <w:szCs w:val="18"/>
          <w:color w:val="auto"/>
        </w:rPr>
      </w:pPr>
      <w:r>
        <w:rPr>
          <w:rFonts w:ascii="Arial" w:cs="Arial" w:eastAsia="Arial" w:hAnsi="Arial"/>
          <w:sz w:val="18"/>
          <w:szCs w:val="18"/>
          <w:color w:val="auto"/>
        </w:rPr>
        <w:t>Discounted Cash Flow (“</w:t>
      </w:r>
      <w:r>
        <w:rPr>
          <w:rFonts w:ascii="Arial" w:cs="Arial" w:eastAsia="Arial" w:hAnsi="Arial"/>
          <w:sz w:val="18"/>
          <w:szCs w:val="18"/>
          <w:b w:val="1"/>
          <w:bCs w:val="1"/>
          <w:u w:val="single" w:color="auto"/>
          <w:color w:val="auto"/>
        </w:rPr>
        <w:t>DCF</w:t>
      </w:r>
      <w:r>
        <w:rPr>
          <w:rFonts w:ascii="Arial" w:cs="Arial" w:eastAsia="Arial" w:hAnsi="Arial"/>
          <w:sz w:val="18"/>
          <w:szCs w:val="18"/>
          <w:color w:val="auto"/>
        </w:rPr>
        <w:t>”) Analysis and (ii) Comparable Company Analysis. While the precedent transaction methodology is sometimes used, it was believed that this methodology has less relevance when assessing the Enterprise Value of Reorganized Weatherford due to the lack of recent comparable transactions, among other factors.</w:t>
      </w:r>
    </w:p>
    <w:p>
      <w:pPr>
        <w:spacing w:after="0" w:line="190" w:lineRule="exact"/>
        <w:rPr>
          <w:sz w:val="20"/>
          <w:szCs w:val="20"/>
          <w:color w:val="auto"/>
        </w:rPr>
      </w:pPr>
    </w:p>
    <w:p>
      <w:pPr>
        <w:ind w:left="1000" w:hanging="668"/>
        <w:spacing w:after="0"/>
        <w:tabs>
          <w:tab w:leader="none" w:pos="1000"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Discounted Cash Flow Analysis:</w:t>
      </w:r>
    </w:p>
    <w:p>
      <w:pPr>
        <w:spacing w:after="0" w:line="225" w:lineRule="exact"/>
        <w:rPr>
          <w:sz w:val="20"/>
          <w:szCs w:val="20"/>
          <w:color w:val="auto"/>
        </w:rPr>
      </w:pPr>
    </w:p>
    <w:p>
      <w:pPr>
        <w:ind w:left="980" w:firstLine="486"/>
        <w:spacing w:after="0" w:line="270" w:lineRule="auto"/>
        <w:rPr>
          <w:sz w:val="20"/>
          <w:szCs w:val="20"/>
          <w:color w:val="auto"/>
        </w:rPr>
      </w:pPr>
      <w:r>
        <w:rPr>
          <w:rFonts w:ascii="Arial" w:cs="Arial" w:eastAsia="Arial" w:hAnsi="Arial"/>
          <w:sz w:val="17"/>
          <w:szCs w:val="17"/>
          <w:color w:val="auto"/>
        </w:rPr>
        <w:t>DCF analysis is a forward-looking enterprise valuation methodology that estimates the value of an asset or business by calculating the present value of expected future cash flows to be generated by that asset or business. Under this methodology, projected future cash flows are discounted by the business’ weighted average cost of capital (the “</w:t>
      </w:r>
      <w:r>
        <w:rPr>
          <w:rFonts w:ascii="Arial" w:cs="Arial" w:eastAsia="Arial" w:hAnsi="Arial"/>
          <w:sz w:val="17"/>
          <w:szCs w:val="17"/>
          <w:b w:val="1"/>
          <w:bCs w:val="1"/>
          <w:u w:val="single" w:color="auto"/>
          <w:color w:val="auto"/>
        </w:rPr>
        <w:t>Discount Rate</w:t>
      </w:r>
      <w:r>
        <w:rPr>
          <w:rFonts w:ascii="Arial" w:cs="Arial" w:eastAsia="Arial" w:hAnsi="Arial"/>
          <w:sz w:val="17"/>
          <w:szCs w:val="17"/>
          <w:color w:val="auto"/>
        </w:rPr>
        <w:t>”). The Discount Rate reflects the estimated rate of return that would be required by debt and equity investors to invest in the business based on its capital structure. The Enterprise Value of the firm is determined by calculating the present value of the unlevered after-tax free cash flows based on the Projections provided by management plus an estimate for the value of the firm beyond the Projection Period, known as the terminal value. The range of potential terminal values was calculated by applying a multiple to earnings before interest, taxes, depreciation and amortization (“</w:t>
      </w:r>
      <w:r>
        <w:rPr>
          <w:rFonts w:ascii="Arial" w:cs="Arial" w:eastAsia="Arial" w:hAnsi="Arial"/>
          <w:sz w:val="17"/>
          <w:szCs w:val="17"/>
          <w:b w:val="1"/>
          <w:bCs w:val="1"/>
          <w:u w:val="single" w:color="auto"/>
          <w:color w:val="auto"/>
        </w:rPr>
        <w:t>EBITDA</w:t>
      </w:r>
      <w:r>
        <w:rPr>
          <w:rFonts w:ascii="Arial" w:cs="Arial" w:eastAsia="Arial" w:hAnsi="Arial"/>
          <w:sz w:val="17"/>
          <w:szCs w:val="17"/>
          <w:color w:val="auto"/>
        </w:rPr>
        <w:t>”) and by deriving a value using an assumed perpetuity growth rate applied to the unlevered after-tax free cash flow in the final year of the Projection Period. The terminal value was then discounted back to the assumed Effective Date.</w:t>
      </w:r>
    </w:p>
    <w:p>
      <w:pPr>
        <w:spacing w:after="0" w:line="182" w:lineRule="exact"/>
        <w:rPr>
          <w:sz w:val="20"/>
          <w:szCs w:val="20"/>
          <w:color w:val="auto"/>
        </w:rPr>
      </w:pPr>
    </w:p>
    <w:p>
      <w:pPr>
        <w:ind w:left="1020" w:hanging="688"/>
        <w:spacing w:after="0"/>
        <w:tabs>
          <w:tab w:leader="none" w:pos="1020"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Comparable Public Company Analysis:</w:t>
      </w:r>
    </w:p>
    <w:p>
      <w:pPr>
        <w:spacing w:after="0" w:line="225" w:lineRule="exact"/>
        <w:rPr>
          <w:sz w:val="20"/>
          <w:szCs w:val="20"/>
          <w:color w:val="auto"/>
        </w:rPr>
      </w:pPr>
    </w:p>
    <w:p>
      <w:pPr>
        <w:ind w:left="980" w:right="100" w:firstLine="486"/>
        <w:spacing w:after="0" w:line="297" w:lineRule="auto"/>
        <w:rPr>
          <w:sz w:val="20"/>
          <w:szCs w:val="20"/>
          <w:color w:val="auto"/>
        </w:rPr>
      </w:pPr>
      <w:r>
        <w:rPr>
          <w:rFonts w:ascii="Arial" w:cs="Arial" w:eastAsia="Arial" w:hAnsi="Arial"/>
          <w:sz w:val="16"/>
          <w:szCs w:val="16"/>
          <w:color w:val="auto"/>
        </w:rPr>
        <w:t>Comparable Public Company Analysis estimates the value of a company relative to other publicly traded companies with similar operating and financial characteristics. A set of publicly traded companies was selected based on similar business and financial characteristics to Reorganized Weatherford. Criteria for the selected reference group included, among other relevant characteristics, similarity in business, business risks, growth prospects, product mix, customer base, margins, market presence, size and scale of operations. The selected reference group may not be comparable to Reorganized Weatherford in all aspects, and may differ materially in others.</w:t>
      </w:r>
    </w:p>
    <w:p>
      <w:pPr>
        <w:spacing w:after="0" w:line="158" w:lineRule="exact"/>
        <w:rPr>
          <w:sz w:val="20"/>
          <w:szCs w:val="20"/>
          <w:color w:val="auto"/>
        </w:rPr>
      </w:pPr>
    </w:p>
    <w:p>
      <w:pPr>
        <w:ind w:left="980" w:right="100" w:firstLine="486"/>
        <w:spacing w:after="0" w:line="312" w:lineRule="auto"/>
        <w:rPr>
          <w:sz w:val="20"/>
          <w:szCs w:val="20"/>
          <w:color w:val="auto"/>
        </w:rPr>
      </w:pPr>
      <w:r>
        <w:rPr>
          <w:rFonts w:ascii="Arial" w:cs="Arial" w:eastAsia="Arial" w:hAnsi="Arial"/>
          <w:sz w:val="16"/>
          <w:szCs w:val="16"/>
          <w:color w:val="auto"/>
        </w:rPr>
        <w:t>In deriving Enterprise Value ranges under the Comparable Public Company Analysis methodology, EBITDA multiples were the primary valuation metric. Based on 2016, 2017 and 2018 historical multiples of this reference group, 2019, 2020 and 2021 projected multiples of this reference group and certain qualitative judgments based on differences between the characteristics of Reorganized Weatherford and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4" w:name="page275"/>
    <w:bookmarkEnd w:id="274"/>
    <w:p>
      <w:pPr>
        <w:ind w:left="980"/>
        <w:spacing w:after="0"/>
        <w:rPr>
          <w:sz w:val="20"/>
          <w:szCs w:val="20"/>
          <w:color w:val="auto"/>
        </w:rPr>
      </w:pPr>
      <w:r>
        <w:rPr>
          <w:rFonts w:ascii="Arial" w:cs="Arial" w:eastAsia="Arial" w:hAnsi="Arial"/>
          <w:sz w:val="17"/>
          <w:szCs w:val="17"/>
          <w:color w:val="auto"/>
        </w:rPr>
        <w:t>selected reference group, a range of multiples was then applied to Reorganized Weatherford’s implied 2019, 2020 and 2021 EBITDA.</w:t>
      </w:r>
    </w:p>
    <w:p>
      <w:pPr>
        <w:spacing w:after="0" w:line="237"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THE VALUATION ANALYSIS REFLECTS WORK PERFORMED BY LAZARD ON THE BASIS OF INFORMATION IN RESPECT OF THE BUSINESSES AND ASSETS OF THE DEBTORS AVAILABLE TO LAZARD AS OF JUNE 13, 2019. IT SHOULD BE UNDERSTOOD THAT, ALTHOUGH SUBSEQUENT DEVELOPMENTS MAY AFFECT LAZARD’S CONCLUSIONS, LAZARD DOES NOT HAVE ANY OBLIGATION TO UPDATE, REVISE, OR REAFFIRM ITS VALUATION ANALYSIS AND DOES NOT INTEND TO DO SO.</w:t>
      </w:r>
    </w:p>
    <w:p>
      <w:pPr>
        <w:spacing w:after="0" w:line="18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LAZARD DID NOT INDEPENDENTLY VERIFY THE PROJECTIONS OR OTHER INFORMATION THAT LAZARD USED IN THE VALUATION ANALYSIS, AND NO INDEPENDENT VALUATIONS OR APPRAISALS OF THE DEBTORS WERE SOUGHT OR OBTAINED IN CONNECTION THEREWITH. THE VALUATION ANALYSIS WAS DEVELOPED SOLELY FOR PURPOSES OF THE PLAN AND THE ANALYSIS OF POTENTIAL RELATIVE RECOVERIES TO CREDITORS THEREUNDER. THE VALUATION ANALYSIS REFLECTS THE APPLICATION OF VARIOUS VALUATION TECHNIQUES, DOES NOT PURPORT TO BE AN OPINION AND DOES NOT PURPORT TO REFLECT OR CONSTITUTE AN APPRAISAL, LIQUIDATION VALUE, OR ESTIMATE OF THE ACTUAL MARKET VALUE THAT MAY BE REALIZED THROUGH THE SALE OF ANY SECURITIES TO BE ISSUED OR ASSETS TO BE SOLD PURSUANT TO THE PLAN, WHICH MAY BE SIGNIFICANTLY DIFFERENT THAN THE AMOUNTS SET FORTH IN THE VALUATION ANALYSIS.</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VALUE OF AN OPERATING BUSINESS IS SUBJECT TO NUMEROUS UNCERTAINTIES AND CONTINGENCIES THAT ARE DIFFICULT TO PREDICT AND WILL FLUCTUATE WITH CHANGES IN FACTORS AFFECTING THE FINANCIAL CONDITION AND PROSPECTS OF SUCH A BUSINESS. AS A RESULT, THE VALUATION ANALYSIS IS NOT NECESSARILY INDICATIVE OF ACTUAL OUTCOMES, WHICH MAY BE SIGNIFICANTLY MORE OR LESS FAVORABLE THAN THOSE SET FORTH HEREIN. BECAUSE SUCH ESTIMATES ARE INHERENTLY SUBJECT TO UNCERTAINTIES, NEITHER THE DEBTORS, LAZARD, NOR ANY OTHER PERSON ASSUMES RESPONSIBILITY FOR THEIR ACCURACY. IN ADDITION, THE POTENTIAL VALUATION OF NEWLY ISSUED SECURITIES IS SUBJECT TO ADDITIONAL UNCERTAINTIES AND CONTINGENCIES, ALL OF WHICH ARE DIFFICULT TO PREDICT. ACTUAL MARKET PRICES OF SUCH SECURITIES AT ISSUANCE WILL DEPEND UPON, AMONG OTHER THINGS, PREVAILING INTEREST RATES, CONDITIONS IN THE FINANCIAL AND COMMODITY MARKETS, THE ANTICIPATED INITIAL SECURITIES HOLDINGS OF PREPETITION CREDITORS, SOME OF WHICH MAY PREFER TO LIQUIDATE THEIR INVESTMENT RATHER THAN HOLD IT ON A LONG-TERM BASIS, THE POTENTIALLY DILUTIVE IMPACT OF CERTAIN EVENTS, INCLUDING THE ISSUANCE OF EQUITY SECURITIES PURSUANT TO ANY MANAGEMENT INCENTIVE COMPENSATION PLAN, AND OTHER FACTORS THAT GENERALLY INFLUENCE THE PRICES OF SECURITIES.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5" w:name="page276"/>
    <w:bookmarkEnd w:id="275"/>
    <w:p>
      <w:pPr>
        <w:ind w:right="20" w:firstLine="662"/>
        <w:spacing w:after="0" w:line="257" w:lineRule="auto"/>
        <w:rPr>
          <w:sz w:val="20"/>
          <w:szCs w:val="20"/>
          <w:color w:val="auto"/>
        </w:rPr>
      </w:pPr>
      <w:r>
        <w:rPr>
          <w:rFonts w:ascii="Arial" w:cs="Arial" w:eastAsia="Arial" w:hAnsi="Arial"/>
          <w:sz w:val="18"/>
          <w:szCs w:val="18"/>
          <w:color w:val="auto"/>
        </w:rPr>
        <w:t>Lazard assumed that the Projections were reasonably prepared in good faith and on a basis reflecting the Debtors’ best estimates and judgments as to the future operating and financial performance of Reorganized Weatherford. The Valuation Analysis assumes that the actual performance of Reorganized Weatherford will correspond to the Projections in all material respects. If the business performs at levels below or above those set forth in the Projections, such performance may have a materially negative or positive impact, respectively, on the Valuation Analysis and estimated potential ranges of Enterprise Value therein.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preparing the Valuation Analysis, Lazard: (a) reviewed certain historical financial information of the Debtors for recent years and interim periods;</w:t>
      </w:r>
    </w:p>
    <w:p>
      <w:pPr>
        <w:spacing w:after="0" w:line="46" w:lineRule="exact"/>
        <w:rPr>
          <w:sz w:val="20"/>
          <w:szCs w:val="20"/>
          <w:color w:val="auto"/>
        </w:rPr>
      </w:pPr>
    </w:p>
    <w:p>
      <w:pPr>
        <w:ind w:right="60" w:firstLine="8"/>
        <w:spacing w:after="0" w:line="270" w:lineRule="auto"/>
        <w:tabs>
          <w:tab w:leader="none" w:pos="255" w:val="left"/>
        </w:tabs>
        <w:numPr>
          <w:ilvl w:val="0"/>
          <w:numId w:val="529"/>
        </w:numPr>
        <w:rPr>
          <w:rFonts w:ascii="Arial" w:cs="Arial" w:eastAsia="Arial" w:hAnsi="Arial"/>
          <w:sz w:val="17"/>
          <w:szCs w:val="17"/>
          <w:color w:val="auto"/>
        </w:rPr>
      </w:pPr>
      <w:r>
        <w:rPr>
          <w:rFonts w:ascii="Arial" w:cs="Arial" w:eastAsia="Arial" w:hAnsi="Arial"/>
          <w:sz w:val="17"/>
          <w:szCs w:val="17"/>
          <w:color w:val="auto"/>
        </w:rPr>
        <w:t>reviewed certain financial and operating data of the Debtors, including the Projections; (c) discussed the Debtors’ operations and future prospects with the Debtors’ senior management team and third-party advisors; (d) reviewed certain publicly available financial data for, and considered the market value of, public companies that Lazard deemed generally relevant in analyzing the value of Reorganized Weatherford; (e) considered certain economic and industry information that Lazard deemed generally relevant to Reorganized Weatherford; and (f) conducted such other studies, analyses, inquiries, and investigations as deemed appropriate. Lazard assumed and relied on the accuracy and completeness of all financial and other information furnished to it by the Debtors’ management and other parties as well as publicly available information.</w:t>
      </w:r>
    </w:p>
    <w:p>
      <w:pPr>
        <w:spacing w:after="0" w:line="179" w:lineRule="exact"/>
        <w:rPr>
          <w:sz w:val="20"/>
          <w:szCs w:val="20"/>
          <w:color w:val="auto"/>
        </w:rPr>
      </w:pPr>
    </w:p>
    <w:p>
      <w:pPr>
        <w:ind w:right="280" w:firstLine="662"/>
        <w:spacing w:after="0" w:line="264" w:lineRule="auto"/>
        <w:rPr>
          <w:sz w:val="20"/>
          <w:szCs w:val="20"/>
          <w:color w:val="auto"/>
        </w:rPr>
      </w:pPr>
      <w:r>
        <w:rPr>
          <w:rFonts w:ascii="Arial" w:cs="Arial" w:eastAsia="Arial" w:hAnsi="Arial"/>
          <w:sz w:val="18"/>
          <w:szCs w:val="18"/>
          <w:color w:val="auto"/>
        </w:rPr>
        <w:t>The Valuation Analysis does not constitute a recommendation to any holder of Allowed Claims or any other person as to how such person should vote or otherwise act with respect to the Plan. Lazard has not been requested to, and does not express any view as to, the potential value of Reorganized Weatherford’s securities on issuance or at any other time.</w:t>
      </w:r>
    </w:p>
    <w:p>
      <w:pPr>
        <w:spacing w:after="0" w:line="181"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Lazard did not estimate the value of any tax attributes nor did it estimate the impact of any cancellation of indebtedness income on the Reorganized Debtors’ Projections. Such matters are subject to many uncertainties and contingencies that are difficult to predict. Any changes to the assumptions on the availability of tax attributes or the impact of cancellation of indebtedness income on the Reorganized Debtor’s Projections could materially impact Lazard’s valuation analysis.</w:t>
      </w:r>
    </w:p>
    <w:p>
      <w:pPr>
        <w:spacing w:after="0" w:line="187"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THE SUMMARY SET FORTH ABOVE DOES NOT PURPORT TO BE A COMPLETE DESCRIPTION OF THE VALUATION ANALYSIS PERFORMED BY LAZARD. THE PREPARATION OF A VALUATION ANALYSIS INVOLVES VARIOUS DETERMINATIONS AS TO THE MOST APPROPRIATE AND RELEVANT METHODS OF FINANCIAL ANALYSIS AND THE APPLICATION OF THESE METHODS IN THE PARTICULAR CIRCUMSTANCES AND, THEREFORE, SUCH AN ANALYSIS IS NOT READILY SUITABLE TO SUMMARY DESCRIPTION. THE VALUATION ANALYSIS PERFORMED BY LAZARD IS NOT NECESSARILY INDICATIVE OF ACTUAL VALUES OR FUTURE RESULTS, WHICH MAY BE SIGNIFICANTLY MORE OR LESS FAVORABLE THAN THOSE DESCRIBED HEREIN.</w:t>
      </w:r>
    </w:p>
    <w:p>
      <w:pPr>
        <w:spacing w:after="0" w:line="193"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LAZARD IS ACTING AS INVESTMENT BANKER TO THE DEBTORS, AND HAS NOT BEEN, WILL NOT BE RESPONSIBLE FOR, AND WILL NOT PROVIDE ANY TAX, ACCOUNTING, ACTUARIAL, LEGAL, OR OTHER SPECIALIST ADVICE.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Prepetition Indebtedness Borrowers, Guarantors, and Obligors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77" w:name="page278"/>
    <w:bookmarkEnd w:id="277"/>
    <w:p>
      <w:pPr>
        <w:jc w:val="center"/>
        <w:ind w:right="40"/>
        <w:spacing w:after="0"/>
        <w:rPr>
          <w:sz w:val="20"/>
          <w:szCs w:val="20"/>
          <w:color w:val="auto"/>
        </w:rPr>
      </w:pPr>
      <w:r>
        <w:rPr>
          <w:rFonts w:ascii="Arial" w:cs="Arial" w:eastAsia="Arial" w:hAnsi="Arial"/>
          <w:sz w:val="18"/>
          <w:szCs w:val="18"/>
          <w:b w:val="1"/>
          <w:bCs w:val="1"/>
          <w:u w:val="single" w:color="auto"/>
          <w:color w:val="auto"/>
        </w:rPr>
        <w:t>Chapter 11 Filing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All Weatherford Entities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Bermuda</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WOFS</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9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Assurance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4"/>
              </w:rPr>
              <w:t>Australia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Australia Pty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Key</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Company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Sabre Drilling</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8.</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Pangaea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British Virgin</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Colombia</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Drilling</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Oil Tool</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Middle East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Canada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17.</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(Nova Scotia)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18.</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ULC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19.</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20.</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Colombia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21.</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England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Eurasia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22.</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England</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U.K. 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4"/>
              </w:rPr>
              <w:t>Ireland</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1"/>
              </w:rPr>
              <w:t>Luxembourg</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European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(Luxembourg)</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S.à r.l.</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1"/>
              </w:rPr>
              <w:t>Luxembourg</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(Luxembourg)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S.à</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r.l.</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Netherlands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Netherlands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B.V.</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0"/>
              </w:rPr>
              <w:t>Netherlands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Holding B.V.]</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4"/>
              </w:rPr>
              <w:t>Norway</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Norge AS</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3"/>
              </w:rPr>
              <w:t>Panama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S. de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R.L.</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30.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Management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Company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Switzerland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Sàrl</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31.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Products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GmbH</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32.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Switzerland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Trading 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GmbH</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2" w:lineRule="exact"/>
        <w:rPr>
          <w:sz w:val="20"/>
          <w:szCs w:val="20"/>
          <w:color w:val="auto"/>
        </w:rPr>
      </w:pPr>
    </w:p>
    <w:p>
      <w:pPr>
        <w:ind w:left="180" w:hanging="172"/>
        <w:spacing w:after="0"/>
        <w:tabs>
          <w:tab w:leader="none" w:pos="180" w:val="left"/>
        </w:tabs>
        <w:numPr>
          <w:ilvl w:val="0"/>
          <w:numId w:val="530"/>
        </w:numPr>
        <w:rPr>
          <w:rFonts w:ascii="Arial" w:cs="Arial" w:eastAsia="Arial" w:hAnsi="Arial"/>
          <w:sz w:val="18"/>
          <w:szCs w:val="18"/>
          <w:color w:val="auto"/>
          <w:vertAlign w:val="superscript"/>
        </w:rPr>
      </w:pPr>
      <w:r>
        <w:rPr>
          <w:rFonts w:ascii="Arial" w:cs="Arial" w:eastAsia="Arial" w:hAnsi="Arial"/>
          <w:sz w:val="14"/>
          <w:szCs w:val="14"/>
          <w:color w:val="auto"/>
        </w:rPr>
        <w:t>Paperwork seeking dissolution has been filed with the Dutch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Revolver</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Revolver</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DIP</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Entity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Unsecured</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Unsecured</w:t>
            </w:r>
          </w:p>
        </w:tc>
        <w:tc>
          <w:tcPr>
            <w:tcW w:w="84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Secured</w:t>
            </w: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JurisdictionBorrower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Guarantor</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33.</w:t>
            </w:r>
          </w:p>
        </w:tc>
        <w:tc>
          <w:tcPr>
            <w:tcW w:w="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Weatherford Worldwide</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Switzerland</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Holdings GmbH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34.</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WOFS International</w:t>
            </w:r>
          </w:p>
        </w:tc>
        <w:tc>
          <w:tcPr>
            <w:tcW w:w="200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Finance GmbH</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35.</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WOFS Swiss Finance</w:t>
            </w:r>
          </w:p>
        </w:tc>
        <w:tc>
          <w:tcPr>
            <w:tcW w:w="2000" w:type="dxa"/>
            <w:vAlign w:val="bottom"/>
            <w:gridSpan w:val="4"/>
            <w:shd w:val="clear" w:color="auto" w:fill="CCEEFF"/>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GmbH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36.</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Weatherford Holdings</w:t>
            </w:r>
          </w:p>
        </w:tc>
        <w:tc>
          <w:tcPr>
            <w:tcW w:w="200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(Switzerland) GmbH</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37.</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PD Holdings (USA),</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38.</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Precision Energy</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Services, Inc.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39.</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Weatherford Artificial</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Lift Systems, LLC</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40.</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5"/>
              </w:rPr>
              <w:t>Weatherford Investment</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Inc.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41.</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Weatherford</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International, LLC</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42.</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Weatherford Holdings</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U.S. LLC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w:t>
            </w: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7"/>
              </w:rPr>
              <w:t>Weatherford/Lamb, Inc.</w:t>
            </w:r>
          </w:p>
        </w:tc>
        <w:tc>
          <w:tcPr>
            <w:tcW w:w="2000" w:type="dxa"/>
            <w:vAlign w:val="bottom"/>
            <w:gridSpan w:val="4"/>
            <w:shd w:val="clear" w:color="auto" w:fill="CCEEFF"/>
          </w:tcPr>
          <w:p>
            <w:pPr>
              <w:jc w:val="center"/>
              <w:ind w:right="1040"/>
              <w:spacing w:after="0"/>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44.</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DE</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U.S. 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U.S., L.P.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46.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WEUS</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Oilfield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LLP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48.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Visual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CA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Systems,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Columbia</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Oilfield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Supply,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eProduction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Solutions,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Advantage</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R&amp;D,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Discovery</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Case</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Warrior Well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IL</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Datalog</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Acquisition,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Edinburgh</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Petroleum</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Americas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Incorporated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Global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6"/>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58.</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International</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NV</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S.A.,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In-Depth</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Systems,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Benmore In-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Depth Corp.</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Technology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Stealth Oil &amp;</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Gas,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Management,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(PTWI),</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Latin America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67.</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WIHBV LLC</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WUS Holding,</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NV</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DISC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High Pressure</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Integrity,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44"/>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71.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Tooke</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WY</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Rockies,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Colombia</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Petroleum</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Corp.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International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CA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 GP,</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Visean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Information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URS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40"/>
        <w:spacing w:after="0"/>
        <w:rPr>
          <w:sz w:val="20"/>
          <w:szCs w:val="20"/>
          <w:color w:val="auto"/>
        </w:rPr>
      </w:pPr>
      <w:r>
        <w:rPr>
          <w:rFonts w:ascii="Arial" w:cs="Arial" w:eastAsia="Arial" w:hAnsi="Arial"/>
          <w:sz w:val="18"/>
          <w:szCs w:val="18"/>
          <w:color w:val="auto"/>
        </w:rPr>
        <w:t>Holdings,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A2ECCA"/>
    <w:multiLevelType w:val="hybridMultilevel"/>
    <w:lvl w:ilvl="0">
      <w:lvlJc w:val="left"/>
      <w:lvlText w:val="☐"/>
      <w:numFmt w:val="bullet"/>
      <w:start w:val="1"/>
    </w:lvl>
  </w:abstractNum>
  <w:abstractNum w:abstractNumId="1">
    <w:nsid w:val="4D5C4899"/>
    <w:multiLevelType w:val="hybridMultilevel"/>
    <w:lvl w:ilvl="0">
      <w:lvlJc w:val="left"/>
      <w:lvlText w:val="(%1)"/>
      <w:numFmt w:val="lowerLetter"/>
      <w:start w:val="4"/>
    </w:lvl>
  </w:abstractNum>
  <w:abstractNum w:abstractNumId="2">
    <w:nsid w:val="3C3B72B2"/>
    <w:multiLevelType w:val="hybridMultilevel"/>
    <w:lvl w:ilvl="0">
      <w:lvlJc w:val="left"/>
      <w:lvlText w:val="*"/>
      <w:numFmt w:val="bullet"/>
      <w:start w:val="1"/>
    </w:lvl>
  </w:abstractNum>
  <w:abstractNum w:abstractNumId="3">
    <w:nsid w:val="155EC4C2"/>
    <w:multiLevelType w:val="hybridMultilevel"/>
    <w:lvl w:ilvl="0">
      <w:lvlJc w:val="left"/>
      <w:lvlText w:val="(%1)"/>
      <w:numFmt w:val="decimal"/>
      <w:start w:val="1"/>
    </w:lvl>
  </w:abstractNum>
  <w:abstractNum w:abstractNumId="4">
    <w:nsid w:val="65D2A137"/>
    <w:multiLevelType w:val="hybridMultilevel"/>
    <w:lvl w:ilvl="0">
      <w:lvlJc w:val="left"/>
      <w:lvlText w:val="·"/>
      <w:numFmt w:val="bullet"/>
      <w:start w:val="1"/>
    </w:lvl>
  </w:abstractNum>
  <w:abstractNum w:abstractNumId="5">
    <w:nsid w:val="6EBB1F2A"/>
    <w:multiLevelType w:val="hybridMultilevel"/>
    <w:lvl w:ilvl="0">
      <w:lvlJc w:val="left"/>
      <w:lvlText w:val="(%1)"/>
      <w:numFmt w:val="decimal"/>
      <w:start w:val="2"/>
    </w:lvl>
  </w:abstractNum>
  <w:abstractNum w:abstractNumId="6">
    <w:nsid w:val="6FBF29CB"/>
    <w:multiLevelType w:val="hybridMultilevel"/>
    <w:lvl w:ilvl="0">
      <w:lvlJc w:val="left"/>
      <w:lvlText w:val="·"/>
      <w:numFmt w:val="bullet"/>
      <w:start w:val="1"/>
    </w:lvl>
  </w:abstractNum>
  <w:abstractNum w:abstractNumId="7">
    <w:nsid w:val="550B8808"/>
    <w:multiLevelType w:val="hybridMultilevel"/>
    <w:lvl w:ilvl="0">
      <w:lvlJc w:val="left"/>
      <w:lvlText w:val="%1"/>
      <w:numFmt w:val="upperLetter"/>
      <w:start w:val="1"/>
    </w:lvl>
    <w:lvl w:ilvl="1">
      <w:lvlJc w:val="left"/>
      <w:lvlText w:val="·"/>
      <w:numFmt w:val="bullet"/>
      <w:start w:val="1"/>
    </w:lvl>
  </w:abstractNum>
  <w:abstractNum w:abstractNumId="8">
    <w:nsid w:val="34CC3ACF"/>
    <w:multiLevelType w:val="hybridMultilevel"/>
    <w:lvl w:ilvl="0">
      <w:lvlJc w:val="left"/>
      <w:lvlText w:val="%1."/>
      <w:numFmt w:val="decimal"/>
      <w:start w:val="1"/>
    </w:lvl>
  </w:abstractNum>
  <w:abstractNum w:abstractNumId="9">
    <w:nsid w:val="4E556261"/>
    <w:multiLevelType w:val="hybridMultilevel"/>
    <w:lvl w:ilvl="0">
      <w:lvlJc w:val="left"/>
      <w:lvlText w:val="%1."/>
      <w:numFmt w:val="decimal"/>
      <w:start w:val="2"/>
    </w:lvl>
  </w:abstractNum>
  <w:abstractNum w:abstractNumId="10">
    <w:nsid w:val="4C672FC9"/>
    <w:multiLevelType w:val="hybridMultilevel"/>
    <w:lvl w:ilvl="0">
      <w:lvlJc w:val="left"/>
      <w:lvlText w:val="·"/>
      <w:numFmt w:val="bullet"/>
      <w:start w:val="1"/>
    </w:lvl>
  </w:abstractNum>
  <w:abstractNum w:abstractNumId="11">
    <w:nsid w:val="52A311C3"/>
    <w:multiLevelType w:val="hybridMultilevel"/>
    <w:lvl w:ilvl="0">
      <w:lvlJc w:val="left"/>
      <w:lvlText w:val="·"/>
      <w:numFmt w:val="bullet"/>
      <w:start w:val="1"/>
    </w:lvl>
  </w:abstractNum>
  <w:abstractNum w:abstractNumId="12">
    <w:nsid w:val="44EF6B80"/>
    <w:multiLevelType w:val="hybridMultilevel"/>
    <w:lvl w:ilvl="0">
      <w:lvlJc w:val="left"/>
      <w:lvlText w:val="%1."/>
      <w:numFmt w:val="decimal"/>
      <w:start w:val="3"/>
    </w:lvl>
  </w:abstractNum>
  <w:abstractNum w:abstractNumId="13">
    <w:nsid w:val="12FCDE5E"/>
    <w:multiLevelType w:val="hybridMultilevel"/>
    <w:lvl w:ilvl="0">
      <w:lvlJc w:val="left"/>
      <w:lvlText w:val="%1."/>
      <w:numFmt w:val="upperLetter"/>
      <w:start w:val="2"/>
    </w:lvl>
  </w:abstractNum>
  <w:abstractNum w:abstractNumId="14">
    <w:nsid w:val="4A1D606E"/>
    <w:multiLevelType w:val="hybridMultilevel"/>
    <w:lvl w:ilvl="0">
      <w:lvlJc w:val="left"/>
      <w:lvlText w:val="%1."/>
      <w:numFmt w:val="upperLetter"/>
      <w:start w:val="1"/>
    </w:lvl>
  </w:abstractNum>
  <w:abstractNum w:abstractNumId="15">
    <w:nsid w:val="4382503"/>
    <w:multiLevelType w:val="hybridMultilevel"/>
    <w:lvl w:ilvl="0">
      <w:lvlJc w:val="left"/>
      <w:lvlText w:val="%1."/>
      <w:numFmt w:val="upperLetter"/>
      <w:start w:val="2"/>
    </w:lvl>
  </w:abstractNum>
  <w:abstractNum w:abstractNumId="16">
    <w:nsid w:val="59B76E28"/>
    <w:multiLevelType w:val="hybridMultilevel"/>
    <w:lvl w:ilvl="0">
      <w:lvlJc w:val="left"/>
      <w:lvlText w:val="%1."/>
      <w:numFmt w:val="decimal"/>
      <w:start w:val="1"/>
    </w:lvl>
  </w:abstractNum>
  <w:abstractNum w:abstractNumId="17">
    <w:nsid w:val="4252C2DA"/>
    <w:multiLevelType w:val="hybridMultilevel"/>
    <w:lvl w:ilvl="0">
      <w:lvlJc w:val="left"/>
      <w:lvlText w:val="(%1)"/>
      <w:numFmt w:val="lowerLetter"/>
      <w:start w:val="1"/>
    </w:lvl>
  </w:abstractNum>
  <w:abstractNum w:abstractNumId="18">
    <w:nsid w:val="6A92EF4C"/>
    <w:multiLevelType w:val="hybridMultilevel"/>
    <w:lvl w:ilvl="0">
      <w:lvlJc w:val="left"/>
      <w:lvlText w:val="(%1)"/>
      <w:numFmt w:val="lowerLetter"/>
      <w:start w:val="2"/>
    </w:lvl>
  </w:abstractNum>
  <w:abstractNum w:abstractNumId="19">
    <w:nsid w:val="41ED20D7"/>
    <w:multiLevelType w:val="hybridMultilevel"/>
    <w:lvl w:ilvl="0">
      <w:lvlJc w:val="left"/>
      <w:lvlText w:val="(%1)"/>
      <w:numFmt w:val="lowerLetter"/>
      <w:start w:val="3"/>
    </w:lvl>
  </w:abstractNum>
  <w:abstractNum w:abstractNumId="20">
    <w:nsid w:val="E6B3F6A"/>
    <w:multiLevelType w:val="hybridMultilevel"/>
    <w:lvl w:ilvl="0">
      <w:lvlJc w:val="left"/>
      <w:lvlText w:val="(%1)"/>
      <w:numFmt w:val="lowerLetter"/>
      <w:start w:val="4"/>
    </w:lvl>
  </w:abstractNum>
  <w:abstractNum w:abstractNumId="21">
    <w:nsid w:val="3EB21819"/>
    <w:multiLevelType w:val="hybridMultilevel"/>
    <w:lvl w:ilvl="0">
      <w:lvlJc w:val="left"/>
      <w:lvlText w:val="%1."/>
      <w:numFmt w:val="decimal"/>
      <w:start w:val="2"/>
    </w:lvl>
  </w:abstractNum>
  <w:abstractNum w:abstractNumId="22">
    <w:nsid w:val="41531DED"/>
    <w:multiLevelType w:val="hybridMultilevel"/>
    <w:lvl w:ilvl="0">
      <w:lvlJc w:val="left"/>
      <w:lvlText w:val="%1."/>
      <w:numFmt w:val="decimal"/>
      <w:start w:val="3"/>
    </w:lvl>
  </w:abstractNum>
  <w:abstractNum w:abstractNumId="23">
    <w:nsid w:val="6353CD2"/>
    <w:multiLevelType w:val="hybridMultilevel"/>
    <w:lvl w:ilvl="0">
      <w:lvlJc w:val="left"/>
      <w:lvlText w:val="%1."/>
      <w:numFmt w:val="decimal"/>
      <w:start w:val="4"/>
    </w:lvl>
  </w:abstractNum>
  <w:abstractNum w:abstractNumId="24">
    <w:nsid w:val="683CAAD3"/>
    <w:multiLevelType w:val="hybridMultilevel"/>
    <w:lvl w:ilvl="0">
      <w:lvlJc w:val="left"/>
      <w:lvlText w:val="%1."/>
      <w:numFmt w:val="upperLetter"/>
      <w:start w:val="3"/>
    </w:lvl>
  </w:abstractNum>
  <w:abstractNum w:abstractNumId="25">
    <w:nsid w:val="313C7C99"/>
    <w:multiLevelType w:val="hybridMultilevel"/>
    <w:lvl w:ilvl="0">
      <w:lvlJc w:val="left"/>
      <w:lvlText w:val="%1."/>
      <w:numFmt w:val="decimal"/>
      <w:start w:val="1"/>
    </w:lvl>
  </w:abstractNum>
  <w:abstractNum w:abstractNumId="26">
    <w:nsid w:val="519EB94C"/>
    <w:multiLevelType w:val="hybridMultilevel"/>
    <w:lvl w:ilvl="0">
      <w:lvlJc w:val="left"/>
      <w:lvlText w:val="%1."/>
      <w:numFmt w:val="decimal"/>
      <w:start w:val="2"/>
    </w:lvl>
  </w:abstractNum>
  <w:abstractNum w:abstractNumId="27">
    <w:nsid w:val="39DF2579"/>
    <w:multiLevelType w:val="hybridMultilevel"/>
    <w:lvl w:ilvl="0">
      <w:lvlJc w:val="left"/>
      <w:lvlText w:val="%1."/>
      <w:numFmt w:val="decimal"/>
      <w:start w:val="3"/>
    </w:lvl>
  </w:abstractNum>
  <w:abstractNum w:abstractNumId="28">
    <w:nsid w:val="126E008B"/>
    <w:multiLevelType w:val="hybridMultilevel"/>
    <w:lvl w:ilvl="0">
      <w:lvlJc w:val="left"/>
      <w:lvlText w:val="%1."/>
      <w:numFmt w:val="decimal"/>
      <w:start w:val="4"/>
    </w:lvl>
  </w:abstractNum>
  <w:abstractNum w:abstractNumId="29">
    <w:nsid w:val="34DFBC00"/>
    <w:multiLevelType w:val="hybridMultilevel"/>
    <w:lvl w:ilvl="0">
      <w:lvlJc w:val="left"/>
      <w:lvlText w:val="%1."/>
      <w:numFmt w:val="decimal"/>
      <w:start w:val="5"/>
    </w:lvl>
  </w:abstractNum>
  <w:abstractNum w:abstractNumId="30">
    <w:nsid w:val="1F9EC322"/>
    <w:multiLevelType w:val="hybridMultilevel"/>
    <w:lvl w:ilvl="0">
      <w:lvlJc w:val="left"/>
      <w:lvlText w:val="%1."/>
      <w:numFmt w:val="decimal"/>
      <w:start w:val="6"/>
    </w:lvl>
  </w:abstractNum>
  <w:abstractNum w:abstractNumId="31">
    <w:nsid w:val="3410ED56"/>
    <w:multiLevelType w:val="hybridMultilevel"/>
    <w:lvl w:ilvl="0">
      <w:lvlJc w:val="left"/>
      <w:lvlText w:val="%1."/>
      <w:numFmt w:val="decimal"/>
      <w:start w:val="7"/>
    </w:lvl>
  </w:abstractNum>
  <w:abstractNum w:abstractNumId="32">
    <w:nsid w:val="23C049A"/>
    <w:multiLevelType w:val="hybridMultilevel"/>
    <w:lvl w:ilvl="0">
      <w:lvlJc w:val="left"/>
      <w:lvlText w:val="%1."/>
      <w:numFmt w:val="upperLetter"/>
      <w:start w:val="4"/>
    </w:lvl>
    <w:lvl w:ilvl="1">
      <w:lvlJc w:val="left"/>
      <w:lvlText w:val="%2."/>
      <w:numFmt w:val="decimal"/>
      <w:start w:val="1"/>
    </w:lvl>
  </w:abstractNum>
  <w:abstractNum w:abstractNumId="33">
    <w:nsid w:val="5BDA35D4"/>
    <w:multiLevelType w:val="hybridMultilevel"/>
    <w:lvl w:ilvl="0">
      <w:lvlJc w:val="left"/>
      <w:lvlText w:val="%1."/>
      <w:numFmt w:val="decimal"/>
      <w:start w:val="2"/>
    </w:lvl>
  </w:abstractNum>
  <w:abstractNum w:abstractNumId="34">
    <w:nsid w:val="496FB218"/>
    <w:multiLevelType w:val="hybridMultilevel"/>
    <w:lvl w:ilvl="0">
      <w:lvlJc w:val="left"/>
      <w:lvlText w:val="(%1)"/>
      <w:numFmt w:val="lowerLetter"/>
      <w:start w:val="1"/>
    </w:lvl>
  </w:abstractNum>
  <w:abstractNum w:abstractNumId="35">
    <w:nsid w:val="680EA5D1"/>
    <w:multiLevelType w:val="hybridMultilevel"/>
    <w:lvl w:ilvl="0">
      <w:lvlJc w:val="left"/>
      <w:lvlText w:val="(%1)"/>
      <w:numFmt w:val="lowerLetter"/>
      <w:start w:val="2"/>
    </w:lvl>
  </w:abstractNum>
  <w:abstractNum w:abstractNumId="36">
    <w:nsid w:val="4A9554FE"/>
    <w:multiLevelType w:val="hybridMultilevel"/>
    <w:lvl w:ilvl="0">
      <w:lvlJc w:val="left"/>
      <w:lvlText w:val="%1."/>
      <w:numFmt w:val="decimal"/>
      <w:start w:val="3"/>
    </w:lvl>
  </w:abstractNum>
  <w:abstractNum w:abstractNumId="37">
    <w:nsid w:val="392EDBE4"/>
    <w:multiLevelType w:val="hybridMultilevel"/>
    <w:lvl w:ilvl="0">
      <w:lvlJc w:val="left"/>
      <w:lvlText w:val="%1."/>
      <w:numFmt w:val="decimal"/>
      <w:start w:val="4"/>
    </w:lvl>
  </w:abstractNum>
  <w:abstractNum w:abstractNumId="38">
    <w:nsid w:val="3D1A2DD9"/>
    <w:multiLevelType w:val="hybridMultilevel"/>
    <w:lvl w:ilvl="0">
      <w:lvlJc w:val="left"/>
      <w:lvlText w:val="%1."/>
      <w:numFmt w:val="decimal"/>
      <w:start w:val="5"/>
    </w:lvl>
  </w:abstractNum>
  <w:abstractNum w:abstractNumId="39">
    <w:nsid w:val="7F618FCD"/>
    <w:multiLevelType w:val="hybridMultilevel"/>
    <w:lvl w:ilvl="0">
      <w:lvlJc w:val="left"/>
      <w:lvlText w:val="(%1)"/>
      <w:numFmt w:val="decimal"/>
      <w:start w:val="2"/>
    </w:lvl>
    <w:lvl w:ilvl="1">
      <w:lvlJc w:val="left"/>
      <w:lvlText w:val="·"/>
      <w:numFmt w:val="bullet"/>
      <w:start w:val="1"/>
    </w:lvl>
  </w:abstractNum>
  <w:abstractNum w:abstractNumId="40">
    <w:nsid w:val="7843E45"/>
    <w:multiLevelType w:val="hybridMultilevel"/>
    <w:lvl w:ilvl="0">
      <w:lvlJc w:val="left"/>
      <w:lvlText w:val="·"/>
      <w:numFmt w:val="bullet"/>
      <w:start w:val="1"/>
    </w:lvl>
  </w:abstractNum>
  <w:abstractNum w:abstractNumId="41">
    <w:nsid w:val="9815DA3"/>
    <w:multiLevelType w:val="hybridMultilevel"/>
    <w:lvl w:ilvl="0">
      <w:lvlJc w:val="left"/>
      <w:lvlText w:val="(%1)"/>
      <w:numFmt w:val="decimal"/>
      <w:start w:val="4"/>
    </w:lvl>
  </w:abstractNum>
  <w:abstractNum w:abstractNumId="42">
    <w:nsid w:val="5204A191"/>
    <w:multiLevelType w:val="hybridMultilevel"/>
    <w:lvl w:ilvl="0">
      <w:lvlJc w:val="left"/>
      <w:lvlText w:val="%1."/>
      <w:numFmt w:val="decimal"/>
      <w:start w:val="6"/>
    </w:lvl>
  </w:abstractNum>
  <w:abstractNum w:abstractNumId="43">
    <w:nsid w:val="4C73A9C6"/>
    <w:multiLevelType w:val="hybridMultilevel"/>
    <w:lvl w:ilvl="0">
      <w:lvlJc w:val="left"/>
      <w:lvlText w:val="%1."/>
      <w:numFmt w:val="decimal"/>
      <w:start w:val="7"/>
    </w:lvl>
  </w:abstractNum>
  <w:abstractNum w:abstractNumId="44">
    <w:nsid w:val="1C7E3C01"/>
    <w:multiLevelType w:val="hybridMultilevel"/>
    <w:lvl w:ilvl="0">
      <w:lvlJc w:val="left"/>
      <w:lvlText w:val="%1."/>
      <w:numFmt w:val="decimal"/>
      <w:start w:val="8"/>
    </w:lvl>
  </w:abstractNum>
  <w:abstractNum w:abstractNumId="45">
    <w:nsid w:val="1C2201FF"/>
    <w:multiLevelType w:val="hybridMultilevel"/>
    <w:lvl w:ilvl="0">
      <w:lvlJc w:val="left"/>
      <w:lvlText w:val="%1."/>
      <w:numFmt w:val="upperLetter"/>
      <w:start w:val="1"/>
    </w:lvl>
  </w:abstractNum>
  <w:abstractNum w:abstractNumId="46">
    <w:nsid w:val="50ABCEC9"/>
    <w:multiLevelType w:val="hybridMultilevel"/>
    <w:lvl w:ilvl="0">
      <w:lvlJc w:val="left"/>
      <w:lvlText w:val="%1."/>
      <w:numFmt w:val="decimal"/>
      <w:start w:val="1"/>
    </w:lvl>
  </w:abstractNum>
  <w:abstractNum w:abstractNumId="47">
    <w:nsid w:val="7635AA2A"/>
    <w:multiLevelType w:val="hybridMultilevel"/>
    <w:lvl w:ilvl="0">
      <w:lvlJc w:val="left"/>
      <w:lvlText w:val="(%1)"/>
      <w:numFmt w:val="lowerLetter"/>
      <w:start w:val="1"/>
    </w:lvl>
  </w:abstractNum>
  <w:abstractNum w:abstractNumId="48">
    <w:nsid w:val="5E74C4D9"/>
    <w:multiLevelType w:val="hybridMultilevel"/>
    <w:lvl w:ilvl="0">
      <w:lvlJc w:val="left"/>
      <w:lvlText w:val="·"/>
      <w:numFmt w:val="bullet"/>
      <w:start w:val="1"/>
    </w:lvl>
  </w:abstractNum>
  <w:abstractNum w:abstractNumId="49">
    <w:nsid w:val="3B3EBE15"/>
    <w:multiLevelType w:val="hybridMultilevel"/>
    <w:lvl w:ilvl="0">
      <w:lvlJc w:val="left"/>
      <w:lvlText w:val="(%1)"/>
      <w:numFmt w:val="lowerLetter"/>
      <w:start w:val="2"/>
    </w:lvl>
  </w:abstractNum>
  <w:abstractNum w:abstractNumId="50">
    <w:nsid w:val="3822CB01"/>
    <w:multiLevelType w:val="hybridMultilevel"/>
    <w:lvl w:ilvl="0">
      <w:lvlJc w:val="left"/>
      <w:lvlText w:val="(%1)"/>
      <w:numFmt w:val="lowerLetter"/>
      <w:start w:val="3"/>
    </w:lvl>
  </w:abstractNum>
  <w:abstractNum w:abstractNumId="51">
    <w:nsid w:val="6CE00443"/>
    <w:multiLevelType w:val="hybridMultilevel"/>
    <w:lvl w:ilvl="0">
      <w:lvlJc w:val="left"/>
      <w:lvlText w:val="%1."/>
      <w:numFmt w:val="decimal"/>
      <w:start w:val="2"/>
    </w:lvl>
  </w:abstractNum>
  <w:abstractNum w:abstractNumId="52">
    <w:nsid w:val="79F0D62F"/>
    <w:multiLevelType w:val="hybridMultilevel"/>
    <w:lvl w:ilvl="0">
      <w:lvlJc w:val="left"/>
      <w:lvlText w:val="%1."/>
      <w:numFmt w:val="decimal"/>
      <w:start w:val="3"/>
    </w:lvl>
  </w:abstractNum>
  <w:abstractNum w:abstractNumId="53">
    <w:nsid w:val="7975E8EE"/>
    <w:multiLevelType w:val="hybridMultilevel"/>
    <w:lvl w:ilvl="0">
      <w:lvlJc w:val="left"/>
      <w:lvlText w:val="%1."/>
      <w:numFmt w:val="decimal"/>
      <w:start w:val="4"/>
    </w:lvl>
  </w:abstractNum>
  <w:abstractNum w:abstractNumId="54">
    <w:nsid w:val="73154115"/>
    <w:multiLevelType w:val="hybridMultilevel"/>
    <w:lvl w:ilvl="0">
      <w:lvlJc w:val="left"/>
      <w:lvlText w:val="%1."/>
      <w:numFmt w:val="decimal"/>
      <w:start w:val="5"/>
    </w:lvl>
  </w:abstractNum>
  <w:abstractNum w:abstractNumId="55">
    <w:nsid w:val="622D8102"/>
    <w:multiLevelType w:val="hybridMultilevel"/>
    <w:lvl w:ilvl="0">
      <w:lvlJc w:val="left"/>
      <w:lvlText w:val="·"/>
      <w:numFmt w:val="bullet"/>
      <w:start w:val="1"/>
    </w:lvl>
  </w:abstractNum>
  <w:abstractNum w:abstractNumId="56">
    <w:nsid w:val="2AB26587"/>
    <w:multiLevelType w:val="hybridMultilevel"/>
    <w:lvl w:ilvl="0">
      <w:lvlJc w:val="left"/>
      <w:lvlText w:val="·"/>
      <w:numFmt w:val="bullet"/>
      <w:start w:val="1"/>
    </w:lvl>
  </w:abstractNum>
  <w:abstractNum w:abstractNumId="57">
    <w:nsid w:val="44B3FA61"/>
    <w:multiLevelType w:val="hybridMultilevel"/>
    <w:lvl w:ilvl="0">
      <w:lvlJc w:val="left"/>
      <w:lvlText w:val="%1."/>
      <w:numFmt w:val="decimal"/>
      <w:start w:val="6"/>
    </w:lvl>
  </w:abstractNum>
  <w:abstractNum w:abstractNumId="58">
    <w:nsid w:val="1C0CA67C"/>
    <w:multiLevelType w:val="hybridMultilevel"/>
    <w:lvl w:ilvl="0">
      <w:lvlJc w:val="left"/>
      <w:lvlText w:val="%1."/>
      <w:numFmt w:val="decimal"/>
      <w:start w:val="7"/>
    </w:lvl>
  </w:abstractNum>
  <w:abstractNum w:abstractNumId="59">
    <w:nsid w:val="3D206613"/>
    <w:multiLevelType w:val="hybridMultilevel"/>
    <w:lvl w:ilvl="0">
      <w:lvlJc w:val="left"/>
      <w:lvlText w:val="%1."/>
      <w:numFmt w:val="decimal"/>
      <w:start w:val="8"/>
    </w:lvl>
  </w:abstractNum>
  <w:abstractNum w:abstractNumId="60">
    <w:nsid w:val="7993B662"/>
    <w:multiLevelType w:val="hybridMultilevel"/>
    <w:lvl w:ilvl="0">
      <w:lvlJc w:val="left"/>
      <w:lvlText w:val="%1."/>
      <w:numFmt w:val="upperLetter"/>
      <w:start w:val="2"/>
    </w:lvl>
  </w:abstractNum>
  <w:abstractNum w:abstractNumId="61">
    <w:nsid w:val="3BAB699E"/>
    <w:multiLevelType w:val="hybridMultilevel"/>
    <w:lvl w:ilvl="0">
      <w:lvlJc w:val="left"/>
      <w:lvlText w:val="%1."/>
      <w:numFmt w:val="upperLetter"/>
      <w:start w:val="3"/>
    </w:lvl>
  </w:abstractNum>
  <w:abstractNum w:abstractNumId="62">
    <w:nsid w:val="71315369"/>
    <w:multiLevelType w:val="hybridMultilevel"/>
    <w:lvl w:ilvl="0">
      <w:lvlJc w:val="left"/>
      <w:lvlText w:val="%1."/>
      <w:numFmt w:val="decimal"/>
      <w:start w:val="1"/>
    </w:lvl>
  </w:abstractNum>
  <w:abstractNum w:abstractNumId="63">
    <w:nsid w:val="7BCFBAFC"/>
    <w:multiLevelType w:val="hybridMultilevel"/>
    <w:lvl w:ilvl="0">
      <w:lvlJc w:val="left"/>
      <w:lvlText w:val="%1."/>
      <w:numFmt w:val="decimal"/>
      <w:start w:val="2"/>
    </w:lvl>
  </w:abstractNum>
  <w:abstractNum w:abstractNumId="64">
    <w:nsid w:val="17859F72"/>
    <w:multiLevelType w:val="hybridMultilevel"/>
    <w:lvl w:ilvl="0">
      <w:lvlJc w:val="left"/>
      <w:lvlText w:val="%1."/>
      <w:numFmt w:val="decimal"/>
      <w:start w:val="3"/>
    </w:lvl>
  </w:abstractNum>
  <w:abstractNum w:abstractNumId="65">
    <w:nsid w:val="3AA10581"/>
    <w:multiLevelType w:val="hybridMultilevel"/>
    <w:lvl w:ilvl="0">
      <w:lvlJc w:val="left"/>
      <w:lvlText w:val="%1."/>
      <w:numFmt w:val="decimal"/>
      <w:start w:val="4"/>
    </w:lvl>
  </w:abstractNum>
  <w:abstractNum w:abstractNumId="66">
    <w:nsid w:val="63DE60CD"/>
    <w:multiLevelType w:val="hybridMultilevel"/>
    <w:lvl w:ilvl="0">
      <w:lvlJc w:val="left"/>
      <w:lvlText w:val="%1."/>
      <w:numFmt w:val="upperLetter"/>
      <w:start w:val="4"/>
    </w:lvl>
  </w:abstractNum>
  <w:abstractNum w:abstractNumId="67">
    <w:nsid w:val="621AF471"/>
    <w:multiLevelType w:val="hybridMultilevel"/>
    <w:lvl w:ilvl="0">
      <w:lvlJc w:val="left"/>
      <w:lvlText w:val="%1."/>
      <w:numFmt w:val="upperLetter"/>
      <w:start w:val="1"/>
    </w:lvl>
  </w:abstractNum>
  <w:abstractNum w:abstractNumId="68">
    <w:nsid w:val="73CFE165"/>
    <w:multiLevelType w:val="hybridMultilevel"/>
    <w:lvl w:ilvl="0">
      <w:lvlJc w:val="left"/>
      <w:lvlText w:val="%1."/>
      <w:numFmt w:val="upperLetter"/>
      <w:start w:val="2"/>
    </w:lvl>
  </w:abstractNum>
  <w:abstractNum w:abstractNumId="69">
    <w:nsid w:val="20F88EA6"/>
    <w:multiLevelType w:val="hybridMultilevel"/>
    <w:lvl w:ilvl="0">
      <w:lvlJc w:val="left"/>
      <w:lvlText w:val="(%1)"/>
      <w:numFmt w:val="lowerLetter"/>
      <w:start w:val="1"/>
    </w:lvl>
  </w:abstractNum>
  <w:abstractNum w:abstractNumId="70">
    <w:nsid w:val="617C843E"/>
    <w:multiLevelType w:val="hybridMultilevel"/>
    <w:lvl w:ilvl="0">
      <w:lvlJc w:val="left"/>
      <w:lvlText w:val="%1."/>
      <w:numFmt w:val="decimal"/>
      <w:start w:val="2"/>
    </w:lvl>
  </w:abstractNum>
  <w:abstractNum w:abstractNumId="71">
    <w:nsid w:val="7B541FAB"/>
    <w:multiLevelType w:val="hybridMultilevel"/>
    <w:lvl w:ilvl="0">
      <w:lvlJc w:val="left"/>
      <w:lvlText w:val="%1."/>
      <w:numFmt w:val="decimal"/>
      <w:start w:val="3"/>
    </w:lvl>
  </w:abstractNum>
  <w:abstractNum w:abstractNumId="72">
    <w:nsid w:val="2A79EC49"/>
    <w:multiLevelType w:val="hybridMultilevel"/>
    <w:lvl w:ilvl="0">
      <w:lvlJc w:val="left"/>
      <w:lvlText w:val="%1."/>
      <w:numFmt w:val="upperLetter"/>
      <w:start w:val="3"/>
    </w:lvl>
    <w:lvl w:ilvl="1">
      <w:lvlJc w:val="left"/>
      <w:lvlText w:val="%2."/>
      <w:numFmt w:val="decimal"/>
      <w:start w:val="1"/>
    </w:lvl>
  </w:abstractNum>
  <w:abstractNum w:abstractNumId="73">
    <w:nsid w:val="338125CF"/>
    <w:multiLevelType w:val="hybridMultilevel"/>
    <w:lvl w:ilvl="0">
      <w:lvlJc w:val="left"/>
      <w:lvlText w:val="(%1)"/>
      <w:numFmt w:val="decimal"/>
      <w:start w:val="5"/>
    </w:lvl>
  </w:abstractNum>
  <w:abstractNum w:abstractNumId="74">
    <w:nsid w:val="47C7C971"/>
    <w:multiLevelType w:val="hybridMultilevel"/>
    <w:lvl w:ilvl="0">
      <w:lvlJc w:val="left"/>
      <w:lvlText w:val="%1."/>
      <w:numFmt w:val="decimal"/>
      <w:start w:val="2"/>
    </w:lvl>
  </w:abstractNum>
  <w:abstractNum w:abstractNumId="75">
    <w:nsid w:val="46F8284B"/>
    <w:multiLevelType w:val="hybridMultilevel"/>
    <w:lvl w:ilvl="0">
      <w:lvlJc w:val="left"/>
      <w:lvlText w:val="(%1)"/>
      <w:numFmt w:val="lowerLetter"/>
      <w:start w:val="1"/>
    </w:lvl>
  </w:abstractNum>
  <w:abstractNum w:abstractNumId="76">
    <w:nsid w:val="4FA327CE"/>
    <w:multiLevelType w:val="hybridMultilevel"/>
    <w:lvl w:ilvl="0">
      <w:lvlJc w:val="left"/>
      <w:lvlText w:val="·"/>
      <w:numFmt w:val="bullet"/>
      <w:start w:val="1"/>
    </w:lvl>
  </w:abstractNum>
  <w:abstractNum w:abstractNumId="77">
    <w:nsid w:val="1873983A"/>
    <w:multiLevelType w:val="hybridMultilevel"/>
    <w:lvl w:ilvl="0">
      <w:lvlJc w:val="left"/>
      <w:lvlText w:val="(%1)"/>
      <w:numFmt w:val="lowerLetter"/>
      <w:start w:val="2"/>
    </w:lvl>
  </w:abstractNum>
  <w:abstractNum w:abstractNumId="78">
    <w:nsid w:val="3D2DD275"/>
    <w:multiLevelType w:val="hybridMultilevel"/>
    <w:lvl w:ilvl="0">
      <w:lvlJc w:val="left"/>
      <w:lvlText w:val="·"/>
      <w:numFmt w:val="bullet"/>
      <w:start w:val="1"/>
    </w:lvl>
  </w:abstractNum>
  <w:abstractNum w:abstractNumId="79">
    <w:nsid w:val="2E17ECA7"/>
    <w:multiLevelType w:val="hybridMultilevel"/>
    <w:lvl w:ilvl="0">
      <w:lvlJc w:val="left"/>
      <w:lvlText w:val="·"/>
      <w:numFmt w:val="bullet"/>
      <w:start w:val="1"/>
    </w:lvl>
  </w:abstractNum>
  <w:abstractNum w:abstractNumId="80">
    <w:nsid w:val="53B2564F"/>
    <w:multiLevelType w:val="hybridMultilevel"/>
    <w:lvl w:ilvl="0">
      <w:lvlJc w:val="left"/>
      <w:lvlText w:val="(%1)"/>
      <w:numFmt w:val="lowerLetter"/>
      <w:start w:val="3"/>
    </w:lvl>
  </w:abstractNum>
  <w:abstractNum w:abstractNumId="81">
    <w:nsid w:val="75509D76"/>
    <w:multiLevelType w:val="hybridMultilevel"/>
    <w:lvl w:ilvl="0">
      <w:lvlJc w:val="left"/>
      <w:lvlText w:val="·"/>
      <w:numFmt w:val="bullet"/>
      <w:start w:val="1"/>
    </w:lvl>
  </w:abstractNum>
  <w:abstractNum w:abstractNumId="82">
    <w:nsid w:val="1AF7F0EA"/>
    <w:multiLevelType w:val="hybridMultilevel"/>
    <w:lvl w:ilvl="0">
      <w:lvlJc w:val="left"/>
      <w:lvlText w:val="·"/>
      <w:numFmt w:val="bullet"/>
      <w:start w:val="1"/>
    </w:lvl>
  </w:abstractNum>
  <w:abstractNum w:abstractNumId="83">
    <w:nsid w:val="4DA32C7E"/>
    <w:multiLevelType w:val="hybridMultilevel"/>
    <w:lvl w:ilvl="0">
      <w:lvlJc w:val="left"/>
      <w:lvlText w:val="(%1)"/>
      <w:numFmt w:val="lowerLetter"/>
      <w:start w:val="4"/>
    </w:lvl>
  </w:abstractNum>
  <w:abstractNum w:abstractNumId="84">
    <w:nsid w:val="6EC68664"/>
    <w:multiLevelType w:val="hybridMultilevel"/>
    <w:lvl w:ilvl="0">
      <w:lvlJc w:val="left"/>
      <w:lvlText w:val="·"/>
      <w:numFmt w:val="bullet"/>
      <w:start w:val="1"/>
    </w:lvl>
  </w:abstractNum>
  <w:abstractNum w:abstractNumId="85">
    <w:nsid w:val="E0D31FF"/>
    <w:multiLevelType w:val="hybridMultilevel"/>
    <w:lvl w:ilvl="0">
      <w:lvlJc w:val="left"/>
      <w:lvlText w:val="(%1)"/>
      <w:numFmt w:val="lowerLetter"/>
      <w:start w:val="5"/>
    </w:lvl>
  </w:abstractNum>
  <w:abstractNum w:abstractNumId="86">
    <w:nsid w:val="2FD0AD81"/>
    <w:multiLevelType w:val="hybridMultilevel"/>
    <w:lvl w:ilvl="0">
      <w:lvlJc w:val="left"/>
      <w:lvlText w:val="·"/>
      <w:numFmt w:val="bullet"/>
      <w:start w:val="1"/>
    </w:lvl>
  </w:abstractNum>
  <w:abstractNum w:abstractNumId="87">
    <w:nsid w:val="1978EBEB"/>
    <w:multiLevelType w:val="hybridMultilevel"/>
    <w:lvl w:ilvl="0">
      <w:lvlJc w:val="left"/>
      <w:lvlText w:val="·"/>
      <w:numFmt w:val="bullet"/>
      <w:start w:val="1"/>
    </w:lvl>
  </w:abstractNum>
  <w:abstractNum w:abstractNumId="88">
    <w:nsid w:val="52C12C61"/>
    <w:multiLevelType w:val="hybridMultilevel"/>
    <w:lvl w:ilvl="0">
      <w:lvlJc w:val="left"/>
      <w:lvlText w:val="(%1)"/>
      <w:numFmt w:val="lowerLetter"/>
      <w:start w:val="6"/>
    </w:lvl>
  </w:abstractNum>
  <w:abstractNum w:abstractNumId="89">
    <w:nsid w:val="4BDD53FD"/>
    <w:multiLevelType w:val="hybridMultilevel"/>
    <w:lvl w:ilvl="0">
      <w:lvlJc w:val="left"/>
      <w:lvlText w:val="·"/>
      <w:numFmt w:val="bullet"/>
      <w:start w:val="1"/>
    </w:lvl>
  </w:abstractNum>
  <w:abstractNum w:abstractNumId="90">
    <w:nsid w:val="569951FE"/>
    <w:multiLevelType w:val="hybridMultilevel"/>
    <w:lvl w:ilvl="0">
      <w:lvlJc w:val="left"/>
      <w:lvlText w:val="(%1)"/>
      <w:numFmt w:val="lowerLetter"/>
      <w:start w:val="7"/>
    </w:lvl>
  </w:abstractNum>
  <w:abstractNum w:abstractNumId="91">
    <w:nsid w:val="4C54E2C3"/>
    <w:multiLevelType w:val="hybridMultilevel"/>
    <w:lvl w:ilvl="0">
      <w:lvlJc w:val="left"/>
      <w:lvlText w:val="·"/>
      <w:numFmt w:val="bullet"/>
      <w:start w:val="1"/>
    </w:lvl>
    <w:lvl w:ilvl="1">
      <w:lvlJc w:val="left"/>
      <w:lvlText w:val="·"/>
      <w:numFmt w:val="bullet"/>
      <w:start w:val="1"/>
    </w:lvl>
  </w:abstractNum>
  <w:abstractNum w:abstractNumId="92">
    <w:nsid w:val="788BD9B"/>
    <w:multiLevelType w:val="hybridMultilevel"/>
    <w:lvl w:ilvl="0">
      <w:lvlJc w:val="left"/>
      <w:lvlText w:val="·"/>
      <w:numFmt w:val="bullet"/>
      <w:start w:val="1"/>
    </w:lvl>
    <w:lvl w:ilvl="1">
      <w:lvlJc w:val="left"/>
      <w:lvlText w:val="·"/>
      <w:numFmt w:val="bullet"/>
      <w:start w:val="1"/>
    </w:lvl>
  </w:abstractNum>
  <w:abstractNum w:abstractNumId="93">
    <w:nsid w:val="47CAA567"/>
    <w:multiLevelType w:val="hybridMultilevel"/>
    <w:lvl w:ilvl="0">
      <w:lvlJc w:val="left"/>
      <w:lvlText w:val="·"/>
      <w:numFmt w:val="bullet"/>
      <w:start w:val="1"/>
    </w:lvl>
  </w:abstractNum>
  <w:abstractNum w:abstractNumId="94">
    <w:nsid w:val="48249DBF"/>
    <w:multiLevelType w:val="hybridMultilevel"/>
    <w:lvl w:ilvl="0">
      <w:lvlJc w:val="left"/>
      <w:lvlText w:val="(%1)"/>
      <w:numFmt w:val="lowerLetter"/>
      <w:start w:val="8"/>
    </w:lvl>
  </w:abstractNum>
  <w:abstractNum w:abstractNumId="95">
    <w:nsid w:val="1F0E5D0D"/>
    <w:multiLevelType w:val="hybridMultilevel"/>
    <w:lvl w:ilvl="0">
      <w:lvlJc w:val="left"/>
      <w:lvlText w:val="·"/>
      <w:numFmt w:val="bullet"/>
      <w:start w:val="1"/>
    </w:lvl>
  </w:abstractNum>
  <w:abstractNum w:abstractNumId="96">
    <w:nsid w:val="26BAAE9"/>
    <w:multiLevelType w:val="hybridMultilevel"/>
    <w:lvl w:ilvl="0">
      <w:lvlJc w:val="left"/>
      <w:lvlText w:val="(%1)"/>
      <w:numFmt w:val="lowerRoman"/>
      <w:start w:val="1"/>
    </w:lvl>
  </w:abstractNum>
  <w:abstractNum w:abstractNumId="97">
    <w:nsid w:val="2C02FE8C"/>
    <w:multiLevelType w:val="hybridMultilevel"/>
    <w:lvl w:ilvl="0">
      <w:lvlJc w:val="left"/>
      <w:lvlText w:val="·"/>
      <w:numFmt w:val="bullet"/>
      <w:start w:val="1"/>
    </w:lvl>
  </w:abstractNum>
  <w:abstractNum w:abstractNumId="98">
    <w:nsid w:val="129517E"/>
    <w:multiLevelType w:val="hybridMultilevel"/>
    <w:lvl w:ilvl="0">
      <w:lvlJc w:val="left"/>
      <w:lvlText w:val="(%1)"/>
      <w:numFmt w:val="lowerLetter"/>
      <w:start w:val="10"/>
    </w:lvl>
  </w:abstractNum>
  <w:abstractNum w:abstractNumId="99">
    <w:nsid w:val="763B8C4E"/>
    <w:multiLevelType w:val="hybridMultilevel"/>
    <w:lvl w:ilvl="0">
      <w:lvlJc w:val="left"/>
      <w:lvlText w:val="(%1)"/>
      <w:numFmt w:val="decimal"/>
      <w:start w:val="5"/>
    </w:lvl>
    <w:lvl w:ilvl="1">
      <w:lvlJc w:val="left"/>
      <w:lvlText w:val="·"/>
      <w:numFmt w:val="bullet"/>
      <w:start w:val="1"/>
    </w:lvl>
  </w:abstractNum>
  <w:abstractNum w:abstractNumId="100">
    <w:nsid w:val="4CFB8D32"/>
    <w:multiLevelType w:val="hybridMultilevel"/>
    <w:lvl w:ilvl="0">
      <w:lvlJc w:val="left"/>
      <w:lvlText w:val="·"/>
      <w:numFmt w:val="bullet"/>
      <w:start w:val="1"/>
    </w:lvl>
  </w:abstractNum>
  <w:abstractNum w:abstractNumId="101">
    <w:nsid w:val="62A5D5BD"/>
    <w:multiLevelType w:val="hybridMultilevel"/>
    <w:lvl w:ilvl="0">
      <w:lvlJc w:val="left"/>
      <w:lvlText w:val="(%1)"/>
      <w:numFmt w:val="lowerLetter"/>
      <w:start w:val="11"/>
    </w:lvl>
  </w:abstractNum>
  <w:abstractNum w:abstractNumId="102">
    <w:nsid w:val="718FABF9"/>
    <w:multiLevelType w:val="hybridMultilevel"/>
    <w:lvl w:ilvl="0">
      <w:lvlJc w:val="left"/>
      <w:lvlText w:val="·"/>
      <w:numFmt w:val="bullet"/>
      <w:start w:val="1"/>
    </w:lvl>
  </w:abstractNum>
  <w:abstractNum w:abstractNumId="103">
    <w:nsid w:val="7775797C"/>
    <w:multiLevelType w:val="hybridMultilevel"/>
    <w:lvl w:ilvl="0">
      <w:lvlJc w:val="left"/>
      <w:lvlText w:val="(%1)"/>
      <w:numFmt w:val="lowerLetter"/>
      <w:start w:val="12"/>
    </w:lvl>
  </w:abstractNum>
  <w:abstractNum w:abstractNumId="104">
    <w:nsid w:val="1626FB8C"/>
    <w:multiLevelType w:val="hybridMultilevel"/>
    <w:lvl w:ilvl="0">
      <w:lvlJc w:val="left"/>
      <w:lvlText w:val="%1."/>
      <w:numFmt w:val="decimal"/>
      <w:start w:val="2"/>
    </w:lvl>
    <w:lvl w:ilvl="1">
      <w:lvlJc w:val="left"/>
      <w:lvlText w:val="·"/>
      <w:numFmt w:val="bullet"/>
      <w:start w:val="1"/>
    </w:lvl>
  </w:abstractNum>
  <w:abstractNum w:abstractNumId="105">
    <w:nsid w:val="3957756A"/>
    <w:multiLevelType w:val="hybridMultilevel"/>
    <w:lvl w:ilvl="0">
      <w:lvlJc w:val="left"/>
      <w:lvlText w:val="%1."/>
      <w:numFmt w:val="decimal"/>
      <w:start w:val="4"/>
    </w:lvl>
  </w:abstractNum>
  <w:abstractNum w:abstractNumId="106">
    <w:nsid w:val="3E6DA1C7"/>
    <w:multiLevelType w:val="hybridMultilevel"/>
    <w:lvl w:ilvl="0">
      <w:lvlJc w:val="left"/>
      <w:lvlText w:val="%1."/>
      <w:numFmt w:val="upperLetter"/>
      <w:start w:val="4"/>
    </w:lvl>
    <w:lvl w:ilvl="1">
      <w:lvlJc w:val="left"/>
      <w:lvlText w:val="%2."/>
      <w:numFmt w:val="decimal"/>
      <w:start w:val="1"/>
    </w:lvl>
  </w:abstractNum>
  <w:abstractNum w:abstractNumId="107">
    <w:nsid w:val="65CA235B"/>
    <w:multiLevelType w:val="hybridMultilevel"/>
    <w:lvl w:ilvl="0">
      <w:lvlJc w:val="left"/>
      <w:lvlText w:val="%1."/>
      <w:numFmt w:val="decimal"/>
      <w:start w:val="2"/>
    </w:lvl>
  </w:abstractNum>
  <w:abstractNum w:abstractNumId="108">
    <w:nsid w:val="51CB0DA4"/>
    <w:multiLevelType w:val="hybridMultilevel"/>
    <w:lvl w:ilvl="0">
      <w:lvlJc w:val="left"/>
      <w:lvlText w:val="%1."/>
      <w:numFmt w:val="decimal"/>
      <w:start w:val="3"/>
    </w:lvl>
  </w:abstractNum>
  <w:abstractNum w:abstractNumId="109">
    <w:nsid w:val="7B9B743C"/>
    <w:multiLevelType w:val="hybridMultilevel"/>
    <w:lvl w:ilvl="0">
      <w:lvlJc w:val="left"/>
      <w:lvlText w:val="%1."/>
      <w:numFmt w:val="decimal"/>
      <w:start w:val="4"/>
    </w:lvl>
  </w:abstractNum>
  <w:abstractNum w:abstractNumId="110">
    <w:nsid w:val="13E21002"/>
    <w:multiLevelType w:val="hybridMultilevel"/>
    <w:lvl w:ilvl="0">
      <w:lvlJc w:val="left"/>
      <w:lvlText w:val="%1."/>
      <w:numFmt w:val="decimal"/>
      <w:start w:val="5"/>
    </w:lvl>
  </w:abstractNum>
  <w:abstractNum w:abstractNumId="111">
    <w:nsid w:val="257D63F4"/>
    <w:multiLevelType w:val="hybridMultilevel"/>
    <w:lvl w:ilvl="0">
      <w:lvlJc w:val="left"/>
      <w:lvlText w:val="%1."/>
      <w:numFmt w:val="decimal"/>
      <w:start w:val="6"/>
    </w:lvl>
  </w:abstractNum>
  <w:abstractNum w:abstractNumId="112">
    <w:nsid w:val="70EC11B2"/>
    <w:multiLevelType w:val="hybridMultilevel"/>
    <w:lvl w:ilvl="0">
      <w:lvlJc w:val="left"/>
      <w:lvlText w:val="%1."/>
      <w:numFmt w:val="upperLetter"/>
      <w:start w:val="5"/>
    </w:lvl>
  </w:abstractNum>
  <w:abstractNum w:abstractNumId="113">
    <w:nsid w:val="2EDA00ED"/>
    <w:multiLevelType w:val="hybridMultilevel"/>
    <w:lvl w:ilvl="0">
      <w:lvlJc w:val="left"/>
      <w:lvlText w:val="%1."/>
      <w:numFmt w:val="decimal"/>
      <w:start w:val="2"/>
    </w:lvl>
  </w:abstractNum>
  <w:abstractNum w:abstractNumId="114">
    <w:nsid w:val="73209072"/>
    <w:multiLevelType w:val="hybridMultilevel"/>
    <w:lvl w:ilvl="0">
      <w:lvlJc w:val="left"/>
      <w:lvlText w:val="%1"/>
      <w:numFmt w:val="decimal"/>
      <w:start w:val="11"/>
    </w:lvl>
    <w:lvl w:ilvl="1">
      <w:lvlJc w:val="left"/>
      <w:lvlText w:val="%2."/>
      <w:numFmt w:val="decimal"/>
      <w:start w:val="3"/>
    </w:lvl>
  </w:abstractNum>
  <w:abstractNum w:abstractNumId="115">
    <w:nsid w:val="5FB29816"/>
    <w:multiLevelType w:val="hybridMultilevel"/>
    <w:lvl w:ilvl="0">
      <w:lvlJc w:val="left"/>
      <w:lvlText w:val="%1."/>
      <w:numFmt w:val="decimal"/>
      <w:start w:val="4"/>
    </w:lvl>
  </w:abstractNum>
  <w:abstractNum w:abstractNumId="116">
    <w:nsid w:val="3CE732EC"/>
    <w:multiLevelType w:val="hybridMultilevel"/>
    <w:lvl w:ilvl="0">
      <w:lvlJc w:val="left"/>
      <w:lvlText w:val="%1."/>
      <w:numFmt w:val="decimal"/>
      <w:start w:val="5"/>
    </w:lvl>
  </w:abstractNum>
  <w:abstractNum w:abstractNumId="117">
    <w:nsid w:val="22F13DF3"/>
    <w:multiLevelType w:val="hybridMultilevel"/>
    <w:lvl w:ilvl="0">
      <w:lvlJc w:val="left"/>
      <w:lvlText w:val="%1."/>
      <w:numFmt w:val="decimal"/>
      <w:start w:val="6"/>
    </w:lvl>
  </w:abstractNum>
  <w:abstractNum w:abstractNumId="118">
    <w:nsid w:val="792B8401"/>
    <w:multiLevelType w:val="hybridMultilevel"/>
    <w:lvl w:ilvl="0">
      <w:lvlJc w:val="left"/>
      <w:lvlText w:val="%1."/>
      <w:numFmt w:val="decimal"/>
      <w:start w:val="7"/>
    </w:lvl>
  </w:abstractNum>
  <w:abstractNum w:abstractNumId="119">
    <w:nsid w:val="FA85F4D"/>
    <w:multiLevelType w:val="hybridMultilevel"/>
    <w:lvl w:ilvl="0">
      <w:lvlJc w:val="left"/>
      <w:lvlText w:val="%1."/>
      <w:numFmt w:val="decimal"/>
      <w:start w:val="8"/>
    </w:lvl>
  </w:abstractNum>
  <w:abstractNum w:abstractNumId="120">
    <w:nsid w:val="6ECE91F0"/>
    <w:multiLevelType w:val="hybridMultilevel"/>
    <w:lvl w:ilvl="0">
      <w:lvlJc w:val="left"/>
      <w:lvlText w:val="%1."/>
      <w:numFmt w:val="decimal"/>
      <w:start w:val="9"/>
    </w:lvl>
  </w:abstractNum>
  <w:abstractNum w:abstractNumId="121">
    <w:nsid w:val="4FC4D600"/>
    <w:multiLevelType w:val="hybridMultilevel"/>
    <w:lvl w:ilvl="0">
      <w:lvlJc w:val="left"/>
      <w:lvlText w:val="%1."/>
      <w:numFmt w:val="decimal"/>
      <w:start w:val="10"/>
    </w:lvl>
  </w:abstractNum>
  <w:abstractNum w:abstractNumId="122">
    <w:nsid w:val="5BFD4210"/>
    <w:multiLevelType w:val="hybridMultilevel"/>
    <w:lvl w:ilvl="0">
      <w:lvlJc w:val="left"/>
      <w:lvlText w:val="%1."/>
      <w:numFmt w:val="decimal"/>
      <w:start w:val="11"/>
    </w:lvl>
  </w:abstractNum>
  <w:abstractNum w:abstractNumId="123">
    <w:nsid w:val="76574F8B"/>
    <w:multiLevelType w:val="hybridMultilevel"/>
    <w:lvl w:ilvl="0">
      <w:lvlJc w:val="left"/>
      <w:lvlText w:val="%1."/>
      <w:numFmt w:val="decimal"/>
      <w:start w:val="12"/>
    </w:lvl>
  </w:abstractNum>
  <w:abstractNum w:abstractNumId="124">
    <w:nsid w:val="178F7B67"/>
    <w:multiLevelType w:val="hybridMultilevel"/>
    <w:lvl w:ilvl="0">
      <w:lvlJc w:val="left"/>
      <w:lvlText w:val="%1."/>
      <w:numFmt w:val="decimal"/>
      <w:start w:val="13"/>
    </w:lvl>
  </w:abstractNum>
  <w:abstractNum w:abstractNumId="125">
    <w:nsid w:val="2421DFCF"/>
    <w:multiLevelType w:val="hybridMultilevel"/>
    <w:lvl w:ilvl="0">
      <w:lvlJc w:val="left"/>
      <w:lvlText w:val="%1."/>
      <w:numFmt w:val="decimal"/>
      <w:start w:val="14"/>
    </w:lvl>
  </w:abstractNum>
  <w:abstractNum w:abstractNumId="126">
    <w:nsid w:val="1565AC99"/>
    <w:multiLevelType w:val="hybridMultilevel"/>
    <w:lvl w:ilvl="0">
      <w:lvlJc w:val="left"/>
      <w:lvlText w:val="(%1)"/>
      <w:numFmt w:val="decimal"/>
      <w:start w:val="6"/>
    </w:lvl>
  </w:abstractNum>
  <w:abstractNum w:abstractNumId="127">
    <w:nsid w:val="19FB2650"/>
    <w:multiLevelType w:val="hybridMultilevel"/>
    <w:lvl w:ilvl="0">
      <w:lvlJc w:val="left"/>
      <w:lvlText w:val="%1."/>
      <w:numFmt w:val="decimal"/>
      <w:start w:val="15"/>
    </w:lvl>
  </w:abstractNum>
  <w:abstractNum w:abstractNumId="128">
    <w:nsid w:val="5024DE5B"/>
    <w:multiLevelType w:val="hybridMultilevel"/>
    <w:lvl w:ilvl="0">
      <w:lvlJc w:val="left"/>
      <w:lvlText w:val="%1."/>
      <w:numFmt w:val="decimal"/>
      <w:start w:val="16"/>
    </w:lvl>
  </w:abstractNum>
  <w:abstractNum w:abstractNumId="129">
    <w:nsid w:val="168EFE17"/>
    <w:multiLevelType w:val="hybridMultilevel"/>
    <w:lvl w:ilvl="0">
      <w:lvlJc w:val="left"/>
      <w:lvlText w:val="%1."/>
      <w:numFmt w:val="decimal"/>
      <w:start w:val="17"/>
    </w:lvl>
  </w:abstractNum>
  <w:abstractNum w:abstractNumId="130">
    <w:nsid w:val="1036B29F"/>
    <w:multiLevelType w:val="hybridMultilevel"/>
    <w:lvl w:ilvl="0">
      <w:lvlJc w:val="left"/>
      <w:lvlText w:val="%1."/>
      <w:numFmt w:val="decimal"/>
      <w:start w:val="18"/>
    </w:lvl>
  </w:abstractNum>
  <w:abstractNum w:abstractNumId="131">
    <w:nsid w:val="1D206B8E"/>
    <w:multiLevelType w:val="hybridMultilevel"/>
    <w:lvl w:ilvl="0">
      <w:lvlJc w:val="left"/>
      <w:lvlText w:val="%1."/>
      <w:numFmt w:val="decimal"/>
      <w:start w:val="19"/>
    </w:lvl>
  </w:abstractNum>
  <w:abstractNum w:abstractNumId="132">
    <w:nsid w:val="7934D3D4"/>
    <w:multiLevelType w:val="hybridMultilevel"/>
    <w:lvl w:ilvl="0">
      <w:lvlJc w:val="left"/>
      <w:lvlText w:val="%1."/>
      <w:numFmt w:val="decimal"/>
      <w:start w:val="20"/>
    </w:lvl>
  </w:abstractNum>
  <w:abstractNum w:abstractNumId="133">
    <w:nsid w:val="1C65E98"/>
    <w:multiLevelType w:val="hybridMultilevel"/>
    <w:lvl w:ilvl="0">
      <w:lvlJc w:val="left"/>
      <w:lvlText w:val="%1."/>
      <w:numFmt w:val="decimal"/>
      <w:start w:val="21"/>
    </w:lvl>
  </w:abstractNum>
  <w:abstractNum w:abstractNumId="134">
    <w:nsid w:val="1495E50A"/>
    <w:multiLevelType w:val="hybridMultilevel"/>
    <w:lvl w:ilvl="0">
      <w:lvlJc w:val="left"/>
      <w:lvlText w:val="%1."/>
      <w:numFmt w:val="decimal"/>
      <w:start w:val="22"/>
    </w:lvl>
  </w:abstractNum>
  <w:abstractNum w:abstractNumId="135">
    <w:nsid w:val="F5BCF61"/>
    <w:multiLevelType w:val="hybridMultilevel"/>
    <w:lvl w:ilvl="0">
      <w:lvlJc w:val="left"/>
      <w:lvlText w:val="%1."/>
      <w:numFmt w:val="decimal"/>
      <w:start w:val="23"/>
    </w:lvl>
  </w:abstractNum>
  <w:abstractNum w:abstractNumId="136">
    <w:nsid w:val="3B1DD403"/>
    <w:multiLevelType w:val="hybridMultilevel"/>
    <w:lvl w:ilvl="0">
      <w:lvlJc w:val="left"/>
      <w:lvlText w:val="%1."/>
      <w:numFmt w:val="upperLetter"/>
      <w:start w:val="6"/>
    </w:lvl>
    <w:lvl w:ilvl="1">
      <w:lvlJc w:val="left"/>
      <w:lvlText w:val="%2."/>
      <w:numFmt w:val="decimal"/>
      <w:start w:val="1"/>
    </w:lvl>
  </w:abstractNum>
  <w:abstractNum w:abstractNumId="137">
    <w:nsid w:val="530386D1"/>
    <w:multiLevelType w:val="hybridMultilevel"/>
    <w:lvl w:ilvl="0">
      <w:lvlJc w:val="left"/>
      <w:lvlText w:val="(%1)"/>
      <w:numFmt w:val="lowerLetter"/>
      <w:start w:val="1"/>
    </w:lvl>
  </w:abstractNum>
  <w:abstractNum w:abstractNumId="138">
    <w:nsid w:val="7525F2BC"/>
    <w:multiLevelType w:val="hybridMultilevel"/>
    <w:lvl w:ilvl="0">
      <w:lvlJc w:val="left"/>
      <w:lvlText w:val="%1."/>
      <w:numFmt w:val="decimal"/>
      <w:start w:val="2"/>
    </w:lvl>
  </w:abstractNum>
  <w:abstractNum w:abstractNumId="139">
    <w:nsid w:val="CE8E1A7"/>
    <w:multiLevelType w:val="hybridMultilevel"/>
    <w:lvl w:ilvl="0">
      <w:lvlJc w:val="left"/>
      <w:lvlText w:val="%1."/>
      <w:numFmt w:val="decimal"/>
      <w:start w:val="3"/>
    </w:lvl>
  </w:abstractNum>
  <w:abstractNum w:abstractNumId="140">
    <w:nsid w:val="4E9EFB0D"/>
    <w:multiLevelType w:val="hybridMultilevel"/>
    <w:lvl w:ilvl="0">
      <w:lvlJc w:val="left"/>
      <w:lvlText w:val="%1."/>
      <w:numFmt w:val="decimal"/>
      <w:start w:val="4"/>
    </w:lvl>
  </w:abstractNum>
  <w:abstractNum w:abstractNumId="141">
    <w:nsid w:val="90802BE"/>
    <w:multiLevelType w:val="hybridMultilevel"/>
    <w:lvl w:ilvl="0">
      <w:lvlJc w:val="left"/>
      <w:lvlText w:val="%1."/>
      <w:numFmt w:val="decimal"/>
      <w:start w:val="5"/>
    </w:lvl>
  </w:abstractNum>
  <w:abstractNum w:abstractNumId="142">
    <w:nsid w:val="3266459B"/>
    <w:multiLevelType w:val="hybridMultilevel"/>
    <w:lvl w:ilvl="0">
      <w:lvlJc w:val="left"/>
      <w:lvlText w:val="%1."/>
      <w:numFmt w:val="decimal"/>
      <w:start w:val="6"/>
    </w:lvl>
  </w:abstractNum>
  <w:abstractNum w:abstractNumId="143">
    <w:nsid w:val="3F8B0CBF"/>
    <w:multiLevelType w:val="hybridMultilevel"/>
    <w:lvl w:ilvl="0">
      <w:lvlJc w:val="left"/>
      <w:lvlText w:val="%1."/>
      <w:numFmt w:val="decimal"/>
      <w:start w:val="7"/>
    </w:lvl>
  </w:abstractNum>
  <w:abstractNum w:abstractNumId="144">
    <w:nsid w:val="37E203AB"/>
    <w:multiLevelType w:val="hybridMultilevel"/>
    <w:lvl w:ilvl="0">
      <w:lvlJc w:val="left"/>
      <w:lvlText w:val="%1."/>
      <w:numFmt w:val="decimal"/>
      <w:start w:val="8"/>
    </w:lvl>
  </w:abstractNum>
  <w:abstractNum w:abstractNumId="145">
    <w:nsid w:val="2586D60E"/>
    <w:multiLevelType w:val="hybridMultilevel"/>
    <w:lvl w:ilvl="0">
      <w:lvlJc w:val="left"/>
      <w:lvlText w:val="%1."/>
      <w:numFmt w:val="decimal"/>
      <w:start w:val="9"/>
    </w:lvl>
  </w:abstractNum>
  <w:abstractNum w:abstractNumId="146">
    <w:nsid w:val="1F3DA4D5"/>
    <w:multiLevelType w:val="hybridMultilevel"/>
    <w:lvl w:ilvl="0">
      <w:lvlJc w:val="left"/>
      <w:lvlText w:val="%1."/>
      <w:numFmt w:val="decimal"/>
      <w:start w:val="10"/>
    </w:lvl>
  </w:abstractNum>
  <w:abstractNum w:abstractNumId="147">
    <w:nsid w:val="74C93698"/>
    <w:multiLevelType w:val="hybridMultilevel"/>
    <w:lvl w:ilvl="0">
      <w:lvlJc w:val="left"/>
      <w:lvlText w:val="%1."/>
      <w:numFmt w:val="upperLetter"/>
      <w:start w:val="7"/>
    </w:lvl>
  </w:abstractNum>
  <w:abstractNum w:abstractNumId="148">
    <w:nsid w:val="48781401"/>
    <w:multiLevelType w:val="hybridMultilevel"/>
    <w:lvl w:ilvl="0">
      <w:lvlJc w:val="left"/>
      <w:lvlText w:val="%1."/>
      <w:numFmt w:val="decimal"/>
      <w:start w:val="2"/>
    </w:lvl>
  </w:abstractNum>
  <w:abstractNum w:abstractNumId="149">
    <w:nsid w:val="186928D6"/>
    <w:multiLevelType w:val="hybridMultilevel"/>
    <w:lvl w:ilvl="0">
      <w:lvlJc w:val="left"/>
      <w:lvlText w:val="%1."/>
      <w:numFmt w:val="decimal"/>
      <w:start w:val="3"/>
    </w:lvl>
  </w:abstractNum>
  <w:abstractNum w:abstractNumId="150">
    <w:nsid w:val="47195E5"/>
    <w:multiLevelType w:val="hybridMultilevel"/>
    <w:lvl w:ilvl="0">
      <w:lvlJc w:val="left"/>
      <w:lvlText w:val="%1."/>
      <w:numFmt w:val="decimal"/>
      <w:start w:val="4"/>
    </w:lvl>
  </w:abstractNum>
  <w:abstractNum w:abstractNumId="151">
    <w:nsid w:val="3746A5F2"/>
    <w:multiLevelType w:val="hybridMultilevel"/>
    <w:lvl w:ilvl="0">
      <w:lvlJc w:val="left"/>
      <w:lvlText w:val="(%1)"/>
      <w:numFmt w:val="lowerLetter"/>
      <w:start w:val="1"/>
    </w:lvl>
  </w:abstractNum>
  <w:abstractNum w:abstractNumId="152">
    <w:nsid w:val="682DFED6"/>
    <w:multiLevelType w:val="hybridMultilevel"/>
    <w:lvl w:ilvl="0">
      <w:lvlJc w:val="left"/>
      <w:lvlText w:val="(%1)"/>
      <w:numFmt w:val="lowerLetter"/>
      <w:start w:val="2"/>
    </w:lvl>
  </w:abstractNum>
  <w:abstractNum w:abstractNumId="153">
    <w:nsid w:val="606ED7F6"/>
    <w:multiLevelType w:val="hybridMultilevel"/>
    <w:lvl w:ilvl="0">
      <w:lvlJc w:val="left"/>
      <w:lvlText w:val="(%1)"/>
      <w:numFmt w:val="lowerLetter"/>
      <w:start w:val="3"/>
    </w:lvl>
  </w:abstractNum>
  <w:abstractNum w:abstractNumId="154">
    <w:nsid w:val="2D9DF57D"/>
    <w:multiLevelType w:val="hybridMultilevel"/>
    <w:lvl w:ilvl="0">
      <w:lvlJc w:val="left"/>
      <w:lvlText w:val="(%1)"/>
      <w:numFmt w:val="lowerLetter"/>
      <w:start w:val="4"/>
    </w:lvl>
  </w:abstractNum>
  <w:abstractNum w:abstractNumId="155">
    <w:nsid w:val="7FBD7A3E"/>
    <w:multiLevelType w:val="hybridMultilevel"/>
    <w:lvl w:ilvl="0">
      <w:lvlJc w:val="left"/>
      <w:lvlText w:val="·"/>
      <w:numFmt w:val="bullet"/>
      <w:start w:val="1"/>
    </w:lvl>
  </w:abstractNum>
  <w:abstractNum w:abstractNumId="156">
    <w:nsid w:val="490B7C5"/>
    <w:multiLevelType w:val="hybridMultilevel"/>
    <w:lvl w:ilvl="0">
      <w:lvlJc w:val="left"/>
      <w:lvlText w:val="%1."/>
      <w:numFmt w:val="decimal"/>
      <w:start w:val="4"/>
    </w:lvl>
    <w:lvl w:ilvl="1">
      <w:lvlJc w:val="left"/>
      <w:lvlText w:val="·"/>
      <w:numFmt w:val="bullet"/>
      <w:start w:val="1"/>
    </w:lvl>
  </w:abstractNum>
  <w:abstractNum w:abstractNumId="157">
    <w:nsid w:val="4303A216"/>
    <w:multiLevelType w:val="hybridMultilevel"/>
    <w:lvl w:ilvl="0">
      <w:lvlJc w:val="left"/>
      <w:lvlText w:val="%1."/>
      <w:numFmt w:val="decimal"/>
      <w:start w:val="6"/>
    </w:lvl>
  </w:abstractNum>
  <w:abstractNum w:abstractNumId="158">
    <w:nsid w:val="19B8A08E"/>
    <w:multiLevelType w:val="hybridMultilevel"/>
    <w:lvl w:ilvl="0">
      <w:lvlJc w:val="left"/>
      <w:lvlText w:val="%1."/>
      <w:numFmt w:val="decimal"/>
      <w:start w:val="8"/>
    </w:lvl>
  </w:abstractNum>
  <w:abstractNum w:abstractNumId="159">
    <w:nsid w:val="54B59621"/>
    <w:multiLevelType w:val="hybridMultilevel"/>
    <w:lvl w:ilvl="0">
      <w:lvlJc w:val="left"/>
      <w:lvlText w:val="%1."/>
      <w:numFmt w:val="decimal"/>
      <w:start w:val="9"/>
    </w:lvl>
  </w:abstractNum>
  <w:abstractNum w:abstractNumId="160">
    <w:nsid w:val="5992A02E"/>
    <w:multiLevelType w:val="hybridMultilevel"/>
    <w:lvl w:ilvl="0">
      <w:lvlJc w:val="left"/>
      <w:lvlText w:val="%1."/>
      <w:numFmt w:val="upperLetter"/>
      <w:start w:val="8"/>
    </w:lvl>
    <w:lvl w:ilvl="1">
      <w:lvlJc w:val="left"/>
      <w:lvlText w:val="%2."/>
      <w:numFmt w:val="decimal"/>
      <w:start w:val="1"/>
    </w:lvl>
    <w:lvl w:ilvl="2">
      <w:lvlJc w:val="left"/>
      <w:lvlText w:val="(%3)"/>
      <w:numFmt w:val="lowerLetter"/>
      <w:start w:val="1"/>
    </w:lvl>
  </w:abstractNum>
  <w:abstractNum w:abstractNumId="161">
    <w:nsid w:val="29EF532D"/>
    <w:multiLevelType w:val="hybridMultilevel"/>
    <w:lvl w:ilvl="0">
      <w:lvlJc w:val="left"/>
      <w:lvlText w:val="(%1)"/>
      <w:numFmt w:val="lowerLetter"/>
      <w:start w:val="2"/>
    </w:lvl>
  </w:abstractNum>
  <w:abstractNum w:abstractNumId="162">
    <w:nsid w:val="71D601AF"/>
    <w:multiLevelType w:val="hybridMultilevel"/>
    <w:lvl w:ilvl="0">
      <w:lvlJc w:val="left"/>
      <w:lvlText w:val="(%1)"/>
      <w:numFmt w:val="lowerLetter"/>
      <w:start w:val="3"/>
    </w:lvl>
  </w:abstractNum>
  <w:abstractNum w:abstractNumId="163">
    <w:nsid w:val="52C77402"/>
    <w:multiLevelType w:val="hybridMultilevel"/>
    <w:lvl w:ilvl="0">
      <w:lvlJc w:val="left"/>
      <w:lvlText w:val="(%1)"/>
      <w:numFmt w:val="lowerLetter"/>
      <w:start w:val="4"/>
    </w:lvl>
  </w:abstractNum>
  <w:abstractNum w:abstractNumId="164">
    <w:nsid w:val="2BB5B1C6"/>
    <w:multiLevelType w:val="hybridMultilevel"/>
    <w:lvl w:ilvl="0">
      <w:lvlJc w:val="left"/>
      <w:lvlText w:val="%1."/>
      <w:numFmt w:val="decimal"/>
      <w:start w:val="2"/>
    </w:lvl>
  </w:abstractNum>
  <w:abstractNum w:abstractNumId="165">
    <w:nsid w:val="66BE6B9"/>
    <w:multiLevelType w:val="hybridMultilevel"/>
    <w:lvl w:ilvl="0">
      <w:lvlJc w:val="left"/>
      <w:lvlText w:val="%1."/>
      <w:numFmt w:val="decimal"/>
      <w:start w:val="3"/>
    </w:lvl>
  </w:abstractNum>
  <w:abstractNum w:abstractNumId="166">
    <w:nsid w:val="62234363"/>
    <w:multiLevelType w:val="hybridMultilevel"/>
    <w:lvl w:ilvl="0">
      <w:lvlJc w:val="left"/>
      <w:lvlText w:val="%1."/>
      <w:numFmt w:val="decimal"/>
      <w:start w:val="4"/>
    </w:lvl>
  </w:abstractNum>
  <w:abstractNum w:abstractNumId="167">
    <w:nsid w:val="66D385C9"/>
    <w:multiLevelType w:val="hybridMultilevel"/>
    <w:lvl w:ilvl="0">
      <w:lvlJc w:val="left"/>
      <w:lvlText w:val="%1."/>
      <w:numFmt w:val="upperLetter"/>
      <w:start w:val="9"/>
    </w:lvl>
  </w:abstractNum>
  <w:abstractNum w:abstractNumId="168">
    <w:nsid w:val="596F6D8A"/>
    <w:multiLevelType w:val="hybridMultilevel"/>
    <w:lvl w:ilvl="0">
      <w:lvlJc w:val="left"/>
      <w:lvlText w:val="%1."/>
      <w:numFmt w:val="decimal"/>
      <w:start w:val="1"/>
    </w:lvl>
  </w:abstractNum>
  <w:abstractNum w:abstractNumId="169">
    <w:nsid w:val="5749361F"/>
    <w:multiLevelType w:val="hybridMultilevel"/>
    <w:lvl w:ilvl="0">
      <w:lvlJc w:val="left"/>
      <w:lvlText w:val="%1"/>
      <w:numFmt w:val="decimal"/>
      <w:start w:val="1"/>
    </w:lvl>
    <w:lvl w:ilvl="1">
      <w:lvlJc w:val="left"/>
      <w:lvlText w:val="(%2)"/>
      <w:numFmt w:val="lowerLetter"/>
      <w:start w:val="1"/>
    </w:lvl>
  </w:abstractNum>
  <w:abstractNum w:abstractNumId="170">
    <w:nsid w:val="73BC6770"/>
    <w:multiLevelType w:val="hybridMultilevel"/>
    <w:lvl w:ilvl="0">
      <w:lvlJc w:val="left"/>
      <w:lvlText w:val="%1."/>
      <w:numFmt w:val="decimal"/>
      <w:start w:val="2"/>
    </w:lvl>
    <w:lvl w:ilvl="1">
      <w:lvlJc w:val="left"/>
      <w:lvlText w:val="%2"/>
      <w:numFmt w:val="lowerLetter"/>
      <w:start w:val="1"/>
    </w:lvl>
  </w:abstractNum>
  <w:abstractNum w:abstractNumId="171">
    <w:nsid w:val="280E6897"/>
    <w:multiLevelType w:val="hybridMultilevel"/>
    <w:lvl w:ilvl="0">
      <w:lvlJc w:val="left"/>
      <w:lvlText w:val="(%1)"/>
      <w:numFmt w:val="lowerLetter"/>
      <w:start w:val="1"/>
    </w:lvl>
  </w:abstractNum>
  <w:abstractNum w:abstractNumId="172">
    <w:nsid w:val="605138DE"/>
    <w:multiLevelType w:val="hybridMultilevel"/>
    <w:lvl w:ilvl="0">
      <w:lvlJc w:val="left"/>
      <w:lvlText w:val="(%1)"/>
      <w:numFmt w:val="lowerLetter"/>
      <w:start w:val="4"/>
    </w:lvl>
  </w:abstractNum>
  <w:abstractNum w:abstractNumId="173">
    <w:nsid w:val="2622AD0C"/>
    <w:multiLevelType w:val="hybridMultilevel"/>
    <w:lvl w:ilvl="0">
      <w:lvlJc w:val="left"/>
      <w:lvlText w:val="%1"/>
      <w:numFmt w:val="decimal"/>
      <w:start w:val="1"/>
    </w:lvl>
    <w:lvl w:ilvl="1">
      <w:lvlJc w:val="left"/>
      <w:lvlText w:val="(%2)"/>
      <w:numFmt w:val="lowerLetter"/>
      <w:start w:val="11"/>
    </w:lvl>
  </w:abstractNum>
  <w:abstractNum w:abstractNumId="174">
    <w:nsid w:val="67997556"/>
    <w:multiLevelType w:val="hybridMultilevel"/>
    <w:lvl w:ilvl="0">
      <w:lvlJc w:val="left"/>
      <w:lvlText w:val="%1."/>
      <w:numFmt w:val="decimal"/>
      <w:start w:val="3"/>
    </w:lvl>
    <w:lvl w:ilvl="1">
      <w:lvlJc w:val="left"/>
      <w:lvlText w:val="%2"/>
      <w:numFmt w:val="lowerLetter"/>
      <w:start w:val="1"/>
    </w:lvl>
  </w:abstractNum>
  <w:abstractNum w:abstractNumId="175">
    <w:nsid w:val="18333C89"/>
    <w:multiLevelType w:val="hybridMultilevel"/>
    <w:lvl w:ilvl="0">
      <w:lvlJc w:val="left"/>
      <w:lvlText w:val="%1."/>
      <w:numFmt w:val="decimal"/>
      <w:start w:val="4"/>
    </w:lvl>
  </w:abstractNum>
  <w:abstractNum w:abstractNumId="176">
    <w:nsid w:val="4BA9831A"/>
    <w:multiLevelType w:val="hybridMultilevel"/>
    <w:lvl w:ilvl="0">
      <w:lvlJc w:val="left"/>
      <w:lvlText w:val="%1."/>
      <w:numFmt w:val="upperLetter"/>
      <w:start w:val="10"/>
    </w:lvl>
  </w:abstractNum>
  <w:abstractNum w:abstractNumId="177">
    <w:nsid w:val="6D71A2B"/>
    <w:multiLevelType w:val="hybridMultilevel"/>
    <w:lvl w:ilvl="0">
      <w:lvlJc w:val="left"/>
      <w:lvlText w:val="%1."/>
      <w:numFmt w:val="decimal"/>
      <w:start w:val="2"/>
    </w:lvl>
    <w:lvl w:ilvl="1">
      <w:lvlJc w:val="left"/>
      <w:lvlText w:val="(%2)"/>
      <w:numFmt w:val="lowerLetter"/>
      <w:start w:val="1"/>
    </w:lvl>
  </w:abstractNum>
  <w:abstractNum w:abstractNumId="178">
    <w:nsid w:val="CFC7321"/>
    <w:multiLevelType w:val="hybridMultilevel"/>
    <w:lvl w:ilvl="0">
      <w:lvlJc w:val="left"/>
      <w:lvlText w:val="(%1)"/>
      <w:numFmt w:val="lowerLetter"/>
      <w:start w:val="2"/>
    </w:lvl>
  </w:abstractNum>
  <w:abstractNum w:abstractNumId="179">
    <w:nsid w:val="1421971B"/>
    <w:multiLevelType w:val="hybridMultilevel"/>
    <w:lvl w:ilvl="0">
      <w:lvlJc w:val="left"/>
      <w:lvlText w:val="(%1)"/>
      <w:numFmt w:val="lowerRoman"/>
      <w:start w:val="1"/>
    </w:lvl>
  </w:abstractNum>
  <w:abstractNum w:abstractNumId="180">
    <w:nsid w:val="1F404301"/>
    <w:multiLevelType w:val="hybridMultilevel"/>
    <w:lvl w:ilvl="0">
      <w:lvlJc w:val="left"/>
      <w:lvlText w:val="%1."/>
      <w:numFmt w:val="decimal"/>
      <w:start w:val="3"/>
    </w:lvl>
  </w:abstractNum>
  <w:abstractNum w:abstractNumId="181">
    <w:nsid w:val="116E0907"/>
    <w:multiLevelType w:val="hybridMultilevel"/>
    <w:lvl w:ilvl="0">
      <w:lvlJc w:val="left"/>
      <w:lvlText w:val="%1."/>
      <w:numFmt w:val="decimal"/>
      <w:start w:val="4"/>
    </w:lvl>
  </w:abstractNum>
  <w:abstractNum w:abstractNumId="182">
    <w:nsid w:val="4B683D0D"/>
    <w:multiLevelType w:val="hybridMultilevel"/>
    <w:lvl w:ilvl="0">
      <w:lvlJc w:val="left"/>
      <w:lvlText w:val="%1."/>
      <w:numFmt w:val="decimal"/>
      <w:start w:val="5"/>
    </w:lvl>
  </w:abstractNum>
  <w:abstractNum w:abstractNumId="183">
    <w:nsid w:val="76E41D8"/>
    <w:multiLevelType w:val="hybridMultilevel"/>
    <w:lvl w:ilvl="0">
      <w:lvlJc w:val="left"/>
      <w:lvlText w:val="%1."/>
      <w:numFmt w:val="decimal"/>
      <w:start w:val="6"/>
    </w:lvl>
    <w:lvl w:ilvl="1">
      <w:lvlJc w:val="left"/>
      <w:lvlText w:val="(%2)"/>
      <w:numFmt w:val="lowerLetter"/>
      <w:start w:val="1"/>
    </w:lvl>
  </w:abstractNum>
  <w:abstractNum w:abstractNumId="184">
    <w:nsid w:val="71DCE0FD"/>
    <w:multiLevelType w:val="hybridMultilevel"/>
    <w:lvl w:ilvl="0">
      <w:lvlJc w:val="left"/>
      <w:lvlText w:val="(%1)"/>
      <w:numFmt w:val="lowerLetter"/>
      <w:start w:val="2"/>
    </w:lvl>
  </w:abstractNum>
  <w:abstractNum w:abstractNumId="185">
    <w:nsid w:val="7906328B"/>
    <w:multiLevelType w:val="hybridMultilevel"/>
    <w:lvl w:ilvl="0">
      <w:lvlJc w:val="left"/>
      <w:lvlText w:val="%1."/>
      <w:numFmt w:val="decimal"/>
      <w:start w:val="7"/>
    </w:lvl>
  </w:abstractNum>
  <w:abstractNum w:abstractNumId="186">
    <w:nsid w:val="72BBC16"/>
    <w:multiLevelType w:val="hybridMultilevel"/>
    <w:lvl w:ilvl="0">
      <w:lvlJc w:val="left"/>
      <w:lvlText w:val="(%1)"/>
      <w:numFmt w:val="upperLetter"/>
      <w:start w:val="35"/>
    </w:lvl>
    <w:lvl w:ilvl="1">
      <w:lvlJc w:val="left"/>
      <w:lvlText w:val="%2"/>
      <w:numFmt w:val="decimal"/>
      <w:start w:val="1"/>
    </w:lvl>
  </w:abstractNum>
  <w:abstractNum w:abstractNumId="187">
    <w:nsid w:val="766D98C2"/>
    <w:multiLevelType w:val="hybridMultilevel"/>
    <w:lvl w:ilvl="0">
      <w:lvlJc w:val="left"/>
      <w:lvlText w:val="(%1)"/>
      <w:numFmt w:val="upperLetter"/>
      <w:start w:val="61"/>
    </w:lvl>
    <w:lvl w:ilvl="1">
      <w:lvlJc w:val="left"/>
      <w:lvlText w:val="%2."/>
      <w:numFmt w:val="decimal"/>
      <w:start w:val="8"/>
    </w:lvl>
  </w:abstractNum>
  <w:abstractNum w:abstractNumId="188">
    <w:nsid w:val="3C09D4A1"/>
    <w:multiLevelType w:val="hybridMultilevel"/>
    <w:lvl w:ilvl="0">
      <w:lvlJc w:val="left"/>
      <w:lvlText w:val="%1."/>
      <w:numFmt w:val="decimal"/>
      <w:start w:val="9"/>
    </w:lvl>
  </w:abstractNum>
  <w:abstractNum w:abstractNumId="189">
    <w:nsid w:val="20E45CA4"/>
    <w:multiLevelType w:val="hybridMultilevel"/>
    <w:lvl w:ilvl="0">
      <w:lvlJc w:val="left"/>
      <w:lvlText w:val="%1."/>
      <w:numFmt w:val="decimal"/>
      <w:start w:val="10"/>
    </w:lvl>
  </w:abstractNum>
  <w:abstractNum w:abstractNumId="190">
    <w:nsid w:val="4B232EE3"/>
    <w:multiLevelType w:val="hybridMultilevel"/>
    <w:lvl w:ilvl="0">
      <w:lvlJc w:val="left"/>
      <w:lvlText w:val="%1."/>
      <w:numFmt w:val="upperLetter"/>
      <w:start w:val="11"/>
    </w:lvl>
  </w:abstractNum>
  <w:abstractNum w:abstractNumId="191">
    <w:nsid w:val="159C74CF"/>
    <w:multiLevelType w:val="hybridMultilevel"/>
    <w:lvl w:ilvl="0">
      <w:lvlJc w:val="left"/>
      <w:lvlText w:val="(%1)"/>
      <w:numFmt w:val="lowerLetter"/>
      <w:start w:val="1"/>
    </w:lvl>
  </w:abstractNum>
  <w:abstractNum w:abstractNumId="192">
    <w:nsid w:val="4AD3AFD2"/>
    <w:multiLevelType w:val="hybridMultilevel"/>
    <w:lvl w:ilvl="0">
      <w:lvlJc w:val="left"/>
      <w:lvlText w:val="(%1)"/>
      <w:numFmt w:val="lowerLetter"/>
      <w:start w:val="7"/>
    </w:lvl>
  </w:abstractNum>
  <w:abstractNum w:abstractNumId="193">
    <w:nsid w:val="3CF93092"/>
    <w:multiLevelType w:val="hybridMultilevel"/>
    <w:lvl w:ilvl="0">
      <w:lvlJc w:val="left"/>
      <w:lvlText w:val="%1."/>
      <w:numFmt w:val="upperLetter"/>
      <w:start w:val="12"/>
    </w:lvl>
  </w:abstractNum>
  <w:abstractNum w:abstractNumId="194">
    <w:nsid w:val="6863E8D2"/>
    <w:multiLevelType w:val="hybridMultilevel"/>
    <w:lvl w:ilvl="0">
      <w:lvlJc w:val="left"/>
      <w:lvlText w:val="%1."/>
      <w:numFmt w:val="decimal"/>
      <w:start w:val="2"/>
    </w:lvl>
  </w:abstractNum>
  <w:abstractNum w:abstractNumId="195">
    <w:nsid w:val="76896198"/>
    <w:multiLevelType w:val="hybridMultilevel"/>
    <w:lvl w:ilvl="0">
      <w:lvlJc w:val="left"/>
      <w:lvlText w:val="%1."/>
      <w:numFmt w:val="decimal"/>
      <w:start w:val="3"/>
    </w:lvl>
  </w:abstractNum>
  <w:abstractNum w:abstractNumId="196">
    <w:nsid w:val="4365174B"/>
    <w:multiLevelType w:val="hybridMultilevel"/>
    <w:lvl w:ilvl="0">
      <w:lvlJc w:val="left"/>
      <w:lvlText w:val="%1."/>
      <w:numFmt w:val="decimal"/>
      <w:start w:val="4"/>
    </w:lvl>
  </w:abstractNum>
  <w:abstractNum w:abstractNumId="197">
    <w:nsid w:val="4A872C35"/>
    <w:multiLevelType w:val="hybridMultilevel"/>
    <w:lvl w:ilvl="0">
      <w:lvlJc w:val="left"/>
      <w:lvlText w:val="%1."/>
      <w:numFmt w:val="decimal"/>
      <w:start w:val="5"/>
    </w:lvl>
  </w:abstractNum>
  <w:abstractNum w:abstractNumId="198">
    <w:nsid w:val="5D5CE761"/>
    <w:multiLevelType w:val="hybridMultilevel"/>
    <w:lvl w:ilvl="0">
      <w:lvlJc w:val="left"/>
      <w:lvlText w:val="%1."/>
      <w:numFmt w:val="decimal"/>
      <w:start w:val="6"/>
    </w:lvl>
  </w:abstractNum>
  <w:abstractNum w:abstractNumId="199">
    <w:nsid w:val="1CD484D5"/>
    <w:multiLevelType w:val="hybridMultilevel"/>
    <w:lvl w:ilvl="0">
      <w:lvlJc w:val="left"/>
      <w:lvlText w:val="%1."/>
      <w:numFmt w:val="decimal"/>
      <w:start w:val="7"/>
    </w:lvl>
  </w:abstractNum>
  <w:abstractNum w:abstractNumId="200">
    <w:nsid w:val="21D06255"/>
    <w:multiLevelType w:val="hybridMultilevel"/>
    <w:lvl w:ilvl="0">
      <w:lvlJc w:val="left"/>
      <w:lvlText w:val="%1."/>
      <w:numFmt w:val="decimal"/>
      <w:start w:val="8"/>
    </w:lvl>
  </w:abstractNum>
  <w:abstractNum w:abstractNumId="201">
    <w:nsid w:val="51194ED1"/>
    <w:multiLevelType w:val="hybridMultilevel"/>
    <w:lvl w:ilvl="0">
      <w:lvlJc w:val="left"/>
      <w:lvlText w:val="%1."/>
      <w:numFmt w:val="decimal"/>
      <w:start w:val="9"/>
    </w:lvl>
  </w:abstractNum>
  <w:abstractNum w:abstractNumId="202">
    <w:nsid w:val="44E2ED6C"/>
    <w:multiLevelType w:val="hybridMultilevel"/>
    <w:lvl w:ilvl="0">
      <w:lvlJc w:val="left"/>
      <w:lvlText w:val="%1."/>
      <w:numFmt w:val="decimal"/>
      <w:start w:val="10"/>
    </w:lvl>
  </w:abstractNum>
  <w:abstractNum w:abstractNumId="203">
    <w:nsid w:val="2219B33"/>
    <w:multiLevelType w:val="hybridMultilevel"/>
    <w:lvl w:ilvl="0">
      <w:lvlJc w:val="left"/>
      <w:lvlText w:val="%1."/>
      <w:numFmt w:val="decimal"/>
      <w:start w:val="11"/>
    </w:lvl>
  </w:abstractNum>
  <w:abstractNum w:abstractNumId="204">
    <w:nsid w:val="773BFBDD"/>
    <w:multiLevelType w:val="hybridMultilevel"/>
    <w:lvl w:ilvl="0">
      <w:lvlJc w:val="left"/>
      <w:lvlText w:val="%1."/>
      <w:numFmt w:val="decimal"/>
      <w:start w:val="12"/>
    </w:lvl>
  </w:abstractNum>
  <w:abstractNum w:abstractNumId="205">
    <w:nsid w:val="2C7C62C2"/>
    <w:multiLevelType w:val="hybridMultilevel"/>
    <w:lvl w:ilvl="0">
      <w:lvlJc w:val="left"/>
      <w:lvlText w:val="%1."/>
      <w:numFmt w:val="decimal"/>
      <w:start w:val="13"/>
    </w:lvl>
  </w:abstractNum>
  <w:abstractNum w:abstractNumId="206">
    <w:nsid w:val="1A54D7BC"/>
    <w:multiLevelType w:val="hybridMultilevel"/>
    <w:lvl w:ilvl="0">
      <w:lvlJc w:val="left"/>
      <w:lvlText w:val="%1."/>
      <w:numFmt w:val="decimal"/>
      <w:start w:val="14"/>
    </w:lvl>
  </w:abstractNum>
  <w:abstractNum w:abstractNumId="207">
    <w:nsid w:val="42E57EF7"/>
    <w:multiLevelType w:val="hybridMultilevel"/>
    <w:lvl w:ilvl="0">
      <w:lvlJc w:val="left"/>
      <w:lvlText w:val="%1."/>
      <w:numFmt w:val="decimal"/>
      <w:start w:val="15"/>
    </w:lvl>
  </w:abstractNum>
  <w:abstractNum w:abstractNumId="208">
    <w:nsid w:val="33537CED"/>
    <w:multiLevelType w:val="hybridMultilevel"/>
    <w:lvl w:ilvl="0">
      <w:lvlJc w:val="left"/>
      <w:lvlText w:val="%1."/>
      <w:numFmt w:val="decimal"/>
      <w:start w:val="16"/>
    </w:lvl>
  </w:abstractNum>
  <w:abstractNum w:abstractNumId="209">
    <w:nsid w:val="27514ADE"/>
    <w:multiLevelType w:val="hybridMultilevel"/>
    <w:lvl w:ilvl="0">
      <w:lvlJc w:val="left"/>
      <w:lvlText w:val="%1."/>
      <w:numFmt w:val="decimal"/>
      <w:start w:val="17"/>
    </w:lvl>
  </w:abstractNum>
  <w:abstractNum w:abstractNumId="210">
    <w:nsid w:val="57071613"/>
    <w:multiLevelType w:val="hybridMultilevel"/>
    <w:lvl w:ilvl="0">
      <w:lvlJc w:val="left"/>
      <w:lvlText w:val="%1."/>
      <w:numFmt w:val="decimal"/>
      <w:start w:val="18"/>
    </w:lvl>
  </w:abstractNum>
  <w:abstractNum w:abstractNumId="211">
    <w:nsid w:val="5293BFEF"/>
    <w:multiLevelType w:val="hybridMultilevel"/>
    <w:lvl w:ilvl="0">
      <w:lvlJc w:val="left"/>
      <w:lvlText w:val="%1."/>
      <w:numFmt w:val="decimal"/>
      <w:start w:val="19"/>
    </w:lvl>
  </w:abstractNum>
  <w:abstractNum w:abstractNumId="212">
    <w:nsid w:val="38BF53E5"/>
    <w:multiLevelType w:val="hybridMultilevel"/>
    <w:lvl w:ilvl="0">
      <w:lvlJc w:val="left"/>
      <w:lvlText w:val="%1."/>
      <w:numFmt w:val="upperLetter"/>
      <w:start w:val="1"/>
    </w:lvl>
    <w:lvl w:ilvl="1">
      <w:lvlJc w:val="left"/>
      <w:lvlText w:val="%2."/>
      <w:numFmt w:val="decimal"/>
      <w:start w:val="1"/>
    </w:lvl>
  </w:abstractNum>
  <w:abstractNum w:abstractNumId="213">
    <w:nsid w:val="226F5320"/>
    <w:multiLevelType w:val="hybridMultilevel"/>
    <w:lvl w:ilvl="0">
      <w:lvlJc w:val="left"/>
      <w:lvlText w:val="%1."/>
      <w:numFmt w:val="decimal"/>
      <w:start w:val="2"/>
    </w:lvl>
  </w:abstractNum>
  <w:abstractNum w:abstractNumId="214">
    <w:nsid w:val="5A0201C7"/>
    <w:multiLevelType w:val="hybridMultilevel"/>
    <w:lvl w:ilvl="0">
      <w:lvlJc w:val="left"/>
      <w:lvlText w:val="%1."/>
      <w:numFmt w:val="decimal"/>
      <w:start w:val="3"/>
    </w:lvl>
  </w:abstractNum>
  <w:abstractNum w:abstractNumId="215">
    <w:nsid w:val="2A9C34E2"/>
    <w:multiLevelType w:val="hybridMultilevel"/>
    <w:lvl w:ilvl="0">
      <w:lvlJc w:val="left"/>
      <w:lvlText w:val="%1."/>
      <w:numFmt w:val="decimal"/>
      <w:start w:val="4"/>
    </w:lvl>
  </w:abstractNum>
  <w:abstractNum w:abstractNumId="216">
    <w:nsid w:val="1B7585AB"/>
    <w:multiLevelType w:val="hybridMultilevel"/>
    <w:lvl w:ilvl="0">
      <w:lvlJc w:val="left"/>
      <w:lvlText w:val="%1."/>
      <w:numFmt w:val="decimal"/>
      <w:start w:val="5"/>
    </w:lvl>
  </w:abstractNum>
  <w:abstractNum w:abstractNumId="217">
    <w:nsid w:val="612DBDDD"/>
    <w:multiLevelType w:val="hybridMultilevel"/>
    <w:lvl w:ilvl="0">
      <w:lvlJc w:val="left"/>
      <w:lvlText w:val="%1."/>
      <w:numFmt w:val="decimal"/>
      <w:start w:val="6"/>
    </w:lvl>
  </w:abstractNum>
  <w:abstractNum w:abstractNumId="218">
    <w:nsid w:val="2109CDA4"/>
    <w:multiLevelType w:val="hybridMultilevel"/>
    <w:lvl w:ilvl="0">
      <w:lvlJc w:val="left"/>
      <w:lvlText w:val="%1."/>
      <w:numFmt w:val="decimal"/>
      <w:start w:val="7"/>
    </w:lvl>
  </w:abstractNum>
  <w:abstractNum w:abstractNumId="219">
    <w:nsid w:val="577F5A4D"/>
    <w:multiLevelType w:val="hybridMultilevel"/>
    <w:lvl w:ilvl="0">
      <w:lvlJc w:val="left"/>
      <w:lvlText w:val="%1."/>
      <w:numFmt w:val="decimal"/>
      <w:start w:val="8"/>
    </w:lvl>
  </w:abstractNum>
  <w:abstractNum w:abstractNumId="220">
    <w:nsid w:val="2121A81"/>
    <w:multiLevelType w:val="hybridMultilevel"/>
    <w:lvl w:ilvl="0">
      <w:lvlJc w:val="left"/>
      <w:lvlText w:val="%1."/>
      <w:numFmt w:val="decimal"/>
      <w:start w:val="9"/>
    </w:lvl>
  </w:abstractNum>
  <w:abstractNum w:abstractNumId="221">
    <w:nsid w:val="6C2CFC88"/>
    <w:multiLevelType w:val="hybridMultilevel"/>
    <w:lvl w:ilvl="0">
      <w:lvlJc w:val="left"/>
      <w:lvlText w:val="%1."/>
      <w:numFmt w:val="decimal"/>
      <w:start w:val="10"/>
    </w:lvl>
  </w:abstractNum>
  <w:abstractNum w:abstractNumId="222">
    <w:nsid w:val="6D1BCF1C"/>
    <w:multiLevelType w:val="hybridMultilevel"/>
    <w:lvl w:ilvl="0">
      <w:lvlJc w:val="left"/>
      <w:lvlText w:val="%1."/>
      <w:numFmt w:val="decimal"/>
      <w:start w:val="11"/>
    </w:lvl>
  </w:abstractNum>
  <w:abstractNum w:abstractNumId="223">
    <w:nsid w:val="4CE5CA53"/>
    <w:multiLevelType w:val="hybridMultilevel"/>
    <w:lvl w:ilvl="0">
      <w:lvlJc w:val="left"/>
      <w:lvlText w:val="%1."/>
      <w:numFmt w:val="decimal"/>
      <w:start w:val="12"/>
    </w:lvl>
  </w:abstractNum>
  <w:abstractNum w:abstractNumId="224">
    <w:nsid w:val="29262D1A"/>
    <w:multiLevelType w:val="hybridMultilevel"/>
    <w:lvl w:ilvl="0">
      <w:lvlJc w:val="left"/>
      <w:lvlText w:val="%1."/>
      <w:numFmt w:val="upperLetter"/>
      <w:start w:val="2"/>
    </w:lvl>
  </w:abstractNum>
  <w:abstractNum w:abstractNumId="225">
    <w:nsid w:val="557FB7EE"/>
    <w:multiLevelType w:val="hybridMultilevel"/>
    <w:lvl w:ilvl="0">
      <w:lvlJc w:val="left"/>
      <w:lvlText w:val="%1."/>
      <w:numFmt w:val="decimal"/>
      <w:start w:val="1"/>
    </w:lvl>
  </w:abstractNum>
  <w:abstractNum w:abstractNumId="226">
    <w:nsid w:val="436F2BEB"/>
    <w:multiLevelType w:val="hybridMultilevel"/>
    <w:lvl w:ilvl="0">
      <w:lvlJc w:val="left"/>
      <w:lvlText w:val="%1."/>
      <w:numFmt w:val="decimal"/>
      <w:start w:val="2"/>
    </w:lvl>
  </w:abstractNum>
  <w:abstractNum w:abstractNumId="227">
    <w:nsid w:val="6C8B4466"/>
    <w:multiLevelType w:val="hybridMultilevel"/>
    <w:lvl w:ilvl="0">
      <w:lvlJc w:val="left"/>
      <w:lvlText w:val="%1."/>
      <w:numFmt w:val="decimal"/>
      <w:start w:val="3"/>
    </w:lvl>
  </w:abstractNum>
  <w:abstractNum w:abstractNumId="228">
    <w:nsid w:val="2006E424"/>
    <w:multiLevelType w:val="hybridMultilevel"/>
    <w:lvl w:ilvl="0">
      <w:lvlJc w:val="left"/>
      <w:lvlText w:val="%1."/>
      <w:numFmt w:val="decimal"/>
      <w:start w:val="4"/>
    </w:lvl>
  </w:abstractNum>
  <w:abstractNum w:abstractNumId="229">
    <w:nsid w:val="20CC134C"/>
    <w:multiLevelType w:val="hybridMultilevel"/>
    <w:lvl w:ilvl="0">
      <w:lvlJc w:val="left"/>
      <w:lvlText w:val="%1."/>
      <w:numFmt w:val="decimal"/>
      <w:start w:val="5"/>
    </w:lvl>
  </w:abstractNum>
  <w:abstractNum w:abstractNumId="230">
    <w:nsid w:val="95FC93B"/>
    <w:multiLevelType w:val="hybridMultilevel"/>
    <w:lvl w:ilvl="0">
      <w:lvlJc w:val="left"/>
      <w:lvlText w:val="%1."/>
      <w:numFmt w:val="decimal"/>
      <w:start w:val="6"/>
    </w:lvl>
  </w:abstractNum>
  <w:abstractNum w:abstractNumId="231">
    <w:nsid w:val="41D74679"/>
    <w:multiLevelType w:val="hybridMultilevel"/>
    <w:lvl w:ilvl="0">
      <w:lvlJc w:val="left"/>
      <w:lvlText w:val="%1."/>
      <w:numFmt w:val="lowerRoman"/>
      <w:start w:val="1"/>
    </w:lvl>
  </w:abstractNum>
  <w:abstractNum w:abstractNumId="232">
    <w:nsid w:val="71E5621E"/>
    <w:multiLevelType w:val="hybridMultilevel"/>
    <w:lvl w:ilvl="0">
      <w:lvlJc w:val="left"/>
      <w:lvlText w:val="%1."/>
      <w:numFmt w:val="decimal"/>
      <w:start w:val="7"/>
    </w:lvl>
  </w:abstractNum>
  <w:abstractNum w:abstractNumId="233">
    <w:nsid w:val="4E42B6A8"/>
    <w:multiLevelType w:val="hybridMultilevel"/>
    <w:lvl w:ilvl="0">
      <w:lvlJc w:val="left"/>
      <w:lvlText w:val="%1."/>
      <w:numFmt w:val="upperLetter"/>
      <w:start w:val="3"/>
    </w:lvl>
  </w:abstractNum>
  <w:abstractNum w:abstractNumId="234">
    <w:nsid w:val="43F8E1AC"/>
    <w:multiLevelType w:val="hybridMultilevel"/>
    <w:lvl w:ilvl="0">
      <w:lvlJc w:val="left"/>
      <w:lvlText w:val="%1."/>
      <w:numFmt w:val="decimal"/>
      <w:start w:val="2"/>
    </w:lvl>
  </w:abstractNum>
  <w:abstractNum w:abstractNumId="235">
    <w:nsid w:val="69215DFB"/>
    <w:multiLevelType w:val="hybridMultilevel"/>
    <w:lvl w:ilvl="0">
      <w:lvlJc w:val="left"/>
      <w:lvlText w:val="%1."/>
      <w:numFmt w:val="decimal"/>
      <w:start w:val="3"/>
    </w:lvl>
  </w:abstractNum>
  <w:abstractNum w:abstractNumId="236">
    <w:nsid w:val="7ABF196A"/>
    <w:multiLevelType w:val="hybridMultilevel"/>
    <w:lvl w:ilvl="0">
      <w:lvlJc w:val="left"/>
      <w:lvlText w:val="%1."/>
      <w:numFmt w:val="decimal"/>
      <w:start w:val="4"/>
    </w:lvl>
  </w:abstractNum>
  <w:abstractNum w:abstractNumId="237">
    <w:nsid w:val="5E4DB968"/>
    <w:multiLevelType w:val="hybridMultilevel"/>
    <w:lvl w:ilvl="0">
      <w:lvlJc w:val="left"/>
      <w:lvlText w:val="%1."/>
      <w:numFmt w:val="decimal"/>
      <w:start w:val="5"/>
    </w:lvl>
  </w:abstractNum>
  <w:abstractNum w:abstractNumId="238">
    <w:nsid w:val="2C06DCF3"/>
    <w:multiLevelType w:val="hybridMultilevel"/>
    <w:lvl w:ilvl="0">
      <w:lvlJc w:val="left"/>
      <w:lvlText w:val="%1."/>
      <w:numFmt w:val="decimal"/>
      <w:start w:val="6"/>
    </w:lvl>
  </w:abstractNum>
  <w:abstractNum w:abstractNumId="239">
    <w:nsid w:val="2E129658"/>
    <w:multiLevelType w:val="hybridMultilevel"/>
    <w:lvl w:ilvl="0">
      <w:lvlJc w:val="left"/>
      <w:lvlText w:val="%1."/>
      <w:numFmt w:val="decimal"/>
      <w:start w:val="7"/>
    </w:lvl>
  </w:abstractNum>
  <w:abstractNum w:abstractNumId="240">
    <w:nsid w:val="59F0446"/>
    <w:multiLevelType w:val="hybridMultilevel"/>
    <w:lvl w:ilvl="0">
      <w:lvlJc w:val="left"/>
      <w:lvlText w:val="%1."/>
      <w:numFmt w:val="decimal"/>
      <w:start w:val="8"/>
    </w:lvl>
  </w:abstractNum>
  <w:abstractNum w:abstractNumId="241">
    <w:nsid w:val="30DF306"/>
    <w:multiLevelType w:val="hybridMultilevel"/>
    <w:lvl w:ilvl="0">
      <w:lvlJc w:val="left"/>
      <w:lvlText w:val="%1."/>
      <w:numFmt w:val="upperLetter"/>
      <w:start w:val="4"/>
    </w:lvl>
  </w:abstractNum>
  <w:abstractNum w:abstractNumId="242">
    <w:nsid w:val="A65647"/>
    <w:multiLevelType w:val="hybridMultilevel"/>
    <w:lvl w:ilvl="0">
      <w:lvlJc w:val="left"/>
      <w:lvlText w:val="%1."/>
      <w:numFmt w:val="decimal"/>
      <w:start w:val="1"/>
    </w:lvl>
  </w:abstractNum>
  <w:abstractNum w:abstractNumId="243">
    <w:nsid w:val="3E5E582B"/>
    <w:multiLevelType w:val="hybridMultilevel"/>
    <w:lvl w:ilvl="0">
      <w:lvlJc w:val="left"/>
      <w:lvlText w:val="%1."/>
      <w:numFmt w:val="decimal"/>
      <w:start w:val="2"/>
    </w:lvl>
  </w:abstractNum>
  <w:abstractNum w:abstractNumId="244">
    <w:nsid w:val="257D4626"/>
    <w:multiLevelType w:val="hybridMultilevel"/>
    <w:lvl w:ilvl="0">
      <w:lvlJc w:val="left"/>
      <w:lvlText w:val="(%1)"/>
      <w:numFmt w:val="decimal"/>
      <w:start w:val="7"/>
    </w:lvl>
  </w:abstractNum>
  <w:abstractNum w:abstractNumId="245">
    <w:nsid w:val="5AA8580E"/>
    <w:multiLevelType w:val="hybridMultilevel"/>
    <w:lvl w:ilvl="0">
      <w:lvlJc w:val="left"/>
      <w:lvlText w:val="%1."/>
      <w:numFmt w:val="decimal"/>
      <w:start w:val="3"/>
    </w:lvl>
  </w:abstractNum>
  <w:abstractNum w:abstractNumId="246">
    <w:nsid w:val="68FA8D0D"/>
    <w:multiLevelType w:val="hybridMultilevel"/>
    <w:lvl w:ilvl="0">
      <w:lvlJc w:val="left"/>
      <w:lvlText w:val="%1."/>
      <w:numFmt w:val="decimal"/>
      <w:start w:val="4"/>
    </w:lvl>
  </w:abstractNum>
  <w:abstractNum w:abstractNumId="247">
    <w:nsid w:val="40F2CBD2"/>
    <w:multiLevelType w:val="hybridMultilevel"/>
    <w:lvl w:ilvl="0">
      <w:lvlJc w:val="left"/>
      <w:lvlText w:val="%1."/>
      <w:numFmt w:val="decimal"/>
      <w:start w:val="5"/>
    </w:lvl>
  </w:abstractNum>
  <w:abstractNum w:abstractNumId="248">
    <w:nsid w:val="3BD615EB"/>
    <w:multiLevelType w:val="hybridMultilevel"/>
    <w:lvl w:ilvl="0">
      <w:lvlJc w:val="left"/>
      <w:lvlText w:val="%1."/>
      <w:numFmt w:val="decimal"/>
      <w:start w:val="6"/>
    </w:lvl>
  </w:abstractNum>
  <w:abstractNum w:abstractNumId="249">
    <w:nsid w:val="A045AB2"/>
    <w:multiLevelType w:val="hybridMultilevel"/>
    <w:lvl w:ilvl="0">
      <w:lvlJc w:val="left"/>
      <w:lvlText w:val="%1."/>
      <w:numFmt w:val="decimal"/>
      <w:start w:val="7"/>
    </w:lvl>
  </w:abstractNum>
  <w:abstractNum w:abstractNumId="250">
    <w:nsid w:val="1872261F"/>
    <w:multiLevelType w:val="hybridMultilevel"/>
    <w:lvl w:ilvl="0">
      <w:lvlJc w:val="left"/>
      <w:lvlText w:val="%1."/>
      <w:numFmt w:val="decimal"/>
      <w:start w:val="8"/>
    </w:lvl>
  </w:abstractNum>
  <w:abstractNum w:abstractNumId="251">
    <w:nsid w:val="3DE8306C"/>
    <w:multiLevelType w:val="hybridMultilevel"/>
    <w:lvl w:ilvl="0">
      <w:lvlJc w:val="left"/>
      <w:lvlText w:val="%1."/>
      <w:numFmt w:val="decimal"/>
      <w:start w:val="9"/>
    </w:lvl>
  </w:abstractNum>
  <w:abstractNum w:abstractNumId="252">
    <w:nsid w:val="7631573A"/>
    <w:multiLevelType w:val="hybridMultilevel"/>
    <w:lvl w:ilvl="0">
      <w:lvlJc w:val="left"/>
      <w:lvlText w:val="%1."/>
      <w:numFmt w:val="decimal"/>
      <w:start w:val="10"/>
    </w:lvl>
  </w:abstractNum>
  <w:abstractNum w:abstractNumId="253">
    <w:nsid w:val="58DF53B"/>
    <w:multiLevelType w:val="hybridMultilevel"/>
    <w:lvl w:ilvl="0">
      <w:lvlJc w:val="left"/>
      <w:lvlText w:val="%1."/>
      <w:numFmt w:val="decimal"/>
      <w:start w:val="11"/>
    </w:lvl>
  </w:abstractNum>
  <w:abstractNum w:abstractNumId="254">
    <w:nsid w:val="ACDFAC0"/>
    <w:multiLevelType w:val="hybridMultilevel"/>
    <w:lvl w:ilvl="0">
      <w:lvlJc w:val="left"/>
      <w:lvlText w:val="·"/>
      <w:numFmt w:val="bullet"/>
      <w:start w:val="1"/>
    </w:lvl>
  </w:abstractNum>
  <w:abstractNum w:abstractNumId="255">
    <w:nsid w:val="1F578454"/>
    <w:multiLevelType w:val="hybridMultilevel"/>
    <w:lvl w:ilvl="0">
      <w:lvlJc w:val="left"/>
      <w:lvlText w:val="%1."/>
      <w:numFmt w:val="decimal"/>
      <w:start w:val="12"/>
    </w:lvl>
  </w:abstractNum>
  <w:abstractNum w:abstractNumId="256">
    <w:nsid w:val="5B0DAD2A"/>
    <w:multiLevelType w:val="hybridMultilevel"/>
    <w:lvl w:ilvl="0">
      <w:lvlJc w:val="left"/>
      <w:lvlText w:val="·"/>
      <w:numFmt w:val="bullet"/>
      <w:start w:val="1"/>
    </w:lvl>
  </w:abstractNum>
  <w:abstractNum w:abstractNumId="257">
    <w:nsid w:val="4E3D26AB"/>
    <w:multiLevelType w:val="hybridMultilevel"/>
    <w:lvl w:ilvl="0">
      <w:lvlJc w:val="left"/>
      <w:lvlText w:val="%1."/>
      <w:numFmt w:val="decimal"/>
      <w:start w:val="13"/>
    </w:lvl>
  </w:abstractNum>
  <w:abstractNum w:abstractNumId="258">
    <w:nsid w:val="BE2C8BA"/>
    <w:multiLevelType w:val="hybridMultilevel"/>
    <w:lvl w:ilvl="0">
      <w:lvlJc w:val="left"/>
      <w:lvlText w:val="%1."/>
      <w:numFmt w:val="decimal"/>
      <w:start w:val="14"/>
    </w:lvl>
  </w:abstractNum>
  <w:abstractNum w:abstractNumId="259">
    <w:nsid w:val="7B14914E"/>
    <w:multiLevelType w:val="hybridMultilevel"/>
    <w:lvl w:ilvl="0">
      <w:lvlJc w:val="left"/>
      <w:lvlText w:val="%1."/>
      <w:numFmt w:val="decimal"/>
      <w:start w:val="15"/>
    </w:lvl>
  </w:abstractNum>
  <w:abstractNum w:abstractNumId="260">
    <w:nsid w:val="6F0939F8"/>
    <w:multiLevelType w:val="hybridMultilevel"/>
    <w:lvl w:ilvl="0">
      <w:lvlJc w:val="left"/>
      <w:lvlText w:val="%1."/>
      <w:numFmt w:val="decimal"/>
      <w:start w:val="16"/>
    </w:lvl>
  </w:abstractNum>
  <w:abstractNum w:abstractNumId="261">
    <w:nsid w:val="154291F6"/>
    <w:multiLevelType w:val="hybridMultilevel"/>
    <w:lvl w:ilvl="0">
      <w:lvlJc w:val="left"/>
      <w:lvlText w:val="%1."/>
      <w:numFmt w:val="decimal"/>
      <w:start w:val="17"/>
    </w:lvl>
  </w:abstractNum>
  <w:abstractNum w:abstractNumId="262">
    <w:nsid w:val="3CEBD7C7"/>
    <w:multiLevelType w:val="hybridMultilevel"/>
    <w:lvl w:ilvl="0">
      <w:lvlJc w:val="left"/>
      <w:lvlText w:val="%1."/>
      <w:numFmt w:val="decimal"/>
      <w:start w:val="18"/>
    </w:lvl>
  </w:abstractNum>
  <w:abstractNum w:abstractNumId="263">
    <w:nsid w:val="60EE9C16"/>
    <w:multiLevelType w:val="hybridMultilevel"/>
    <w:lvl w:ilvl="0">
      <w:lvlJc w:val="left"/>
      <w:lvlText w:val="%1."/>
      <w:numFmt w:val="upperLetter"/>
      <w:start w:val="5"/>
    </w:lvl>
  </w:abstractNum>
  <w:abstractNum w:abstractNumId="264">
    <w:nsid w:val="6385489E"/>
    <w:multiLevelType w:val="hybridMultilevel"/>
    <w:lvl w:ilvl="0">
      <w:lvlJc w:val="left"/>
      <w:lvlText w:val="%1."/>
      <w:numFmt w:val="decimal"/>
      <w:start w:val="2"/>
    </w:lvl>
  </w:abstractNum>
  <w:abstractNum w:abstractNumId="265">
    <w:nsid w:val="E4B973"/>
    <w:multiLevelType w:val="hybridMultilevel"/>
    <w:lvl w:ilvl="0">
      <w:lvlJc w:val="left"/>
      <w:lvlText w:val="%1."/>
      <w:numFmt w:val="decimal"/>
      <w:start w:val="3"/>
    </w:lvl>
  </w:abstractNum>
  <w:abstractNum w:abstractNumId="266">
    <w:nsid w:val="4A0FFA11"/>
    <w:multiLevelType w:val="hybridMultilevel"/>
    <w:lvl w:ilvl="0">
      <w:lvlJc w:val="left"/>
      <w:lvlText w:val="%1."/>
      <w:numFmt w:val="decimal"/>
      <w:start w:val="4"/>
    </w:lvl>
  </w:abstractNum>
  <w:abstractNum w:abstractNumId="267">
    <w:nsid w:val="5E446208"/>
    <w:multiLevelType w:val="hybridMultilevel"/>
    <w:lvl w:ilvl="0">
      <w:lvlJc w:val="left"/>
      <w:lvlText w:val="%1."/>
      <w:numFmt w:val="decimal"/>
      <w:start w:val="5"/>
    </w:lvl>
  </w:abstractNum>
  <w:abstractNum w:abstractNumId="268">
    <w:nsid w:val="5F3272DB"/>
    <w:multiLevelType w:val="hybridMultilevel"/>
    <w:lvl w:ilvl="0">
      <w:lvlJc w:val="left"/>
      <w:lvlText w:val="%1."/>
      <w:numFmt w:val="decimal"/>
      <w:start w:val="6"/>
    </w:lvl>
  </w:abstractNum>
  <w:abstractNum w:abstractNumId="269">
    <w:nsid w:val="7616D704"/>
    <w:multiLevelType w:val="hybridMultilevel"/>
    <w:lvl w:ilvl="0">
      <w:lvlJc w:val="left"/>
      <w:lvlText w:val="%1."/>
      <w:numFmt w:val="upperLetter"/>
      <w:start w:val="6"/>
    </w:lvl>
  </w:abstractNum>
  <w:abstractNum w:abstractNumId="270">
    <w:nsid w:val="C56F860"/>
    <w:multiLevelType w:val="hybridMultilevel"/>
    <w:lvl w:ilvl="0">
      <w:lvlJc w:val="left"/>
      <w:lvlText w:val="%1."/>
      <w:numFmt w:val="decimal"/>
      <w:start w:val="1"/>
    </w:lvl>
  </w:abstractNum>
  <w:abstractNum w:abstractNumId="271">
    <w:nsid w:val="64D17722"/>
    <w:multiLevelType w:val="hybridMultilevel"/>
    <w:lvl w:ilvl="0">
      <w:lvlJc w:val="left"/>
      <w:lvlText w:val="%1."/>
      <w:numFmt w:val="decimal"/>
      <w:start w:val="2"/>
    </w:lvl>
  </w:abstractNum>
  <w:abstractNum w:abstractNumId="272">
    <w:nsid w:val="7924CA0A"/>
    <w:multiLevelType w:val="hybridMultilevel"/>
    <w:lvl w:ilvl="0">
      <w:lvlJc w:val="left"/>
      <w:lvlText w:val="%1."/>
      <w:numFmt w:val="upperLetter"/>
      <w:start w:val="1"/>
    </w:lvl>
  </w:abstractNum>
  <w:abstractNum w:abstractNumId="273">
    <w:nsid w:val="CFD4EA7"/>
    <w:multiLevelType w:val="hybridMultilevel"/>
    <w:lvl w:ilvl="0">
      <w:lvlJc w:val="left"/>
      <w:lvlText w:val="%1."/>
      <w:numFmt w:val="decimal"/>
      <w:start w:val="1"/>
    </w:lvl>
  </w:abstractNum>
  <w:abstractNum w:abstractNumId="274">
    <w:nsid w:val="232FCF4D"/>
    <w:multiLevelType w:val="hybridMultilevel"/>
    <w:lvl w:ilvl="0">
      <w:lvlJc w:val="left"/>
      <w:lvlText w:val="(%1)"/>
      <w:numFmt w:val="decimal"/>
      <w:start w:val="8"/>
    </w:lvl>
  </w:abstractNum>
  <w:abstractNum w:abstractNumId="275">
    <w:nsid w:val="1EA21031"/>
    <w:multiLevelType w:val="hybridMultilevel"/>
    <w:lvl w:ilvl="0">
      <w:lvlJc w:val="left"/>
      <w:lvlText w:val="%1."/>
      <w:numFmt w:val="decimal"/>
      <w:start w:val="2"/>
    </w:lvl>
  </w:abstractNum>
  <w:abstractNum w:abstractNumId="276">
    <w:nsid w:val="67A5A6B5"/>
    <w:multiLevelType w:val="hybridMultilevel"/>
    <w:lvl w:ilvl="0">
      <w:lvlJc w:val="left"/>
      <w:lvlText w:val="%1."/>
      <w:numFmt w:val="upperLetter"/>
      <w:start w:val="1"/>
    </w:lvl>
    <w:lvl w:ilvl="1">
      <w:lvlJc w:val="left"/>
      <w:lvlText w:val="·"/>
      <w:numFmt w:val="bullet"/>
      <w:start w:val="1"/>
    </w:lvl>
  </w:abstractNum>
  <w:abstractNum w:abstractNumId="277">
    <w:nsid w:val="C2A5C5B"/>
    <w:multiLevelType w:val="hybridMultilevel"/>
    <w:lvl w:ilvl="0">
      <w:lvlJc w:val="left"/>
      <w:lvlText w:val="%1."/>
      <w:numFmt w:val="decimal"/>
      <w:start w:val="1"/>
    </w:lvl>
  </w:abstractNum>
  <w:abstractNum w:abstractNumId="278">
    <w:nsid w:val="5F94DC03"/>
    <w:multiLevelType w:val="hybridMultilevel"/>
    <w:lvl w:ilvl="0">
      <w:lvlJc w:val="left"/>
      <w:lvlText w:val="%1."/>
      <w:numFmt w:val="decimal"/>
      <w:start w:val="2"/>
    </w:lvl>
  </w:abstractNum>
  <w:abstractNum w:abstractNumId="279">
    <w:nsid w:val="237BBCA0"/>
    <w:multiLevelType w:val="hybridMultilevel"/>
    <w:lvl w:ilvl="0">
      <w:lvlJc w:val="left"/>
      <w:lvlText w:val="%1."/>
      <w:numFmt w:val="decimal"/>
      <w:start w:val="3"/>
    </w:lvl>
  </w:abstractNum>
  <w:abstractNum w:abstractNumId="280">
    <w:nsid w:val="162EB70D"/>
    <w:multiLevelType w:val="hybridMultilevel"/>
    <w:lvl w:ilvl="0">
      <w:lvlJc w:val="left"/>
      <w:lvlText w:val="(%1)"/>
      <w:numFmt w:val="lowerLetter"/>
      <w:start w:val="2"/>
    </w:lvl>
  </w:abstractNum>
  <w:abstractNum w:abstractNumId="281">
    <w:nsid w:val="78070222"/>
    <w:multiLevelType w:val="hybridMultilevel"/>
    <w:lvl w:ilvl="0">
      <w:lvlJc w:val="left"/>
      <w:lvlText w:val="%1."/>
      <w:numFmt w:val="decimal"/>
      <w:start w:val="4"/>
    </w:lvl>
  </w:abstractNum>
  <w:abstractNum w:abstractNumId="282">
    <w:nsid w:val="6163ED0D"/>
    <w:multiLevelType w:val="hybridMultilevel"/>
    <w:lvl w:ilvl="0">
      <w:lvlJc w:val="left"/>
      <w:lvlText w:val="·"/>
      <w:numFmt w:val="bullet"/>
      <w:start w:val="1"/>
    </w:lvl>
  </w:abstractNum>
  <w:abstractNum w:abstractNumId="283">
    <w:nsid w:val="C600E47"/>
    <w:multiLevelType w:val="hybridMultilevel"/>
    <w:lvl w:ilvl="0">
      <w:lvlJc w:val="left"/>
      <w:lvlText w:val="(%1)"/>
      <w:numFmt w:val="lowerLetter"/>
      <w:start w:val="1"/>
    </w:lvl>
  </w:abstractNum>
  <w:abstractNum w:abstractNumId="284">
    <w:nsid w:val="7D94F75D"/>
    <w:multiLevelType w:val="hybridMultilevel"/>
    <w:lvl w:ilvl="0">
      <w:lvlJc w:val="left"/>
      <w:lvlText w:val="·"/>
      <w:numFmt w:val="bullet"/>
      <w:start w:val="1"/>
    </w:lvl>
  </w:abstractNum>
  <w:abstractNum w:abstractNumId="285">
    <w:nsid w:val="6C31E7CD"/>
    <w:multiLevelType w:val="hybridMultilevel"/>
    <w:lvl w:ilvl="0">
      <w:lvlJc w:val="left"/>
      <w:lvlText w:val="(%1)"/>
      <w:numFmt w:val="lowerLetter"/>
      <w:start w:val="2"/>
    </w:lvl>
  </w:abstractNum>
  <w:abstractNum w:abstractNumId="286">
    <w:nsid w:val="2BB7929B"/>
    <w:multiLevelType w:val="hybridMultilevel"/>
    <w:lvl w:ilvl="0">
      <w:lvlJc w:val="left"/>
      <w:lvlText w:val="·"/>
      <w:numFmt w:val="bullet"/>
      <w:start w:val="1"/>
    </w:lvl>
  </w:abstractNum>
  <w:abstractNum w:abstractNumId="287">
    <w:nsid w:val="58A2A487"/>
    <w:multiLevelType w:val="hybridMultilevel"/>
    <w:lvl w:ilvl="0">
      <w:lvlJc w:val="left"/>
      <w:lvlText w:val="·"/>
      <w:numFmt w:val="bullet"/>
      <w:start w:val="1"/>
    </w:lvl>
  </w:abstractNum>
  <w:abstractNum w:abstractNumId="288">
    <w:nsid w:val="3A6F0E78"/>
    <w:multiLevelType w:val="hybridMultilevel"/>
    <w:lvl w:ilvl="0">
      <w:lvlJc w:val="left"/>
      <w:lvlText w:val="%1."/>
      <w:numFmt w:val="decimal"/>
      <w:start w:val="5"/>
    </w:lvl>
  </w:abstractNum>
  <w:abstractNum w:abstractNumId="289">
    <w:nsid w:val="379A5B56"/>
    <w:multiLevelType w:val="hybridMultilevel"/>
    <w:lvl w:ilvl="0">
      <w:lvlJc w:val="left"/>
      <w:lvlText w:val="%1."/>
      <w:numFmt w:val="decimal"/>
      <w:start w:val="6"/>
    </w:lvl>
  </w:abstractNum>
  <w:abstractNum w:abstractNumId="290">
    <w:nsid w:val="53B735D5"/>
    <w:multiLevelType w:val="hybridMultilevel"/>
    <w:lvl w:ilvl="0">
      <w:lvlJc w:val="left"/>
      <w:lvlText w:val="%1."/>
      <w:numFmt w:val="decimal"/>
      <w:start w:val="7"/>
    </w:lvl>
  </w:abstractNum>
  <w:abstractNum w:abstractNumId="291">
    <w:nsid w:val="29784870"/>
    <w:multiLevelType w:val="hybridMultilevel"/>
    <w:lvl w:ilvl="0">
      <w:lvlJc w:val="left"/>
      <w:lvlText w:val="%1."/>
      <w:numFmt w:val="decimal"/>
      <w:start w:val="8"/>
    </w:lvl>
  </w:abstractNum>
  <w:abstractNum w:abstractNumId="292">
    <w:nsid w:val="4CDCED4C"/>
    <w:multiLevelType w:val="hybridMultilevel"/>
    <w:lvl w:ilvl="0">
      <w:lvlJc w:val="left"/>
      <w:lvlText w:val="%1."/>
      <w:numFmt w:val="decimal"/>
      <w:start w:val="9"/>
    </w:lvl>
  </w:abstractNum>
  <w:abstractNum w:abstractNumId="293">
    <w:nsid w:val="10A30D9C"/>
    <w:multiLevelType w:val="hybridMultilevel"/>
    <w:lvl w:ilvl="0">
      <w:lvlJc w:val="left"/>
      <w:lvlText w:val="%1."/>
      <w:numFmt w:val="decimal"/>
      <w:start w:val="10"/>
    </w:lvl>
  </w:abstractNum>
  <w:abstractNum w:abstractNumId="294">
    <w:nsid w:val="A66E486"/>
    <w:multiLevelType w:val="hybridMultilevel"/>
    <w:lvl w:ilvl="0">
      <w:lvlJc w:val="left"/>
      <w:lvlText w:val="%1."/>
      <w:numFmt w:val="decimal"/>
      <w:start w:val="11"/>
    </w:lvl>
  </w:abstractNum>
  <w:abstractNum w:abstractNumId="295">
    <w:nsid w:val="306235EA"/>
    <w:multiLevelType w:val="hybridMultilevel"/>
    <w:lvl w:ilvl="0">
      <w:lvlJc w:val="left"/>
      <w:lvlText w:val="(%1)"/>
      <w:numFmt w:val="lowerLetter"/>
      <w:start w:val="3"/>
    </w:lvl>
    <w:lvl w:ilvl="1">
      <w:lvlJc w:val="left"/>
      <w:lvlText w:val="%2."/>
      <w:numFmt w:val="decimal"/>
      <w:start w:val="12"/>
    </w:lvl>
  </w:abstractNum>
  <w:abstractNum w:abstractNumId="296">
    <w:nsid w:val="1187C70F"/>
    <w:multiLevelType w:val="hybridMultilevel"/>
    <w:lvl w:ilvl="0">
      <w:lvlJc w:val="left"/>
      <w:lvlText w:val="·"/>
      <w:numFmt w:val="bullet"/>
      <w:start w:val="1"/>
    </w:lvl>
  </w:abstractNum>
  <w:abstractNum w:abstractNumId="297">
    <w:nsid w:val="5476DE98"/>
    <w:multiLevelType w:val="hybridMultilevel"/>
    <w:lvl w:ilvl="0">
      <w:lvlJc w:val="left"/>
      <w:lvlText w:val="·"/>
      <w:numFmt w:val="bullet"/>
      <w:start w:val="1"/>
    </w:lvl>
    <w:lvl w:ilvl="1">
      <w:lvlJc w:val="left"/>
      <w:lvlText w:val="·"/>
      <w:numFmt w:val="bullet"/>
      <w:start w:val="1"/>
    </w:lvl>
  </w:abstractNum>
  <w:abstractNum w:abstractNumId="298">
    <w:nsid w:val="EA697F2"/>
    <w:multiLevelType w:val="hybridMultilevel"/>
    <w:lvl w:ilvl="0">
      <w:lvlJc w:val="left"/>
      <w:lvlText w:val="·"/>
      <w:numFmt w:val="bullet"/>
      <w:start w:val="1"/>
    </w:lvl>
  </w:abstractNum>
  <w:abstractNum w:abstractNumId="299">
    <w:nsid w:val="70BA39EB"/>
    <w:multiLevelType w:val="hybridMultilevel"/>
    <w:lvl w:ilvl="0">
      <w:lvlJc w:val="left"/>
      <w:lvlText w:val="%1."/>
      <w:numFmt w:val="upperLetter"/>
      <w:start w:val="1"/>
    </w:lvl>
  </w:abstractNum>
  <w:abstractNum w:abstractNumId="300">
    <w:nsid w:val="4A8DB59C"/>
    <w:multiLevelType w:val="hybridMultilevel"/>
    <w:lvl w:ilvl="0">
      <w:lvlJc w:val="left"/>
      <w:lvlText w:val="%1."/>
      <w:numFmt w:val="upperLetter"/>
      <w:start w:val="2"/>
    </w:lvl>
  </w:abstractNum>
  <w:abstractNum w:abstractNumId="301">
    <w:nsid w:val="1AFD9053"/>
    <w:multiLevelType w:val="hybridMultilevel"/>
    <w:lvl w:ilvl="0">
      <w:lvlJc w:val="left"/>
      <w:lvlText w:val="%1."/>
      <w:numFmt w:val="upperLetter"/>
      <w:start w:val="3"/>
    </w:lvl>
  </w:abstractNum>
  <w:abstractNum w:abstractNumId="302">
    <w:nsid w:val="558BB10D"/>
    <w:multiLevelType w:val="hybridMultilevel"/>
    <w:lvl w:ilvl="0">
      <w:lvlJc w:val="left"/>
      <w:lvlText w:val="%1."/>
      <w:numFmt w:val="upperLetter"/>
      <w:start w:val="4"/>
    </w:lvl>
  </w:abstractNum>
  <w:abstractNum w:abstractNumId="303">
    <w:nsid w:val="43B27FA7"/>
    <w:multiLevelType w:val="hybridMultilevel"/>
    <w:lvl w:ilvl="0">
      <w:lvlJc w:val="left"/>
      <w:lvlText w:val="%1."/>
      <w:numFmt w:val="upperLetter"/>
      <w:start w:val="5"/>
    </w:lvl>
  </w:abstractNum>
  <w:abstractNum w:abstractNumId="304">
    <w:nsid w:val="27FADEFA"/>
    <w:multiLevelType w:val="hybridMultilevel"/>
    <w:lvl w:ilvl="0">
      <w:lvlJc w:val="left"/>
      <w:lvlText w:val="%1."/>
      <w:numFmt w:val="upperLetter"/>
      <w:start w:val="6"/>
    </w:lvl>
  </w:abstractNum>
  <w:abstractNum w:abstractNumId="305">
    <w:nsid w:val="78BB805A"/>
    <w:multiLevelType w:val="hybridMultilevel"/>
    <w:lvl w:ilvl="0">
      <w:lvlJc w:val="left"/>
      <w:lvlText w:val="·"/>
      <w:numFmt w:val="bullet"/>
      <w:start w:val="1"/>
    </w:lvl>
  </w:abstractNum>
  <w:abstractNum w:abstractNumId="306">
    <w:nsid w:val="62548FD8"/>
    <w:multiLevelType w:val="hybridMultilevel"/>
    <w:lvl w:ilvl="0">
      <w:lvlJc w:val="left"/>
      <w:lvlText w:val="·"/>
      <w:numFmt w:val="bullet"/>
      <w:start w:val="1"/>
    </w:lvl>
  </w:abstractNum>
  <w:abstractNum w:abstractNumId="307">
    <w:nsid w:val="FA085B0"/>
    <w:multiLevelType w:val="hybridMultilevel"/>
    <w:lvl w:ilvl="0">
      <w:lvlJc w:val="left"/>
      <w:lvlText w:val="%1."/>
      <w:numFmt w:val="decimal"/>
      <w:start w:val="1"/>
    </w:lvl>
  </w:abstractNum>
  <w:abstractNum w:abstractNumId="308">
    <w:nsid w:val="4E5DCB5"/>
    <w:multiLevelType w:val="hybridMultilevel"/>
    <w:lvl w:ilvl="0">
      <w:lvlJc w:val="left"/>
      <w:lvlText w:val="(%1)"/>
      <w:numFmt w:val="lowerLetter"/>
      <w:start w:val="2"/>
    </w:lvl>
  </w:abstractNum>
  <w:abstractNum w:abstractNumId="309">
    <w:nsid w:val="41E96BDB"/>
    <w:multiLevelType w:val="hybridMultilevel"/>
    <w:lvl w:ilvl="0">
      <w:lvlJc w:val="left"/>
      <w:lvlText w:val="%1."/>
      <w:numFmt w:val="decimal"/>
      <w:start w:val="2"/>
    </w:lvl>
  </w:abstractNum>
  <w:abstractNum w:abstractNumId="310">
    <w:nsid w:val="331C4250"/>
    <w:multiLevelType w:val="hybridMultilevel"/>
    <w:lvl w:ilvl="0">
      <w:lvlJc w:val="left"/>
      <w:lvlText w:val="%1."/>
      <w:numFmt w:val="decimal"/>
      <w:start w:val="3"/>
    </w:lvl>
  </w:abstractNum>
  <w:abstractNum w:abstractNumId="311">
    <w:nsid w:val="1B1493C2"/>
    <w:multiLevelType w:val="hybridMultilevel"/>
    <w:lvl w:ilvl="0">
      <w:lvlJc w:val="left"/>
      <w:lvlText w:val="%1."/>
      <w:numFmt w:val="decimal"/>
      <w:start w:val="4"/>
    </w:lvl>
  </w:abstractNum>
  <w:abstractNum w:abstractNumId="312">
    <w:nsid w:val="39F06DFD"/>
    <w:multiLevelType w:val="hybridMultilevel"/>
    <w:lvl w:ilvl="0">
      <w:lvlJc w:val="left"/>
      <w:lvlText w:val="%1."/>
      <w:numFmt w:val="decimal"/>
      <w:start w:val="5"/>
    </w:lvl>
  </w:abstractNum>
  <w:abstractNum w:abstractNumId="313">
    <w:nsid w:val="14802F5D"/>
    <w:multiLevelType w:val="hybridMultilevel"/>
    <w:lvl w:ilvl="0">
      <w:lvlJc w:val="left"/>
      <w:lvlText w:val="%1."/>
      <w:numFmt w:val="decimal"/>
      <w:start w:val="6"/>
    </w:lvl>
  </w:abstractNum>
  <w:abstractNum w:abstractNumId="314">
    <w:nsid w:val="2774A209"/>
    <w:multiLevelType w:val="hybridMultilevel"/>
    <w:lvl w:ilvl="0">
      <w:lvlJc w:val="left"/>
      <w:lvlText w:val="·"/>
      <w:numFmt w:val="bullet"/>
      <w:start w:val="1"/>
    </w:lvl>
  </w:abstractNum>
  <w:abstractNum w:abstractNumId="315">
    <w:nsid w:val="3785655A"/>
    <w:multiLevelType w:val="hybridMultilevel"/>
    <w:lvl w:ilvl="0">
      <w:lvlJc w:val="left"/>
      <w:lvlText w:val="o"/>
      <w:numFmt w:val="bullet"/>
      <w:start w:val="1"/>
    </w:lvl>
  </w:abstractNum>
  <w:abstractNum w:abstractNumId="316">
    <w:nsid w:val="B2172A"/>
    <w:multiLevelType w:val="hybridMultilevel"/>
    <w:lvl w:ilvl="0">
      <w:lvlJc w:val="left"/>
      <w:lvlText w:val="(%1)"/>
      <w:numFmt w:val="lowerLetter"/>
      <w:start w:val="1"/>
    </w:lvl>
  </w:abstractNum>
  <w:abstractNum w:abstractNumId="317">
    <w:nsid w:val="532C34A5"/>
    <w:multiLevelType w:val="hybridMultilevel"/>
    <w:lvl w:ilvl="0">
      <w:lvlJc w:val="left"/>
      <w:lvlText w:val="%1."/>
      <w:numFmt w:val="upperLetter"/>
      <w:start w:val="7"/>
    </w:lvl>
  </w:abstractNum>
  <w:abstractNum w:abstractNumId="318">
    <w:nsid w:val="102809E2"/>
    <w:multiLevelType w:val="hybridMultilevel"/>
    <w:lvl w:ilvl="0">
      <w:lvlJc w:val="left"/>
      <w:lvlText w:val="%1."/>
      <w:numFmt w:val="upperLetter"/>
      <w:start w:val="1"/>
    </w:lvl>
  </w:abstractNum>
  <w:abstractNum w:abstractNumId="319">
    <w:nsid w:val="3B2125A3"/>
    <w:multiLevelType w:val="hybridMultilevel"/>
    <w:lvl w:ilvl="0">
      <w:lvlJc w:val="left"/>
      <w:lvlText w:val="%1."/>
      <w:numFmt w:val="decimal"/>
      <w:start w:val="1"/>
    </w:lvl>
  </w:abstractNum>
  <w:abstractNum w:abstractNumId="320">
    <w:nsid w:val="AC68FFB"/>
    <w:multiLevelType w:val="hybridMultilevel"/>
    <w:lvl w:ilvl="0">
      <w:lvlJc w:val="left"/>
      <w:lvlText w:val="%1."/>
      <w:numFmt w:val="decimal"/>
      <w:start w:val="2"/>
    </w:lvl>
  </w:abstractNum>
  <w:abstractNum w:abstractNumId="321">
    <w:nsid w:val="63DF3FB7"/>
    <w:multiLevelType w:val="hybridMultilevel"/>
    <w:lvl w:ilvl="0">
      <w:lvlJc w:val="left"/>
      <w:lvlText w:val="(%1)"/>
      <w:numFmt w:val="lowerLetter"/>
      <w:start w:val="1"/>
    </w:lvl>
  </w:abstractNum>
  <w:abstractNum w:abstractNumId="322">
    <w:nsid w:val="64996E13"/>
    <w:multiLevelType w:val="hybridMultilevel"/>
    <w:lvl w:ilvl="0">
      <w:lvlJc w:val="left"/>
      <w:lvlText w:val="(%1)"/>
      <w:numFmt w:val="lowerLetter"/>
      <w:start w:val="2"/>
    </w:lvl>
  </w:abstractNum>
  <w:abstractNum w:abstractNumId="323">
    <w:nsid w:val="57A37D47"/>
    <w:multiLevelType w:val="hybridMultilevel"/>
    <w:lvl w:ilvl="0">
      <w:lvlJc w:val="left"/>
      <w:lvlText w:val="(%1)"/>
      <w:numFmt w:val="lowerLetter"/>
      <w:start w:val="3"/>
    </w:lvl>
  </w:abstractNum>
  <w:abstractNum w:abstractNumId="324">
    <w:nsid w:val="74824D54"/>
    <w:multiLevelType w:val="hybridMultilevel"/>
    <w:lvl w:ilvl="0">
      <w:lvlJc w:val="left"/>
      <w:lvlText w:val="(%1)"/>
      <w:numFmt w:val="lowerLetter"/>
      <w:start w:val="4"/>
    </w:lvl>
  </w:abstractNum>
  <w:abstractNum w:abstractNumId="325">
    <w:nsid w:val="6F00529A"/>
    <w:multiLevelType w:val="hybridMultilevel"/>
    <w:lvl w:ilvl="0">
      <w:lvlJc w:val="left"/>
      <w:lvlText w:val="(%1)"/>
      <w:numFmt w:val="lowerLetter"/>
      <w:start w:val="5"/>
    </w:lvl>
  </w:abstractNum>
  <w:abstractNum w:abstractNumId="326">
    <w:nsid w:val="805B331"/>
    <w:multiLevelType w:val="hybridMultilevel"/>
    <w:lvl w:ilvl="0">
      <w:lvlJc w:val="left"/>
      <w:lvlText w:val="%1."/>
      <w:numFmt w:val="decimal"/>
      <w:start w:val="3"/>
    </w:lvl>
  </w:abstractNum>
  <w:abstractNum w:abstractNumId="327">
    <w:nsid w:val="60A1463"/>
    <w:multiLevelType w:val="hybridMultilevel"/>
    <w:lvl w:ilvl="0">
      <w:lvlJc w:val="left"/>
      <w:lvlText w:val="(%1)"/>
      <w:numFmt w:val="lowerLetter"/>
      <w:start w:val="1"/>
    </w:lvl>
  </w:abstractNum>
  <w:abstractNum w:abstractNumId="328">
    <w:nsid w:val="43773132"/>
    <w:multiLevelType w:val="hybridMultilevel"/>
    <w:lvl w:ilvl="0">
      <w:lvlJc w:val="left"/>
      <w:lvlText w:val="·"/>
      <w:numFmt w:val="bullet"/>
      <w:start w:val="1"/>
    </w:lvl>
  </w:abstractNum>
  <w:abstractNum w:abstractNumId="329">
    <w:nsid w:val="16AC4B23"/>
    <w:multiLevelType w:val="hybridMultilevel"/>
    <w:lvl w:ilvl="0">
      <w:lvlJc w:val="left"/>
      <w:lvlText w:val="·"/>
      <w:numFmt w:val="bullet"/>
      <w:start w:val="1"/>
    </w:lvl>
  </w:abstractNum>
  <w:abstractNum w:abstractNumId="330">
    <w:nsid w:val="76C44E4E"/>
    <w:multiLevelType w:val="hybridMultilevel"/>
    <w:lvl w:ilvl="0">
      <w:lvlJc w:val="left"/>
      <w:lvlText w:val="(%1)"/>
      <w:numFmt w:val="lowerLetter"/>
      <w:start w:val="2"/>
    </w:lvl>
  </w:abstractNum>
  <w:abstractNum w:abstractNumId="331">
    <w:nsid w:val="E04E6CE"/>
    <w:multiLevelType w:val="hybridMultilevel"/>
    <w:lvl w:ilvl="0">
      <w:lvlJc w:val="left"/>
      <w:lvlText w:val="(%1)"/>
      <w:numFmt w:val="decimal"/>
      <w:start w:val="1"/>
    </w:lvl>
  </w:abstractNum>
  <w:abstractNum w:abstractNumId="332">
    <w:nsid w:val="31A9DB76"/>
    <w:multiLevelType w:val="hybridMultilevel"/>
    <w:lvl w:ilvl="0">
      <w:lvlJc w:val="left"/>
      <w:lvlText w:val="(%1)"/>
      <w:numFmt w:val="decimal"/>
      <w:start w:val="2"/>
    </w:lvl>
  </w:abstractNum>
  <w:abstractNum w:abstractNumId="333">
    <w:nsid w:val="4C4FFF5B"/>
    <w:multiLevelType w:val="hybridMultilevel"/>
    <w:lvl w:ilvl="0">
      <w:lvlJc w:val="left"/>
      <w:lvlText w:val="(%1)"/>
      <w:numFmt w:val="lowerLetter"/>
      <w:start w:val="3"/>
    </w:lvl>
    <w:lvl w:ilvl="1">
      <w:lvlJc w:val="left"/>
      <w:lvlText w:val="(%2)"/>
      <w:numFmt w:val="decimal"/>
      <w:start w:val="1"/>
    </w:lvl>
  </w:abstractNum>
  <w:abstractNum w:abstractNumId="334">
    <w:nsid w:val="51B76675"/>
    <w:multiLevelType w:val="hybridMultilevel"/>
    <w:lvl w:ilvl="0">
      <w:lvlJc w:val="left"/>
      <w:lvlText w:val="(%1)"/>
      <w:numFmt w:val="lowerRoman"/>
      <w:start w:val="2"/>
    </w:lvl>
  </w:abstractNum>
  <w:abstractNum w:abstractNumId="335">
    <w:nsid w:val="59A4BA71"/>
    <w:multiLevelType w:val="hybridMultilevel"/>
    <w:lvl w:ilvl="0">
      <w:lvlJc w:val="left"/>
      <w:lvlText w:val="(%1)"/>
      <w:numFmt w:val="decimal"/>
      <w:start w:val="2"/>
    </w:lvl>
  </w:abstractNum>
  <w:abstractNum w:abstractNumId="336">
    <w:nsid w:val="450B7FB6"/>
    <w:multiLevelType w:val="hybridMultilevel"/>
    <w:lvl w:ilvl="0">
      <w:lvlJc w:val="left"/>
      <w:lvlText w:val="(%1)"/>
      <w:numFmt w:val="lowerLetter"/>
      <w:start w:val="4"/>
    </w:lvl>
    <w:lvl w:ilvl="1">
      <w:lvlJc w:val="left"/>
      <w:lvlText w:val="(%2)"/>
      <w:numFmt w:val="decimal"/>
      <w:start w:val="1"/>
    </w:lvl>
  </w:abstractNum>
  <w:abstractNum w:abstractNumId="337">
    <w:nsid w:val="340BF64D"/>
    <w:multiLevelType w:val="hybridMultilevel"/>
    <w:lvl w:ilvl="0">
      <w:lvlJc w:val="left"/>
      <w:lvlText w:val="(%1)"/>
      <w:numFmt w:val="lowerLetter"/>
      <w:start w:val="1"/>
    </w:lvl>
  </w:abstractNum>
  <w:abstractNum w:abstractNumId="338">
    <w:nsid w:val="69454021"/>
    <w:multiLevelType w:val="hybridMultilevel"/>
    <w:lvl w:ilvl="0">
      <w:lvlJc w:val="left"/>
      <w:lvlText w:val="(%1)"/>
      <w:numFmt w:val="lowerRoman"/>
      <w:start w:val="3"/>
    </w:lvl>
  </w:abstractNum>
  <w:abstractNum w:abstractNumId="339">
    <w:nsid w:val="49F15C6B"/>
    <w:multiLevelType w:val="hybridMultilevel"/>
    <w:lvl w:ilvl="0">
      <w:lvlJc w:val="left"/>
      <w:lvlText w:val="(%1)"/>
      <w:numFmt w:val="lowerLetter"/>
      <w:start w:val="2"/>
    </w:lvl>
  </w:abstractNum>
  <w:abstractNum w:abstractNumId="340">
    <w:nsid w:val="75F56228"/>
    <w:multiLevelType w:val="hybridMultilevel"/>
    <w:lvl w:ilvl="0">
      <w:lvlJc w:val="left"/>
      <w:lvlText w:val="(%1)"/>
      <w:numFmt w:val="lowerLetter"/>
      <w:start w:val="3"/>
    </w:lvl>
  </w:abstractNum>
  <w:abstractNum w:abstractNumId="341">
    <w:nsid w:val="1C618271"/>
    <w:multiLevelType w:val="hybridMultilevel"/>
    <w:lvl w:ilvl="0">
      <w:lvlJc w:val="left"/>
      <w:lvlText w:val="(%1)"/>
      <w:numFmt w:val="lowerLetter"/>
      <w:start w:val="4"/>
    </w:lvl>
  </w:abstractNum>
  <w:abstractNum w:abstractNumId="342">
    <w:nsid w:val="6505F02E"/>
    <w:multiLevelType w:val="hybridMultilevel"/>
    <w:lvl w:ilvl="0">
      <w:lvlJc w:val="left"/>
      <w:lvlText w:val="(%1)"/>
      <w:numFmt w:val="lowerLetter"/>
      <w:start w:val="5"/>
    </w:lvl>
  </w:abstractNum>
  <w:abstractNum w:abstractNumId="343">
    <w:nsid w:val="2FE5D025"/>
    <w:multiLevelType w:val="hybridMultilevel"/>
    <w:lvl w:ilvl="0">
      <w:lvlJc w:val="left"/>
      <w:lvlText w:val="(%1)"/>
      <w:numFmt w:val="lowerLetter"/>
      <w:start w:val="6"/>
    </w:lvl>
  </w:abstractNum>
  <w:abstractNum w:abstractNumId="344">
    <w:nsid w:val="30E1B1CF"/>
    <w:multiLevelType w:val="hybridMultilevel"/>
    <w:lvl w:ilvl="0">
      <w:lvlJc w:val="left"/>
      <w:lvlText w:val="(%1)"/>
      <w:numFmt w:val="decimal"/>
      <w:start w:val="2"/>
    </w:lvl>
  </w:abstractNum>
  <w:abstractNum w:abstractNumId="345">
    <w:nsid w:val="C7A9237"/>
    <w:multiLevelType w:val="hybridMultilevel"/>
    <w:lvl w:ilvl="0">
      <w:lvlJc w:val="left"/>
      <w:lvlText w:val="(%1)"/>
      <w:numFmt w:val="decimal"/>
      <w:start w:val="3"/>
    </w:lvl>
    <w:lvl w:ilvl="1">
      <w:lvlJc w:val="left"/>
      <w:lvlText w:val="(%2)"/>
      <w:numFmt w:val="lowerLetter"/>
      <w:start w:val="1"/>
    </w:lvl>
  </w:abstractNum>
  <w:abstractNum w:abstractNumId="346">
    <w:nsid w:val="676B3580"/>
    <w:multiLevelType w:val="hybridMultilevel"/>
    <w:lvl w:ilvl="0">
      <w:lvlJc w:val="left"/>
      <w:lvlText w:val="(%1)"/>
      <w:numFmt w:val="lowerLetter"/>
      <w:start w:val="2"/>
    </w:lvl>
  </w:abstractNum>
  <w:abstractNum w:abstractNumId="347">
    <w:nsid w:val="3193C8F9"/>
    <w:multiLevelType w:val="hybridMultilevel"/>
    <w:lvl w:ilvl="0">
      <w:lvlJc w:val="left"/>
      <w:lvlText w:val="(%1)"/>
      <w:numFmt w:val="lowerRoman"/>
      <w:start w:val="2"/>
    </w:lvl>
  </w:abstractNum>
  <w:abstractNum w:abstractNumId="348">
    <w:nsid w:val="5FA6C6DC"/>
    <w:multiLevelType w:val="hybridMultilevel"/>
    <w:lvl w:ilvl="0">
      <w:lvlJc w:val="left"/>
      <w:lvlText w:val="(%1)"/>
      <w:numFmt w:val="lowerLetter"/>
      <w:start w:val="3"/>
    </w:lvl>
  </w:abstractNum>
  <w:abstractNum w:abstractNumId="349">
    <w:nsid w:val="77933F62"/>
    <w:multiLevelType w:val="hybridMultilevel"/>
    <w:lvl w:ilvl="0">
      <w:lvlJc w:val="left"/>
      <w:lvlText w:val="(%1)"/>
      <w:numFmt w:val="decimal"/>
      <w:start w:val="4"/>
    </w:lvl>
    <w:lvl w:ilvl="1">
      <w:lvlJc w:val="left"/>
      <w:lvlText w:val="(%2)"/>
      <w:numFmt w:val="lowerLetter"/>
      <w:start w:val="1"/>
    </w:lvl>
  </w:abstractNum>
  <w:abstractNum w:abstractNumId="350">
    <w:nsid w:val="6CB4EE9C"/>
    <w:multiLevelType w:val="hybridMultilevel"/>
    <w:lvl w:ilvl="0">
      <w:lvlJc w:val="left"/>
      <w:lvlText w:val="(%1)"/>
      <w:numFmt w:val="lowerLetter"/>
      <w:start w:val="2"/>
    </w:lvl>
  </w:abstractNum>
  <w:abstractNum w:abstractNumId="351">
    <w:nsid w:val="6A6D56D7"/>
    <w:multiLevelType w:val="hybridMultilevel"/>
    <w:lvl w:ilvl="0">
      <w:lvlJc w:val="left"/>
      <w:lvlText w:val="(%1)"/>
      <w:numFmt w:val="decimal"/>
      <w:start w:val="5"/>
    </w:lvl>
  </w:abstractNum>
  <w:abstractNum w:abstractNumId="352">
    <w:nsid w:val="5B727F19"/>
    <w:multiLevelType w:val="hybridMultilevel"/>
    <w:lvl w:ilvl="0">
      <w:lvlJc w:val="left"/>
      <w:lvlText w:val="%1."/>
      <w:numFmt w:val="decimal"/>
      <w:start w:val="4"/>
    </w:lvl>
    <w:lvl w:ilvl="1">
      <w:lvlJc w:val="left"/>
      <w:lvlText w:val="(%2)"/>
      <w:numFmt w:val="lowerLetter"/>
      <w:start w:val="1"/>
    </w:lvl>
  </w:abstractNum>
  <w:abstractNum w:abstractNumId="353">
    <w:nsid w:val="514E5CB0"/>
    <w:multiLevelType w:val="hybridMultilevel"/>
    <w:lvl w:ilvl="0">
      <w:lvlJc w:val="left"/>
      <w:lvlText w:val="(%1)"/>
      <w:numFmt w:val="lowerLetter"/>
      <w:start w:val="2"/>
    </w:lvl>
  </w:abstractNum>
  <w:abstractNum w:abstractNumId="354">
    <w:nsid w:val="4210D41E"/>
    <w:multiLevelType w:val="hybridMultilevel"/>
    <w:lvl w:ilvl="0">
      <w:lvlJc w:val="left"/>
      <w:lvlText w:val="·"/>
      <w:numFmt w:val="bullet"/>
      <w:start w:val="1"/>
    </w:lvl>
  </w:abstractNum>
  <w:abstractNum w:abstractNumId="355">
    <w:nsid w:val="4FF4CC6D"/>
    <w:multiLevelType w:val="hybridMultilevel"/>
    <w:lvl w:ilvl="0">
      <w:lvlJc w:val="left"/>
      <w:lvlText w:val="(%1)"/>
      <w:numFmt w:val="lowerLetter"/>
      <w:start w:val="3"/>
    </w:lvl>
  </w:abstractNum>
  <w:abstractNum w:abstractNumId="356">
    <w:nsid w:val="404EAF4A"/>
    <w:multiLevelType w:val="hybridMultilevel"/>
    <w:lvl w:ilvl="0">
      <w:lvlJc w:val="left"/>
      <w:lvlText w:val="·"/>
      <w:numFmt w:val="bullet"/>
      <w:start w:val="1"/>
    </w:lvl>
  </w:abstractNum>
  <w:abstractNum w:abstractNumId="357">
    <w:nsid w:val="4A16874F"/>
    <w:multiLevelType w:val="hybridMultilevel"/>
    <w:lvl w:ilvl="0">
      <w:lvlJc w:val="left"/>
      <w:lvlText w:val="%1."/>
      <w:numFmt w:val="decimal"/>
      <w:start w:val="5"/>
    </w:lvl>
  </w:abstractNum>
  <w:abstractNum w:abstractNumId="358">
    <w:nsid w:val="55FEE0D1"/>
    <w:multiLevelType w:val="hybridMultilevel"/>
    <w:lvl w:ilvl="0">
      <w:lvlJc w:val="left"/>
      <w:lvlText w:val="%1."/>
      <w:numFmt w:val="decimal"/>
      <w:start w:val="6"/>
    </w:lvl>
  </w:abstractNum>
  <w:abstractNum w:abstractNumId="359">
    <w:nsid w:val="3C5E07C"/>
    <w:multiLevelType w:val="hybridMultilevel"/>
    <w:lvl w:ilvl="0">
      <w:lvlJc w:val="left"/>
      <w:lvlText w:val="%1."/>
      <w:numFmt w:val="decimal"/>
      <w:start w:val="7"/>
    </w:lvl>
  </w:abstractNum>
  <w:abstractNum w:abstractNumId="360">
    <w:nsid w:val="60C2D273"/>
    <w:multiLevelType w:val="hybridMultilevel"/>
    <w:lvl w:ilvl="0">
      <w:lvlJc w:val="left"/>
      <w:lvlText w:val="%1."/>
      <w:numFmt w:val="upperLetter"/>
      <w:start w:val="2"/>
    </w:lvl>
  </w:abstractNum>
  <w:abstractNum w:abstractNumId="361">
    <w:nsid w:val="4CC32F1F"/>
    <w:multiLevelType w:val="hybridMultilevel"/>
    <w:lvl w:ilvl="0">
      <w:lvlJc w:val="left"/>
      <w:lvlText w:val="%1."/>
      <w:numFmt w:val="decimal"/>
      <w:start w:val="1"/>
    </w:lvl>
  </w:abstractNum>
  <w:abstractNum w:abstractNumId="362">
    <w:nsid w:val="11CAC74A"/>
    <w:multiLevelType w:val="hybridMultilevel"/>
    <w:lvl w:ilvl="0">
      <w:lvlJc w:val="left"/>
      <w:lvlText w:val="%1."/>
      <w:numFmt w:val="decimal"/>
      <w:start w:val="2"/>
    </w:lvl>
  </w:abstractNum>
  <w:abstractNum w:abstractNumId="363">
    <w:nsid w:val="126CADE9"/>
    <w:multiLevelType w:val="hybridMultilevel"/>
    <w:lvl w:ilvl="0">
      <w:lvlJc w:val="left"/>
      <w:lvlText w:val="(%1)"/>
      <w:numFmt w:val="lowerLetter"/>
      <w:start w:val="1"/>
    </w:lvl>
  </w:abstractNum>
  <w:abstractNum w:abstractNumId="364">
    <w:nsid w:val="19132E7B"/>
    <w:multiLevelType w:val="hybridMultilevel"/>
    <w:lvl w:ilvl="0">
      <w:lvlJc w:val="left"/>
      <w:lvlText w:val="(%1)"/>
      <w:numFmt w:val="decimal"/>
      <w:start w:val="1"/>
    </w:lvl>
  </w:abstractNum>
  <w:abstractNum w:abstractNumId="365">
    <w:nsid w:val="63822DC0"/>
    <w:multiLevelType w:val="hybridMultilevel"/>
    <w:lvl w:ilvl="0">
      <w:lvlJc w:val="left"/>
      <w:lvlText w:val="(%1)"/>
      <w:numFmt w:val="decimal"/>
      <w:start w:val="2"/>
    </w:lvl>
  </w:abstractNum>
  <w:abstractNum w:abstractNumId="366">
    <w:nsid w:val="6C11685A"/>
    <w:multiLevelType w:val="hybridMultilevel"/>
    <w:lvl w:ilvl="0">
      <w:lvlJc w:val="left"/>
      <w:lvlText w:val="(%1)"/>
      <w:numFmt w:val="lowerLetter"/>
      <w:start w:val="2"/>
    </w:lvl>
  </w:abstractNum>
  <w:abstractNum w:abstractNumId="367">
    <w:nsid w:val="5E1EAE31"/>
    <w:multiLevelType w:val="hybridMultilevel"/>
    <w:lvl w:ilvl="0">
      <w:lvlJc w:val="left"/>
      <w:lvlText w:val="%1."/>
      <w:numFmt w:val="decimal"/>
      <w:start w:val="3"/>
    </w:lvl>
  </w:abstractNum>
  <w:abstractNum w:abstractNumId="368">
    <w:nsid w:val="178E240D"/>
    <w:multiLevelType w:val="hybridMultilevel"/>
    <w:lvl w:ilvl="0">
      <w:lvlJc w:val="left"/>
      <w:lvlText w:val="(%1)"/>
      <w:numFmt w:val="lowerLetter"/>
      <w:start w:val="1"/>
    </w:lvl>
  </w:abstractNum>
  <w:abstractNum w:abstractNumId="369">
    <w:nsid w:val="5556A87B"/>
    <w:multiLevelType w:val="hybridMultilevel"/>
    <w:lvl w:ilvl="0">
      <w:lvlJc w:val="left"/>
      <w:lvlText w:val="(%1)"/>
      <w:numFmt w:val="lowerLetter"/>
      <w:start w:val="2"/>
    </w:lvl>
  </w:abstractNum>
  <w:abstractNum w:abstractNumId="370">
    <w:nsid w:val="28100A9C"/>
    <w:multiLevelType w:val="hybridMultilevel"/>
    <w:lvl w:ilvl="0">
      <w:lvlJc w:val="left"/>
      <w:lvlText w:val="(%1)"/>
      <w:numFmt w:val="lowerLetter"/>
      <w:start w:val="3"/>
    </w:lvl>
  </w:abstractNum>
  <w:abstractNum w:abstractNumId="371">
    <w:nsid w:val="D838636"/>
    <w:multiLevelType w:val="hybridMultilevel"/>
    <w:lvl w:ilvl="0">
      <w:lvlJc w:val="left"/>
      <w:lvlText w:val="(%1)"/>
      <w:numFmt w:val="lowerLetter"/>
      <w:start w:val="4"/>
    </w:lvl>
    <w:lvl w:ilvl="1">
      <w:lvlJc w:val="left"/>
      <w:lvlText w:val="(%2)"/>
      <w:numFmt w:val="decimal"/>
      <w:start w:val="1"/>
    </w:lvl>
  </w:abstractNum>
  <w:abstractNum w:abstractNumId="372">
    <w:nsid w:val="71B82AED"/>
    <w:multiLevelType w:val="hybridMultilevel"/>
    <w:lvl w:ilvl="0">
      <w:lvlJc w:val="left"/>
      <w:lvlText w:val="(%1)"/>
      <w:numFmt w:val="lowerLetter"/>
      <w:start w:val="1"/>
    </w:lvl>
  </w:abstractNum>
  <w:abstractNum w:abstractNumId="373">
    <w:nsid w:val="D15FACA"/>
    <w:multiLevelType w:val="hybridMultilevel"/>
    <w:lvl w:ilvl="0">
      <w:lvlJc w:val="left"/>
      <w:lvlText w:val="(%1)"/>
      <w:numFmt w:val="lowerLetter"/>
      <w:start w:val="2"/>
    </w:lvl>
  </w:abstractNum>
  <w:abstractNum w:abstractNumId="374">
    <w:nsid w:val="3D69565B"/>
    <w:multiLevelType w:val="hybridMultilevel"/>
    <w:lvl w:ilvl="0">
      <w:lvlJc w:val="left"/>
      <w:lvlText w:val="(%1)"/>
      <w:numFmt w:val="lowerLetter"/>
      <w:start w:val="3"/>
    </w:lvl>
  </w:abstractNum>
  <w:abstractNum w:abstractNumId="375">
    <w:nsid w:val="2299DCBC"/>
    <w:multiLevelType w:val="hybridMultilevel"/>
    <w:lvl w:ilvl="0">
      <w:lvlJc w:val="left"/>
      <w:lvlText w:val="(%1)"/>
      <w:numFmt w:val="decimal"/>
      <w:start w:val="2"/>
    </w:lvl>
  </w:abstractNum>
  <w:abstractNum w:abstractNumId="376">
    <w:nsid w:val="19908D02"/>
    <w:multiLevelType w:val="hybridMultilevel"/>
    <w:lvl w:ilvl="0">
      <w:lvlJc w:val="left"/>
      <w:lvlText w:val="(%1)"/>
      <w:numFmt w:val="lowerLetter"/>
      <w:start w:val="1"/>
    </w:lvl>
  </w:abstractNum>
  <w:abstractNum w:abstractNumId="377">
    <w:nsid w:val="24D48BDB"/>
    <w:multiLevelType w:val="hybridMultilevel"/>
    <w:lvl w:ilvl="0">
      <w:lvlJc w:val="left"/>
      <w:lvlText w:val="(%1)"/>
      <w:numFmt w:val="lowerLetter"/>
      <w:start w:val="2"/>
    </w:lvl>
  </w:abstractNum>
  <w:abstractNum w:abstractNumId="378">
    <w:nsid w:val="542DA5B5"/>
    <w:multiLevelType w:val="hybridMultilevel"/>
    <w:lvl w:ilvl="0">
      <w:lvlJc w:val="left"/>
      <w:lvlText w:val="·"/>
      <w:numFmt w:val="bullet"/>
      <w:start w:val="1"/>
    </w:lvl>
  </w:abstractNum>
  <w:abstractNum w:abstractNumId="379">
    <w:nsid w:val="793753DE"/>
    <w:multiLevelType w:val="hybridMultilevel"/>
    <w:lvl w:ilvl="0">
      <w:lvlJc w:val="left"/>
      <w:lvlText w:val="(%1)"/>
      <w:numFmt w:val="lowerLetter"/>
      <w:start w:val="3"/>
    </w:lvl>
  </w:abstractNum>
  <w:abstractNum w:abstractNumId="380">
    <w:nsid w:val="1C67CB3D"/>
    <w:multiLevelType w:val="hybridMultilevel"/>
    <w:lvl w:ilvl="0">
      <w:lvlJc w:val="left"/>
      <w:lvlText w:val="·"/>
      <w:numFmt w:val="bullet"/>
      <w:start w:val="1"/>
    </w:lvl>
  </w:abstractNum>
  <w:abstractNum w:abstractNumId="381">
    <w:nsid w:val="40E29452"/>
    <w:multiLevelType w:val="hybridMultilevel"/>
    <w:lvl w:ilvl="0">
      <w:lvlJc w:val="left"/>
      <w:lvlText w:val="·"/>
      <w:numFmt w:val="bullet"/>
      <w:start w:val="1"/>
    </w:lvl>
  </w:abstractNum>
  <w:abstractNum w:abstractNumId="382">
    <w:nsid w:val="63A4AAB6"/>
    <w:multiLevelType w:val="hybridMultilevel"/>
    <w:lvl w:ilvl="0">
      <w:lvlJc w:val="left"/>
      <w:lvlText w:val="·"/>
      <w:numFmt w:val="bullet"/>
      <w:start w:val="1"/>
    </w:lvl>
  </w:abstractNum>
  <w:abstractNum w:abstractNumId="383">
    <w:nsid w:val="77DA4A57"/>
    <w:multiLevelType w:val="hybridMultilevel"/>
    <w:lvl w:ilvl="0">
      <w:lvlJc w:val="left"/>
      <w:lvlText w:val="(%1)"/>
      <w:numFmt w:val="lowerLetter"/>
      <w:start w:val="4"/>
    </w:lvl>
  </w:abstractNum>
  <w:abstractNum w:abstractNumId="384">
    <w:nsid w:val="1230F102"/>
    <w:multiLevelType w:val="hybridMultilevel"/>
    <w:lvl w:ilvl="0">
      <w:lvlJc w:val="left"/>
      <w:lvlText w:val="(%1)"/>
      <w:numFmt w:val="lowerLetter"/>
      <w:start w:val="5"/>
    </w:lvl>
  </w:abstractNum>
  <w:abstractNum w:abstractNumId="385">
    <w:nsid w:val="25B57ED4"/>
    <w:multiLevelType w:val="hybridMultilevel"/>
    <w:lvl w:ilvl="0">
      <w:lvlJc w:val="left"/>
      <w:lvlText w:val="(%1)"/>
      <w:numFmt w:val="decimal"/>
      <w:start w:val="3"/>
    </w:lvl>
    <w:lvl w:ilvl="1">
      <w:lvlJc w:val="left"/>
      <w:lvlText w:val="(%2)"/>
      <w:numFmt w:val="lowerLetter"/>
      <w:start w:val="1"/>
    </w:lvl>
  </w:abstractNum>
  <w:abstractNum w:abstractNumId="386">
    <w:nsid w:val="47CF16C4"/>
    <w:multiLevelType w:val="hybridMultilevel"/>
    <w:lvl w:ilvl="0">
      <w:lvlJc w:val="left"/>
      <w:lvlText w:val="(%1)"/>
      <w:numFmt w:val="lowerLetter"/>
      <w:start w:val="2"/>
    </w:lvl>
  </w:abstractNum>
  <w:abstractNum w:abstractNumId="387">
    <w:nsid w:val="527FA04C"/>
    <w:multiLevelType w:val="hybridMultilevel"/>
    <w:lvl w:ilvl="0">
      <w:lvlJc w:val="left"/>
      <w:lvlText w:val="(%1)"/>
      <w:numFmt w:val="lowerLetter"/>
      <w:start w:val="3"/>
    </w:lvl>
  </w:abstractNum>
  <w:abstractNum w:abstractNumId="388">
    <w:nsid w:val="6FCC0624"/>
    <w:multiLevelType w:val="hybridMultilevel"/>
    <w:lvl w:ilvl="0">
      <w:lvlJc w:val="left"/>
      <w:lvlText w:val="%1."/>
      <w:numFmt w:val="upperLetter"/>
      <w:start w:val="3"/>
    </w:lvl>
  </w:abstractNum>
  <w:abstractNum w:abstractNumId="389">
    <w:nsid w:val="1DCDF795"/>
    <w:multiLevelType w:val="hybridMultilevel"/>
    <w:lvl w:ilvl="0">
      <w:lvlJc w:val="left"/>
      <w:lvlText w:val="%1."/>
      <w:numFmt w:val="upperLetter"/>
      <w:start w:val="4"/>
    </w:lvl>
  </w:abstractNum>
  <w:abstractNum w:abstractNumId="390">
    <w:nsid w:val="564580C8"/>
    <w:multiLevelType w:val="hybridMultilevel"/>
    <w:lvl w:ilvl="0">
      <w:lvlJc w:val="left"/>
      <w:lvlText w:val="%1."/>
      <w:numFmt w:val="upperLetter"/>
      <w:start w:val="1"/>
    </w:lvl>
  </w:abstractNum>
  <w:abstractNum w:abstractNumId="391">
    <w:nsid w:val="508ED897"/>
    <w:multiLevelType w:val="hybridMultilevel"/>
    <w:lvl w:ilvl="0">
      <w:lvlJc w:val="left"/>
      <w:lvlText w:val="%1."/>
      <w:numFmt w:val="upperLetter"/>
      <w:start w:val="2"/>
    </w:lvl>
  </w:abstractNum>
  <w:abstractNum w:abstractNumId="392">
    <w:nsid w:val="6A9126B5"/>
    <w:multiLevelType w:val="hybridMultilevel"/>
    <w:lvl w:ilvl="0">
      <w:lvlJc w:val="left"/>
      <w:lvlText w:val="(%1)"/>
      <w:numFmt w:val="decimal"/>
      <w:start w:val="3"/>
    </w:lvl>
  </w:abstractNum>
  <w:abstractNum w:abstractNumId="393">
    <w:nsid w:val="68104812"/>
    <w:multiLevelType w:val="hybridMultilevel"/>
    <w:lvl w:ilvl="0">
      <w:lvlJc w:val="left"/>
      <w:lvlText w:val="(%1)"/>
      <w:numFmt w:val="decimal"/>
      <w:start w:val="1"/>
    </w:lvl>
  </w:abstractNum>
  <w:abstractNum w:abstractNumId="394">
    <w:nsid w:val="62FB8680"/>
    <w:multiLevelType w:val="hybridMultilevel"/>
    <w:lvl w:ilvl="0">
      <w:lvlJc w:val="left"/>
      <w:lvlText w:val="%1."/>
      <w:numFmt w:val="upperLetter"/>
      <w:start w:val="3"/>
    </w:lvl>
  </w:abstractNum>
  <w:abstractNum w:abstractNumId="395">
    <w:nsid w:val="3A45530"/>
    <w:multiLevelType w:val="hybridMultilevel"/>
    <w:lvl w:ilvl="0">
      <w:lvlJc w:val="left"/>
      <w:lvlText w:val="(%1)"/>
      <w:numFmt w:val="lowerLetter"/>
      <w:start w:val="2"/>
    </w:lvl>
  </w:abstractNum>
  <w:abstractNum w:abstractNumId="396">
    <w:nsid w:val="4B9275D2"/>
    <w:multiLevelType w:val="hybridMultilevel"/>
    <w:lvl w:ilvl="0">
      <w:lvlJc w:val="left"/>
      <w:lvlText w:val="(%1)"/>
      <w:numFmt w:val="lowerLetter"/>
      <w:start w:val="2"/>
    </w:lvl>
  </w:abstractNum>
  <w:abstractNum w:abstractNumId="397">
    <w:nsid w:val="4F0CEEDB"/>
    <w:multiLevelType w:val="hybridMultilevel"/>
    <w:lvl w:ilvl="0">
      <w:lvlJc w:val="left"/>
      <w:lvlText w:val="(%1)"/>
      <w:numFmt w:val="decimal"/>
      <w:start w:val="2"/>
    </w:lvl>
  </w:abstractNum>
  <w:abstractNum w:abstractNumId="398">
    <w:nsid w:val="61C30361"/>
    <w:multiLevelType w:val="hybridMultilevel"/>
    <w:lvl w:ilvl="0">
      <w:lvlJc w:val="left"/>
      <w:lvlText w:val="(%1)"/>
      <w:numFmt w:val="lowerLetter"/>
      <w:start w:val="13"/>
    </w:lvl>
  </w:abstractNum>
  <w:abstractNum w:abstractNumId="399">
    <w:nsid w:val="632099E0"/>
    <w:multiLevelType w:val="hybridMultilevel"/>
    <w:lvl w:ilvl="0">
      <w:lvlJc w:val="left"/>
      <w:lvlText w:val="(%1)"/>
      <w:numFmt w:val="lowerLetter"/>
      <w:start w:val="13"/>
    </w:lvl>
  </w:abstractNum>
  <w:abstractNum w:abstractNumId="400">
    <w:nsid w:val="24639756"/>
    <w:multiLevelType w:val="hybridMultilevel"/>
    <w:lvl w:ilvl="0">
      <w:lvlJc w:val="left"/>
      <w:lvlText w:val="%1."/>
      <w:numFmt w:val="decimal"/>
      <w:start w:val="1"/>
    </w:lvl>
  </w:abstractNum>
  <w:abstractNum w:abstractNumId="401">
    <w:nsid w:val="9D30DF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02">
    <w:nsid w:val="70A42016"/>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03">
    <w:nsid w:val="161BC243"/>
    <w:multiLevelType w:val="hybridMultilevel"/>
    <w:lvl w:ilvl="0">
      <w:lvlJc w:val="left"/>
      <w:lvlText w:val="%1."/>
      <w:numFmt w:val="decimal"/>
      <w:start w:val="2"/>
    </w:lvl>
    <w:lvl w:ilvl="1">
      <w:lvlJc w:val="left"/>
      <w:lvlText w:val="(%2)"/>
      <w:numFmt w:val="lowerLetter"/>
      <w:start w:val="1"/>
    </w:lvl>
  </w:abstractNum>
  <w:abstractNum w:abstractNumId="404">
    <w:nsid w:val="16E908C8"/>
    <w:multiLevelType w:val="hybridMultilevel"/>
    <w:lvl w:ilvl="0">
      <w:lvlJc w:val="left"/>
      <w:lvlText w:val="%1"/>
      <w:numFmt w:val="decimal"/>
      <w:start w:val="1"/>
    </w:lvl>
    <w:lvl w:ilvl="1">
      <w:lvlJc w:val="left"/>
      <w:lvlText w:val="(%2)"/>
      <w:numFmt w:val="lowerLetter"/>
      <w:start w:val="3"/>
    </w:lvl>
  </w:abstractNum>
  <w:abstractNum w:abstractNumId="405">
    <w:nsid w:val="2E0D7671"/>
    <w:multiLevelType w:val="hybridMultilevel"/>
    <w:lvl w:ilvl="0">
      <w:lvlJc w:val="left"/>
      <w:lvlText w:val="%1."/>
      <w:numFmt w:val="decimal"/>
      <w:start w:val="4"/>
    </w:lvl>
    <w:lvl w:ilvl="1">
      <w:lvlJc w:val="left"/>
      <w:lvlText w:val="(%2)"/>
      <w:numFmt w:val="lowerLetter"/>
      <w:start w:val="1"/>
    </w:lvl>
  </w:abstractNum>
  <w:abstractNum w:abstractNumId="406">
    <w:nsid w:val="38B59EFF"/>
    <w:multiLevelType w:val="hybridMultilevel"/>
    <w:lvl w:ilvl="0">
      <w:lvlJc w:val="left"/>
      <w:lvlText w:val="%1."/>
      <w:numFmt w:val="decimal"/>
      <w:start w:val="5"/>
    </w:lvl>
    <w:lvl w:ilvl="1">
      <w:lvlJc w:val="left"/>
      <w:lvlText w:val="(%2)"/>
      <w:numFmt w:val="lowerLetter"/>
      <w:start w:val="1"/>
    </w:lvl>
  </w:abstractNum>
  <w:abstractNum w:abstractNumId="407">
    <w:nsid w:val="307995CA"/>
    <w:multiLevelType w:val="hybridMultilevel"/>
    <w:lvl w:ilvl="0">
      <w:lvlJc w:val="left"/>
      <w:lvlText w:val="(%1)"/>
      <w:numFmt w:val="lowerLetter"/>
      <w:start w:val="2"/>
    </w:lvl>
    <w:lvl w:ilvl="1">
      <w:lvlJc w:val="left"/>
      <w:lvlText w:val="(%2)"/>
      <w:numFmt w:val="lowerRoman"/>
      <w:start w:val="1"/>
    </w:lvl>
  </w:abstractNum>
  <w:abstractNum w:abstractNumId="408">
    <w:nsid w:val="52E2024D"/>
    <w:multiLevelType w:val="hybridMultilevel"/>
    <w:lvl w:ilvl="0">
      <w:lvlJc w:val="left"/>
      <w:lvlText w:val="%1"/>
      <w:numFmt w:val="decimal"/>
      <w:start w:val="1"/>
    </w:lvl>
    <w:lvl w:ilvl="1">
      <w:lvlJc w:val="left"/>
      <w:lvlText w:val="(%2)"/>
      <w:numFmt w:val="lowerLetter"/>
      <w:start w:val="4"/>
    </w:lvl>
  </w:abstractNum>
  <w:abstractNum w:abstractNumId="409">
    <w:nsid w:val="CE344B5"/>
    <w:multiLevelType w:val="hybridMultilevel"/>
    <w:lvl w:ilvl="0">
      <w:lvlJc w:val="left"/>
      <w:lvlText w:val="%1."/>
      <w:numFmt w:val="decimal"/>
      <w:start w:val="8"/>
    </w:lvl>
    <w:lvl w:ilvl="1">
      <w:lvlJc w:val="left"/>
      <w:lvlText w:val="(%2)"/>
      <w:numFmt w:val="lowerLetter"/>
      <w:start w:val="1"/>
    </w:lvl>
  </w:abstractNum>
  <w:abstractNum w:abstractNumId="410">
    <w:nsid w:val="29B0E9A8"/>
    <w:multiLevelType w:val="hybridMultilevel"/>
    <w:lvl w:ilvl="0">
      <w:lvlJc w:val="left"/>
      <w:lvlText w:val="%1"/>
      <w:numFmt w:val="decimal"/>
      <w:start w:val="1"/>
    </w:lvl>
    <w:lvl w:ilvl="1">
      <w:lvlJc w:val="left"/>
      <w:lvlText w:val="(%2)"/>
      <w:numFmt w:val="lowerLetter"/>
      <w:start w:val="3"/>
    </w:lvl>
  </w:abstractNum>
  <w:abstractNum w:abstractNumId="411">
    <w:nsid w:val="6F49CD8A"/>
    <w:multiLevelType w:val="hybridMultilevel"/>
    <w:lvl w:ilvl="0">
      <w:lvlJc w:val="left"/>
      <w:lvlText w:val="%1."/>
      <w:numFmt w:val="decimal"/>
      <w:start w:val="10"/>
    </w:lvl>
    <w:lvl w:ilvl="1">
      <w:lvlJc w:val="left"/>
      <w:lvlText w:val="(%2)"/>
      <w:numFmt w:val="lowerLetter"/>
      <w:start w:val="1"/>
    </w:lvl>
  </w:abstractNum>
  <w:abstractNum w:abstractNumId="412">
    <w:nsid w:val="4DC5D907"/>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413">
    <w:nsid w:val="D55945E"/>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414">
    <w:nsid w:val="672417E1"/>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415">
    <w:nsid w:val="5FF6CA09"/>
    <w:multiLevelType w:val="hybridMultilevel"/>
    <w:lvl w:ilvl="0">
      <w:lvlJc w:val="left"/>
      <w:lvlText w:val="(%1)"/>
      <w:numFmt w:val="lowerLetter"/>
      <w:start w:val="2"/>
    </w:lvl>
  </w:abstractNum>
  <w:abstractNum w:abstractNumId="416">
    <w:nsid w:val="330B1333"/>
    <w:multiLevelType w:val="hybridMultilevel"/>
    <w:lvl w:ilvl="0">
      <w:lvlJc w:val="left"/>
      <w:lvlText w:val="%1."/>
      <w:numFmt w:val="upperLetter"/>
      <w:start w:val="5"/>
    </w:lvl>
  </w:abstractNum>
  <w:abstractNum w:abstractNumId="417">
    <w:nsid w:val="2EF32EA6"/>
    <w:multiLevelType w:val="hybridMultilevel"/>
    <w:lvl w:ilvl="0">
      <w:lvlJc w:val="left"/>
      <w:lvlText w:val="%1."/>
      <w:numFmt w:val="upperLetter"/>
      <w:start w:val="6"/>
    </w:lvl>
  </w:abstractNum>
  <w:abstractNum w:abstractNumId="418">
    <w:nsid w:val="32766A55"/>
    <w:multiLevelType w:val="hybridMultilevel"/>
    <w:lvl w:ilvl="0">
      <w:lvlJc w:val="left"/>
      <w:lvlText w:val="%1."/>
      <w:numFmt w:val="upperLetter"/>
      <w:start w:val="2"/>
    </w:lvl>
  </w:abstractNum>
  <w:abstractNum w:abstractNumId="419">
    <w:nsid w:val="22D71957"/>
    <w:multiLevelType w:val="hybridMultilevel"/>
    <w:lvl w:ilvl="0">
      <w:lvlJc w:val="left"/>
      <w:lvlText w:val="%1."/>
      <w:numFmt w:val="upperLetter"/>
      <w:start w:val="3"/>
    </w:lvl>
  </w:abstractNum>
  <w:abstractNum w:abstractNumId="420">
    <w:nsid w:val="4CC1263B"/>
    <w:multiLevelType w:val="hybridMultilevel"/>
    <w:lvl w:ilvl="0">
      <w:lvlJc w:val="left"/>
      <w:lvlText w:val="%1."/>
      <w:numFmt w:val="upperLetter"/>
      <w:start w:val="4"/>
    </w:lvl>
  </w:abstractNum>
  <w:abstractNum w:abstractNumId="421">
    <w:nsid w:val="8BBEB1D"/>
    <w:multiLevelType w:val="hybridMultilevel"/>
    <w:lvl w:ilvl="0">
      <w:lvlJc w:val="left"/>
      <w:lvlText w:val="%1."/>
      <w:numFmt w:val="upperLetter"/>
      <w:start w:val="5"/>
    </w:lvl>
  </w:abstractNum>
  <w:abstractNum w:abstractNumId="422">
    <w:nsid w:val="7365F1EE"/>
    <w:multiLevelType w:val="hybridMultilevel"/>
    <w:lvl w:ilvl="0">
      <w:lvlJc w:val="left"/>
      <w:lvlText w:val="%1."/>
      <w:numFmt w:val="upperLetter"/>
      <w:start w:val="8"/>
    </w:lvl>
  </w:abstractNum>
  <w:abstractNum w:abstractNumId="423">
    <w:nsid w:val="37524CF0"/>
    <w:multiLevelType w:val="hybridMultilevel"/>
    <w:lvl w:ilvl="0">
      <w:lvlJc w:val="left"/>
      <w:lvlText w:val="%1."/>
      <w:numFmt w:val="upperLetter"/>
      <w:start w:val="9"/>
    </w:lvl>
  </w:abstractNum>
  <w:abstractNum w:abstractNumId="424">
    <w:nsid w:val="70CC332F"/>
    <w:multiLevelType w:val="hybridMultilevel"/>
    <w:lvl w:ilvl="0">
      <w:lvlJc w:val="left"/>
      <w:lvlText w:val="%1."/>
      <w:numFmt w:val="upperLetter"/>
      <w:start w:val="10"/>
    </w:lvl>
  </w:abstractNum>
  <w:abstractNum w:abstractNumId="425">
    <w:nsid w:val="5661786E"/>
    <w:multiLevelType w:val="hybridMultilevel"/>
    <w:lvl w:ilvl="0">
      <w:lvlJc w:val="left"/>
      <w:lvlText w:val="%1."/>
      <w:numFmt w:val="upperLetter"/>
      <w:start w:val="11"/>
    </w:lvl>
  </w:abstractNum>
  <w:abstractNum w:abstractNumId="426">
    <w:nsid w:val="3AF6A220"/>
    <w:multiLevelType w:val="hybridMultilevel"/>
    <w:lvl w:ilvl="0">
      <w:lvlJc w:val="left"/>
      <w:lvlText w:val="%1."/>
      <w:numFmt w:val="upperLetter"/>
      <w:start w:val="12"/>
    </w:lvl>
  </w:abstractNum>
  <w:abstractNum w:abstractNumId="427">
    <w:nsid w:val="3C5EA902"/>
    <w:multiLevelType w:val="hybridMultilevel"/>
    <w:lvl w:ilvl="0">
      <w:lvlJc w:val="left"/>
      <w:lvlText w:val="%1."/>
      <w:numFmt w:val="upperLetter"/>
      <w:start w:val="13"/>
    </w:lvl>
  </w:abstractNum>
  <w:abstractNum w:abstractNumId="428">
    <w:nsid w:val="256E6749"/>
    <w:multiLevelType w:val="hybridMultilevel"/>
    <w:lvl w:ilvl="0">
      <w:lvlJc w:val="left"/>
      <w:lvlText w:val="%1."/>
      <w:numFmt w:val="upperLetter"/>
      <w:start w:val="14"/>
    </w:lvl>
  </w:abstractNum>
  <w:abstractNum w:abstractNumId="429">
    <w:nsid w:val="1CB9A581"/>
    <w:multiLevelType w:val="hybridMultilevel"/>
    <w:lvl w:ilvl="0">
      <w:lvlJc w:val="left"/>
      <w:lvlText w:val="(%1)"/>
      <w:numFmt w:val="decimal"/>
      <w:start w:val="6"/>
    </w:lvl>
  </w:abstractNum>
  <w:abstractNum w:abstractNumId="430">
    <w:nsid w:val="1F7F42E2"/>
    <w:multiLevelType w:val="hybridMultilevel"/>
    <w:lvl w:ilvl="0">
      <w:lvlJc w:val="left"/>
      <w:lvlText w:val="%1."/>
      <w:numFmt w:val="upperLetter"/>
      <w:start w:val="15"/>
    </w:lvl>
  </w:abstractNum>
  <w:abstractNum w:abstractNumId="431">
    <w:nsid w:val="49D1FEA0"/>
    <w:multiLevelType w:val="hybridMultilevel"/>
    <w:lvl w:ilvl="0">
      <w:lvlJc w:val="left"/>
      <w:lvlText w:val="%1."/>
      <w:numFmt w:val="upperLetter"/>
      <w:start w:val="16"/>
    </w:lvl>
  </w:abstractNum>
  <w:abstractNum w:abstractNumId="432">
    <w:nsid w:val="268CB37F"/>
    <w:multiLevelType w:val="hybridMultilevel"/>
    <w:lvl w:ilvl="0">
      <w:lvlJc w:val="left"/>
      <w:lvlText w:val="%1."/>
      <w:numFmt w:val="upperLetter"/>
      <w:start w:val="17"/>
    </w:lvl>
  </w:abstractNum>
  <w:abstractNum w:abstractNumId="433">
    <w:nsid w:val="102362F8"/>
    <w:multiLevelType w:val="hybridMultilevel"/>
    <w:lvl w:ilvl="0">
      <w:lvlJc w:val="left"/>
      <w:lvlText w:val="%1."/>
      <w:numFmt w:val="upperLetter"/>
      <w:start w:val="19"/>
    </w:lvl>
  </w:abstractNum>
  <w:abstractNum w:abstractNumId="434">
    <w:nsid w:val="5FEDC0E3"/>
    <w:multiLevelType w:val="hybridMultilevel"/>
    <w:lvl w:ilvl="0">
      <w:lvlJc w:val="left"/>
      <w:lvlText w:val="%1."/>
      <w:numFmt w:val="upperLetter"/>
      <w:start w:val="20"/>
    </w:lvl>
  </w:abstractNum>
  <w:abstractNum w:abstractNumId="435">
    <w:nsid w:val="3D75BC47"/>
    <w:multiLevelType w:val="hybridMultilevel"/>
    <w:lvl w:ilvl="0">
      <w:lvlJc w:val="left"/>
      <w:lvlText w:val="%1."/>
      <w:numFmt w:val="upperLetter"/>
      <w:start w:val="21"/>
    </w:lvl>
  </w:abstractNum>
  <w:abstractNum w:abstractNumId="436">
    <w:nsid w:val="3E30D969"/>
    <w:multiLevelType w:val="hybridMultilevel"/>
    <w:lvl w:ilvl="0">
      <w:lvlJc w:val="left"/>
      <w:lvlText w:val="(%1)"/>
      <w:numFmt w:val="lowerRoman"/>
      <w:start w:val="1"/>
    </w:lvl>
  </w:abstractNum>
  <w:abstractNum w:abstractNumId="437">
    <w:nsid w:val="18A35FE3"/>
    <w:multiLevelType w:val="hybridMultilevel"/>
    <w:lvl w:ilvl="0">
      <w:lvlJc w:val="left"/>
      <w:lvlText w:val="(%1)"/>
      <w:numFmt w:val="decimal"/>
      <w:start w:val="21"/>
    </w:lvl>
  </w:abstractNum>
  <w:abstractNum w:abstractNumId="438">
    <w:nsid w:val="6DEF5211"/>
    <w:multiLevelType w:val="hybridMultilevel"/>
    <w:lvl w:ilvl="0">
      <w:lvlJc w:val="left"/>
      <w:lvlText w:val="%1."/>
      <w:numFmt w:val="upperLetter"/>
      <w:start w:val="4"/>
    </w:lvl>
    <w:lvl w:ilvl="1">
      <w:lvlJc w:val="left"/>
      <w:lvlText w:val="%2."/>
      <w:numFmt w:val="decimal"/>
      <w:start w:val="1"/>
    </w:lvl>
  </w:abstractNum>
  <w:abstractNum w:abstractNumId="439">
    <w:nsid w:val="1112DBB6"/>
    <w:multiLevelType w:val="hybridMultilevel"/>
    <w:lvl w:ilvl="0">
      <w:lvlJc w:val="left"/>
      <w:lvlText w:val="%1."/>
      <w:numFmt w:val="decimal"/>
      <w:start w:val="2"/>
    </w:lvl>
  </w:abstractNum>
  <w:abstractNum w:abstractNumId="440">
    <w:nsid w:val="2586A498"/>
    <w:multiLevelType w:val="hybridMultilevel"/>
    <w:lvl w:ilvl="0">
      <w:lvlJc w:val="left"/>
      <w:lvlText w:val="%1."/>
      <w:numFmt w:val="decimal"/>
      <w:start w:val="3"/>
    </w:lvl>
  </w:abstractNum>
  <w:abstractNum w:abstractNumId="441">
    <w:nsid w:val="17A03BB9"/>
    <w:multiLevelType w:val="hybridMultilevel"/>
    <w:lvl w:ilvl="0">
      <w:lvlJc w:val="left"/>
      <w:lvlText w:val="%1."/>
      <w:numFmt w:val="decimal"/>
      <w:start w:val="4"/>
    </w:lvl>
  </w:abstractNum>
  <w:abstractNum w:abstractNumId="442">
    <w:nsid w:val="5CA941"/>
    <w:multiLevelType w:val="hybridMultilevel"/>
    <w:lvl w:ilvl="0">
      <w:lvlJc w:val="left"/>
      <w:lvlText w:val="(%1)"/>
      <w:numFmt w:val="lowerLetter"/>
      <w:start w:val="1"/>
    </w:lvl>
  </w:abstractNum>
  <w:abstractNum w:abstractNumId="443">
    <w:nsid w:val="734C7D9F"/>
    <w:multiLevelType w:val="hybridMultilevel"/>
    <w:lvl w:ilvl="0">
      <w:lvlJc w:val="left"/>
      <w:lvlText w:val="(%1)"/>
      <w:numFmt w:val="lowerLetter"/>
      <w:start w:val="2"/>
    </w:lvl>
  </w:abstractNum>
  <w:abstractNum w:abstractNumId="444">
    <w:nsid w:val="24F5D018"/>
    <w:multiLevelType w:val="hybridMultilevel"/>
    <w:lvl w:ilvl="0">
      <w:lvlJc w:val="left"/>
      <w:lvlText w:val="(%1)"/>
      <w:numFmt w:val="lowerLetter"/>
      <w:start w:val="3"/>
    </w:lvl>
  </w:abstractNum>
  <w:abstractNum w:abstractNumId="445">
    <w:nsid w:val="6780C122"/>
    <w:multiLevelType w:val="hybridMultilevel"/>
    <w:lvl w:ilvl="0">
      <w:lvlJc w:val="left"/>
      <w:lvlText w:val="%1."/>
      <w:numFmt w:val="decimal"/>
      <w:start w:val="1"/>
    </w:lvl>
  </w:abstractNum>
  <w:abstractNum w:abstractNumId="446">
    <w:nsid w:val="534347A8"/>
    <w:multiLevelType w:val="hybridMultilevel"/>
    <w:lvl w:ilvl="0">
      <w:lvlJc w:val="left"/>
      <w:lvlText w:val="%1."/>
      <w:numFmt w:val="decimal"/>
      <w:start w:val="2"/>
    </w:lvl>
  </w:abstractNum>
  <w:abstractNum w:abstractNumId="447">
    <w:nsid w:val="5800E34B"/>
    <w:multiLevelType w:val="hybridMultilevel"/>
    <w:lvl w:ilvl="0">
      <w:lvlJc w:val="left"/>
      <w:lvlText w:val="%1."/>
      <w:numFmt w:val="decimal"/>
      <w:start w:val="3"/>
    </w:lvl>
  </w:abstractNum>
  <w:abstractNum w:abstractNumId="448">
    <w:nsid w:val="1673EFC8"/>
    <w:multiLevelType w:val="hybridMultilevel"/>
    <w:lvl w:ilvl="0">
      <w:lvlJc w:val="left"/>
      <w:lvlText w:val="%1."/>
      <w:numFmt w:val="decimal"/>
      <w:start w:val="4"/>
    </w:lvl>
  </w:abstractNum>
  <w:abstractNum w:abstractNumId="449">
    <w:nsid w:val="5B9B1FD"/>
    <w:multiLevelType w:val="hybridMultilevel"/>
    <w:lvl w:ilvl="0">
      <w:lvlJc w:val="left"/>
      <w:lvlText w:val="%1."/>
      <w:numFmt w:val="decimal"/>
      <w:start w:val="1"/>
    </w:lvl>
  </w:abstractNum>
  <w:abstractNum w:abstractNumId="450">
    <w:nsid w:val="7AD7FCA2"/>
    <w:multiLevelType w:val="hybridMultilevel"/>
    <w:lvl w:ilvl="0">
      <w:lvlJc w:val="left"/>
      <w:lvlText w:val="%1."/>
      <w:numFmt w:val="decimal"/>
      <w:start w:val="1"/>
    </w:lvl>
  </w:abstractNum>
  <w:abstractNum w:abstractNumId="451">
    <w:nsid w:val="63351604"/>
    <w:multiLevelType w:val="hybridMultilevel"/>
    <w:lvl w:ilvl="0">
      <w:lvlJc w:val="left"/>
      <w:lvlText w:val="%1."/>
      <w:numFmt w:val="decimal"/>
      <w:start w:val="2"/>
    </w:lvl>
  </w:abstractNum>
  <w:abstractNum w:abstractNumId="452">
    <w:nsid w:val="E759D1A"/>
    <w:multiLevelType w:val="hybridMultilevel"/>
    <w:lvl w:ilvl="0">
      <w:lvlJc w:val="left"/>
      <w:lvlText w:val="%1."/>
      <w:numFmt w:val="decimal"/>
      <w:start w:val="10"/>
    </w:lvl>
  </w:abstractNum>
  <w:abstractNum w:abstractNumId="453">
    <w:nsid w:val="6E3DEE90"/>
    <w:multiLevelType w:val="hybridMultilevel"/>
    <w:lvl w:ilvl="0">
      <w:lvlJc w:val="left"/>
      <w:lvlText w:val="%1."/>
      <w:numFmt w:val="decimal"/>
      <w:start w:val="1"/>
    </w:lvl>
  </w:abstractNum>
  <w:abstractNum w:abstractNumId="454">
    <w:nsid w:val="1A8762F4"/>
    <w:multiLevelType w:val="hybridMultilevel"/>
    <w:lvl w:ilvl="0">
      <w:lvlJc w:val="left"/>
      <w:lvlText w:val="%1."/>
      <w:numFmt w:val="decimal"/>
      <w:start w:val="2"/>
    </w:lvl>
  </w:abstractNum>
  <w:abstractNum w:abstractNumId="455">
    <w:nsid w:val="7F41D049"/>
    <w:multiLevelType w:val="hybridMultilevel"/>
    <w:lvl w:ilvl="0">
      <w:lvlJc w:val="left"/>
      <w:lvlText w:val="%1."/>
      <w:numFmt w:val="upperLetter"/>
      <w:start w:val="3"/>
    </w:lvl>
  </w:abstractNum>
  <w:abstractNum w:abstractNumId="456">
    <w:nsid w:val="449F66FE"/>
    <w:multiLevelType w:val="hybridMultilevel"/>
    <w:lvl w:ilvl="0">
      <w:lvlJc w:val="left"/>
      <w:lvlText w:val="%1."/>
      <w:numFmt w:val="upperLetter"/>
      <w:start w:val="4"/>
    </w:lvl>
  </w:abstractNum>
  <w:abstractNum w:abstractNumId="457">
    <w:nsid w:val="557E0515"/>
    <w:multiLevelType w:val="hybridMultilevel"/>
    <w:lvl w:ilvl="0">
      <w:lvlJc w:val="left"/>
      <w:lvlText w:val="%1."/>
      <w:numFmt w:val="upperLetter"/>
      <w:start w:val="5"/>
    </w:lvl>
  </w:abstractNum>
  <w:abstractNum w:abstractNumId="458">
    <w:nsid w:val="3BA0794B"/>
    <w:multiLevelType w:val="hybridMultilevel"/>
    <w:lvl w:ilvl="0">
      <w:lvlJc w:val="left"/>
      <w:lvlText w:val="%1."/>
      <w:numFmt w:val="upperLetter"/>
      <w:start w:val="6"/>
    </w:lvl>
    <w:lvl w:ilvl="1">
      <w:lvlJc w:val="left"/>
      <w:lvlText w:val="%2."/>
      <w:numFmt w:val="decimal"/>
      <w:start w:val="1"/>
    </w:lvl>
  </w:abstractNum>
  <w:abstractNum w:abstractNumId="459">
    <w:nsid w:val="6A0DCE48"/>
    <w:multiLevelType w:val="hybridMultilevel"/>
    <w:lvl w:ilvl="0">
      <w:lvlJc w:val="left"/>
      <w:lvlText w:val="%1."/>
      <w:numFmt w:val="decimal"/>
      <w:start w:val="2"/>
    </w:lvl>
  </w:abstractNum>
  <w:abstractNum w:abstractNumId="460">
    <w:nsid w:val="7237AA96"/>
    <w:multiLevelType w:val="hybridMultilevel"/>
    <w:lvl w:ilvl="0">
      <w:lvlJc w:val="left"/>
      <w:lvlText w:val="%1."/>
      <w:numFmt w:val="upperLetter"/>
      <w:start w:val="7"/>
    </w:lvl>
  </w:abstractNum>
  <w:abstractNum w:abstractNumId="461">
    <w:nsid w:val="5B1FBC2D"/>
    <w:multiLevelType w:val="hybridMultilevel"/>
    <w:lvl w:ilvl="0">
      <w:lvlJc w:val="left"/>
      <w:lvlText w:val="(%1)"/>
      <w:numFmt w:val="upperLetter"/>
      <w:start w:val="22"/>
    </w:lvl>
  </w:abstractNum>
  <w:abstractNum w:abstractNumId="462">
    <w:nsid w:val="33DFCCE8"/>
    <w:multiLevelType w:val="hybridMultilevel"/>
    <w:lvl w:ilvl="0">
      <w:lvlJc w:val="left"/>
      <w:lvlText w:val="%1."/>
      <w:numFmt w:val="upperLetter"/>
      <w:start w:val="8"/>
    </w:lvl>
  </w:abstractNum>
  <w:abstractNum w:abstractNumId="463">
    <w:nsid w:val="18C45E15"/>
    <w:multiLevelType w:val="hybridMultilevel"/>
    <w:lvl w:ilvl="0">
      <w:lvlJc w:val="left"/>
      <w:lvlText w:val="%1."/>
      <w:numFmt w:val="upperLetter"/>
      <w:start w:val="9"/>
    </w:lvl>
  </w:abstractNum>
  <w:abstractNum w:abstractNumId="464">
    <w:nsid w:val="6B431F25"/>
    <w:multiLevelType w:val="hybridMultilevel"/>
    <w:lvl w:ilvl="0">
      <w:lvlJc w:val="left"/>
      <w:lvlText w:val="%1."/>
      <w:numFmt w:val="upperLetter"/>
      <w:start w:val="10"/>
    </w:lvl>
  </w:abstractNum>
  <w:abstractNum w:abstractNumId="465">
    <w:nsid w:val="13CD8DCB"/>
    <w:multiLevelType w:val="hybridMultilevel"/>
    <w:lvl w:ilvl="0">
      <w:lvlJc w:val="left"/>
      <w:lvlText w:val="%1."/>
      <w:numFmt w:val="decimal"/>
      <w:start w:val="1"/>
    </w:lvl>
  </w:abstractNum>
  <w:abstractNum w:abstractNumId="466">
    <w:nsid w:val="563A1A5C"/>
    <w:multiLevelType w:val="hybridMultilevel"/>
    <w:lvl w:ilvl="0">
      <w:lvlJc w:val="left"/>
      <w:lvlText w:val="%1."/>
      <w:numFmt w:val="decimal"/>
      <w:start w:val="4"/>
    </w:lvl>
  </w:abstractNum>
  <w:abstractNum w:abstractNumId="467">
    <w:nsid w:val="2973F88F"/>
    <w:multiLevelType w:val="hybridMultilevel"/>
    <w:lvl w:ilvl="0">
      <w:lvlJc w:val="left"/>
      <w:lvlText w:val="%1."/>
      <w:numFmt w:val="upperLetter"/>
      <w:start w:val="1"/>
    </w:lvl>
  </w:abstractNum>
  <w:abstractNum w:abstractNumId="468">
    <w:nsid w:val="2C70EDAE"/>
    <w:multiLevelType w:val="hybridMultilevel"/>
    <w:lvl w:ilvl="0">
      <w:lvlJc w:val="left"/>
      <w:lvlText w:val="%1."/>
      <w:numFmt w:val="upperLetter"/>
      <w:start w:val="3"/>
    </w:lvl>
  </w:abstractNum>
  <w:abstractNum w:abstractNumId="469">
    <w:nsid w:val="44296C6D"/>
    <w:multiLevelType w:val="hybridMultilevel"/>
    <w:lvl w:ilvl="0">
      <w:lvlJc w:val="left"/>
      <w:lvlText w:val="%1."/>
      <w:numFmt w:val="upperLetter"/>
      <w:start w:val="4"/>
    </w:lvl>
  </w:abstractNum>
  <w:abstractNum w:abstractNumId="470">
    <w:nsid w:val="3A86D445"/>
    <w:multiLevelType w:val="hybridMultilevel"/>
    <w:lvl w:ilvl="0">
      <w:lvlJc w:val="left"/>
      <w:lvlText w:val="%1."/>
      <w:numFmt w:val="upperLetter"/>
      <w:start w:val="5"/>
    </w:lvl>
  </w:abstractNum>
  <w:abstractNum w:abstractNumId="471">
    <w:nsid w:val="51F79246"/>
    <w:multiLevelType w:val="hybridMultilevel"/>
    <w:lvl w:ilvl="0">
      <w:lvlJc w:val="left"/>
      <w:lvlText w:val="%1."/>
      <w:numFmt w:val="upperLetter"/>
      <w:start w:val="6"/>
    </w:lvl>
  </w:abstractNum>
  <w:abstractNum w:abstractNumId="472">
    <w:nsid w:val="5BC9A827"/>
    <w:multiLevelType w:val="hybridMultilevel"/>
    <w:lvl w:ilvl="0">
      <w:lvlJc w:val="left"/>
      <w:lvlText w:val="%1."/>
      <w:numFmt w:val="upperLetter"/>
      <w:start w:val="7"/>
    </w:lvl>
  </w:abstractNum>
  <w:abstractNum w:abstractNumId="473">
    <w:nsid w:val="3AE37D86"/>
    <w:multiLevelType w:val="hybridMultilevel"/>
    <w:lvl w:ilvl="0">
      <w:lvlJc w:val="left"/>
      <w:lvlText w:val="%1."/>
      <w:numFmt w:val="upperLetter"/>
      <w:start w:val="8"/>
    </w:lvl>
  </w:abstractNum>
  <w:abstractNum w:abstractNumId="474">
    <w:nsid w:val="45440FE5"/>
    <w:multiLevelType w:val="hybridMultilevel"/>
    <w:lvl w:ilvl="0">
      <w:lvlJc w:val="left"/>
      <w:lvlText w:val="%1."/>
      <w:numFmt w:val="upperLetter"/>
      <w:start w:val="9"/>
    </w:lvl>
  </w:abstractNum>
  <w:abstractNum w:abstractNumId="475">
    <w:nsid w:val="BF783F"/>
    <w:multiLevelType w:val="hybridMultilevel"/>
    <w:lvl w:ilvl="0">
      <w:lvlJc w:val="left"/>
      <w:lvlText w:val="%1."/>
      <w:numFmt w:val="upperLetter"/>
      <w:start w:val="10"/>
    </w:lvl>
  </w:abstractNum>
  <w:abstractNum w:abstractNumId="476">
    <w:nsid w:val="22643EA9"/>
    <w:multiLevelType w:val="hybridMultilevel"/>
    <w:lvl w:ilvl="0">
      <w:lvlJc w:val="left"/>
      <w:lvlText w:val="%1."/>
      <w:numFmt w:val="upperLetter"/>
      <w:start w:val="11"/>
    </w:lvl>
  </w:abstractNum>
  <w:abstractNum w:abstractNumId="477">
    <w:nsid w:val="1887578D"/>
    <w:multiLevelType w:val="hybridMultilevel"/>
    <w:lvl w:ilvl="0">
      <w:lvlJc w:val="left"/>
      <w:lvlText w:val="%1."/>
      <w:numFmt w:val="upperLetter"/>
      <w:start w:val="12"/>
    </w:lvl>
  </w:abstractNum>
  <w:abstractNum w:abstractNumId="478">
    <w:nsid w:val="58C05B8A"/>
    <w:multiLevelType w:val="hybridMultilevel"/>
    <w:lvl w:ilvl="0">
      <w:lvlJc w:val="left"/>
      <w:lvlText w:val="%1."/>
      <w:numFmt w:val="upperLetter"/>
      <w:start w:val="13"/>
    </w:lvl>
  </w:abstractNum>
  <w:abstractNum w:abstractNumId="479">
    <w:nsid w:val="38D82E71"/>
    <w:multiLevelType w:val="hybridMultilevel"/>
    <w:lvl w:ilvl="0">
      <w:lvlJc w:val="left"/>
      <w:lvlText w:val="%1."/>
      <w:numFmt w:val="upperLetter"/>
      <w:start w:val="14"/>
    </w:lvl>
  </w:abstractNum>
  <w:abstractNum w:abstractNumId="480">
    <w:nsid w:val="1E41098A"/>
    <w:multiLevelType w:val="hybridMultilevel"/>
    <w:lvl w:ilvl="0">
      <w:lvlJc w:val="left"/>
      <w:lvlText w:val="%1."/>
      <w:numFmt w:val="upperLetter"/>
      <w:start w:val="15"/>
    </w:lvl>
  </w:abstractNum>
  <w:abstractNum w:abstractNumId="481">
    <w:nsid w:val="5398582C"/>
    <w:multiLevelType w:val="hybridMultilevel"/>
    <w:lvl w:ilvl="0">
      <w:lvlJc w:val="left"/>
      <w:lvlText w:val="%1."/>
      <w:numFmt w:val="upperLetter"/>
      <w:start w:val="16"/>
    </w:lvl>
  </w:abstractNum>
  <w:abstractNum w:abstractNumId="482">
    <w:nsid w:val="1C0D4475"/>
    <w:multiLevelType w:val="hybridMultilevel"/>
    <w:lvl w:ilvl="0">
      <w:lvlJc w:val="left"/>
      <w:lvlText w:val="%1."/>
      <w:numFmt w:val="upperLetter"/>
      <w:start w:val="17"/>
    </w:lvl>
  </w:abstractNum>
  <w:abstractNum w:abstractNumId="483">
    <w:nsid w:val="2CB6A6A4"/>
    <w:multiLevelType w:val="hybridMultilevel"/>
    <w:lvl w:ilvl="0">
      <w:lvlJc w:val="left"/>
      <w:lvlText w:val="%1."/>
      <w:numFmt w:val="upperLetter"/>
      <w:start w:val="18"/>
    </w:lvl>
  </w:abstractNum>
  <w:abstractNum w:abstractNumId="484">
    <w:nsid w:val="41D646BC"/>
    <w:multiLevelType w:val="hybridMultilevel"/>
    <w:lvl w:ilvl="0">
      <w:lvlJc w:val="left"/>
      <w:lvlText w:val="%1."/>
      <w:numFmt w:val="upperLetter"/>
      <w:start w:val="19"/>
    </w:lvl>
  </w:abstractNum>
  <w:abstractNum w:abstractNumId="485">
    <w:nsid w:val="3694A76A"/>
    <w:multiLevelType w:val="hybridMultilevel"/>
    <w:lvl w:ilvl="0">
      <w:lvlJc w:val="left"/>
      <w:lvlText w:val="%1)"/>
      <w:numFmt w:val="lowerRoman"/>
      <w:start w:val="1"/>
    </w:lvl>
  </w:abstractNum>
  <w:abstractNum w:abstractNumId="486">
    <w:nsid w:val="2BF876EE"/>
    <w:multiLevelType w:val="hybridMultilevel"/>
    <w:lvl w:ilvl="0">
      <w:lvlJc w:val="left"/>
      <w:lvlText w:val="(%1)"/>
      <w:numFmt w:val="decimal"/>
      <w:start w:val="1"/>
    </w:lvl>
  </w:abstractNum>
  <w:abstractNum w:abstractNumId="487">
    <w:nsid w:val="675ADBA"/>
    <w:multiLevelType w:val="hybridMultilevel"/>
    <w:lvl w:ilvl="0">
      <w:lvlJc w:val="left"/>
      <w:lvlText w:val="%1)"/>
      <w:numFmt w:val="lowerRoman"/>
      <w:start w:val="1"/>
    </w:lvl>
  </w:abstractNum>
  <w:abstractNum w:abstractNumId="488">
    <w:nsid w:val="C12AC7F"/>
    <w:multiLevelType w:val="hybridMultilevel"/>
    <w:lvl w:ilvl="0">
      <w:lvlJc w:val="left"/>
      <w:lvlText w:val="%1)"/>
      <w:numFmt w:val="lowerRoman"/>
      <w:start w:val="1"/>
    </w:lvl>
  </w:abstractNum>
  <w:abstractNum w:abstractNumId="489">
    <w:nsid w:val="6798F039"/>
    <w:multiLevelType w:val="hybridMultilevel"/>
    <w:lvl w:ilvl="0">
      <w:lvlJc w:val="left"/>
      <w:lvlText w:val="(%1)"/>
      <w:numFmt w:val="decimal"/>
      <w:start w:val="3"/>
    </w:lvl>
  </w:abstractNum>
  <w:abstractNum w:abstractNumId="490">
    <w:nsid w:val="70837C02"/>
    <w:multiLevelType w:val="hybridMultilevel"/>
    <w:lvl w:ilvl="0">
      <w:lvlJc w:val="left"/>
      <w:lvlText w:val="%1)"/>
      <w:numFmt w:val="lowerRoman"/>
      <w:start w:val="2"/>
    </w:lvl>
    <w:lvl w:ilvl="1">
      <w:lvlJc w:val="left"/>
      <w:lvlText w:val="·"/>
      <w:numFmt w:val="bullet"/>
      <w:start w:val="1"/>
    </w:lvl>
  </w:abstractNum>
  <w:abstractNum w:abstractNumId="491">
    <w:nsid w:val="7E4A5715"/>
    <w:multiLevelType w:val="hybridMultilevel"/>
    <w:lvl w:ilvl="0">
      <w:lvlJc w:val="left"/>
      <w:lvlText w:val="·"/>
      <w:numFmt w:val="bullet"/>
      <w:start w:val="1"/>
    </w:lvl>
  </w:abstractNum>
  <w:abstractNum w:abstractNumId="492">
    <w:nsid w:val="42B8AC67"/>
    <w:multiLevelType w:val="hybridMultilevel"/>
    <w:lvl w:ilvl="0">
      <w:lvlJc w:val="left"/>
      <w:lvlText w:val="·"/>
      <w:numFmt w:val="bullet"/>
      <w:start w:val="1"/>
    </w:lvl>
    <w:lvl w:ilvl="1">
      <w:lvlJc w:val="left"/>
      <w:lvlText w:val="·"/>
      <w:numFmt w:val="bullet"/>
      <w:start w:val="1"/>
    </w:lvl>
  </w:abstractNum>
  <w:abstractNum w:abstractNumId="493">
    <w:nsid w:val="246348EA"/>
    <w:multiLevelType w:val="hybridMultilevel"/>
    <w:lvl w:ilvl="0">
      <w:lvlJc w:val="left"/>
      <w:lvlText w:val="A"/>
      <w:numFmt w:val="bullet"/>
      <w:start w:val="1"/>
    </w:lvl>
  </w:abstractNum>
  <w:abstractNum w:abstractNumId="494">
    <w:nsid w:val="170EB52B"/>
    <w:multiLevelType w:val="hybridMultilevel"/>
    <w:lvl w:ilvl="0">
      <w:lvlJc w:val="left"/>
      <w:lvlText w:val="E"/>
      <w:numFmt w:val="bullet"/>
      <w:start w:val="1"/>
    </w:lvl>
  </w:abstractNum>
  <w:abstractNum w:abstractNumId="495">
    <w:nsid w:val="2DFBCB8C"/>
    <w:multiLevelType w:val="hybridMultilevel"/>
    <w:lvl w:ilvl="0">
      <w:lvlJc w:val="left"/>
      <w:lvlText w:val="G"/>
      <w:numFmt w:val="bullet"/>
      <w:start w:val="1"/>
    </w:lvl>
  </w:abstractNum>
  <w:abstractNum w:abstractNumId="496">
    <w:nsid w:val="3830D6B6"/>
    <w:multiLevelType w:val="hybridMultilevel"/>
    <w:lvl w:ilvl="0">
      <w:lvlJc w:val="left"/>
      <w:lvlText w:val="%1."/>
      <w:numFmt w:val="upperLetter"/>
      <w:start w:val="9"/>
    </w:lvl>
    <w:lvl w:ilvl="1">
      <w:lvlJc w:val="left"/>
      <w:lvlText w:val="·"/>
      <w:numFmt w:val="bullet"/>
      <w:start w:val="1"/>
    </w:lvl>
  </w:abstractNum>
  <w:abstractNum w:abstractNumId="497">
    <w:nsid w:val="6D48CF87"/>
    <w:multiLevelType w:val="hybridMultilevel"/>
    <w:lvl w:ilvl="0">
      <w:lvlJc w:val="left"/>
      <w:lvlText w:val="%1."/>
      <w:numFmt w:val="upperLetter"/>
      <w:start w:val="10"/>
    </w:lvl>
    <w:lvl w:ilvl="1">
      <w:lvlJc w:val="left"/>
      <w:lvlText w:val="·"/>
      <w:numFmt w:val="bullet"/>
      <w:start w:val="1"/>
    </w:lvl>
  </w:abstractNum>
  <w:abstractNum w:abstractNumId="498">
    <w:nsid w:val="576FC41B"/>
    <w:multiLevelType w:val="hybridMultilevel"/>
    <w:lvl w:ilvl="0">
      <w:lvlJc w:val="left"/>
      <w:lvlText w:val="%1."/>
      <w:numFmt w:val="upperLetter"/>
      <w:start w:val="13"/>
    </w:lvl>
  </w:abstractNum>
  <w:abstractNum w:abstractNumId="499">
    <w:nsid w:val="64A1C464"/>
    <w:multiLevelType w:val="hybridMultilevel"/>
    <w:lvl w:ilvl="0">
      <w:lvlJc w:val="left"/>
      <w:lvlText w:val="%1."/>
      <w:numFmt w:val="upperLetter"/>
      <w:start w:val="14"/>
    </w:lvl>
  </w:abstractNum>
  <w:abstractNum w:abstractNumId="500">
    <w:nsid w:val="31723BF5"/>
    <w:multiLevelType w:val="hybridMultilevel"/>
    <w:lvl w:ilvl="0">
      <w:lvlJc w:val="left"/>
      <w:lvlText w:val="%1."/>
      <w:numFmt w:val="upperLetter"/>
      <w:start w:val="15"/>
    </w:lvl>
  </w:abstractNum>
  <w:abstractNum w:abstractNumId="501">
    <w:nsid w:val="11F69861"/>
    <w:multiLevelType w:val="hybridMultilevel"/>
    <w:lvl w:ilvl="0">
      <w:lvlJc w:val="left"/>
      <w:lvlText w:val="%1."/>
      <w:numFmt w:val="upperLetter"/>
      <w:start w:val="16"/>
    </w:lvl>
  </w:abstractNum>
  <w:abstractNum w:abstractNumId="502">
    <w:nsid w:val="369956AB"/>
    <w:multiLevelType w:val="hybridMultilevel"/>
    <w:lvl w:ilvl="0">
      <w:lvlJc w:val="left"/>
      <w:lvlText w:val="%1."/>
      <w:numFmt w:val="upperLetter"/>
      <w:start w:val="17"/>
    </w:lvl>
  </w:abstractNum>
  <w:abstractNum w:abstractNumId="503">
    <w:nsid w:val="D3BE41C"/>
    <w:multiLevelType w:val="hybridMultilevel"/>
    <w:lvl w:ilvl="0">
      <w:lvlJc w:val="left"/>
      <w:lvlText w:val="%1."/>
      <w:numFmt w:val="upperLetter"/>
      <w:start w:val="18"/>
    </w:lvl>
  </w:abstractNum>
  <w:abstractNum w:abstractNumId="504">
    <w:nsid w:val="4CDA15E7"/>
    <w:multiLevelType w:val="hybridMultilevel"/>
    <w:lvl w:ilvl="0">
      <w:lvlJc w:val="left"/>
      <w:lvlText w:val="%1."/>
      <w:numFmt w:val="upperLetter"/>
      <w:start w:val="19"/>
    </w:lvl>
  </w:abstractNum>
  <w:abstractNum w:abstractNumId="505">
    <w:nsid w:val="7BDD6690"/>
    <w:multiLevelType w:val="hybridMultilevel"/>
    <w:lvl w:ilvl="0">
      <w:lvlJc w:val="left"/>
      <w:lvlText w:val="%1."/>
      <w:numFmt w:val="upperLetter"/>
      <w:start w:val="20"/>
    </w:lvl>
  </w:abstractNum>
  <w:abstractNum w:abstractNumId="506">
    <w:nsid w:val="DFB5C5B"/>
    <w:multiLevelType w:val="hybridMultilevel"/>
    <w:lvl w:ilvl="0">
      <w:lvlJc w:val="left"/>
      <w:lvlText w:val="%1."/>
      <w:numFmt w:val="upperLetter"/>
      <w:start w:val="21"/>
    </w:lvl>
  </w:abstractNum>
  <w:abstractNum w:abstractNumId="507">
    <w:nsid w:val="6F3E5490"/>
    <w:multiLevelType w:val="hybridMultilevel"/>
    <w:lvl w:ilvl="0">
      <w:lvlJc w:val="left"/>
      <w:lvlText w:val="%1."/>
      <w:numFmt w:val="upperLetter"/>
      <w:start w:val="22"/>
    </w:lvl>
  </w:abstractNum>
  <w:abstractNum w:abstractNumId="508">
    <w:nsid w:val="1464BE1E"/>
    <w:multiLevelType w:val="hybridMultilevel"/>
    <w:lvl w:ilvl="0">
      <w:lvlJc w:val="left"/>
      <w:lvlText w:val="%1."/>
      <w:numFmt w:val="upperLetter"/>
      <w:start w:val="23"/>
    </w:lvl>
  </w:abstractNum>
  <w:abstractNum w:abstractNumId="509">
    <w:nsid w:val="66BBB7E5"/>
    <w:multiLevelType w:val="hybridMultilevel"/>
    <w:lvl w:ilvl="0">
      <w:lvlJc w:val="left"/>
      <w:lvlText w:val="%1."/>
      <w:numFmt w:val="upperLetter"/>
      <w:start w:val="24"/>
    </w:lvl>
  </w:abstractNum>
  <w:abstractNum w:abstractNumId="510">
    <w:nsid w:val="28168302"/>
    <w:multiLevelType w:val="hybridMultilevel"/>
    <w:lvl w:ilvl="0">
      <w:lvlJc w:val="left"/>
      <w:lvlText w:val="%1."/>
      <w:numFmt w:val="upperLetter"/>
      <w:start w:val="25"/>
    </w:lvl>
  </w:abstractNum>
  <w:abstractNum w:abstractNumId="511">
    <w:nsid w:val="32A5C7A8"/>
    <w:multiLevelType w:val="hybridMultilevel"/>
    <w:lvl w:ilvl="0">
      <w:lvlJc w:val="left"/>
      <w:lvlText w:val="%1."/>
      <w:numFmt w:val="upperLetter"/>
      <w:start w:val="26"/>
    </w:lvl>
  </w:abstractNum>
  <w:abstractNum w:abstractNumId="512">
    <w:nsid w:val="3A541011"/>
    <w:multiLevelType w:val="hybridMultilevel"/>
    <w:lvl w:ilvl="0">
      <w:lvlJc w:val="left"/>
      <w:lvlText w:val="%1."/>
      <w:numFmt w:val="upperLetter"/>
      <w:start w:val="27"/>
    </w:lvl>
  </w:abstractNum>
  <w:abstractNum w:abstractNumId="513">
    <w:nsid w:val="4423C777"/>
    <w:multiLevelType w:val="hybridMultilevel"/>
    <w:lvl w:ilvl="0">
      <w:lvlJc w:val="left"/>
      <w:lvlText w:val="%1."/>
      <w:numFmt w:val="upperLetter"/>
      <w:start w:val="28"/>
    </w:lvl>
  </w:abstractNum>
  <w:abstractNum w:abstractNumId="514">
    <w:nsid w:val="5F5C6E4D"/>
    <w:multiLevelType w:val="hybridMultilevel"/>
    <w:lvl w:ilvl="0">
      <w:lvlJc w:val="left"/>
      <w:lvlText w:val="%1."/>
      <w:numFmt w:val="upperLetter"/>
      <w:start w:val="29"/>
    </w:lvl>
  </w:abstractNum>
  <w:abstractNum w:abstractNumId="515">
    <w:nsid w:val="7C2A56CD"/>
    <w:multiLevelType w:val="hybridMultilevel"/>
    <w:lvl w:ilvl="0">
      <w:lvlJc w:val="left"/>
      <w:lvlText w:val="(%1)"/>
      <w:numFmt w:val="decimal"/>
      <w:start w:val="1"/>
    </w:lvl>
  </w:abstractNum>
  <w:abstractNum w:abstractNumId="516">
    <w:nsid w:val="7AB86EE1"/>
    <w:multiLevelType w:val="hybridMultilevel"/>
    <w:lvl w:ilvl="0">
      <w:lvlJc w:val="left"/>
      <w:lvlText w:val="%1)"/>
      <w:numFmt w:val="decimal"/>
      <w:start w:val="1"/>
    </w:lvl>
  </w:abstractNum>
  <w:abstractNum w:abstractNumId="517">
    <w:nsid w:val="B54E53B"/>
    <w:multiLevelType w:val="hybridMultilevel"/>
    <w:lvl w:ilvl="0">
      <w:lvlJc w:val="left"/>
      <w:lvlText w:val="%1"/>
      <w:numFmt w:val="decimal"/>
      <w:start w:val="1"/>
    </w:lvl>
    <w:lvl w:ilvl="1">
      <w:lvlJc w:val="left"/>
      <w:lvlText w:val="%2."/>
      <w:numFmt w:val="upperLetter"/>
      <w:start w:val="5"/>
    </w:lvl>
  </w:abstractNum>
  <w:abstractNum w:abstractNumId="518">
    <w:nsid w:val="2A00487"/>
    <w:multiLevelType w:val="hybridMultilevel"/>
    <w:lvl w:ilvl="0">
      <w:lvlJc w:val="left"/>
      <w:lvlText w:val="%1)"/>
      <w:numFmt w:val="decimal"/>
      <w:start w:val="2"/>
    </w:lvl>
    <w:lvl w:ilvl="1">
      <w:lvlJc w:val="left"/>
      <w:lvlText w:val="%2."/>
      <w:numFmt w:val="upperLetter"/>
      <w:start w:val="1"/>
    </w:lvl>
  </w:abstractNum>
  <w:abstractNum w:abstractNumId="519">
    <w:nsid w:val="6CB1B60"/>
    <w:multiLevelType w:val="hybridMultilevel"/>
    <w:lvl w:ilvl="0">
      <w:lvlJc w:val="left"/>
      <w:lvlText w:val="%1)"/>
      <w:numFmt w:val="decimal"/>
      <w:start w:val="2"/>
    </w:lvl>
    <w:lvl w:ilvl="1">
      <w:lvlJc w:val="left"/>
      <w:lvlText w:val="·"/>
      <w:numFmt w:val="bullet"/>
      <w:start w:val="1"/>
    </w:lvl>
  </w:abstractNum>
  <w:abstractNum w:abstractNumId="520">
    <w:nsid w:val="72EDD574"/>
    <w:multiLevelType w:val="hybridMultilevel"/>
    <w:lvl w:ilvl="0">
      <w:lvlJc w:val="left"/>
      <w:lvlText w:val="%1."/>
      <w:numFmt w:val="upperLetter"/>
      <w:start w:val="4"/>
    </w:lvl>
  </w:abstractNum>
  <w:abstractNum w:abstractNumId="521">
    <w:nsid w:val="7323808A"/>
    <w:multiLevelType w:val="hybridMultilevel"/>
    <w:lvl w:ilvl="0">
      <w:lvlJc w:val="left"/>
      <w:lvlText w:val="%1."/>
      <w:numFmt w:val="upperLetter"/>
      <w:start w:val="1"/>
    </w:lvl>
  </w:abstractNum>
  <w:abstractNum w:abstractNumId="522">
    <w:nsid w:val="5157276"/>
    <w:multiLevelType w:val="hybridMultilevel"/>
    <w:lvl w:ilvl="0">
      <w:lvlJc w:val="left"/>
      <w:lvlText w:val="(%1)"/>
      <w:numFmt w:val="lowerRoman"/>
      <w:start w:val="2"/>
    </w:lvl>
  </w:abstractNum>
  <w:abstractNum w:abstractNumId="523">
    <w:nsid w:val="35A681DB"/>
    <w:multiLevelType w:val="hybridMultilevel"/>
    <w:lvl w:ilvl="0">
      <w:lvlJc w:val="left"/>
      <w:lvlText w:val="(%1)"/>
      <w:numFmt w:val="decimal"/>
      <w:start w:val="1"/>
    </w:lvl>
  </w:abstractNum>
  <w:abstractNum w:abstractNumId="524">
    <w:nsid w:val="1786C974"/>
    <w:multiLevelType w:val="hybridMultilevel"/>
    <w:lvl w:ilvl="0">
      <w:lvlJc w:val="left"/>
      <w:lvlText w:val="%1"/>
      <w:numFmt w:val="lowerRoman"/>
      <w:start w:val="1"/>
    </w:lvl>
    <w:lvl w:ilvl="1">
      <w:lvlJc w:val="left"/>
      <w:lvlText w:val="%2."/>
      <w:numFmt w:val="upperLetter"/>
      <w:start w:val="2"/>
    </w:lvl>
  </w:abstractNum>
  <w:abstractNum w:abstractNumId="525">
    <w:nsid w:val="1C2427A1"/>
    <w:multiLevelType w:val="hybridMultilevel"/>
    <w:lvl w:ilvl="0">
      <w:lvlJc w:val="left"/>
      <w:lvlText w:val="(%1)"/>
      <w:numFmt w:val="lowerRoman"/>
      <w:start w:val="1"/>
    </w:lvl>
    <w:lvl w:ilvl="1">
      <w:lvlJc w:val="left"/>
      <w:lvlText w:val="%2"/>
      <w:numFmt w:val="upperLetter"/>
      <w:start w:val="1"/>
    </w:lvl>
  </w:abstractNum>
  <w:abstractNum w:abstractNumId="526">
    <w:nsid w:val="63A24D68"/>
    <w:multiLevelType w:val="hybridMultilevel"/>
    <w:lvl w:ilvl="0">
      <w:lvlJc w:val="left"/>
      <w:lvlText w:val="(%1)"/>
      <w:numFmt w:val="lowerRoman"/>
      <w:start w:val="1"/>
    </w:lvl>
  </w:abstractNum>
  <w:abstractNum w:abstractNumId="527">
    <w:nsid w:val="4FB7A02A"/>
    <w:multiLevelType w:val="hybridMultilevel"/>
    <w:lvl w:ilvl="0">
      <w:lvlJc w:val="left"/>
      <w:lvlText w:val="(%1)"/>
      <w:numFmt w:val="lowerRoman"/>
      <w:start w:val="2"/>
    </w:lvl>
  </w:abstractNum>
  <w:abstractNum w:abstractNumId="528">
    <w:nsid w:val="96CF728"/>
    <w:multiLevelType w:val="hybridMultilevel"/>
    <w:lvl w:ilvl="0">
      <w:lvlJc w:val="left"/>
      <w:lvlText w:val="(%1)"/>
      <w:numFmt w:val="lowerLetter"/>
      <w:start w:val="2"/>
    </w:lvl>
  </w:abstractNum>
  <w:abstractNum w:abstractNumId="529">
    <w:nsid w:val="3B12118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2019-12-28T10:55:31Z</dcterms:created>
  <dcterms:modified xsi:type="dcterms:W3CDTF">2019-12-28T10:55:31Z</dcterms:modified>
</cp:coreProperties>
</file>