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843280</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ind w:left="140"/>
        <w:spacing w:after="0"/>
        <w:tabs>
          <w:tab w:leader="none" w:pos="51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6"/>
          <w:szCs w:val="16"/>
          <w:b w:val="1"/>
          <w:bCs w:val="1"/>
          <w:color w:val="auto"/>
        </w:rPr>
        <w:t>Form 10-Q</w:t>
      </w:r>
    </w:p>
    <w:p>
      <w:pPr>
        <w:spacing w:after="0" w:line="13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ind w:left="400"/>
        <w:spacing w:after="0"/>
        <w:tabs>
          <w:tab w:leader="none" w:pos="34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June 30, 2021</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7"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40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7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Ireland</w:t>
            </w:r>
          </w:p>
        </w:tc>
        <w:tc>
          <w:tcPr>
            <w:tcW w:w="3620" w:type="dxa"/>
            <w:vAlign w:val="bottom"/>
          </w:tcPr>
          <w:p>
            <w:pPr>
              <w:jc w:val="right"/>
              <w:ind w:right="129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6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85"/>
        </w:trPr>
        <w:tc>
          <w:tcPr>
            <w:tcW w:w="7240" w:type="dxa"/>
            <w:vAlign w:val="bottom"/>
            <w:gridSpan w:val="2"/>
          </w:tcPr>
          <w:p>
            <w:pPr>
              <w:ind w:left="720"/>
              <w:spacing w:after="0"/>
              <w:rPr>
                <w:sz w:val="20"/>
                <w:szCs w:val="20"/>
                <w:color w:val="auto"/>
              </w:rPr>
            </w:pPr>
            <w:r>
              <w:rPr>
                <w:rFonts w:ascii="Arial" w:cs="Arial" w:eastAsia="Arial" w:hAnsi="Arial"/>
                <w:sz w:val="18"/>
                <w:szCs w:val="18"/>
                <w:b w:val="1"/>
                <w:bCs w:val="1"/>
                <w:color w:val="auto"/>
              </w:rPr>
              <w:t>2000 St. James Place , Houston   , Texas</w:t>
            </w:r>
          </w:p>
        </w:tc>
        <w:tc>
          <w:tcPr>
            <w:tcW w:w="3620" w:type="dxa"/>
            <w:vAlign w:val="bottom"/>
          </w:tcPr>
          <w:p>
            <w:pPr>
              <w:jc w:val="right"/>
              <w:ind w:right="1490"/>
              <w:spacing w:after="0"/>
              <w:rPr>
                <w:sz w:val="20"/>
                <w:szCs w:val="20"/>
                <w:color w:val="auto"/>
              </w:rPr>
            </w:pPr>
            <w:r>
              <w:rPr>
                <w:rFonts w:ascii="Arial" w:cs="Arial" w:eastAsia="Arial" w:hAnsi="Arial"/>
                <w:sz w:val="18"/>
                <w:szCs w:val="18"/>
                <w:b w:val="1"/>
                <w:bCs w:val="1"/>
                <w:color w:val="auto"/>
              </w:rPr>
              <w:t>77056</w:t>
            </w:r>
          </w:p>
        </w:tc>
      </w:tr>
      <w:tr>
        <w:trPr>
          <w:trHeight w:val="224"/>
        </w:trPr>
        <w:tc>
          <w:tcPr>
            <w:tcW w:w="6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62"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44"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266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Title of each class</w:t>
            </w:r>
          </w:p>
        </w:tc>
        <w:tc>
          <w:tcPr>
            <w:tcW w:w="2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Trading Symbol(s)</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Pr>
          <w:p>
            <w:pPr>
              <w:jc w:val="center"/>
              <w:ind w:right="70"/>
              <w:spacing w:after="0"/>
              <w:rPr>
                <w:sz w:val="20"/>
                <w:szCs w:val="20"/>
                <w:color w:val="auto"/>
              </w:rPr>
            </w:pPr>
            <w:r>
              <w:rPr>
                <w:rFonts w:ascii="Arial" w:cs="Arial" w:eastAsia="Arial" w:hAnsi="Arial"/>
                <w:sz w:val="18"/>
                <w:szCs w:val="18"/>
                <w:color w:val="auto"/>
                <w:w w:val="88"/>
              </w:rPr>
              <w:t>Ordinary shares, $0.001 par value per share</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96"/>
              </w:rPr>
              <w:t>WFRD</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37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jc w:val="both"/>
        <w:ind w:firstLine="40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1000" w:type="dxa"/>
        <w:tblCellMar>
          <w:top w:w="0" w:type="dxa"/>
          <w:left w:w="0" w:type="dxa"/>
          <w:bottom w:w="0" w:type="dxa"/>
          <w:right w:w="0" w:type="dxa"/>
        </w:tblCellMar>
      </w:tblP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60"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As of July 15, 2021, there were 70,120,242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Second Quarter and Six Months Ended June 30, 2021</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80" w:type="dxa"/>
            <w:vAlign w:val="bottom"/>
            <w:gridSpan w:val="6"/>
          </w:tcPr>
          <w:p>
            <w:pPr>
              <w:ind w:left="38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15"/>
            <w:shd w:val="clear" w:color="auto" w:fill="CCEEFF"/>
          </w:tcPr>
          <w:p>
            <w:pPr>
              <w:spacing w:after="0" w:line="16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0000FF"/>
            </w:tcBorders>
            <w:gridSpan w:val="12"/>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6780" w:type="dxa"/>
            <w:vAlign w:val="bottom"/>
            <w:tcBorders>
              <w:top w:val="single" w:sz="8" w:color="CCEEFF"/>
            </w:tcBorders>
            <w:gridSpan w:val="3"/>
          </w:tcPr>
          <w:p>
            <w:pPr>
              <w:spacing w:after="0"/>
              <w:rPr>
                <w:sz w:val="16"/>
                <w:szCs w:val="16"/>
                <w:color w:val="auto"/>
              </w:rPr>
            </w:pPr>
          </w:p>
        </w:tc>
        <w:tc>
          <w:tcPr>
            <w:tcW w:w="720" w:type="dxa"/>
            <w:vAlign w:val="bottom"/>
            <w:tcBorders>
              <w:top w:val="single" w:sz="8" w:color="CCEEFF"/>
            </w:tcBorders>
            <w:gridSpan w:val="4"/>
          </w:tcPr>
          <w:p>
            <w:pPr>
              <w:jc w:val="center"/>
              <w:ind w:left="45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5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Item 2. Management's Discussion and Analysis of Financial Condition and Results of Operations.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17">
              <w:r>
                <w:rPr>
                  <w:rFonts w:ascii="Arial" w:cs="Arial" w:eastAsia="Arial" w:hAnsi="Arial"/>
                  <w:sz w:val="18"/>
                  <w:szCs w:val="18"/>
                  <w:color w:val="0000FF"/>
                  <w:w w:val="89"/>
                </w:rPr>
                <w:t>17</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14"/>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3. Quantitative and Qualitative Disclosures About Market Risk.</w:t>
              </w:r>
            </w:hyperlink>
          </w:p>
        </w:tc>
        <w:tc>
          <w:tcPr>
            <w:tcW w:w="2900" w:type="dxa"/>
            <w:vAlign w:val="bottom"/>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4. Controls and Procedures.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8"/>
                <w:szCs w:val="18"/>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1100" w:type="dxa"/>
            <w:vAlign w:val="bottom"/>
            <w:tcBorders>
              <w:top w:val="single" w:sz="8" w:color="0000FF"/>
            </w:tcBorders>
            <w:gridSpan w:val="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800" w:type="dxa"/>
            <w:vAlign w:val="bottom"/>
            <w:tcBorders>
              <w:top w:val="single" w:sz="8" w:color="CCEEFF"/>
            </w:tcBorders>
          </w:tcPr>
          <w:p>
            <w:pPr>
              <w:spacing w:after="0"/>
              <w:rPr>
                <w:sz w:val="22"/>
                <w:szCs w:val="22"/>
                <w:color w:val="auto"/>
              </w:rPr>
            </w:pPr>
          </w:p>
        </w:tc>
        <w:tc>
          <w:tcPr>
            <w:tcW w:w="2080" w:type="dxa"/>
            <w:vAlign w:val="bottom"/>
            <w:tcBorders>
              <w:top w:val="single" w:sz="8" w:color="CCEEFF"/>
            </w:tcBorders>
          </w:tcPr>
          <w:p>
            <w:pPr>
              <w:spacing w:after="0"/>
              <w:rPr>
                <w:sz w:val="22"/>
                <w:szCs w:val="22"/>
                <w:color w:val="auto"/>
              </w:rPr>
            </w:pPr>
          </w:p>
        </w:tc>
        <w:tc>
          <w:tcPr>
            <w:tcW w:w="290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 OTHER INFORMATION</w:t>
              </w:r>
            </w:hyperlink>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860" w:type="dxa"/>
            <w:vAlign w:val="bottom"/>
            <w:tcBorders>
              <w:top w:val="single" w:sz="8" w:color="0000FF"/>
            </w:tcBorders>
            <w:gridSpan w:val="10"/>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1. Legal Proceedings.</w:t>
              </w:r>
            </w:hyperlink>
          </w:p>
        </w:tc>
        <w:tc>
          <w:tcPr>
            <w:tcW w:w="7080" w:type="dxa"/>
            <w:vAlign w:val="bottom"/>
            <w:tcBorders>
              <w:top w:val="single" w:sz="8" w:color="CCEEFF"/>
            </w:tcBorders>
            <w:gridSpan w:val="5"/>
          </w:tcPr>
          <w:p>
            <w:pPr>
              <w:spacing w:after="0"/>
              <w:rPr>
                <w:sz w:val="16"/>
                <w:szCs w:val="16"/>
                <w:color w:val="auto"/>
              </w:rPr>
            </w:pPr>
          </w:p>
        </w:tc>
        <w:tc>
          <w:tcPr>
            <w:tcW w:w="1260" w:type="dxa"/>
            <w:vAlign w:val="bottom"/>
            <w:tcBorders>
              <w:top w:val="single" w:sz="8" w:color="CCEEFF"/>
            </w:tcBorders>
            <w:gridSpan w:val="5"/>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1A. Risk Factors.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40" w:type="dxa"/>
            <w:vAlign w:val="bottom"/>
            <w:gridSpan w:val="15"/>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Item 2. Unregistered Sales of Equity Securities and Use of Proceeds.</w:t>
              </w:r>
            </w:hyperlink>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28">
              <w:r>
                <w:rPr>
                  <w:rFonts w:ascii="Arial" w:cs="Arial" w:eastAsia="Arial" w:hAnsi="Arial"/>
                  <w:sz w:val="18"/>
                  <w:szCs w:val="18"/>
                  <w:color w:val="0000FF"/>
                  <w:w w:val="94"/>
                </w:rPr>
                <w:t>Item 3.</w:t>
              </w:r>
            </w:hyperlink>
          </w:p>
        </w:tc>
        <w:tc>
          <w:tcPr>
            <w:tcW w:w="9400" w:type="dxa"/>
            <w:vAlign w:val="bottom"/>
            <w:gridSpan w:val="14"/>
            <w:shd w:val="clear" w:color="auto" w:fill="CCEEFF"/>
          </w:tcPr>
          <w:p>
            <w:pPr>
              <w:ind w:lef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28">
              <w:r>
                <w:rPr>
                  <w:rFonts w:ascii="Arial" w:cs="Arial" w:eastAsia="Arial" w:hAnsi="Arial"/>
                  <w:sz w:val="18"/>
                  <w:szCs w:val="18"/>
                  <w:color w:val="0000FF"/>
                  <w:w w:val="94"/>
                </w:rPr>
                <w:t>Item 4.</w:t>
              </w:r>
            </w:hyperlink>
          </w:p>
        </w:tc>
        <w:tc>
          <w:tcPr>
            <w:tcW w:w="2380" w:type="dxa"/>
            <w:vAlign w:val="bottom"/>
            <w:gridSpan w:val="10"/>
          </w:tcPr>
          <w:p>
            <w:pPr>
              <w:ind w:lef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7020" w:type="dxa"/>
            <w:vAlign w:val="bottom"/>
            <w:gridSpan w:val="4"/>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28">
              <w:r>
                <w:rPr>
                  <w:rFonts w:ascii="Arial" w:cs="Arial" w:eastAsia="Arial" w:hAnsi="Arial"/>
                  <w:sz w:val="18"/>
                  <w:szCs w:val="18"/>
                  <w:color w:val="0000FF"/>
                  <w:w w:val="94"/>
                </w:rPr>
                <w:t>Item 5.</w:t>
              </w:r>
            </w:hyperlink>
          </w:p>
        </w:tc>
        <w:tc>
          <w:tcPr>
            <w:tcW w:w="1380" w:type="dxa"/>
            <w:vAlign w:val="bottom"/>
            <w:gridSpan w:val="4"/>
            <w:shd w:val="clear" w:color="auto" w:fill="CCEEFF"/>
          </w:tcPr>
          <w:p>
            <w:pPr>
              <w:ind w:left="20"/>
              <w:spacing w:after="0" w:line="189" w:lineRule="exact"/>
              <w:rPr>
                <w:rFonts w:ascii="Arial" w:cs="Arial" w:eastAsia="Arial" w:hAnsi="Arial"/>
                <w:sz w:val="18"/>
                <w:szCs w:val="18"/>
                <w:color w:val="0000FF"/>
                <w:w w:val="92"/>
              </w:rPr>
            </w:pPr>
            <w:hyperlink w:anchor="page28">
              <w:r>
                <w:rPr>
                  <w:rFonts w:ascii="Arial" w:cs="Arial" w:eastAsia="Arial" w:hAnsi="Arial"/>
                  <w:sz w:val="18"/>
                  <w:szCs w:val="18"/>
                  <w:color w:val="0000FF"/>
                  <w:w w:val="92"/>
                </w:rPr>
                <w:t>Other Information.</w:t>
              </w:r>
            </w:hyperlink>
          </w:p>
        </w:tc>
        <w:tc>
          <w:tcPr>
            <w:tcW w:w="8020" w:type="dxa"/>
            <w:vAlign w:val="bottom"/>
            <w:gridSpan w:val="10"/>
            <w:shd w:val="clear" w:color="auto" w:fill="CCEEFF"/>
          </w:tcPr>
          <w:p>
            <w:pPr>
              <w:spacing w:after="0"/>
              <w:rPr>
                <w:sz w:val="16"/>
                <w:szCs w:val="16"/>
                <w:color w:val="auto"/>
              </w:rPr>
            </w:pPr>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29">
              <w:r>
                <w:rPr>
                  <w:rFonts w:ascii="Arial" w:cs="Arial" w:eastAsia="Arial" w:hAnsi="Arial"/>
                  <w:sz w:val="18"/>
                  <w:szCs w:val="18"/>
                  <w:color w:val="0000FF"/>
                  <w:w w:val="94"/>
                </w:rPr>
                <w:t>Item 6.</w:t>
              </w:r>
            </w:hyperlink>
          </w:p>
        </w:tc>
        <w:tc>
          <w:tcPr>
            <w:tcW w:w="1380" w:type="dxa"/>
            <w:vAlign w:val="bottom"/>
            <w:gridSpan w:val="4"/>
          </w:tcPr>
          <w:p>
            <w:pPr>
              <w:ind w:left="2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8020" w:type="dxa"/>
            <w:vAlign w:val="bottom"/>
            <w:gridSpan w:val="10"/>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28</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tcPr>
          <w:p>
            <w:pPr>
              <w:spacing w:after="0"/>
              <w:rPr>
                <w:sz w:val="18"/>
                <w:szCs w:val="18"/>
                <w:color w:val="auto"/>
              </w:rPr>
            </w:pPr>
          </w:p>
        </w:tc>
      </w:tr>
      <w:tr>
        <w:trPr>
          <w:trHeight w:val="905"/>
        </w:trPr>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940" w:type="dxa"/>
            <w:vAlign w:val="bottom"/>
            <w:tcBorders>
              <w:top w:val="single" w:sz="8" w:color="CCEEFF"/>
            </w:tcBorders>
            <w:gridSpan w:val="12"/>
          </w:tcPr>
          <w:p>
            <w:pPr>
              <w:jc w:val="right"/>
              <w:ind w:right="1400"/>
              <w:spacing w:after="0"/>
              <w:rPr>
                <w:sz w:val="20"/>
                <w:szCs w:val="20"/>
                <w:color w:val="auto"/>
              </w:rPr>
            </w:pPr>
            <w:r>
              <w:rPr>
                <w:rFonts w:ascii="Arial" w:cs="Arial" w:eastAsia="Arial" w:hAnsi="Arial"/>
                <w:sz w:val="18"/>
                <w:szCs w:val="18"/>
                <w:color w:val="auto"/>
              </w:rPr>
              <w:t>1</w:t>
            </w:r>
          </w:p>
        </w:tc>
        <w:tc>
          <w:tcPr>
            <w:tcW w:w="29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spacing w:after="0"/>
              <w:rPr>
                <w:sz w:val="24"/>
                <w:szCs w:val="24"/>
                <w:color w:val="auto"/>
              </w:rPr>
            </w:pPr>
          </w:p>
        </w:tc>
        <w:tc>
          <w:tcPr>
            <w:tcW w:w="6220" w:type="dxa"/>
            <w:vAlign w:val="bottom"/>
            <w:gridSpan w:val="3"/>
          </w:tcPr>
          <w:p>
            <w:pPr>
              <w:jc w:val="center"/>
              <w:ind w:left="23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41"/>
        </w:trPr>
        <w:tc>
          <w:tcPr>
            <w:tcW w:w="1280" w:type="dxa"/>
            <w:vAlign w:val="bottom"/>
          </w:tcPr>
          <w:p>
            <w:pPr>
              <w:spacing w:after="0"/>
              <w:rPr>
                <w:sz w:val="24"/>
                <w:szCs w:val="24"/>
                <w:color w:val="auto"/>
              </w:rPr>
            </w:pPr>
          </w:p>
        </w:tc>
        <w:tc>
          <w:tcPr>
            <w:tcW w:w="7560" w:type="dxa"/>
            <w:vAlign w:val="bottom"/>
            <w:gridSpan w:val="6"/>
          </w:tcPr>
          <w:p>
            <w:pPr>
              <w:jc w:val="center"/>
              <w:ind w:left="10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2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46"/>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6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Products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471</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Impairments and Other Charges (Credits),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2C2C2C"/>
              </w:rPr>
              <w:t>406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C2C2C"/>
              </w:rPr>
              <w:t>1,223</w:t>
            </w:r>
          </w:p>
        </w:tc>
      </w:tr>
      <w:tr>
        <w:trPr>
          <w:trHeight w:val="229"/>
        </w:trPr>
        <w:tc>
          <w:tcPr>
            <w:tcW w:w="6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rPr>
              <w:t>57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r>
      <w:tr>
        <w:trPr>
          <w:trHeight w:val="223"/>
        </w:trPr>
        <w:tc>
          <w:tcPr>
            <w:tcW w:w="6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5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Reorganization Items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(11)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(36)</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r>
      <w:tr>
        <w:trPr>
          <w:trHeight w:val="229"/>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0"/>
        </w:trPr>
        <w:tc>
          <w:tcPr>
            <w:tcW w:w="63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&amp; Diluted Loss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Basic &amp; Diluted Weighted Average Shares Outstanding</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39"/>
        </w:trPr>
        <w:tc>
          <w:tcPr>
            <w:tcW w:w="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7480" w:type="dxa"/>
            <w:vAlign w:val="bottom"/>
            <w:gridSpan w:val="7"/>
          </w:tcPr>
          <w:p>
            <w:pPr>
              <w:jc w:val="center"/>
              <w:ind w:left="111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740" w:type="dxa"/>
            <w:vAlign w:val="bottom"/>
            <w:gridSpan w:val="8"/>
          </w:tcPr>
          <w:p>
            <w:pPr>
              <w:jc w:val="center"/>
              <w:ind w:left="85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1"/>
                <w:szCs w:val="21"/>
                <w:color w:val="auto"/>
              </w:rPr>
            </w:pPr>
          </w:p>
        </w:tc>
        <w:tc>
          <w:tcPr>
            <w:tcW w:w="21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80" w:type="dxa"/>
            <w:vAlign w:val="bottom"/>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(73)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80" w:type="dxa"/>
            <w:vAlign w:val="bottom"/>
          </w:tcPr>
          <w:p>
            <w:pPr>
              <w:spacing w:after="0"/>
              <w:rPr>
                <w:sz w:val="19"/>
                <w:szCs w:val="19"/>
                <w:color w:val="auto"/>
              </w:rPr>
            </w:pPr>
          </w:p>
        </w:tc>
        <w:tc>
          <w:tcPr>
            <w:tcW w:w="4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 w:type="dxa"/>
            <w:vAlign w:val="bottom"/>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(58)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r>
      <w:tr>
        <w:trPr>
          <w:trHeight w:val="229"/>
        </w:trPr>
        <w:tc>
          <w:tcPr>
            <w:tcW w:w="80" w:type="dxa"/>
            <w:vAlign w:val="bottom"/>
          </w:tcPr>
          <w:p>
            <w:pPr>
              <w:spacing w:after="0"/>
              <w:rPr>
                <w:sz w:val="19"/>
                <w:szCs w:val="19"/>
                <w:color w:val="auto"/>
              </w:rPr>
            </w:pP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Comprehensive Income Attributable to Noncontrolling Interests</w:t>
            </w: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 w:type="dxa"/>
            <w:vAlign w:val="bottom"/>
          </w:tcPr>
          <w:p>
            <w:pPr>
              <w:spacing w:after="0"/>
              <w:rPr>
                <w:sz w:val="21"/>
                <w:szCs w:val="21"/>
                <w:color w:val="auto"/>
              </w:rPr>
            </w:pPr>
          </w:p>
        </w:tc>
        <w:tc>
          <w:tcPr>
            <w:tcW w:w="4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Weatherford</w:t>
            </w:r>
          </w:p>
        </w:tc>
        <w:tc>
          <w:tcPr>
            <w:tcW w:w="1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3"/>
              </w:rPr>
              <w:t>(63)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0"/>
        </w:trPr>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9"/>
        </w:trPr>
        <w:tc>
          <w:tcPr>
            <w:tcW w:w="1280" w:type="dxa"/>
            <w:vAlign w:val="bottom"/>
            <w:tcBorders>
              <w:top w:val="single" w:sz="8" w:color="0000FF"/>
            </w:tcBorders>
          </w:tcPr>
          <w:p>
            <w:pPr>
              <w:spacing w:after="0"/>
              <w:rPr>
                <w:sz w:val="24"/>
                <w:szCs w:val="24"/>
                <w:color w:val="auto"/>
              </w:rPr>
            </w:pPr>
          </w:p>
        </w:tc>
        <w:tc>
          <w:tcPr>
            <w:tcW w:w="696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6/30/2021</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12/31/2020</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(Unaudited)</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76"/>
        </w:trPr>
        <w:tc>
          <w:tcPr>
            <w:tcW w:w="79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0"/>
              </w:rPr>
              <w:t>Accounts Receivable, Net of Allowance for Credit Losses of $38 at June 30, 2021 and $32 at December 31,</w:t>
            </w: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1280" w:type="dxa"/>
            <w:vAlign w:val="bottom"/>
          </w:tcPr>
          <w:p>
            <w:pPr>
              <w:ind w:left="100"/>
              <w:spacing w:after="0"/>
              <w:rPr>
                <w:sz w:val="20"/>
                <w:szCs w:val="20"/>
                <w:color w:val="auto"/>
              </w:rPr>
            </w:pPr>
            <w:r>
              <w:rPr>
                <w:rFonts w:ascii="Arial" w:cs="Arial" w:eastAsia="Arial" w:hAnsi="Arial"/>
                <w:sz w:val="18"/>
                <w:szCs w:val="18"/>
                <w:color w:val="auto"/>
              </w:rPr>
              <w:t>2020</w:t>
            </w:r>
          </w:p>
        </w:tc>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175"/>
        </w:trPr>
        <w:tc>
          <w:tcPr>
            <w:tcW w:w="79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$505 at June 30, 2021 and $367 at</w:t>
            </w: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1,108</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December 31, 2020</w:t>
            </w:r>
          </w:p>
        </w:tc>
        <w:tc>
          <w:tcPr>
            <w:tcW w:w="3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Intangible Assets, Net of Accumulated Amortization of $251 at June 30, 2021 and $173 at December 31,</w:t>
            </w: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Borrowings and Current Portion of Finance Leases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Salaries and Benefits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Ordinary Shares - Par Value $0.001; Authorized 1,356 shares, Issued and Outstanding 70 shares at June 30,</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2021 and December 31, 2020</w:t>
            </w:r>
          </w:p>
        </w:tc>
        <w:tc>
          <w:tcPr>
            <w:tcW w:w="340" w:type="dxa"/>
            <w:vAlign w:val="bottom"/>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10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Retained Deficit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Weatherford Shareholders’ Equity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rPr>
              <w:t>2020</w:t>
            </w:r>
          </w:p>
        </w:tc>
      </w:tr>
      <w:tr>
        <w:trPr>
          <w:trHeight w:val="207"/>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Goodwill Impairment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Long-lived Asset Impairments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Inventory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Loss on Disposition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13"/>
        </w:trPr>
        <w:tc>
          <w:tcPr>
            <w:tcW w:w="75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for Property, Plant and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Repayments of Long-term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Short-term Debt,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Deferred Consideration Payment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0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Paid, Net of Refunds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or “Weatherford”)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2020 (“2020 Annual Report”).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refer to “Note 1 – Summary of Significant Accounting Policies” of our Consolidated Financial Statements from our 2020 Annual Report for the discussion on our significant accounting policies. Certain reclassifications of the financial statements and accompanying footnotes for the three and six months ended June 30, 2020 have been made to conform to the presentation for the three and six months ended June 30,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Impairments and Other Charges (Credits), Net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recorded the following in “Impairments and Other Charges (Credits), Net” on the accompanying Condensed Consolidated Statements of Operations: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8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Charges (Credits)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Impairments and Other Charges (Credits),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Factoring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Our factoring transactions in the three and six months ended June 30, 2021 and 2020 were recognized as sales of accounts receivable, and the proceeds are included as operating cash flows in our Condensed Consolidated Statements of Cash Flows. The loss on sale of accounts receivable sold was immaterial for the three and six months of 2021 and 2020. The following table presents accounts receivable sold and cash proceeds from the sale of accounts receivable, net of discount and hold-back amounts: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3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Cash Proceeds from Sale of Accounts Receivable</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Net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net of reserves of $147 million and $119 million as of June 30, 2021 and December 31, 2020, respectively, are presented by category in the table below:</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6/30/2021</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Work in Process and Raw Materials, Components and Supplies</w:t>
            </w:r>
          </w:p>
        </w:tc>
        <w:tc>
          <w:tcPr>
            <w:tcW w:w="1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and six months ended June 30, 2021 and 2020, we recognized inventory charges, including excess and obsolete inventory charges, in the following captions on our Condensed Consolidated Statements of Operations: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9"/>
                <w:szCs w:val="19"/>
                <w:color w:val="auto"/>
              </w:rPr>
            </w:pPr>
          </w:p>
        </w:tc>
        <w:tc>
          <w:tcPr>
            <w:tcW w:w="22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 in “Impairments and Other Charges”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Inventory Charges in “Cost of Products”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Inventory Charges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Long-lived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long-lived asset impairments in the three and six months ended June 30, 2021.</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half of 2020, the global economic and industry conditions resulting from the decline in demand and impact from the COVID-19 pandemic were identified as impairment indicators. As a result, we performed interim impairment assessments of our property, plant and equipment, definite-lived intangible assets, and right of use assets with the assistance of third-party valuation advisors. Based on our impairment tests, we determined the carrying amount of certain long-lived assets exceeded their respective fair values and recognized long-lived asset impairments presented in the table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our long-lived assets were determined using discounted cash flows under the income approach, a Level 3 fair value analysis. The income approach required significant assumptions to determine the fair value of an asset or asset group including the estimated discounted future cash flows, specifically the forecasted revenue, forecasted operating margins and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long-lived asset impairments by asset class and segment recognized for the three and six months ended June 30,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Three Months Ended June 30, 2020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Six Months Ended June 30, 2020</w:t>
            </w:r>
          </w:p>
        </w:tc>
        <w:tc>
          <w:tcPr>
            <w:tcW w:w="0" w:type="dxa"/>
            <w:vAlign w:val="bottom"/>
          </w:tcPr>
          <w:p>
            <w:pPr>
              <w:spacing w:after="0"/>
              <w:rPr>
                <w:sz w:val="1"/>
                <w:szCs w:val="1"/>
                <w:color w:val="auto"/>
              </w:rPr>
            </w:pPr>
          </w:p>
        </w:tc>
      </w:tr>
      <w:tr>
        <w:trPr>
          <w:trHeight w:val="169"/>
        </w:trPr>
        <w:tc>
          <w:tcPr>
            <w:tcW w:w="3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14"/>
                <w:szCs w:val="14"/>
                <w:color w:val="auto"/>
              </w:rPr>
            </w:pPr>
          </w:p>
        </w:tc>
        <w:tc>
          <w:tcPr>
            <w:tcW w:w="114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Western</w:t>
            </w:r>
          </w:p>
        </w:tc>
        <w:tc>
          <w:tcPr>
            <w:tcW w:w="180" w:type="dxa"/>
            <w:vAlign w:val="bottom"/>
          </w:tcPr>
          <w:p>
            <w:pPr>
              <w:spacing w:after="0"/>
              <w:rPr>
                <w:sz w:val="14"/>
                <w:szCs w:val="14"/>
                <w:color w:val="auto"/>
              </w:rPr>
            </w:pPr>
          </w:p>
        </w:tc>
        <w:tc>
          <w:tcPr>
            <w:tcW w:w="11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Eastern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4"/>
                <w:szCs w:val="14"/>
                <w:color w:val="auto"/>
              </w:rPr>
            </w:pPr>
          </w:p>
        </w:tc>
        <w:tc>
          <w:tcPr>
            <w:tcW w:w="114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Western</w:t>
            </w:r>
          </w:p>
        </w:tc>
        <w:tc>
          <w:tcPr>
            <w:tcW w:w="180" w:type="dxa"/>
            <w:vAlign w:val="bottom"/>
          </w:tcPr>
          <w:p>
            <w:pPr>
              <w:spacing w:after="0"/>
              <w:rPr>
                <w:sz w:val="14"/>
                <w:szCs w:val="14"/>
                <w:color w:val="auto"/>
              </w:rPr>
            </w:pPr>
          </w:p>
        </w:tc>
        <w:tc>
          <w:tcPr>
            <w:tcW w:w="11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Eastern</w:t>
            </w:r>
          </w:p>
        </w:tc>
        <w:tc>
          <w:tcPr>
            <w:tcW w:w="280" w:type="dxa"/>
            <w:vAlign w:val="bottom"/>
          </w:tcPr>
          <w:p>
            <w:pPr>
              <w:spacing w:after="0"/>
              <w:rPr>
                <w:sz w:val="14"/>
                <w:szCs w:val="14"/>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Hemisphere</w:t>
            </w:r>
          </w:p>
        </w:tc>
        <w:tc>
          <w:tcPr>
            <w:tcW w:w="18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Hemisphere</w:t>
            </w: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Hemisphere</w:t>
            </w:r>
          </w:p>
        </w:tc>
        <w:tc>
          <w:tcPr>
            <w:tcW w:w="18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Hemisphere</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Long-Lived Asset Impairments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we had no goodwill. The cumulative impairment loss for goodwill was $239 million, all of which was fully impaired in the first half of 2020.</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2020, based on our interim goodwill impairment assessments that determined the fair value of our reporting units were less than their carrying values, we recognized goodwill impairment charges presented in “Note 2 – Impairments and Other Charges (Credits), Net.” We identified impairment indicators as discussed in “Note 5 – Long-lived Asset Impairments” that triggered these interim quantitative goodwill assessments. The fair values of our reporting units were determined using a combination of the income approach and the market approach for comparable companies in our industry, a Level 3 fair value analysis. Determining the fair value of the reporting units requires management to develop significant judgments, including estimating and discounting future cash flows by reporting unit, specifically forecasted revenue, forecasted operating margins and discount rates. See goodwill impairment charges presented in “Note 2 – Impairments and Other Charges (Credits), Net.”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definite-lived intangible assets, net of accumulated amortization, were as follows:</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6/30/2021</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12/31/2020</w:t>
            </w: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5"/>
              </w:rPr>
              <w:t>Developed and Acquired Technology, Net of Accumulated Amortization of $190 at June 30,</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4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2021 and $132 at December 31, 2020</w:t>
            </w:r>
          </w:p>
        </w:tc>
        <w:tc>
          <w:tcPr>
            <w:tcW w:w="4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40" w:type="dxa"/>
            <w:vAlign w:val="bottom"/>
          </w:tcPr>
          <w:p>
            <w:pPr>
              <w:spacing w:after="0" w:line="176" w:lineRule="exact"/>
              <w:rPr>
                <w:sz w:val="20"/>
                <w:szCs w:val="20"/>
                <w:color w:val="auto"/>
              </w:rPr>
            </w:pPr>
            <w:r>
              <w:rPr>
                <w:rFonts w:ascii="Arial" w:cs="Arial" w:eastAsia="Arial" w:hAnsi="Arial"/>
                <w:sz w:val="18"/>
                <w:szCs w:val="18"/>
                <w:color w:val="auto"/>
                <w:w w:val="91"/>
              </w:rPr>
              <w:t>Trade Names, Net of Accumulated Amortization of $61 at June 30, 2021 and $41 at December</w:t>
            </w:r>
          </w:p>
        </w:tc>
        <w:tc>
          <w:tcPr>
            <w:tcW w:w="400" w:type="dxa"/>
            <w:vAlign w:val="bottom"/>
          </w:tcPr>
          <w:p>
            <w:pPr>
              <w:spacing w:after="0"/>
              <w:rPr>
                <w:sz w:val="15"/>
                <w:szCs w:val="15"/>
                <w:color w:val="auto"/>
              </w:rPr>
            </w:pPr>
          </w:p>
        </w:tc>
        <w:tc>
          <w:tcPr>
            <w:tcW w:w="1580" w:type="dxa"/>
            <w:vAlign w:val="bottom"/>
            <w:vMerge w:val="restart"/>
          </w:tcPr>
          <w:p>
            <w:pPr>
              <w:jc w:val="right"/>
              <w:ind w:right="90"/>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31, 2020</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6"/>
              </w:rPr>
              <w:t>Intangible Assets, Net of Accumulated Amortization of $251 at June 30, 2021 and $173 at</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734</w:t>
            </w:r>
          </w:p>
        </w:tc>
        <w:tc>
          <w:tcPr>
            <w:tcW w:w="4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49"/>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58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was $39 million and $78 million in the three and six months ended June 30, 2021, respectively, and $40 million and $86 million in the three and six months ended June 30, 2020, respectively, and is reported in “Selling, General and Administrative” on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restructuring charges in the three and six months ended June 30, 2021 and 2020 in “Restructuring Charges” on the accompanying Condensed Consolidated Statements of Operations. Additional charges with respect to our ongoing cost reduction actions may be recognized in subsequent periods.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Facility Exit Charges</w:t>
            </w:r>
          </w:p>
        </w:tc>
        <w:tc>
          <w:tcPr>
            <w:tcW w:w="1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total restructuring charges by reporting segment and Corporate in the three and six months ended June 30, 2021 and 2020:</w:t>
      </w:r>
    </w:p>
    <w:p>
      <w:pPr>
        <w:sectPr>
          <w:pgSz w:w="11900" w:h="16838" w:orient="portrait"/>
          <w:cols w:equalWidth="0" w:num="1">
            <w:col w:w="11240"/>
          </w:cols>
          <w:pgMar w:left="320" w:top="476" w:right="339" w:bottom="1440" w:gutter="0" w:footer="0" w:header="0"/>
        </w:sectPr>
      </w:pP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Western Hemisphere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Pr>
          <w:p>
            <w:pPr>
              <w:ind w:left="106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19"/>
                <w:szCs w:val="19"/>
                <w:color w:val="auto"/>
              </w:rPr>
            </w:pPr>
          </w:p>
        </w:tc>
        <w:tc>
          <w:tcPr>
            <w:tcW w:w="1660" w:type="dxa"/>
            <w:vAlign w:val="bottom"/>
          </w:tcPr>
          <w:p>
            <w:pPr>
              <w:ind w:left="10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Restructuring Charges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-633730</wp:posOffset>
            </wp:positionV>
            <wp:extent cx="683196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1543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-334010</wp:posOffset>
            </wp:positionV>
            <wp:extent cx="683196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Pr>
          <w:p>
            <w:pPr>
              <w:ind w:left="98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34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140"/>
            <w:col w:w="3380"/>
          </w:cols>
          <w:pgMar w:left="320" w:top="476"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restructuring accrual activity in the six months ended June 30, 2021:</w:t>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2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8"/>
              </w:rPr>
              <w:t>Accrued Balance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0"/>
              </w:rPr>
              <w:t>Accrued Balance at</w:t>
            </w:r>
          </w:p>
        </w:tc>
        <w:tc>
          <w:tcPr>
            <w:tcW w:w="0" w:type="dxa"/>
            <w:vAlign w:val="bottom"/>
          </w:tcPr>
          <w:p>
            <w:pPr>
              <w:spacing w:after="0"/>
              <w:rPr>
                <w:sz w:val="1"/>
                <w:szCs w:val="1"/>
                <w:color w:val="auto"/>
              </w:rPr>
            </w:pPr>
          </w:p>
        </w:tc>
      </w:tr>
      <w:tr>
        <w:trPr>
          <w:trHeight w:val="175"/>
        </w:trPr>
        <w:tc>
          <w:tcPr>
            <w:tcW w:w="236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860" w:type="dxa"/>
            <w:vAlign w:val="bottom"/>
          </w:tcPr>
          <w:p>
            <w:pPr>
              <w:spacing w:after="0"/>
              <w:rPr>
                <w:sz w:val="15"/>
                <w:szCs w:val="15"/>
                <w:color w:val="auto"/>
              </w:rPr>
            </w:pPr>
          </w:p>
        </w:tc>
        <w:tc>
          <w:tcPr>
            <w:tcW w:w="14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at December 31,</w:t>
            </w:r>
          </w:p>
        </w:tc>
        <w:tc>
          <w:tcPr>
            <w:tcW w:w="300" w:type="dxa"/>
            <w:vAlign w:val="bottom"/>
          </w:tcPr>
          <w:p>
            <w:pPr>
              <w:spacing w:after="0"/>
              <w:rPr>
                <w:sz w:val="15"/>
                <w:szCs w:val="15"/>
                <w:color w:val="auto"/>
              </w:rPr>
            </w:pPr>
          </w:p>
        </w:tc>
        <w:tc>
          <w:tcPr>
            <w:tcW w:w="1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Charges</w:t>
            </w: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6"/>
              </w:rPr>
              <w:t>Cash Payments</w:t>
            </w: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(Credits)/Other</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June 30, 2021</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58"/>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8. Borrowings and Other Obligations</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680" w:type="dxa"/>
            <w:vAlign w:val="bottom"/>
          </w:tcPr>
          <w:p>
            <w:pPr>
              <w:spacing w:after="0"/>
              <w:rPr>
                <w:sz w:val="24"/>
                <w:szCs w:val="24"/>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6/30/2021</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680" w:type="dxa"/>
            <w:vAlign w:val="bottom"/>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Current Portion</w:t>
            </w: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80" w:type="dxa"/>
            <w:vAlign w:val="bottom"/>
          </w:tcPr>
          <w:p>
            <w:pPr>
              <w:spacing w:after="0"/>
              <w:rPr>
                <w:sz w:val="19"/>
                <w:szCs w:val="19"/>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Short-term Financing Arrangements</w:t>
            </w:r>
          </w:p>
        </w:tc>
        <w:tc>
          <w:tcPr>
            <w:tcW w:w="20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80" w:type="dxa"/>
            <w:vAlign w:val="bottom"/>
          </w:tcPr>
          <w:p>
            <w:pPr>
              <w:spacing w:after="0"/>
              <w:rPr>
                <w:sz w:val="21"/>
                <w:szCs w:val="21"/>
                <w:color w:val="auto"/>
              </w:rPr>
            </w:pPr>
          </w:p>
        </w:tc>
        <w:tc>
          <w:tcPr>
            <w:tcW w:w="4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80" w:type="dxa"/>
            <w:vAlign w:val="bottom"/>
          </w:tcPr>
          <w:p>
            <w:pPr>
              <w:spacing w:after="0" w:line="20" w:lineRule="exact"/>
              <w:rPr>
                <w:sz w:val="1"/>
                <w:szCs w:val="1"/>
                <w:color w:val="auto"/>
              </w:rPr>
            </w:pPr>
          </w:p>
        </w:tc>
        <w:tc>
          <w:tcPr>
            <w:tcW w:w="4900" w:type="dxa"/>
            <w:vAlign w:val="bottom"/>
            <w:tcBorders>
              <w:top w:val="single" w:sz="8" w:color="CCEEFF"/>
              <w:bottom w:val="single" w:sz="8" w:color="auto"/>
            </w:tcBorders>
            <w:gridSpan w:val="2"/>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80" w:type="dxa"/>
            <w:vAlign w:val="bottom"/>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2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57"/>
        </w:trPr>
        <w:tc>
          <w:tcPr>
            <w:tcW w:w="680" w:type="dxa"/>
            <w:vAlign w:val="bottom"/>
          </w:tcPr>
          <w:p>
            <w:pPr>
              <w:spacing w:after="0"/>
              <w:rPr>
                <w:sz w:val="22"/>
                <w:szCs w:val="22"/>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8.75% Senior Secured Notes due 2024</w:t>
            </w:r>
          </w:p>
        </w:tc>
        <w:tc>
          <w:tcPr>
            <w:tcW w:w="20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680" w:type="dxa"/>
            <w:vAlign w:val="bottom"/>
          </w:tcPr>
          <w:p>
            <w:pPr>
              <w:spacing w:after="0"/>
              <w:rPr>
                <w:sz w:val="19"/>
                <w:szCs w:val="19"/>
                <w:color w:val="auto"/>
              </w:rPr>
            </w:pPr>
          </w:p>
        </w:tc>
        <w:tc>
          <w:tcPr>
            <w:tcW w:w="4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Long-term Portion</w:t>
            </w:r>
          </w:p>
        </w:tc>
        <w:tc>
          <w:tcPr>
            <w:tcW w:w="20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80" w:type="dxa"/>
            <w:vAlign w:val="bottom"/>
          </w:tcPr>
          <w:p>
            <w:pPr>
              <w:spacing w:after="0"/>
              <w:rPr>
                <w:sz w:val="19"/>
                <w:szCs w:val="19"/>
                <w:color w:val="auto"/>
              </w:rPr>
            </w:pPr>
          </w:p>
        </w:tc>
        <w:tc>
          <w:tcPr>
            <w:tcW w:w="4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r>
      <w:tr>
        <w:trPr>
          <w:trHeight w:val="21"/>
        </w:trPr>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Exit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our emergence from bankruptcy on December 13, 2019, we entered into an indenture and issued unsecured 11.00% Exit Notes in an aggregate principal amount of $2.1 billion maturing on December 1, 2024 (the “Exit Notes”). Interest on the Exit Notes accrues at the rate of 11.00% per annum and is payable semiannually in arrears on June 1 and December 1, which commenced on June 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28, 2020, we entered into an indenture and issued the 8.75% Senior Secured Notes in an aggregate principal amount of $500 million maturing September 1, 2024 (the “Senior Secured Notes”). Interest on the Senior Secured Notes accrues at the rate of 8.75% per annum and is payable semiannually in arrears on March 1 and September 1, which commenced on March 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 Credit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13, 2019, we entered into the senior secured letter of credit agreement in an aggregate amount of $195 million maturing on June 13, 2024 (the “LC Credit Agreement”). The LC Credit Agreement is used for the issuance of bid and performance letters of credit of the Company and certain of its subsidiaries. On August 28, 2020, we amended the LC Credit Agreement to, among other things, increase the aggregate commitments to $215 million, modify the maturity date to May 29, 2024 and reduce the minimum liquidity covenant to $175 million.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At June 30, 2021, we had approximately $160 million in outstanding letters of credit under the LC Credit Agreement and availability of $55 million.</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had $331 million of letters of credit outstanding, consisting of the $160 million mentioned above under the LC Credit Agreement and another $171 million under various uncommitted facilities (of which there was $165 million in cash collateral held and recorded in “Restricted Cash” on our 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we had accrued interest primarily related to the Exit Notes and Senior Secured Notes of $34 million in both periods, respectively, in “Other Current Liabilities” on our Condensed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the Exit Notes and Senior Secured Notes.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6/30/2021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8.75% Senior Secured Notes due 2024</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Disputes, Litigation and Legal Contingencies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many of the Company’s litigation matters and other disputes have been delayed due to court closures or other mandated accommodations.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(as amended, the “Exchange Act”),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plaintiffs filed their response on July 3, 2020. The defendants filed a reply brief on August 3, 2020. On May 14, 2021, the District Court dismissed the case with prejudice for failure to state a claim. On June 11, 2021, the plaintiffs filed their Notice of Appeal with the District Court. The Appellate Court clerk will receive the District Court’s docket and issue a briefing schedule.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in the three and six months ended June 30, 2021 and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Capital in</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5"/>
                <w:szCs w:val="15"/>
                <w:color w:val="auto"/>
              </w:rPr>
            </w:pPr>
          </w:p>
        </w:tc>
        <w:tc>
          <w:tcPr>
            <w:tcW w:w="15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Other</w:t>
            </w:r>
          </w:p>
        </w:tc>
        <w:tc>
          <w:tcPr>
            <w:tcW w:w="14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5"/>
              </w:rPr>
              <w:t>Non-controlling</w:t>
            </w: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0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Excess of Par</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 (Loss)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Interests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Awards Granted, Vested and Exercised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June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in the six months ended June 30, 2021 and 2020:</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268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Currency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Defined Benefit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80" w:type="dxa"/>
            <w:vAlign w:val="bottom"/>
          </w:tcPr>
          <w:p>
            <w:pPr>
              <w:jc w:val="center"/>
              <w:ind w:left="163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vMerge w:val="continue"/>
          </w:tcPr>
          <w:p>
            <w:pPr>
              <w:spacing w:after="0"/>
              <w:rPr>
                <w:sz w:val="19"/>
                <w:szCs w:val="19"/>
                <w:color w:val="auto"/>
              </w:rPr>
            </w:pPr>
          </w:p>
        </w:tc>
        <w:tc>
          <w:tcPr>
            <w:tcW w:w="2680" w:type="dxa"/>
            <w:vAlign w:val="bottom"/>
            <w:tcBorders>
              <w:bottom w:val="single" w:sz="8" w:color="auto"/>
            </w:tcBorders>
          </w:tcPr>
          <w:p>
            <w:pPr>
              <w:jc w:val="center"/>
              <w:ind w:left="1610"/>
              <w:spacing w:after="0"/>
              <w:rPr>
                <w:sz w:val="20"/>
                <w:szCs w:val="20"/>
                <w:color w:val="auto"/>
              </w:rPr>
            </w:pPr>
            <w:r>
              <w:rPr>
                <w:rFonts w:ascii="Arial" w:cs="Arial" w:eastAsia="Arial" w:hAnsi="Arial"/>
                <w:sz w:val="18"/>
                <w:szCs w:val="18"/>
                <w:b w:val="1"/>
                <w:bCs w:val="1"/>
                <w:color w:val="auto"/>
                <w:w w:val="90"/>
              </w:rPr>
              <w:t>Adjustment</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Pension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68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w:t>
            </w:r>
          </w:p>
        </w:tc>
        <w:tc>
          <w:tcPr>
            <w:tcW w:w="26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68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68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w:t>
            </w:r>
          </w:p>
        </w:tc>
        <w:tc>
          <w:tcPr>
            <w:tcW w:w="2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68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basic and diluted weighted average shares outstanding and loss per share in the three and six months ended June 30,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 Attributable to Weatherford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in the three and six months ended June 30, 2021 and 2020 exclude 10 million and 8 million potential ordinary shares, respectively, for restricted share units, performance share units, phantom restricted share units, and warrants outstanding as we had net losses for those periods and their inclusion would be anti-dilutive.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are attributable to countries based on the ultimate destination of the sale of products or performance of services. Our two product lines are as follows: (1) Completion and Production and (2) Drilling, Evaluation and Intervention. The unmanned equipment that we lease to customers as operating leases consists primarily of drilling rental tools (in the Drilling, Evaluation and Intervention product line) and artificial lift pumping equipment (in the Completion and Production product line). These equipment rental revenues are generally provided based on call-out work orders that include fixed per unit prices and are derived from short-term contracts.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disaggregate our product and service revenues by major product line and geographic region for the three and six months ended June 30, 2021 and 2020 and includes equipment revenues recognized under lease accounting standards of $35 million and $63 million in the three and six months ended June 30, 2021, respectively, and $32 million and $89 million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23"/>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2"/>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 Line Revenue for Western Hemisphere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Completion and Production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48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Drilling, Evaluation and Intervention</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Western Hemisphere Revenue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479"/>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 Line Revenue for Eastern Hemisphere</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Completion and Production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Drilling, Evaluation and Intervention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45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r>
      <w:tr>
        <w:trPr>
          <w:trHeight w:val="708"/>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w:t>
            </w:r>
          </w:p>
        </w:tc>
      </w:tr>
    </w:tbl>
    <w:p>
      <w:pPr>
        <w:spacing w:after="0" w:line="1" w:lineRule="exact"/>
        <w:rPr>
          <w:sz w:val="20"/>
          <w:szCs w:val="20"/>
          <w:color w:val="auto"/>
        </w:rPr>
      </w:pPr>
    </w:p>
    <w:p>
      <w:pPr>
        <w:sectPr>
          <w:pgSz w:w="11900" w:h="16838" w:orient="portrait"/>
          <w:cols w:equalWidth="0" w:num="2">
            <w:col w:w="7920" w:space="220"/>
            <w:col w:w="310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Eastern Hemisphere Revenue</w:t>
            </w:r>
          </w:p>
        </w:tc>
        <w:tc>
          <w:tcPr>
            <w:tcW w:w="10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r>
      <w:tr>
        <w:trPr>
          <w:trHeight w:val="250"/>
        </w:trPr>
        <w:tc>
          <w:tcPr>
            <w:tcW w:w="38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3"/>
          </w:tcPr>
          <w:p>
            <w:pPr>
              <w:spacing w:after="0" w:line="20" w:lineRule="exact"/>
              <w:rPr>
                <w:sz w:val="1"/>
                <w:szCs w:val="1"/>
                <w:color w:val="auto"/>
              </w:rPr>
            </w:pPr>
          </w:p>
        </w:tc>
      </w:tr>
      <w:tr>
        <w:trPr>
          <w:trHeight w:val="560"/>
        </w:trPr>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28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0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Revenue by Geographic Areas: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 America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Latin America</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3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Western Hemisphere</w:t>
            </w: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37"/>
        </w:trPr>
        <w:tc>
          <w:tcPr>
            <w:tcW w:w="3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Middle East &amp; North Africa and Asia</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Europe/Sub-Sahara Africa/Russia</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3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Eastern Hemisphere</w:t>
            </w: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7"/>
        </w:trPr>
        <w:tc>
          <w:tcPr>
            <w:tcW w:w="3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4"/>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our revenue recognition, billings and cash collections results in the recording of billed accounts receivable, contract assets (including unbilled receivables), customer advances and deposits (contract liabilities classified as deferred revenues). Our receivables are primarily derived from contract sales of products and services, which are included in “Accounts Receivable, Net” on the Condensed Consolidated Balance Sheets. Contract assets were immaterial as of June 30, 2021 and December 31, 2020. Revenue recognized during the six months ended June 30, 2021 that was included in the contract liabilities balance at the beginning of 2021 was $25 million. The following table summarizes these balances as of June 30, 2021 and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6/30/2021</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27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Total Accounts Receivables</w:t>
            </w:r>
          </w:p>
        </w:tc>
        <w:tc>
          <w:tcPr>
            <w:tcW w:w="272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7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following table, estimated revenue for contracts with original performance obligations greater than twelve months are expected to be recognized in the future related to performance obligations that are either unsatisfied or partially unsatisfied as of June 30,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Financial information by segment is summarized below. The accounting policies of the segments are the same as those described in the summary of significant accounting policies as presented in our 2020 Annual Report.</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3"/>
        </w:trPr>
        <w:tc>
          <w:tcPr>
            <w:tcW w:w="48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903</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Arial" w:cs="Arial" w:eastAsia="Arial" w:hAnsi="Arial"/>
                <w:sz w:val="18"/>
                <w:szCs w:val="18"/>
                <w:color w:val="auto"/>
              </w:rPr>
              <w:t>Total Segment Operating Income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69"/>
        </w:trPr>
        <w:tc>
          <w:tcPr>
            <w:tcW w:w="4860" w:type="dxa"/>
            <w:vAlign w:val="bottom"/>
          </w:tcPr>
          <w:p>
            <w:pPr>
              <w:ind w:left="140"/>
              <w:spacing w:after="0" w:line="169" w:lineRule="exact"/>
              <w:rPr>
                <w:sz w:val="20"/>
                <w:szCs w:val="20"/>
                <w:color w:val="auto"/>
              </w:rPr>
            </w:pPr>
            <w:r>
              <w:rPr>
                <w:rFonts w:ascii="Arial" w:cs="Arial" w:eastAsia="Arial" w:hAnsi="Arial"/>
                <w:sz w:val="18"/>
                <w:szCs w:val="18"/>
                <w:color w:val="auto"/>
              </w:rPr>
              <w:t>Total Operating Income (Loss) Before Impairments,</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Restructuring and Other (Charges) Credits</w:t>
            </w: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Impairments and Other (Charges) Credits, Net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(57)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23"/>
        </w:trPr>
        <w:tc>
          <w:tcPr>
            <w:tcW w:w="486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Reorganization Items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20" w:right="160" w:hanging="250"/>
        <w:spacing w:after="0" w:line="261" w:lineRule="auto"/>
        <w:tabs>
          <w:tab w:leader="none" w:pos="411"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Corporate also includes eliminations of intercompany margins associated with transfers of assets and inventory that were $1 million and $10 million in the three months ended June 30, 2021 and 2020, respectively. The six months ended June 30, 2021 and 2020, included elimination of intercompany margins of $1 million and $18 million, respectively.</w:t>
      </w:r>
    </w:p>
    <w:p>
      <w:pPr>
        <w:spacing w:after="0" w:line="20" w:lineRule="exact"/>
        <w:rPr>
          <w:rFonts w:ascii="Arial" w:cs="Arial" w:eastAsia="Arial" w:hAnsi="Arial"/>
          <w:sz w:val="16"/>
          <w:szCs w:val="16"/>
          <w:color w:val="auto"/>
        </w:rPr>
      </w:pPr>
    </w:p>
    <w:p>
      <w:pPr>
        <w:jc w:val="both"/>
        <w:ind w:left="420" w:hanging="250"/>
        <w:spacing w:after="0" w:line="286" w:lineRule="auto"/>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three and six months ended June 30, 2021 primarily included gains on the disposition of assets, lease terminations and litigation matters, partially offset by the write-down of inventory. The three and six months ended June 30, 2020, primarily includes the impairment of goodwill, property, plant and equipment, intangibles and right of use assets and other charges. See “Note 5 – Long-lived Asset Impairments” and “Note 6 – Goodwill and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our quarterly tax provision using the year-to-date effective tax rate because small changes in estimated ordinary annual income result in significant changes in our estimated annual effective tax rate. The year-to-date effective tax rate treats the year-to-date period as if it was the annual period and determines the income tax expense or benefit on that basis.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three and six months ended June 30, 2021, we recognized tax expense of $15 million and $38 million, respectively, on a loss before income taxes of $58 million and $145 million, respectively, compared to the three and six months ended June 30, 2020 where we recognized tax expense of $12 million and $56 million, respectively, on a loss before income taxes of $567 million and $1.5 billion, respectively. Our income tax provisions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 Tax expense in the three and the six months ended June 30, 2021 includes a $13 million tax benefit attributed to the reversal of a tax accrual in connection with an internal restructuring transaction completed in the second quarter of 2021. Tax expense for the six months ended June 30, 2020 included $20 million recorded in the first quarter of 2020 to recognize valuation allowance in jurisdictions where we were no longer able to forecast taxable income.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June 30, 2021, we anticipate that it is reasonably possible that our uncertain tax positions of $241 million may decrease by up to $13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used herein,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 operations in approximately 75 countries and have service and sales locations in oil and natural gas producing regions globally. Our operational performance is reviewed on a geographic basis, and we report the Western Hemisphere and Eastern Hemisphere as separate, distinct reporting segments. Our principal business is to provide equipment and services to the oil and natural gas exploration and production industry, both onshore and offshore. Our two product lines are as follows: (1) Completion and Production and (2) Drilling, Evaluation and Intervention.</w:t>
      </w:r>
    </w:p>
    <w:p>
      <w:pPr>
        <w:spacing w:after="0" w:line="198" w:lineRule="exact"/>
        <w:rPr>
          <w:sz w:val="20"/>
          <w:szCs w:val="20"/>
          <w:color w:val="auto"/>
        </w:rPr>
      </w:pPr>
    </w:p>
    <w:p>
      <w:pPr>
        <w:jc w:val="both"/>
        <w:ind w:left="820" w:hanging="326"/>
        <w:spacing w:after="0" w:line="259" w:lineRule="auto"/>
        <w:tabs>
          <w:tab w:leader="none" w:pos="81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i w:val="1"/>
          <w:iCs w:val="1"/>
          <w:color w:val="auto"/>
        </w:rPr>
        <w:t>(“C&amp;P”)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a suite of modern completion products, reservoir stimulation designs, and engineering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isolate zones and unlock reserves in deepwater, unconventional, and aging reservoirs and production optimization services and a complete production ecosystem, featuring our artificial-lift portfolio, testing and flow-measurement solutions, and optimization software, to boost productivity and profitability.</w:t>
      </w:r>
    </w:p>
    <w:p>
      <w:pPr>
        <w:spacing w:after="0" w:line="213" w:lineRule="exact"/>
        <w:rPr>
          <w:rFonts w:ascii="Arial" w:cs="Arial" w:eastAsia="Arial" w:hAnsi="Arial"/>
          <w:sz w:val="18"/>
          <w:szCs w:val="18"/>
          <w:b w:val="1"/>
          <w:bCs w:val="1"/>
          <w:i w:val="1"/>
          <w:iCs w:val="1"/>
          <w:color w:val="auto"/>
        </w:rPr>
      </w:pPr>
    </w:p>
    <w:p>
      <w:pPr>
        <w:jc w:val="both"/>
        <w:ind w:left="820" w:hanging="326"/>
        <w:spacing w:after="0" w:line="255"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i w:val="1"/>
          <w:iCs w:val="1"/>
          <w:color w:val="auto"/>
        </w:rPr>
        <w:t>(“DEI”)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comprises a suite of services ranging from early well planning to reservoir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services offer innovative tools and expert engineering to increase efficiency and maximize reservoir exposure. Evaluation services merge wellsite capabilities including wireline and managed pressure drilling. We also build and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totaled $903 million and $1.7 billion in the second quarter and first six months of 2021, respectively, an improvement of $82 million, or 10%, and a decline of $301 million, or 15%, compared to the second quarter and first six months of 2020, respectively.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quarter of 2021 year-over-year improvement reflects a 15% increase in service revenues driven by higher demand in certain C&amp;P and DEI sub-product lines, primarily in the United States and Mexico, which also spurred the 37% growth in the Western Hemisphere, partially offset by a 6% decline in the Eastern Hemisphere.</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decline in the first six months of 2021 was primarily due to the negative impacts of the COVID-19 pandemic, which began in the second quarter of 2020, following results from a pre-pandemic first quarter of 2020. The pandemic had an immediate negative impact in the Western Hemisphere while taking longer to impact the Eastern Hemisphere, however, faster vaccine rollouts have resulted in a swifter recovery in parts of the Western Hemisphere.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income improved $522 million and $1.3 billion in the second quarter of 2021 and first six months of 2021 compared to the second quarter and first six months of 2020, respectively, primarily from lower impairment and restructuring charges. Selling, general and administrative, corporate, and research and development expense declined in the second quarter and first six months of 2021, reflecting the benefits of the cost improvement initiatives that were implemented during 2020 and earlier in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operating income was $34 million and $39 million in the second quarter and first six months of 2021, respectively, an increase of $42 million and was flat, respectively, compared to the second quarter and first six months of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second quarter of 2021 year-over-year improvement was driven by the increased activity levels and demand for services across both our C&amp;P and DEI product lines, including integrated service project (“ISP”) sales in Mexico.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and Other Charges (Credits), Net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Please see summary of details at “Note 2 – Impairments and Other Charges (Credits), Net” to our Condensed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Listing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 2021, The Nasdaq Stock Market LLC stock exchange (“NASDAQ”) approved our application for the listing of our ordinary shares. In connection with the listing, we became subject to the reporting requirements of the Exchange Act. Our ordinary shares began trading on The Nasdaq Global Select Market on June 2, 2021 under the ticker symbol “WFRD”.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 or decrease in demand for our products and services. Rig count is an indicator of the level of spending for the exploration for and production of oil and natural gas reserves. The following charts set forth certain statistics that reflect historical market conditions.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shows the average oil and natural gas prices for West Texas Intermediate (“WTI”), United Kingdom Brent crude oil and Henry Hub natural gas.</w:t>
      </w:r>
    </w:p>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820" w:type="dxa"/>
            <w:vAlign w:val="bottom"/>
            <w:gridSpan w:val="3"/>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 Ended</w:t>
            </w:r>
          </w:p>
        </w:tc>
      </w:tr>
      <w:tr>
        <w:trPr>
          <w:trHeight w:val="223"/>
        </w:trPr>
        <w:tc>
          <w:tcPr>
            <w:tcW w:w="4960" w:type="dxa"/>
            <w:vAlign w:val="bottom"/>
            <w:tcBorders>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6/30/2020</w:t>
            </w:r>
          </w:p>
        </w:tc>
        <w:tc>
          <w:tcPr>
            <w:tcW w:w="10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3"/>
                <w:szCs w:val="23"/>
                <w:color w:val="auto"/>
                <w:vertAlign w:val="superscript"/>
              </w:rPr>
              <w:t>(1)</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$66.09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r>
      <w:tr>
        <w:trPr>
          <w:trHeight w:val="230"/>
        </w:trPr>
        <w:tc>
          <w:tcPr>
            <w:tcW w:w="4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Oil price - Brent </w:t>
            </w:r>
            <w:r>
              <w:rPr>
                <w:rFonts w:ascii="Arial" w:cs="Arial" w:eastAsia="Arial" w:hAnsi="Arial"/>
                <w:sz w:val="23"/>
                <w:szCs w:val="23"/>
                <w:color w:val="auto"/>
                <w:vertAlign w:val="superscript"/>
              </w:rPr>
              <w:t>(1)</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$68.83</w:t>
            </w:r>
          </w:p>
        </w:tc>
        <w:tc>
          <w:tcPr>
            <w:tcW w:w="1060" w:type="dxa"/>
            <w:vAlign w:val="bottom"/>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30"/>
        </w:trPr>
        <w:tc>
          <w:tcPr>
            <w:tcW w:w="49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3"/>
                <w:szCs w:val="23"/>
                <w:color w:val="auto"/>
                <w:vertAlign w:val="superscript"/>
              </w:rPr>
              <w:t>(2)</w:t>
            </w:r>
          </w:p>
        </w:tc>
        <w:tc>
          <w:tcPr>
            <w:tcW w:w="1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$2.94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bl>
    <w:p>
      <w:pPr>
        <w:ind w:left="1240" w:hanging="168"/>
        <w:spacing w:after="0" w:line="219" w:lineRule="auto"/>
        <w:tabs>
          <w:tab w:leader="none" w:pos="124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Oil price measured in dollars per barrel</w:t>
      </w:r>
    </w:p>
    <w:p>
      <w:pPr>
        <w:spacing w:after="0" w:line="23" w:lineRule="exact"/>
        <w:rPr>
          <w:rFonts w:ascii="Arial" w:cs="Arial" w:eastAsia="Arial" w:hAnsi="Arial"/>
          <w:sz w:val="20"/>
          <w:szCs w:val="20"/>
          <w:color w:val="auto"/>
          <w:vertAlign w:val="superscript"/>
        </w:rPr>
      </w:pPr>
    </w:p>
    <w:p>
      <w:pPr>
        <w:ind w:left="1240" w:hanging="168"/>
        <w:spacing w:after="0" w:line="200" w:lineRule="auto"/>
        <w:tabs>
          <w:tab w:leader="none" w:pos="124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Natural gas price measured in dollars per million British thermal units (Btu), or MMBtu</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average rig counts based on the weekly Baker Hughes Company rig count information were as follows: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20" w:type="dxa"/>
            <w:vAlign w:val="bottom"/>
            <w:gridSpan w:val="3"/>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7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320" w:type="dxa"/>
            <w:vAlign w:val="bottom"/>
            <w:tcBorders>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6/30/2021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6/30/2020</w:t>
            </w: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529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3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International</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48"/>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Worldwide</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1,245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improving indications that the global economic and demand recovery from the COVID-19 pandemic is continuing to build towards pre-pandemic levels as both COVID-19 vaccination rates and global economic activity increase. However, with the recent resurgence of infection rates particularly among the unvaccinated and a number of international governments pushing for a return to social distancing practices we continue to be cautious about a broad-based recovery in the oil and gas industry. Oil prices have risen during the year, buoyed by supply policies led by the Organization of Petroleum Exporting Countries and the expanded alliance (“OPEC+”) and other high oil exporting non-OPEC+ nations. Average oil prices for the second quarter of 2021 are more than double the average oil prices for the second quarter of 2020 and natural gas prices have increased 72%. WTI oil spot prices have recovered to pre-pandemic levels, averaging approximately $66 per barrel during the second quarter of 2021. However, the North America and International average rig count continues to be well below pre-pandemic levels.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continued improvements in our customer activity levels with the ongoing COVID-19 vaccine rollout globally and multinational economic stimulus actions which are expected to provide a measured pathway to oil and natural gas demand recovery throughout 2021. We believe that industry activity will likely continue to recover in the second half of 2021 and our consolidated revenues are expected to increase by mid- to high-single digits over the first half of 2021, which with our continued focus on managing our costs should lead to further margin expansion in the second half of 2021. We expect both our Western and Eastern Hemisphere segments to grow revenues in the second half of 2021.</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closely monitor the ongoing global impacts surrounding the COVID-19 pandemic, including operational and manufacturing disruptions, logistical constraints and travel restrictions. The oilfield services industry growth is highly dependent on many external factors, such as the global response to the COVID-19 pandemic, our customers’ capital expenditures, world economic and political conditions, the price of oil and natural gas, member-country quota compliance within the OPEC+, weather conditions and other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and expect to continue to experience delays and a lack of availability of key components as our supplier base returns to work, manages component shortages and generally higher demand for supplies. Shipping and other logistics activities are experiencing tight availability for carriers, containers and shipping materials. This has exacerbated specific shortages and delays with supplied materials. In addition, we continue to experience certain customer restrictions that prevent access to their sites, community measures to contain the spread of the COVID-19 virus, and changes to our policies that have both restricted and changed the way our employees work.</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continuously improve crew rotations and management practices to minimize our employees’ exposure to the COVID-19 virus while at client facilities. We constantly refine and update our identification and management of COVID-19 cases consistent with the latest guidance, from the Centers of Disease Control and Prevention and the World Health Organization through the development of updated protocols, advanced testing and response procedures. Faced with these challenges, we evolved our digital portfolio and enhanced our applications to offer fully integrated digital oilfield solutions. We also increased our offerings of automated well construction and remote monitoring and predictive analytics related to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In addition, as consolidation of the oil and gas services industry continues due to market conditions, there has been an increased demand for companies with specialized products, services and technologies. We believe we are well positioned to satisfy our customers’ needs, but the level of improvement in our businesses in the future will depend heavily on pricing, volume of work, our ability to offer solutions to more efficiently extract oil and gas while controlling costs, and our success in penetrating new and existing markets with our newly developed technologies. Over the long-term, we expect the world’s demand for energy will rise from current levels requiring increased oil field services and more advanced technology from the oilfield service industry. We remain focused on delivering innovative and cost-efficient solutions for customers to assist them in achieving their operational, safety and environmental objectives.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challenges also include adverse market conditions that could make it more difficult to obtain our targeted cost reduction benefits and to recruit, motivate and retain employees, including key personnel. Increasing investor and government focus on environmental and social governance factors, the cyclicality of the energy industry and the ongoing COVID-19 pandemic may negatively impact demand for our products and services. We are following our long-term strategy aimed at achieving sustainable profitability in our businesses, servicing our customers and creating value for our shareholders. Our long-term success will be determined by our ability to manage effectively the cyclicality of our industry, including potential prolonged industry downturns, our ability to respond to industry demands and periods of over-supply or uncertain oil prices, and ultimately to generate consistent positive cash flow and positive returns on the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consolidated results of operations and financial information by operating segment and other selected information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Favorable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3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(Unfavorable)</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06/30/21</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06/30/20</w:t>
            </w:r>
          </w:p>
        </w:tc>
        <w:tc>
          <w:tcPr>
            <w:tcW w:w="12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222 %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Segment Operating Income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525 %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5260" w:type="dxa"/>
            <w:vAlign w:val="bottom"/>
          </w:tcPr>
          <w:p>
            <w:pPr>
              <w:spacing w:after="0" w:line="169" w:lineRule="exact"/>
              <w:rPr>
                <w:sz w:val="20"/>
                <w:szCs w:val="20"/>
                <w:color w:val="auto"/>
              </w:rPr>
            </w:pPr>
            <w:r>
              <w:rPr>
                <w:rFonts w:ascii="Arial" w:cs="Arial" w:eastAsia="Arial" w:hAnsi="Arial"/>
                <w:sz w:val="18"/>
                <w:szCs w:val="18"/>
                <w:color w:val="auto"/>
                <w:w w:val="91"/>
              </w:rPr>
              <w:t>Total Operating Income (Loss) Before Impairments and Other (Charges)</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150 %</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Credits and Restructuring Charges</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 and Other (Charges) Credits,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Loss per Diluted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0"/>
        </w:trPr>
        <w:tc>
          <w:tcPr>
            <w:tcW w:w="592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4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Favorable</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(Unfavorable)</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6/30/2021</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6/30/2020</w:t>
            </w:r>
          </w:p>
        </w:tc>
        <w:tc>
          <w:tcPr>
            <w:tcW w:w="12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Western Hemisphere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Western Hemisphere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767 %</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Segment Operating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5600" w:type="dxa"/>
            <w:vAlign w:val="bottom"/>
            <w:gridSpan w:val="2"/>
          </w:tcPr>
          <w:p>
            <w:pPr>
              <w:spacing w:after="0" w:line="169" w:lineRule="exact"/>
              <w:rPr>
                <w:sz w:val="20"/>
                <w:szCs w:val="20"/>
                <w:color w:val="auto"/>
              </w:rPr>
            </w:pPr>
            <w:r>
              <w:rPr>
                <w:rFonts w:ascii="Arial" w:cs="Arial" w:eastAsia="Arial" w:hAnsi="Arial"/>
                <w:sz w:val="18"/>
                <w:szCs w:val="18"/>
                <w:color w:val="auto"/>
                <w:w w:val="96"/>
              </w:rPr>
              <w:t>Total Operating Income (Loss) Before Impairments and Other (Charges)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Credits and Restructuring Charges</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Impairments and Other (Charges) Credits,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Reorganization Items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60" w:type="dxa"/>
            <w:vAlign w:val="bottom"/>
          </w:tcPr>
          <w:p>
            <w:pPr>
              <w:spacing w:after="0"/>
              <w:rPr>
                <w:sz w:val="21"/>
                <w:szCs w:val="21"/>
                <w:color w:val="auto"/>
              </w:rPr>
            </w:pPr>
          </w:p>
        </w:tc>
        <w:tc>
          <w:tcPr>
            <w:tcW w:w="5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Diluted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Diluted Shares Outstanding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Revenues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Western Hemisphere revenues increased $115 million, or 37%, in the second quarter of 2021 and decreased $83 million, or 9%, in the first six months of 2021 compared to the second quarter and first six months of 2020. The second quarter of 2021 year-over-year growth in the Western Hemisphere was due to increased demand for service and products across both our C&amp;P and DEI product lines in the U.S. and increased ISP sales in Mexico.</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Western Hemisphere revenues decline of 9% in the first six months of 2021 was driven by lower activity levels for services and products across both our C&amp;P and DEI product lines related to the global health and economic crisis due to the COVID-19 pandemic, which began negatively impacting our business and industry during the second quarter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Eastern Hemisphere revenues decreased $33 million, or 6%, in the second quarter of 2021 and $218 million, or 19%, in the first six months of 2021 compared to the second quarter and first six months of 2020 due to a decline in activity resulting in lower service and product sales in both our C&amp;P and DEI product lines since the COVID-19 pandemic impact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Western Hemisphere segment operating income of $28 million and $52 million in the second quarter and first six months 2021, respectively, increased $51 million and $46 million compared to the second quarter and first six months of 2020, respectively. The year-over-year improvements were driven by the increased demand for services across both our C&amp;P and DEI product lines, as well as lower operational and employee costs.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Eastern Hemisphere segment operating income of $6 million in the second quarter of 2021 and segment operating loss of $13 million in the first six months of 2021, decreased $9 million and $46 million, respectively, compared to the second quarter and first six months of 2020. The deterioration was driven by lower activity levels across both our C&amp;P and DEI product lines related to the global health and economic crisis, partially offset by lower operational and employee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expense was $72 million and $142 million in the second quarter and first six months of 2021, respectively, and primarily represents interest on our 11.0% Exit Notes due 2024 (“Exit Notes”) and our 8.75% Senior Secured Notes due 2024 (“Senior Secured Notes”) as well as accretion expense amortized on our deferred issuance costs and discount on our Senior Secured Notes. Interest expense was $59 million and $117 million in the second quarter and first six months of 2020, respectively, and primarily represents interest on our Exit Notes. See “Note 8 – Borrowings and Other Obligations” to the Condensed Consolidated Financial Statements for further details.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expense was $11 million and $15 million in the second quarter and first six months of 2021, respectively, compared to other expense of $11 million and $36 million in the second quarter and first six months of 2020, respectively. Other expense is comprised of letter of credit fees, other financing charges and foreign exchange losses, primarily attributed to currency losses in countries with no or limited markets to hedge. The first six months year-over-year improvement was primarily due to lower currency volatility in 2021 compared to the significant volatility in the same period of the prior year following the start of the COVID-19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three and six months ended June 30, 2021, we recognized tax expense of $15 million and $38 million, respectively, on a loss before income taxes of $58 million and $145 million, respectively, compared to the three and six months ended June 30, 2020 where we recognized tax expense of $12 million and $56 million, respectively, on a loss before income taxes of $567 million and $1.5 billion, respectively. Our income tax provisions are primarily driven by income in certain jurisdictions, deemed profit countries and withholding taxes on intercompany and third-party transactions that do not directly correlate to ordinary income or loss. Tax expense in the three and the six months ended June 30, 2021 includes a $13 million tax benefit attributed to the reversal of a tax accrual in connection with an internal restructuring transaction completed in the second quarter of 2021. Tax expense for the six months ended June 30, 2020 included $20 million recorded in the first quarter of 2020 to recognize valuation allowance in jurisdictions where we were no longer able to forecast taxable income. Please see “Note 14 – Income Taxes” to our Condensed Consolidated Financial Statements for additional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Facility Consolidation and Severance Charges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7 – Restructuring, Facility Consolidation and Severance Charges” to our Condensed Consolidated Financial Statements for additional details of our charges by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2021, we had total cash and cash equivalents and restricted cash of $1.4 billion, which increased $102 million compared to the year ended December 31, 2020. Included in total cash and cash equivalents was $170 million and $167 million of restricted cash at June 30, 2021 and December 31, 2020, respectively. Restricted cash is primarily cash collateral for letters of credit not held under the senior secured letter of credit agreement. The following table summarizes cash flows provided by (used in) each type of activity and a reconciliation of operating cash flow to non-GAAP free cash flow for the six months ended June 30, 2021 and June 30, 2020: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Reconciliation of Operating Cash Flow to Non-GAAP Free Cash Flow:</w:t>
            </w:r>
          </w:p>
        </w:tc>
        <w:tc>
          <w:tcPr>
            <w:tcW w:w="1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for Property, Plant and Equipment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7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Non-GAAP Free Cash Flow</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operating activities was $120 million for the six months ended June 30, 2021 compared to $61 million for the six months ended June 30, 2020. During the six months ended June 30, 2021, the primary sources of cash provided by operating activities were driven by higher operating income, continued collections on our accounts receivables and inventory utilization, partially offset by higher interest payments.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2020, the primary sources of cash provided by operating activities were from collections on our accounts receivables, and lower payments for working capital activities, retention and performance cash bonuses, partially offset by payments for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investing activities was $2 million for the six months ended June 30, 2021 compared to $62 million for the six months ended June 30, 2020. During the six months ended June 30, 2021, the primary uses of cash were capital expenditures of $24 million for property, plant and equipment, offset by proceeds of $22 million from asset dispositions. During the six months ended June 30, 2020, the primary uses of cash were capital expenditures of $73 million for property, plant and equipment, offset by proceeds of $8 million from other asset dispositions.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$15 million for the six months ended June 30, 2021 compared to $36 million for the six months ended June 30, 2020. During the six months ended June 30, 2021, the primary uses of cash were for the repayment of finance lease obligations and dividends paid to noncontrolling interests. During the six months ended June 30, 2020, the primary uses of cash were for a $24 million deferred payment for our acquisition of a joint venture in the Middle East and dividends paid to noncontrolling interests.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free cash flow (“free cash flow”) represents cash provided by (used in) operating activities less capital expenditures for property, plant and equipment plus proceeds from the disposition of assets. Operating cash flow was $120 million and $61 million in the six months ended June 30, 2021 and 2020, respectively. Free cash flow was a positive $118 million and negative $4 million in the six months ended June 30, 2021 and 2020, respectively. Management believes that free cash flow is useful to investors and management as an important liquidity measure of our ability to generate cash, pay obligations and grow the business and shareholder value. It is a non-GAAP financial measure that should be considered in addition to, not as substitute for or superior to, cash provided by (used in) operating activities.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sources of available liquidity include cash generated by our operations, cash and cash equivalent balances, accounts receivable factoring, and dispositions of businesses or capital assets that no longer fit our long-term strategy. We historically have accessed banks for short-term loans and the capital markets for debt and equity offerings. While the market has stabilized recently, the energy industry’s access to capital is improving and although we may have access to capital markets, it may not be on terms that are commercially acceptable to the Company. Based upon current and anticipated levels of operations, we believe we will have sufficient cash from operations and cash on hand to fund our expected financial obligations and cash requirements (discussed below) both in the short-term and long-term.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weak economic environments, we may experience increased delays and failures to pay our invoices due to, among other reasons, a reduction in our customers’ cash flow from operations and their access to the credit markets as well as unsettled political conditions. If the economic environment weakens we could experience delayed customer payments and payment defaults associated with customer liquidity issues.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requirements will continue to include interest payments on our long-term debt, payments for capital expenditures, repayment on finance leases, payments for short-term working capital needs and costs associated with our revenue and restructuring payments, including severance. Our cash requirements may also include awards under our employee incentive programs and other amounts to settle litigation related matters.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we had $2.1 billion in aggregate principal amount maturing on December 1, 2024 and $500 million in aggregate principal amount maturing on September 1, 2024 for our Exit Notes and Senior Secured Notes, respectively. We expect to have interest payments of approximately $275 million annually until their maturity. Please see “Note 8 – Borrowings and Other Obligations” to our Condensed Consolidated Financial Statements for additional details. Our 2021 payments on operating leases are expected to be $91 million and capital spending is expected to be approximately $100 - $110 million.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(including restricted cash of $170 million primarily related to cash collateral on our letters of credit) totaled $1.4 billion at June 30, 2021, and are held by subsidiaries outside of Ireland. At June 30, 2021 we had $175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2021, our S&amp;P credit ratings improved to a B, with a stable outlook, on our Senior Secured Notes and the senior secured letter of credit agreement (the “LC Credit Agreement”). The S&amp;P credit rating on our Exit Notes improved to a CCC+ with a stable outlook. As of June 30, 2021, our Moody’s Investor Services credit rating on the Senior Secured Notes and the LC Credit Agreement was Ba3, with a negative outlook. Our Exit Notes have a credit rating of B3 with a negative outlook.</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may continue to have access to credit markets, our credit ratings, restrictions under our Exit Notes, Senior Secured Notes and LC Credit Agreement, could limit our ability to raise capital, refinance our existing debt, or could cause us to refinance or issue debt with less favorable and more restrictive terms and conditions, and could increase certain fees and interest of our borrowings.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Weatherford International plc, a public limited company organized under the laws of Ireland, and as the ultimate parent of the Weatherford group, guarantees the obligations of its subsidiaries. Please see our discussion on guarantees in “Part II - Item 7 - Management’s Discussion and Analysis of Financial Condition and Results of Operation” of our Annual Report on Form 10-K for the year ended December 31, 2020 (“2020 Annual Report”).</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Surety Bonds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had $331 million of letters of credit outstanding, consisting of $160 million under the LC Credit Agreement and $171 million under various uncommitted facilities (of which there was $165 million in cash collateral held and recorded in “Restricted Cash” on our Consolidated Balance Sheets).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outstanding surety bonds of $307 million, which were primarily in Latin America where we utilize surety bonds as part of our customary business practice. Any of our outstanding letters of credit or surety bonds could be called by the beneficiaries should we breach certain contractual or performance obligations. If the beneficiaries were to call the letters of credit under our LC Credit Agreement or surety bonds, our available liquidity would be reduced by the amount called.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Condensed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2020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 Risk Factors”, sets forth certain risks and uncertainties relating to our forward-looking statements that may cause actual results to be materially different from our present expectations or projections:</w:t>
      </w:r>
    </w:p>
    <w:p>
      <w:pPr>
        <w:spacing w:after="0" w:line="204" w:lineRule="exact"/>
        <w:rPr>
          <w:sz w:val="20"/>
          <w:szCs w:val="20"/>
          <w:color w:val="auto"/>
        </w:rPr>
      </w:pPr>
    </w:p>
    <w:p>
      <w:pPr>
        <w:jc w:val="both"/>
        <w:ind w:left="740" w:hanging="327"/>
        <w:spacing w:after="0" w:line="254"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and COVID-19 variants,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and the expanded alliance;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9" w:lineRule="exact"/>
        <w:rPr>
          <w:rFonts w:ascii="Arial" w:cs="Arial" w:eastAsia="Arial" w:hAnsi="Arial"/>
          <w:sz w:val="18"/>
          <w:szCs w:val="18"/>
          <w:color w:val="auto"/>
        </w:rPr>
      </w:pPr>
    </w:p>
    <w:p>
      <w:pPr>
        <w:ind w:left="740" w:hanging="327"/>
        <w:spacing w:after="0" w:line="250"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capital markets on terms that are commercially acceptable to the Company, or at all;</w:t>
      </w:r>
    </w:p>
    <w:p>
      <w:pPr>
        <w:spacing w:after="0" w:line="9"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40" w:right="200" w:hanging="327"/>
        <w:spacing w:after="0" w:line="260"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as well as stock exchange listing rules.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quarterly report as anticipated, believed, estimated, expected, intended, planned or projected.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our other filings with the SEC. In the event of an inconsistency between any prior or current SEC filing, the most current SEC filing would control.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change in the fair value of our debt as discussed in “Note 8 – Borrowings and Other Obligations” to our Condensed Consolidated Financial Statements, our exposure to market risk has not changed materially since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Disclosure controls and procedures (as defined in Rules 13a-15(e) and 15d-15(e) under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under the supervision and with the participation of our CEO and CFO, evaluated the effectiveness of the design and operation of our disclosure controls and procedures at June 30, 2021. Based on that evaluation, our CEO and CFO concluded that our disclosure controls and procedures were effective as of June 30, 2021.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June 30, 2021 that has materially affected, or is reasonably likely to materially affect, our internal control over financial reporting.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 Disputes, Litigation and Contingencies” to our Condensed Consolidated Financial Statements for details regarding our ongoing disputes and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2020 Annual Report, Part I, under the heading “Item 1A. – Risk Factors”, our Amendment No. 2 to the Registration Statement filed with the SEC on May 26, 2021 (as amended, the “Registration Statement”), Part I, under the heading “Item 1A. – Risk Factors,” and other information included and incorporated by reference in this report. As of June 30, 2021, there have been no material changes in our assessment of our risk factors from those set forth in our 2020 Annual Report and our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May 2021, we issued an aggregate of 53 ordinary shares upon the exercise of outstanding warrants, resulting in cash proceeds to the Company of approximately $5,000. The ordinary shares were issued pursuant to an exemption from registration under Section 4(a)(2) and Regulation D of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Exhibit</w:t>
            </w:r>
          </w:p>
        </w:tc>
        <w:tc>
          <w:tcPr>
            <w:tcW w:w="5480" w:type="dxa"/>
            <w:vAlign w:val="bottom"/>
            <w:gridSpan w:val="5"/>
            <w:vMerge w:val="restart"/>
          </w:tcPr>
          <w:p>
            <w:pPr>
              <w:ind w:left="260"/>
              <w:spacing w:after="0"/>
              <w:rPr>
                <w:sz w:val="20"/>
                <w:szCs w:val="20"/>
                <w:color w:val="auto"/>
              </w:rPr>
            </w:pPr>
            <w:r>
              <w:rPr>
                <w:rFonts w:ascii="Arial" w:cs="Arial" w:eastAsia="Arial" w:hAnsi="Arial"/>
                <w:sz w:val="18"/>
                <w:szCs w:val="18"/>
                <w:b w:val="1"/>
                <w:bCs w:val="1"/>
                <w:color w:val="auto"/>
              </w:rPr>
              <w:t>Description</w:t>
            </w:r>
          </w:p>
        </w:tc>
        <w:tc>
          <w:tcPr>
            <w:tcW w:w="2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Original Filed Exhibit</w:t>
            </w:r>
          </w:p>
        </w:tc>
        <w:tc>
          <w:tcPr>
            <w:tcW w:w="210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File Number</w:t>
            </w:r>
          </w:p>
        </w:tc>
        <w:tc>
          <w:tcPr>
            <w:tcW w:w="0" w:type="dxa"/>
            <w:vAlign w:val="bottom"/>
          </w:tcPr>
          <w:p>
            <w:pPr>
              <w:spacing w:after="0"/>
              <w:rPr>
                <w:sz w:val="1"/>
                <w:szCs w:val="1"/>
                <w:color w:val="auto"/>
              </w:rPr>
            </w:pPr>
          </w:p>
        </w:tc>
      </w:tr>
      <w:tr>
        <w:trPr>
          <w:trHeight w:val="229"/>
        </w:trPr>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Number</w:t>
            </w:r>
          </w:p>
        </w:tc>
        <w:tc>
          <w:tcPr>
            <w:tcW w:w="5480" w:type="dxa"/>
            <w:vAlign w:val="bottom"/>
            <w:tcBorders>
              <w:bottom w:val="single" w:sz="8" w:color="auto"/>
            </w:tcBorders>
            <w:gridSpan w:val="5"/>
            <w:vMerge w:val="continue"/>
          </w:tcPr>
          <w:p>
            <w:pPr>
              <w:spacing w:after="0"/>
              <w:rPr>
                <w:sz w:val="19"/>
                <w:szCs w:val="19"/>
                <w:color w:val="auto"/>
              </w:rPr>
            </w:pPr>
          </w:p>
        </w:tc>
        <w:tc>
          <w:tcPr>
            <w:tcW w:w="244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†*^10.1</w:t>
            </w:r>
          </w:p>
        </w:tc>
        <w:tc>
          <w:tcPr>
            <w:tcW w:w="5480" w:type="dxa"/>
            <w:vAlign w:val="bottom"/>
            <w:gridSpan w:val="5"/>
            <w:shd w:val="clear" w:color="auto" w:fill="CCEEFF"/>
          </w:tcPr>
          <w:p>
            <w:pPr>
              <w:ind w:left="260"/>
              <w:spacing w:after="0" w:line="182" w:lineRule="exact"/>
              <w:rPr>
                <w:rFonts w:ascii="Arial" w:cs="Arial" w:eastAsia="Arial" w:hAnsi="Arial"/>
                <w:sz w:val="18"/>
                <w:szCs w:val="18"/>
                <w:color w:val="0000FF"/>
              </w:rPr>
            </w:pPr>
            <w:hyperlink w:anchor="page31">
              <w:r>
                <w:rPr>
                  <w:rFonts w:ascii="Arial" w:cs="Arial" w:eastAsia="Arial" w:hAnsi="Arial"/>
                  <w:sz w:val="18"/>
                  <w:szCs w:val="18"/>
                  <w:color w:val="0000FF"/>
                </w:rPr>
                <w:t>Offer Letter to Joseph H. Mongrain dated March 11, 2021.</w:t>
              </w:r>
            </w:hyperlink>
          </w:p>
        </w:tc>
        <w:tc>
          <w:tcPr>
            <w:tcW w:w="2440" w:type="dxa"/>
            <w:vAlign w:val="bottom"/>
            <w:shd w:val="clear" w:color="auto" w:fill="CCEEFF"/>
          </w:tcPr>
          <w:p>
            <w:pPr>
              <w:spacing w:after="0"/>
              <w:rPr>
                <w:sz w:val="15"/>
                <w:szCs w:val="15"/>
                <w:color w:val="auto"/>
              </w:rPr>
            </w:pPr>
          </w:p>
        </w:tc>
        <w:tc>
          <w:tcPr>
            <w:tcW w:w="2100" w:type="dxa"/>
            <w:vAlign w:val="bottom"/>
            <w:shd w:val="clear" w:color="auto" w:fill="CCEEFF"/>
          </w:tcPr>
          <w:p>
            <w:pPr>
              <w:ind w:left="320"/>
              <w:spacing w:after="0" w:line="182"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5480" w:type="dxa"/>
            <w:vAlign w:val="bottom"/>
            <w:gridSpan w:val="5"/>
          </w:tcPr>
          <w:p>
            <w:pPr>
              <w:ind w:left="26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Certification of Chief Executive Officer pursuant to Section 302 of</w:t>
              </w:r>
            </w:hyperlink>
          </w:p>
        </w:tc>
        <w:tc>
          <w:tcPr>
            <w:tcW w:w="2440" w:type="dxa"/>
            <w:vAlign w:val="bottom"/>
          </w:tcPr>
          <w:p>
            <w:pPr>
              <w:spacing w:after="0"/>
              <w:rPr>
                <w:sz w:val="16"/>
                <w:szCs w:val="16"/>
                <w:color w:val="auto"/>
              </w:rPr>
            </w:pPr>
          </w:p>
        </w:tc>
        <w:tc>
          <w:tcPr>
            <w:tcW w:w="2100" w:type="dxa"/>
            <w:vAlign w:val="bottom"/>
            <w:vMerge w:val="restart"/>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5480" w:type="dxa"/>
            <w:vAlign w:val="bottom"/>
            <w:gridSpan w:val="5"/>
            <w:vMerge w:val="restart"/>
          </w:tcPr>
          <w:p>
            <w:pPr>
              <w:ind w:left="260"/>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the Sarbanes-Oxley Act of 2002.</w:t>
              </w:r>
            </w:hyperlink>
          </w:p>
        </w:tc>
        <w:tc>
          <w:tcPr>
            <w:tcW w:w="24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5480" w:type="dxa"/>
            <w:vAlign w:val="bottom"/>
            <w:gridSpan w:val="5"/>
            <w:vMerge w:val="continue"/>
          </w:tcPr>
          <w:p>
            <w:pPr>
              <w:spacing w:after="0"/>
              <w:rPr>
                <w:sz w:val="4"/>
                <w:szCs w:val="4"/>
                <w:color w:val="auto"/>
              </w:rPr>
            </w:pPr>
          </w:p>
        </w:tc>
        <w:tc>
          <w:tcPr>
            <w:tcW w:w="24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5480" w:type="dxa"/>
            <w:vAlign w:val="bottom"/>
            <w:gridSpan w:val="5"/>
            <w:shd w:val="clear" w:color="auto" w:fill="CCEEFF"/>
          </w:tcPr>
          <w:p>
            <w:pPr>
              <w:ind w:left="26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Certification of Chief Financial Officer pursuant to Section 302 of</w:t>
              </w:r>
            </w:hyperlink>
          </w:p>
        </w:tc>
        <w:tc>
          <w:tcPr>
            <w:tcW w:w="244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0" w:type="dxa"/>
            <w:vAlign w:val="bottom"/>
            <w:tcBorders>
              <w:right w:val="single" w:sz="8" w:color="CCEEFF"/>
            </w:tcBorders>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1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shd w:val="clear" w:color="auto" w:fill="CCEEFF"/>
          </w:tcPr>
          <w:p>
            <w:pPr>
              <w:spacing w:after="0"/>
              <w:rPr>
                <w:sz w:val="8"/>
                <w:szCs w:val="8"/>
                <w:color w:val="auto"/>
              </w:rPr>
            </w:pPr>
          </w:p>
        </w:tc>
        <w:tc>
          <w:tcPr>
            <w:tcW w:w="5480" w:type="dxa"/>
            <w:vAlign w:val="bottom"/>
            <w:gridSpan w:val="5"/>
            <w:vMerge w:val="restart"/>
            <w:shd w:val="clear" w:color="auto" w:fill="CCEEFF"/>
          </w:tcPr>
          <w:p>
            <w:pPr>
              <w:ind w:left="260"/>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the Sarbanes-Oxley Act of 2002.</w:t>
              </w:r>
            </w:hyperlink>
          </w:p>
        </w:tc>
        <w:tc>
          <w:tcPr>
            <w:tcW w:w="244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20" w:type="dxa"/>
            <w:vAlign w:val="bottom"/>
            <w:shd w:val="clear" w:color="auto" w:fill="CCEEFF"/>
          </w:tcPr>
          <w:p>
            <w:pPr>
              <w:spacing w:after="0"/>
              <w:rPr>
                <w:sz w:val="4"/>
                <w:szCs w:val="4"/>
                <w:color w:val="auto"/>
              </w:rPr>
            </w:pPr>
          </w:p>
        </w:tc>
        <w:tc>
          <w:tcPr>
            <w:tcW w:w="5480" w:type="dxa"/>
            <w:vAlign w:val="bottom"/>
            <w:gridSpan w:val="5"/>
            <w:vMerge w:val="continue"/>
            <w:shd w:val="clear" w:color="auto" w:fill="CCEEFF"/>
          </w:tcPr>
          <w:p>
            <w:pPr>
              <w:spacing w:after="0"/>
              <w:rPr>
                <w:sz w:val="4"/>
                <w:szCs w:val="4"/>
                <w:color w:val="auto"/>
              </w:rPr>
            </w:pPr>
          </w:p>
        </w:tc>
        <w:tc>
          <w:tcPr>
            <w:tcW w:w="244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5480" w:type="dxa"/>
            <w:vAlign w:val="bottom"/>
            <w:gridSpan w:val="5"/>
          </w:tcPr>
          <w:p>
            <w:pPr>
              <w:ind w:left="26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Certification of Chief Executive Officer pursuant to Section 906 of</w:t>
              </w:r>
            </w:hyperlink>
          </w:p>
        </w:tc>
        <w:tc>
          <w:tcPr>
            <w:tcW w:w="2440" w:type="dxa"/>
            <w:vAlign w:val="bottom"/>
          </w:tcPr>
          <w:p>
            <w:pPr>
              <w:spacing w:after="0"/>
              <w:rPr>
                <w:sz w:val="16"/>
                <w:szCs w:val="16"/>
                <w:color w:val="auto"/>
              </w:rPr>
            </w:pPr>
          </w:p>
        </w:tc>
        <w:tc>
          <w:tcPr>
            <w:tcW w:w="2100" w:type="dxa"/>
            <w:vAlign w:val="bottom"/>
            <w:vMerge w:val="restart"/>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5480" w:type="dxa"/>
            <w:vAlign w:val="bottom"/>
            <w:gridSpan w:val="5"/>
            <w:vMerge w:val="restart"/>
          </w:tcPr>
          <w:p>
            <w:pPr>
              <w:ind w:left="260"/>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the Sarbanes-Oxley Act of 2002.</w:t>
              </w:r>
            </w:hyperlink>
          </w:p>
        </w:tc>
        <w:tc>
          <w:tcPr>
            <w:tcW w:w="24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5480" w:type="dxa"/>
            <w:vAlign w:val="bottom"/>
            <w:gridSpan w:val="5"/>
            <w:vMerge w:val="continue"/>
          </w:tcPr>
          <w:p>
            <w:pPr>
              <w:spacing w:after="0"/>
              <w:rPr>
                <w:sz w:val="4"/>
                <w:szCs w:val="4"/>
                <w:color w:val="auto"/>
              </w:rPr>
            </w:pPr>
          </w:p>
        </w:tc>
        <w:tc>
          <w:tcPr>
            <w:tcW w:w="24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5480" w:type="dxa"/>
            <w:vAlign w:val="bottom"/>
            <w:gridSpan w:val="5"/>
            <w:shd w:val="clear" w:color="auto" w:fill="CCEEFF"/>
          </w:tcPr>
          <w:p>
            <w:pPr>
              <w:ind w:left="26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Certification of Chief Financial Officer pursuant to Section 906 of</w:t>
              </w:r>
            </w:hyperlink>
          </w:p>
        </w:tc>
        <w:tc>
          <w:tcPr>
            <w:tcW w:w="244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0" w:type="dxa"/>
            <w:vAlign w:val="bottom"/>
            <w:tcBorders>
              <w:right w:val="single" w:sz="8" w:color="CCEEFF"/>
            </w:tcBorders>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1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shd w:val="clear" w:color="auto" w:fill="CCEEFF"/>
          </w:tcPr>
          <w:p>
            <w:pPr>
              <w:spacing w:after="0"/>
              <w:rPr>
                <w:sz w:val="8"/>
                <w:szCs w:val="8"/>
                <w:color w:val="auto"/>
              </w:rPr>
            </w:pPr>
          </w:p>
        </w:tc>
        <w:tc>
          <w:tcPr>
            <w:tcW w:w="5480" w:type="dxa"/>
            <w:vAlign w:val="bottom"/>
            <w:gridSpan w:val="5"/>
            <w:vMerge w:val="restart"/>
            <w:shd w:val="clear" w:color="auto" w:fill="CCEEFF"/>
          </w:tcPr>
          <w:p>
            <w:pPr>
              <w:ind w:left="260"/>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the Sarbanes-Oxley Act of 2002.</w:t>
              </w:r>
            </w:hyperlink>
          </w:p>
        </w:tc>
        <w:tc>
          <w:tcPr>
            <w:tcW w:w="244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20" w:type="dxa"/>
            <w:vAlign w:val="bottom"/>
            <w:shd w:val="clear" w:color="auto" w:fill="CCEEFF"/>
          </w:tcPr>
          <w:p>
            <w:pPr>
              <w:spacing w:after="0"/>
              <w:rPr>
                <w:sz w:val="4"/>
                <w:szCs w:val="4"/>
                <w:color w:val="auto"/>
              </w:rPr>
            </w:pPr>
          </w:p>
        </w:tc>
        <w:tc>
          <w:tcPr>
            <w:tcW w:w="5480" w:type="dxa"/>
            <w:vAlign w:val="bottom"/>
            <w:gridSpan w:val="5"/>
            <w:vMerge w:val="continue"/>
            <w:shd w:val="clear" w:color="auto" w:fill="CCEEFF"/>
          </w:tcPr>
          <w:p>
            <w:pPr>
              <w:spacing w:after="0"/>
              <w:rPr>
                <w:sz w:val="4"/>
                <w:szCs w:val="4"/>
                <w:color w:val="auto"/>
              </w:rPr>
            </w:pPr>
          </w:p>
        </w:tc>
        <w:tc>
          <w:tcPr>
            <w:tcW w:w="244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20" w:type="dxa"/>
            <w:vAlign w:val="bottom"/>
            <w:gridSpan w:val="7"/>
          </w:tcPr>
          <w:p>
            <w:pPr>
              <w:ind w:left="26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5480" w:type="dxa"/>
            <w:vAlign w:val="bottom"/>
            <w:gridSpan w:val="5"/>
          </w:tcPr>
          <w:p>
            <w:pPr>
              <w:ind w:left="260"/>
              <w:spacing w:after="0"/>
              <w:rPr>
                <w:sz w:val="20"/>
                <w:szCs w:val="20"/>
                <w:color w:val="auto"/>
              </w:rPr>
            </w:pPr>
            <w:r>
              <w:rPr>
                <w:rFonts w:ascii="Arial" w:cs="Arial" w:eastAsia="Arial" w:hAnsi="Arial"/>
                <w:sz w:val="18"/>
                <w:szCs w:val="18"/>
                <w:color w:val="auto"/>
              </w:rPr>
              <w:t>within the inline XBRL document</w:t>
            </w:r>
          </w:p>
        </w:tc>
        <w:tc>
          <w:tcPr>
            <w:tcW w:w="2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548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2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†101.CAL</w:t>
            </w:r>
          </w:p>
        </w:tc>
        <w:tc>
          <w:tcPr>
            <w:tcW w:w="548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2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548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2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Arial" w:cs="Arial" w:eastAsia="Arial" w:hAnsi="Arial"/>
                <w:sz w:val="18"/>
                <w:szCs w:val="18"/>
                <w:color w:val="auto"/>
              </w:rPr>
              <w:t>†101.LAB</w:t>
            </w:r>
          </w:p>
        </w:tc>
        <w:tc>
          <w:tcPr>
            <w:tcW w:w="548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2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548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24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104</w:t>
            </w:r>
          </w:p>
        </w:tc>
        <w:tc>
          <w:tcPr>
            <w:tcW w:w="7920" w:type="dxa"/>
            <w:vAlign w:val="bottom"/>
            <w:gridSpan w:val="6"/>
          </w:tcPr>
          <w:p>
            <w:pPr>
              <w:ind w:left="2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20" w:hanging="55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1020" w:right="200" w:hanging="550"/>
        <w:spacing w:after="0" w:line="183" w:lineRule="auto"/>
        <w:tabs>
          <w:tab w:leader="none" w:pos="1020" w:val="left"/>
        </w:tabs>
        <w:numPr>
          <w:ilvl w:val="0"/>
          <w:numId w:val="8"/>
        </w:numPr>
        <w:rPr>
          <w:rFonts w:ascii="Arial" w:cs="Arial" w:eastAsia="Arial" w:hAnsi="Arial"/>
          <w:sz w:val="29"/>
          <w:szCs w:val="29"/>
          <w:color w:val="auto"/>
          <w:vertAlign w:val="subscript"/>
        </w:rPr>
      </w:pPr>
      <w:r>
        <w:rPr>
          <w:rFonts w:ascii="Arial" w:cs="Arial" w:eastAsia="Arial" w:hAnsi="Arial"/>
          <w:sz w:val="17"/>
          <w:szCs w:val="17"/>
          <w:color w:val="auto"/>
        </w:rPr>
        <w:t>The Company has replaced it prior Exhibit 10.35 originally filed with the Company’s Amendment No. 2 to Form 10 filed on May 26, 2021 with the revised exhibit 10.1 filed herewith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499"/>
        </w:trPr>
        <w:tc>
          <w:tcPr>
            <w:tcW w:w="4020" w:type="dxa"/>
            <w:vAlign w:val="bottom"/>
          </w:tcPr>
          <w:p>
            <w:pPr>
              <w:spacing w:after="0"/>
              <w:rPr>
                <w:sz w:val="20"/>
                <w:szCs w:val="20"/>
                <w:color w:val="auto"/>
              </w:rPr>
            </w:pPr>
            <w:r>
              <w:rPr>
                <w:rFonts w:ascii="Arial" w:cs="Arial" w:eastAsia="Arial" w:hAnsi="Arial"/>
                <w:sz w:val="18"/>
                <w:szCs w:val="18"/>
                <w:color w:val="auto"/>
              </w:rPr>
              <w:t>Date: July 29, 2021</w:t>
            </w:r>
          </w:p>
        </w:tc>
        <w:tc>
          <w:tcPr>
            <w:tcW w:w="7000" w:type="dxa"/>
            <w:vAlign w:val="bottom"/>
            <w:gridSpan w:val="2"/>
          </w:tcPr>
          <w:p>
            <w:pPr>
              <w:ind w:left="2620"/>
              <w:spacing w:after="0"/>
              <w:rPr>
                <w:sz w:val="20"/>
                <w:szCs w:val="20"/>
                <w:color w:val="auto"/>
              </w:rPr>
            </w:pPr>
            <w:r>
              <w:rPr>
                <w:rFonts w:ascii="Arial" w:cs="Arial" w:eastAsia="Arial" w:hAnsi="Arial"/>
                <w:sz w:val="18"/>
                <w:szCs w:val="18"/>
                <w:color w:val="auto"/>
              </w:rPr>
              <w:t>By: /s/ H. Keith Jennings</w:t>
            </w:r>
          </w:p>
        </w:tc>
      </w:tr>
      <w:tr>
        <w:trPr>
          <w:trHeight w:val="222"/>
        </w:trPr>
        <w:tc>
          <w:tcPr>
            <w:tcW w:w="40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 Keith Jennings</w:t>
            </w:r>
          </w:p>
        </w:tc>
      </w:tr>
      <w:tr>
        <w:trPr>
          <w:trHeight w:val="229"/>
        </w:trPr>
        <w:tc>
          <w:tcPr>
            <w:tcW w:w="40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 July 29, 2021</w:t>
            </w:r>
          </w:p>
        </w:tc>
        <w:tc>
          <w:tcPr>
            <w:tcW w:w="7000" w:type="dxa"/>
            <w:vAlign w:val="bottom"/>
            <w:gridSpan w:val="2"/>
          </w:tcPr>
          <w:p>
            <w:pPr>
              <w:ind w:left="2620"/>
              <w:spacing w:after="0"/>
              <w:rPr>
                <w:sz w:val="20"/>
                <w:szCs w:val="20"/>
                <w:color w:val="auto"/>
              </w:rPr>
            </w:pPr>
            <w:r>
              <w:rPr>
                <w:rFonts w:ascii="Arial" w:cs="Arial" w:eastAsia="Arial" w:hAnsi="Arial"/>
                <w:sz w:val="18"/>
                <w:szCs w:val="18"/>
                <w:color w:val="auto"/>
              </w:rPr>
              <w:t>By: /s/ Desmond J. Mills</w:t>
            </w:r>
          </w:p>
        </w:tc>
      </w:tr>
      <w:tr>
        <w:trPr>
          <w:trHeight w:val="222"/>
        </w:trPr>
        <w:tc>
          <w:tcPr>
            <w:tcW w:w="40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Desmond J. Mills</w:t>
            </w:r>
          </w:p>
        </w:tc>
      </w:tr>
      <w:tr>
        <w:trPr>
          <w:trHeight w:val="230"/>
        </w:trPr>
        <w:tc>
          <w:tcPr>
            <w:tcW w:w="40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0"/>
        </w:trPr>
        <w:tc>
          <w:tcPr>
            <w:tcW w:w="4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76" w:right="35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172085</wp:posOffset>
            </wp:positionV>
            <wp:extent cx="30861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March 11,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Joe Mongrain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Dear Joe,</w:t>
      </w:r>
    </w:p>
    <w:p>
      <w:pPr>
        <w:spacing w:after="0" w:line="24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At Weatherford, we have an exceptional team of people working together in more than 70 countries around the world to solve the toughest energy challenges through a unique portfolio of technologies and safe, efficient processes.</w:t>
      </w:r>
    </w:p>
    <w:p>
      <w:pPr>
        <w:spacing w:after="0" w:line="231"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We are delighted to extend the following job offer to join Weatherford as our Senior Vice President &amp; Chief Human Resources Officer.</w:t>
      </w:r>
    </w:p>
    <w:p>
      <w:pPr>
        <w:spacing w:after="0" w:line="231" w:lineRule="exact"/>
        <w:rPr>
          <w:sz w:val="20"/>
          <w:szCs w:val="20"/>
          <w:color w:val="auto"/>
        </w:rPr>
      </w:pPr>
    </w:p>
    <w:p>
      <w:pPr>
        <w:ind w:right="400"/>
        <w:spacing w:after="0" w:line="243" w:lineRule="auto"/>
        <w:rPr>
          <w:sz w:val="20"/>
          <w:szCs w:val="20"/>
          <w:color w:val="auto"/>
        </w:rPr>
      </w:pPr>
      <w:r>
        <w:rPr>
          <w:rFonts w:ascii="Arial" w:cs="Arial" w:eastAsia="Arial" w:hAnsi="Arial"/>
          <w:sz w:val="20"/>
          <w:szCs w:val="20"/>
          <w:color w:val="auto"/>
        </w:rPr>
        <w:t>We look forward to working with you and believe that you can make a very significant, positive contribution to the success of Weatherford. Our company offers you an opportunity to put your experience, abilities, dedication, energy and creativity to excellent use. Welcome to the Team!</w:t>
      </w: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appreciate your careful consideration of the terms and conditions included in this offer letter. A summary of your benefits can be found on the following pages.</w:t>
      </w:r>
    </w:p>
    <w:p>
      <w:pPr>
        <w:spacing w:after="0" w:line="231"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Please note that Weatherford has implemented a temporary suspension of the Weatherford International, LLC 401(k) Savings Plan 401K company matching contributions. Our intent is for the suspension to be temporary and will be subject to regular review. We are committed to reinstating company matching contributions as soon as the market and business conditions improve.</w:t>
      </w:r>
    </w:p>
    <w:p>
      <w:pPr>
        <w:spacing w:after="0" w:line="21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This offer is contingent upon you successfully providing the necessary pre-hire documentation (including evidence of your right to work) and successful completion of any pre-hire testing relevant to your employment location.</w:t>
      </w:r>
    </w:p>
    <w:p>
      <w:pPr>
        <w:spacing w:after="0" w:line="231"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Please review the enclosed information and contact your HR representative if you have any questions or concerns. I would appreciate your acceptance of this new opportunity by signing below and returning your signed copy as soon as possible. The offer will remain open for 3 business days, after which time it will automatically expire.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welcoming you to Weatherford.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Girish K. Saligram</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Girish K. Saligram</w:t>
      </w:r>
    </w:p>
    <w:p>
      <w:pPr>
        <w:spacing w:after="0"/>
        <w:rPr>
          <w:sz w:val="20"/>
          <w:szCs w:val="20"/>
          <w:color w:val="auto"/>
        </w:rPr>
      </w:pPr>
      <w:r>
        <w:rPr>
          <w:rFonts w:ascii="Arial" w:cs="Arial" w:eastAsia="Arial" w:hAnsi="Arial"/>
          <w:sz w:val="20"/>
          <w:szCs w:val="20"/>
          <w:i w:val="1"/>
          <w:iCs w:val="1"/>
          <w:color w:val="auto"/>
        </w:rPr>
        <w:t>President &amp; Chief Executive Officer</w:t>
      </w:r>
    </w:p>
    <w:p>
      <w:pPr>
        <w:spacing w:after="0"/>
        <w:rPr>
          <w:sz w:val="20"/>
          <w:szCs w:val="20"/>
          <w:color w:val="auto"/>
        </w:rPr>
      </w:pPr>
      <w:r>
        <w:rPr>
          <w:rFonts w:ascii="Arial" w:cs="Arial" w:eastAsia="Arial" w:hAnsi="Arial"/>
          <w:sz w:val="20"/>
          <w:szCs w:val="20"/>
          <w:color w:val="auto"/>
        </w:rPr>
        <w:t>On and behalf of Weatherford</w:t>
      </w:r>
    </w:p>
    <w:p>
      <w:pPr>
        <w:sectPr>
          <w:pgSz w:w="11900" w:h="16838" w:orient="portrait"/>
          <w:cols w:equalWidth="0" w:num="1">
            <w:col w:w="11240"/>
          </w:cols>
          <w:pgMar w:left="320" w:top="111"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706120</wp:posOffset>
            </wp:positionV>
            <wp:extent cx="30861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PERSONAL INFORMATION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Name</w:t>
            </w:r>
          </w:p>
        </w:tc>
        <w:tc>
          <w:tcPr>
            <w:tcW w:w="6340" w:type="dxa"/>
            <w:vAlign w:val="bottom"/>
            <w:tcBorders>
              <w:top w:val="single" w:sz="8" w:color="BFBFBF"/>
              <w:bottom w:val="single" w:sz="8" w:color="BFBFBF"/>
            </w:tcBorders>
          </w:tcPr>
          <w:p>
            <w:pPr>
              <w:spacing w:after="0"/>
              <w:rPr>
                <w:sz w:val="20"/>
                <w:szCs w:val="20"/>
                <w:color w:val="auto"/>
              </w:rPr>
            </w:pPr>
            <w:r>
              <w:rPr>
                <w:rFonts w:ascii="Arial" w:cs="Arial" w:eastAsia="Arial" w:hAnsi="Arial"/>
                <w:sz w:val="20"/>
                <w:szCs w:val="20"/>
                <w:b w:val="1"/>
                <w:bCs w:val="1"/>
                <w:color w:val="CE1141"/>
              </w:rPr>
              <w:t>Joe Mongrain</w:t>
            </w:r>
          </w:p>
        </w:tc>
        <w:tc>
          <w:tcPr>
            <w:tcW w:w="220" w:type="dxa"/>
            <w:vAlign w:val="bottom"/>
          </w:tcPr>
          <w:p>
            <w:pPr>
              <w:spacing w:after="0"/>
              <w:rPr>
                <w:sz w:val="22"/>
                <w:szCs w:val="22"/>
                <w:color w:val="auto"/>
              </w:rPr>
            </w:pPr>
          </w:p>
        </w:tc>
      </w:tr>
      <w:tr>
        <w:trPr>
          <w:trHeight w:val="237"/>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Position Title</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Senior Vice President &amp; Chief Human Resources Officer</w:t>
            </w:r>
          </w:p>
        </w:tc>
        <w:tc>
          <w:tcPr>
            <w:tcW w:w="220" w:type="dxa"/>
            <w:vAlign w:val="bottom"/>
          </w:tcPr>
          <w:p>
            <w:pPr>
              <w:spacing w:after="0"/>
              <w:rPr>
                <w:sz w:val="20"/>
                <w:szCs w:val="20"/>
                <w:color w:val="auto"/>
              </w:rPr>
            </w:pPr>
          </w:p>
        </w:tc>
      </w:tr>
      <w:tr>
        <w:trPr>
          <w:trHeight w:val="236"/>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Location</w:t>
            </w:r>
          </w:p>
        </w:tc>
        <w:tc>
          <w:tcPr>
            <w:tcW w:w="6340" w:type="dxa"/>
            <w:vAlign w:val="bottom"/>
            <w:tcBorders>
              <w:bottom w:val="single" w:sz="8" w:color="BFBFBF"/>
            </w:tcBorders>
          </w:tcPr>
          <w:p>
            <w:pPr>
              <w:spacing w:after="0"/>
              <w:rPr>
                <w:sz w:val="20"/>
                <w:szCs w:val="20"/>
                <w:color w:val="auto"/>
              </w:rPr>
            </w:pPr>
          </w:p>
        </w:tc>
        <w:tc>
          <w:tcPr>
            <w:tcW w:w="220" w:type="dxa"/>
            <w:vAlign w:val="bottom"/>
          </w:tcPr>
          <w:p>
            <w:pPr>
              <w:spacing w:after="0"/>
              <w:rPr>
                <w:sz w:val="20"/>
                <w:szCs w:val="20"/>
                <w:color w:val="auto"/>
              </w:rPr>
            </w:pPr>
          </w:p>
        </w:tc>
      </w:tr>
      <w:tr>
        <w:trPr>
          <w:trHeight w:val="430"/>
        </w:trPr>
        <w:tc>
          <w:tcPr>
            <w:tcW w:w="4600" w:type="dxa"/>
            <w:vAlign w:val="bottom"/>
          </w:tcPr>
          <w:p>
            <w:pPr>
              <w:spacing w:after="0"/>
              <w:rPr>
                <w:sz w:val="20"/>
                <w:szCs w:val="20"/>
                <w:color w:val="auto"/>
              </w:rPr>
            </w:pPr>
            <w:r>
              <w:rPr>
                <w:rFonts w:ascii="Arial" w:cs="Arial" w:eastAsia="Arial" w:hAnsi="Arial"/>
                <w:sz w:val="20"/>
                <w:szCs w:val="20"/>
                <w:b w:val="1"/>
                <w:bCs w:val="1"/>
                <w:color w:val="C00000"/>
              </w:rPr>
              <w:t>POINT OF CONTACT</w:t>
            </w:r>
          </w:p>
        </w:tc>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6"/>
        </w:trPr>
        <w:tc>
          <w:tcPr>
            <w:tcW w:w="4600" w:type="dxa"/>
            <w:vAlign w:val="bottom"/>
            <w:tcBorders>
              <w:bottom w:val="single" w:sz="8" w:color="BFBFBF"/>
            </w:tcBorders>
          </w:tcPr>
          <w:p>
            <w:pPr>
              <w:spacing w:after="0"/>
              <w:rPr>
                <w:sz w:val="23"/>
                <w:szCs w:val="23"/>
                <w:color w:val="auto"/>
              </w:rPr>
            </w:pPr>
          </w:p>
        </w:tc>
        <w:tc>
          <w:tcPr>
            <w:tcW w:w="6340" w:type="dxa"/>
            <w:vAlign w:val="bottom"/>
            <w:tcBorders>
              <w:bottom w:val="single" w:sz="8" w:color="BFBFBF"/>
            </w:tcBorders>
          </w:tcPr>
          <w:p>
            <w:pPr>
              <w:spacing w:after="0"/>
              <w:rPr>
                <w:sz w:val="23"/>
                <w:szCs w:val="23"/>
                <w:color w:val="auto"/>
              </w:rPr>
            </w:pPr>
          </w:p>
        </w:tc>
        <w:tc>
          <w:tcPr>
            <w:tcW w:w="220" w:type="dxa"/>
            <w:vAlign w:val="bottom"/>
          </w:tcPr>
          <w:p>
            <w:pPr>
              <w:spacing w:after="0"/>
              <w:rPr>
                <w:sz w:val="23"/>
                <w:szCs w:val="23"/>
                <w:color w:val="auto"/>
              </w:rPr>
            </w:pPr>
          </w:p>
        </w:tc>
      </w:tr>
      <w:tr>
        <w:trPr>
          <w:trHeight w:val="237"/>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President &amp; Chief Executive Officer</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Girish Saligram</w:t>
            </w:r>
          </w:p>
        </w:tc>
        <w:tc>
          <w:tcPr>
            <w:tcW w:w="220" w:type="dxa"/>
            <w:vAlign w:val="bottom"/>
          </w:tcPr>
          <w:p>
            <w:pPr>
              <w:spacing w:after="0"/>
              <w:rPr>
                <w:sz w:val="20"/>
                <w:szCs w:val="20"/>
                <w:color w:val="auto"/>
              </w:rPr>
            </w:pPr>
          </w:p>
        </w:tc>
      </w:tr>
      <w:tr>
        <w:trPr>
          <w:trHeight w:val="236"/>
        </w:trPr>
        <w:tc>
          <w:tcPr>
            <w:tcW w:w="460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Human Resources Matters</w:t>
            </w:r>
          </w:p>
        </w:tc>
        <w:tc>
          <w:tcPr>
            <w:tcW w:w="6340" w:type="dxa"/>
            <w:vAlign w:val="bottom"/>
            <w:tcBorders>
              <w:bottom w:val="single" w:sz="8" w:color="BFBFBF"/>
            </w:tcBorders>
          </w:tcPr>
          <w:p>
            <w:pPr>
              <w:spacing w:after="0"/>
              <w:rPr>
                <w:sz w:val="20"/>
                <w:szCs w:val="20"/>
                <w:color w:val="auto"/>
              </w:rPr>
            </w:pPr>
            <w:r>
              <w:rPr>
                <w:rFonts w:ascii="Arial" w:cs="Arial" w:eastAsia="Arial" w:hAnsi="Arial"/>
                <w:sz w:val="20"/>
                <w:szCs w:val="20"/>
                <w:b w:val="1"/>
                <w:bCs w:val="1"/>
                <w:color w:val="CE1141"/>
              </w:rPr>
              <w:t>Scott Weatherholt</w:t>
            </w:r>
          </w:p>
        </w:tc>
        <w:tc>
          <w:tcPr>
            <w:tcW w:w="220" w:type="dxa"/>
            <w:vAlign w:val="bottom"/>
          </w:tcPr>
          <w:p>
            <w:pPr>
              <w:spacing w:after="0"/>
              <w:rPr>
                <w:sz w:val="20"/>
                <w:szCs w:val="20"/>
                <w:color w:val="auto"/>
              </w:rPr>
            </w:pPr>
          </w:p>
        </w:tc>
      </w:tr>
      <w:tr>
        <w:trPr>
          <w:trHeight w:val="659"/>
        </w:trPr>
        <w:tc>
          <w:tcPr>
            <w:tcW w:w="4600" w:type="dxa"/>
            <w:vAlign w:val="bottom"/>
          </w:tcPr>
          <w:p>
            <w:pPr>
              <w:spacing w:after="0"/>
              <w:rPr>
                <w:sz w:val="20"/>
                <w:szCs w:val="20"/>
                <w:color w:val="auto"/>
              </w:rPr>
            </w:pPr>
            <w:r>
              <w:rPr>
                <w:rFonts w:ascii="Arial" w:cs="Arial" w:eastAsia="Arial" w:hAnsi="Arial"/>
                <w:sz w:val="20"/>
                <w:szCs w:val="20"/>
                <w:b w:val="1"/>
                <w:bCs w:val="1"/>
                <w:color w:val="CE1141"/>
              </w:rPr>
              <w:t>EMPLOYMENT PACKAGE INFORMATION</w:t>
            </w:r>
          </w:p>
        </w:tc>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BASE SALARY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$370,000 ANNUALLY</w:t>
      </w:r>
    </w:p>
    <w:p>
      <w:pPr>
        <w:spacing w:after="0"/>
        <w:rPr>
          <w:sz w:val="20"/>
          <w:szCs w:val="20"/>
          <w:color w:val="auto"/>
        </w:rPr>
      </w:pPr>
      <w:r>
        <w:rPr>
          <w:rFonts w:ascii="Arial" w:cs="Arial" w:eastAsia="Arial" w:hAnsi="Arial"/>
          <w:sz w:val="20"/>
          <w:szCs w:val="20"/>
          <w:color w:val="auto"/>
        </w:rPr>
        <w:t>Your base salary will be paid semi-monthly via the normal payroll cycle.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START DATE</w:t>
      </w:r>
    </w:p>
    <w:p>
      <w:pPr>
        <w:spacing w:after="0" w:line="24"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Your start date will be March 22, 2021, subject to the successful completion of all pre-employment testing and, if applicable, on the obtaining of any necessary immigration documentation required to allow you to work.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ANNUAL SHORT-TERM INCENTIVE PLAN</w:t>
      </w:r>
    </w:p>
    <w:p>
      <w:pPr>
        <w:spacing w:after="0" w:line="235" w:lineRule="auto"/>
        <w:rPr>
          <w:sz w:val="20"/>
          <w:szCs w:val="20"/>
          <w:color w:val="auto"/>
        </w:rPr>
      </w:pPr>
      <w:r>
        <w:rPr>
          <w:rFonts w:ascii="Arial" w:cs="Arial" w:eastAsia="Arial" w:hAnsi="Arial"/>
          <w:sz w:val="20"/>
          <w:szCs w:val="20"/>
          <w:b w:val="1"/>
          <w:bCs w:val="1"/>
          <w:color w:val="CE1141"/>
        </w:rPr>
        <w:t>UP TO 65% “ON TARGET” PARTICIPATION RATE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color w:val="auto"/>
        </w:rPr>
        <w:t>You are eligible to participate in the Weatherford Annual Short-Term Incentive Plan (the “Plan”) applicable to your role. The “on target” participation rate is subject to the rules of the Plan. Depending upon company and personal performance in any given plan year, your maximum potential payout could be up to 200% of the “on target” award. Any incentive payout from the Plan will be prorated for your period of employment, calculated from your hire date. If you join on or after 1 October of a calendar year, you will not be eligible to participate in the Plan for that year. Any payout from the Plan is subject to the company’s and your own personal performance, and you must be employed with Weatherford at the time of the incentive payment in order to be entitled to the same.</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The Plan is non-contractual. The Plan is operated at the discretion of the company and can be changed or removed at any time.</w:t>
      </w:r>
    </w:p>
    <w:p>
      <w:pPr>
        <w:spacing w:after="0"/>
        <w:rPr>
          <w:sz w:val="20"/>
          <w:szCs w:val="20"/>
          <w:color w:val="auto"/>
        </w:rPr>
      </w:pPr>
      <w:r>
        <w:rPr>
          <w:rFonts w:ascii="Arial" w:cs="Arial" w:eastAsia="Arial" w:hAnsi="Arial"/>
          <w:sz w:val="20"/>
          <w:szCs w:val="20"/>
          <w:color w:val="auto"/>
        </w:rPr>
        <w:t>Participation in the Plan in one year does not guarantee participation or a right to participate in future years.</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706120</wp:posOffset>
            </wp:positionV>
            <wp:extent cx="30861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LONG TERM INCENTIVE (LTI)</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 2021 and subsequent years, you are eligible for consideration under Weatherford’s Annual Long-Term Incentive (“LTI”) program or other long-term incentive plans that may be approved by the Board. Your eligibility to receive Awards under the LTI program or any other long-term incentive plan is subject to approval by the Board of Directors of Weatherford International (or a committee thereof) and subject always to the terms and conditions of Weatherford International plc 2019 Equity Incentive Plan, as may be amended from time to time by Weatherford International or any other long term incentive plan that may be adopted by the Board.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You will be granted awards within 30 days of your commencement date in the following amounts:</w:t>
      </w:r>
    </w:p>
    <w:p>
      <w:pPr>
        <w:spacing w:after="0" w:line="229" w:lineRule="exact"/>
        <w:rPr>
          <w:sz w:val="20"/>
          <w:szCs w:val="20"/>
          <w:color w:val="auto"/>
        </w:rPr>
      </w:pPr>
    </w:p>
    <w:p>
      <w:pPr>
        <w:jc w:val="both"/>
        <w:ind w:left="660" w:hanging="328"/>
        <w:spacing w:after="0" w:line="228"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22,565 Performance Share Units (Target Award) – Awards made under the Performance Share Unit (“PSU”) award agreement will cliff vest following a 2-year performance period. The “Performance Period” shall mean the two fiscal-year period commencing on the first day of the fiscal year of the Company in which the Grant Date occurs. The actual number of PSUs that are earned, if any, pursuant to the terms and conditions of the applicable award agreement may differ from the Target Award number and are subject to increase or decrease based on the Company’s actual performance against the performance goals set forth below and may range from 0% to 200% of the target award, rounded to the nearest whole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Performance Goals / Metrics</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[Redacted]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Weighting of Metrics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WEIGHT</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THRESHOLD</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TARGET</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MAXIMUM</w:t>
            </w:r>
          </w:p>
        </w:tc>
      </w:tr>
      <w:tr>
        <w:trPr>
          <w:trHeight w:val="237"/>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EBITDA %</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200%</w:t>
            </w:r>
          </w:p>
        </w:tc>
      </w:tr>
      <w:tr>
        <w:trPr>
          <w:trHeight w:val="236"/>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OCF CONV %</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50%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200%</w:t>
            </w:r>
          </w:p>
        </w:tc>
      </w:tr>
    </w:tbl>
    <w:p>
      <w:pPr>
        <w:spacing w:after="0" w:line="199" w:lineRule="exact"/>
        <w:rPr>
          <w:sz w:val="20"/>
          <w:szCs w:val="20"/>
          <w:color w:val="auto"/>
        </w:rPr>
      </w:pPr>
    </w:p>
    <w:p>
      <w:pPr>
        <w:jc w:val="both"/>
        <w:ind w:left="660" w:right="20" w:hanging="328"/>
        <w:spacing w:after="0" w:line="233"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45,130 RSUs – Awards made under the Restricted Stock Unit (“RSU”) award agreement will vest in equal tranches over a two-year period and will vest one half on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anniversary of the grant date, and the remaining one-half vesting upon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anniversary of the grant date.</w:t>
      </w:r>
    </w:p>
    <w:p>
      <w:pPr>
        <w:spacing w:after="0" w:line="15" w:lineRule="exact"/>
        <w:rPr>
          <w:rFonts w:ascii="Arial" w:cs="Arial" w:eastAsia="Arial" w:hAnsi="Arial"/>
          <w:sz w:val="20"/>
          <w:szCs w:val="20"/>
          <w:color w:val="auto"/>
        </w:rPr>
      </w:pPr>
    </w:p>
    <w:p>
      <w:pPr>
        <w:jc w:val="both"/>
        <w:ind w:left="660" w:hanging="328"/>
        <w:spacing w:after="0" w:line="224"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33,101 Phantom RSUs – Awards made under the Phantom Unit award agreement will track the company’s stock price and will vest in equal installments over a two-year period and vest one half on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anniversary of the grant date, and the remaining one half vesting upon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anniversary of the grant date. Phantom RSUs may settle (i) in cash, (ii) Company shares or (iii) any combination of cash and Company shares, each at the Company’s sole discretion; provided, however, that the maximum cumulative cash payout you will be entitled to receive under the Phantom RSU Award shall be $380,000. Furthermore, any cash settlement will use a 30-day volume weighted average price of the Company’s stock price at each vesting.</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706120</wp:posOffset>
            </wp:positionV>
            <wp:extent cx="30861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awards granted in 2021 will be subject to a 2-year vesting or performance period. Any future grants, annual or otherwise, will be at the discretion of the Board and subject to the terms and conditions of the current or future Long-Term Incentive Program in place. Future grants may have different vesting periods or be subject to performance or other metrics that vary from the awards that you will be granted by way of your acceptance of this offer. The award of any incentive is discretionary, and all awards are subject to approval of the company’s management and to the terms and conditions of the applicable award agreement(s), which shall be consistent with the terms of this letter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ANNUAL LEAVE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25 DAYS PER YEAR</w:t>
      </w:r>
    </w:p>
    <w:p>
      <w:pPr>
        <w:ind w:right="120"/>
        <w:spacing w:after="0" w:line="246" w:lineRule="auto"/>
        <w:rPr>
          <w:sz w:val="20"/>
          <w:szCs w:val="20"/>
          <w:color w:val="auto"/>
        </w:rPr>
      </w:pPr>
      <w:r>
        <w:rPr>
          <w:rFonts w:ascii="Arial" w:cs="Arial" w:eastAsia="Arial" w:hAnsi="Arial"/>
          <w:sz w:val="20"/>
          <w:szCs w:val="20"/>
          <w:color w:val="auto"/>
        </w:rPr>
        <w:t>Entitlement to annual leave will accrue on a calendar year basis and will be pro-rated in the first year of employment in line with your employment start date. The company will provide you with an additional ten (10) Company designated holidays.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BENEFITS PROGRAM</w:t>
      </w:r>
    </w:p>
    <w:p>
      <w:pPr>
        <w:spacing w:after="0" w:line="24" w:lineRule="exact"/>
        <w:rPr>
          <w:sz w:val="20"/>
          <w:szCs w:val="20"/>
          <w:color w:val="auto"/>
        </w:rPr>
      </w:pPr>
    </w:p>
    <w:p>
      <w:pPr>
        <w:ind w:right="760"/>
        <w:spacing w:after="0" w:line="246" w:lineRule="auto"/>
        <w:rPr>
          <w:sz w:val="20"/>
          <w:szCs w:val="20"/>
          <w:color w:val="auto"/>
        </w:rPr>
      </w:pPr>
      <w:r>
        <w:rPr>
          <w:rFonts w:ascii="Arial" w:cs="Arial" w:eastAsia="Arial" w:hAnsi="Arial"/>
          <w:sz w:val="20"/>
          <w:szCs w:val="20"/>
          <w:color w:val="auto"/>
        </w:rPr>
        <w:t>We are pleased to offer you participation in Weatherford’s benefits program on your first day of employment. Please see enclosed Weatherford Benefits Summary.</w:t>
      </w:r>
    </w:p>
    <w:p>
      <w:pPr>
        <w:spacing w:after="0" w:line="231"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You will receive a Welcome Letter from our Benefits Department within 2 to 3 weeks of your start date, providing you with your access ID and instructions to complete your enrollment online. You will have 31 days from date of hire to enroll otherwise your plan will default to the basic single coverage.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this offer of employment, you certify that:</w:t>
      </w:r>
    </w:p>
    <w:p>
      <w:pPr>
        <w:spacing w:after="0" w:line="229" w:lineRule="exact"/>
        <w:rPr>
          <w:sz w:val="20"/>
          <w:szCs w:val="20"/>
          <w:color w:val="auto"/>
        </w:rPr>
      </w:pPr>
    </w:p>
    <w:p>
      <w:pPr>
        <w:jc w:val="both"/>
        <w:ind w:left="660" w:hanging="328"/>
        <w:spacing w:after="0" w:line="232"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You will abide by the terms of any enforceable non-competition agreement you have with your current employer and confirm the fact that you will not bring with you to Weatherford, nor at any time attempt to use, any confidential, non-public information of your current or past employers in the performance of your work for Weatherford.</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This letter does not represent an offer of employment for any specified term. Your employment will be at will, which means that either you or Weatherford may terminate your employment at any time for any reason or no reason whatsoever.</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Please confirm your acceptance of this offer by electronically signing this offer letter below. Upon your acceptance of this offer, you will be contacted to schedule a convenient time and location for the company medical / drug and alcohol test.</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We are excited to have you join us and look forward to working together to make Weatherford a leader in the oilfield service marketplace.</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7031990</wp:posOffset>
            </wp:positionH>
            <wp:positionV relativeFrom="page">
              <wp:posOffset>706120</wp:posOffset>
            </wp:positionV>
            <wp:extent cx="30861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8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Printed Name</w:t>
            </w:r>
          </w:p>
        </w:tc>
        <w:tc>
          <w:tcPr>
            <w:tcW w:w="7060" w:type="dxa"/>
            <w:vAlign w:val="bottom"/>
            <w:tcBorders>
              <w:top w:val="single" w:sz="8" w:color="BFBFBF"/>
              <w:bottom w:val="single" w:sz="8" w:color="BFBFBF"/>
            </w:tcBorders>
          </w:tcPr>
          <w:p>
            <w:pPr>
              <w:ind w:left="20"/>
              <w:spacing w:after="0"/>
              <w:rPr>
                <w:sz w:val="20"/>
                <w:szCs w:val="20"/>
                <w:color w:val="auto"/>
              </w:rPr>
            </w:pPr>
            <w:r>
              <w:rPr>
                <w:rFonts w:ascii="Arial" w:cs="Arial" w:eastAsia="Arial" w:hAnsi="Arial"/>
                <w:sz w:val="20"/>
                <w:szCs w:val="20"/>
                <w:color w:val="auto"/>
              </w:rPr>
              <w:t>Joseph H. Mongrain</w:t>
            </w:r>
          </w:p>
        </w:tc>
      </w:tr>
      <w:tr>
        <w:trPr>
          <w:trHeight w:val="237"/>
        </w:trPr>
        <w:tc>
          <w:tcPr>
            <w:tcW w:w="4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Signature</w:t>
            </w:r>
          </w:p>
        </w:tc>
        <w:tc>
          <w:tcPr>
            <w:tcW w:w="7060" w:type="dxa"/>
            <w:vAlign w:val="bottom"/>
            <w:tcBorders>
              <w:bottom w:val="single" w:sz="8" w:color="BFBFBF"/>
            </w:tcBorders>
          </w:tcPr>
          <w:p>
            <w:pPr>
              <w:ind w:left="20"/>
              <w:spacing w:after="0"/>
              <w:rPr>
                <w:sz w:val="20"/>
                <w:szCs w:val="20"/>
                <w:color w:val="auto"/>
              </w:rPr>
            </w:pPr>
            <w:r>
              <w:rPr>
                <w:rFonts w:ascii="Arial" w:cs="Arial" w:eastAsia="Arial" w:hAnsi="Arial"/>
                <w:sz w:val="20"/>
                <w:szCs w:val="20"/>
                <w:color w:val="auto"/>
              </w:rPr>
              <w:t>/s/ Joseph H. Mongrain</w:t>
            </w:r>
          </w:p>
        </w:tc>
      </w:tr>
      <w:tr>
        <w:trPr>
          <w:trHeight w:val="237"/>
        </w:trPr>
        <w:tc>
          <w:tcPr>
            <w:tcW w:w="4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color w:val="auto"/>
              </w:rPr>
              <w:t>Date</w:t>
            </w:r>
          </w:p>
        </w:tc>
        <w:tc>
          <w:tcPr>
            <w:tcW w:w="7060" w:type="dxa"/>
            <w:vAlign w:val="bottom"/>
            <w:tcBorders>
              <w:bottom w:val="single" w:sz="8" w:color="BFBFBF"/>
            </w:tcBorders>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July 29, 2021</w:t>
      </w:r>
    </w:p>
    <w:p>
      <w:pPr>
        <w:spacing w:after="0" w:line="2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4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July 29, 2021</w:t>
      </w:r>
    </w:p>
    <w:p>
      <w:pPr>
        <w:spacing w:after="0" w:line="29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48895</wp:posOffset>
            </wp:positionV>
            <wp:extent cx="2888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1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7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connection with the quarterly report on Form 10-Q of Weatherford International plc (the "Company") for the period ended June 30, 2021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606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Girishchandra K. Saligram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July 29,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In connection with the quarterly report on Form 10-Q of Weatherford International plc (the "Company") for the period ended June 30, 2021 as filed with the Securities and Exchange Commission on the date hereof (the "Report"), I, H. Keith Jennings,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3"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48895</wp:posOffset>
            </wp:positionV>
            <wp:extent cx="345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 Keith Jennings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July 29,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2021-12-16T14:44:57Z</dcterms:created>
  <dcterms:modified xsi:type="dcterms:W3CDTF">2021-12-16T14:44:57Z</dcterms:modified>
</cp:coreProperties>
</file>