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294640</wp:posOffset>
            </wp:positionH>
            <wp:positionV relativeFrom="page">
              <wp:posOffset>620395</wp:posOffset>
            </wp:positionV>
            <wp:extent cx="6980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0555"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13, 2019</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u w:val="single" w:color="auto"/>
          <w:color w:val="auto"/>
        </w:rPr>
        <w:t>Weatherford International public limited company</w:t>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2"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400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Ireland</w:t>
            </w:r>
          </w:p>
        </w:tc>
        <w:tc>
          <w:tcPr>
            <w:tcW w:w="3240" w:type="dxa"/>
            <w:vAlign w:val="bottom"/>
          </w:tcPr>
          <w:p>
            <w:pPr>
              <w:jc w:val="right"/>
              <w:ind w:right="1210"/>
              <w:spacing w:after="0"/>
              <w:rPr>
                <w:sz w:val="20"/>
                <w:szCs w:val="20"/>
                <w:color w:val="auto"/>
              </w:rPr>
            </w:pPr>
            <w:r>
              <w:rPr>
                <w:rFonts w:ascii="Arial" w:cs="Arial" w:eastAsia="Arial" w:hAnsi="Arial"/>
                <w:sz w:val="18"/>
                <w:szCs w:val="18"/>
                <w:b w:val="1"/>
                <w:bCs w:val="1"/>
                <w:color w:val="auto"/>
              </w:rPr>
              <w:t>001-36504</w:t>
            </w:r>
          </w:p>
        </w:tc>
        <w:tc>
          <w:tcPr>
            <w:tcW w:w="37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37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2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7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7240" w:type="dxa"/>
            <w:vAlign w:val="bottom"/>
            <w:tcBorders>
              <w:bottom w:val="single" w:sz="8" w:color="auto"/>
            </w:tcBorders>
            <w:gridSpan w:val="2"/>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2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(Address of principal executive offices)</w:t>
            </w:r>
          </w:p>
        </w:tc>
        <w:tc>
          <w:tcPr>
            <w:tcW w:w="37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334645</wp:posOffset>
            </wp:positionV>
            <wp:extent cx="6217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7285"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6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7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0"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560" w:type="dxa"/>
            <w:vAlign w:val="bottom"/>
            <w:gridSpan w:val="2"/>
          </w:tcPr>
          <w:p>
            <w:pPr>
              <w:jc w:val="center"/>
              <w:ind w:right="2480"/>
              <w:spacing w:after="0"/>
              <w:rPr>
                <w:sz w:val="20"/>
                <w:szCs w:val="20"/>
                <w:color w:val="auto"/>
              </w:rPr>
            </w:pPr>
            <w:r>
              <w:rPr>
                <w:rFonts w:ascii="Arial" w:cs="Arial" w:eastAsia="Arial" w:hAnsi="Arial"/>
                <w:sz w:val="14"/>
                <w:szCs w:val="14"/>
                <w:b w:val="1"/>
                <w:bCs w:val="1"/>
                <w:color w:val="auto"/>
                <w:w w:val="89"/>
              </w:rPr>
              <w:t>Title of each class</w:t>
            </w:r>
          </w:p>
        </w:tc>
        <w:tc>
          <w:tcPr>
            <w:tcW w:w="24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4"/>
              </w:rPr>
              <w:t>Trading Symbol</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52"/>
        </w:trPr>
        <w:tc>
          <w:tcPr>
            <w:tcW w:w="4280" w:type="dxa"/>
            <w:vAlign w:val="bottom"/>
            <w:gridSpan w:val="3"/>
          </w:tcPr>
          <w:p>
            <w:pPr>
              <w:jc w:val="center"/>
              <w:ind w:right="1740"/>
              <w:spacing w:after="0"/>
              <w:rPr>
                <w:sz w:val="20"/>
                <w:szCs w:val="20"/>
                <w:color w:val="auto"/>
              </w:rPr>
            </w:pPr>
            <w:r>
              <w:rPr>
                <w:rFonts w:ascii="Arial" w:cs="Arial" w:eastAsia="Arial" w:hAnsi="Arial"/>
                <w:sz w:val="14"/>
                <w:szCs w:val="14"/>
                <w:color w:val="auto"/>
                <w:w w:val="91"/>
              </w:rPr>
              <w:t>Ordinary Shares, par value $0.001 per share</w:t>
            </w:r>
          </w:p>
        </w:tc>
        <w:tc>
          <w:tcPr>
            <w:tcW w:w="2400" w:type="dxa"/>
            <w:vAlign w:val="bottom"/>
            <w:gridSpan w:val="2"/>
          </w:tcPr>
          <w:p>
            <w:pPr>
              <w:jc w:val="center"/>
              <w:ind w:right="1400"/>
              <w:spacing w:after="0"/>
              <w:rPr>
                <w:sz w:val="20"/>
                <w:szCs w:val="20"/>
                <w:color w:val="auto"/>
              </w:rPr>
            </w:pPr>
            <w:r>
              <w:rPr>
                <w:rFonts w:ascii="Arial" w:cs="Arial" w:eastAsia="Arial" w:hAnsi="Arial"/>
                <w:sz w:val="14"/>
                <w:szCs w:val="14"/>
                <w:color w:val="auto"/>
              </w:rPr>
              <w:t>WFT</w:t>
            </w:r>
          </w:p>
        </w:tc>
        <w:tc>
          <w:tcPr>
            <w:tcW w:w="26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16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66"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425450</wp:posOffset>
            </wp:positionV>
            <wp:extent cx="6980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ectPr>
          <w:pgSz w:w="11900" w:h="16838" w:orient="portrait"/>
          <w:cols w:equalWidth="0" w:num="1">
            <w:col w:w="11360"/>
          </w:cols>
          <w:pgMar w:left="240" w:top="1066" w:right="2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13, 2019, Weatherford International plc (the “Company”) received a letter from the New York Stock Exchange (the “NYSE”) confirming that the NYSE had suspended trading in the Company’s ordinary shares effective prior to the market open on May 13, 2019, and announcing its intention to commence proceedings to delist the Company’s ordinary shares from the NYSE. The NYSE stated that the Company is no longer suitable for listing based on the Company’s “abnormally low” price levels, pursuant to Section 802.01D of the NYSE Listed Company Manual. The NYSE also stated that, in making its determination, it also considered the Company’s announcement on May 10, 2019 that it had executed a Restructuring Support Agreement (“RSA”) and expects to implement the RSA through a pre-packaged Chapter 11 process. The Company intends to appeal NYSE’s decision to delist the Company’s ordinary shares in accordance with the NYSE rules.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Trading of the Company’s ordinary shares on the OTC Bulletin Board or “pink sheets” market commenced on May 14, 2019 under the symbol “WFTIF.”</w:t>
      </w:r>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140"/>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320" w:type="dxa"/>
            <w:vAlign w:val="bottom"/>
          </w:tcPr>
          <w:p>
            <w:pPr>
              <w:jc w:val="center"/>
              <w:spacing w:after="0"/>
              <w:rPr>
                <w:sz w:val="20"/>
                <w:szCs w:val="20"/>
                <w:color w:val="auto"/>
              </w:rPr>
            </w:pPr>
            <w:r>
              <w:rPr>
                <w:rFonts w:ascii="Arial" w:cs="Arial" w:eastAsia="Arial" w:hAnsi="Arial"/>
                <w:sz w:val="18"/>
                <w:szCs w:val="18"/>
                <w:b w:val="1"/>
                <w:bCs w:val="1"/>
                <w:color w:val="auto"/>
                <w:w w:val="92"/>
              </w:rPr>
              <w:t>Weatherford International plc</w:t>
            </w:r>
          </w:p>
        </w:tc>
        <w:tc>
          <w:tcPr>
            <w:tcW w:w="0" w:type="dxa"/>
            <w:vAlign w:val="bottom"/>
          </w:tcPr>
          <w:p>
            <w:pPr>
              <w:spacing w:after="0"/>
              <w:rPr>
                <w:sz w:val="1"/>
                <w:szCs w:val="1"/>
                <w:color w:val="auto"/>
              </w:rPr>
            </w:pPr>
          </w:p>
        </w:tc>
      </w:tr>
      <w:tr>
        <w:trPr>
          <w:trHeight w:val="284"/>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jc w:val="right"/>
              <w:ind w:right="3050"/>
              <w:spacing w:after="0"/>
              <w:rPr>
                <w:sz w:val="20"/>
                <w:szCs w:val="20"/>
                <w:color w:val="auto"/>
              </w:rPr>
            </w:pPr>
            <w:r>
              <w:rPr>
                <w:rFonts w:ascii="Arial" w:cs="Arial" w:eastAsia="Arial" w:hAnsi="Arial"/>
                <w:sz w:val="18"/>
                <w:szCs w:val="18"/>
                <w:color w:val="auto"/>
              </w:rPr>
              <w:t>May 16, 2019</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60" w:type="dxa"/>
            <w:vAlign w:val="bottom"/>
          </w:tcPr>
          <w:p>
            <w:pPr>
              <w:spacing w:after="0"/>
              <w:rPr>
                <w:sz w:val="24"/>
                <w:szCs w:val="24"/>
                <w:color w:val="auto"/>
              </w:rPr>
            </w:pPr>
          </w:p>
        </w:tc>
        <w:tc>
          <w:tcPr>
            <w:tcW w:w="4340" w:type="dxa"/>
            <w:vAlign w:val="bottom"/>
          </w:tcPr>
          <w:p>
            <w:pPr>
              <w:jc w:val="right"/>
              <w:spacing w:after="0"/>
              <w:rPr>
                <w:sz w:val="20"/>
                <w:szCs w:val="20"/>
                <w:color w:val="auto"/>
              </w:rPr>
            </w:pPr>
            <w:r>
              <w:rPr>
                <w:rFonts w:ascii="Arial" w:cs="Arial" w:eastAsia="Arial" w:hAnsi="Arial"/>
                <w:sz w:val="18"/>
                <w:szCs w:val="18"/>
                <w:color w:val="auto"/>
              </w:rPr>
              <w:t>By:</w:t>
            </w:r>
          </w:p>
        </w:tc>
        <w:tc>
          <w:tcPr>
            <w:tcW w:w="6320" w:type="dxa"/>
            <w:vAlign w:val="bottom"/>
          </w:tcPr>
          <w:p>
            <w:pPr>
              <w:jc w:val="center"/>
              <w:spacing w:after="0"/>
              <w:rPr>
                <w:sz w:val="20"/>
                <w:szCs w:val="20"/>
                <w:color w:val="auto"/>
              </w:rPr>
            </w:pPr>
            <w:r>
              <w:rPr>
                <w:rFonts w:ascii="Arial" w:cs="Arial" w:eastAsia="Arial" w:hAnsi="Arial"/>
                <w:sz w:val="18"/>
                <w:szCs w:val="18"/>
                <w:color w:val="auto"/>
                <w:w w:val="94"/>
              </w:rPr>
              <w:t>/s/ Christina M. Ibrahim</w:t>
            </w: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4340" w:type="dxa"/>
            <w:vAlign w:val="bottom"/>
            <w:vMerge w:val="restart"/>
          </w:tcPr>
          <w:p>
            <w:pPr>
              <w:jc w:val="right"/>
              <w:spacing w:after="0"/>
              <w:rPr>
                <w:sz w:val="20"/>
                <w:szCs w:val="20"/>
                <w:color w:val="auto"/>
              </w:rPr>
            </w:pPr>
            <w:r>
              <w:rPr>
                <w:rFonts w:ascii="Arial" w:cs="Arial" w:eastAsia="Arial" w:hAnsi="Arial"/>
                <w:sz w:val="18"/>
                <w:szCs w:val="18"/>
                <w:color w:val="auto"/>
              </w:rPr>
              <w:t>Name:</w:t>
            </w:r>
          </w:p>
        </w:tc>
        <w:tc>
          <w:tcPr>
            <w:tcW w:w="6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vMerge w:val="continue"/>
          </w:tcPr>
          <w:p>
            <w:pPr>
              <w:spacing w:after="0"/>
              <w:rPr>
                <w:sz w:val="20"/>
                <w:szCs w:val="20"/>
                <w:color w:val="auto"/>
              </w:rPr>
            </w:pPr>
          </w:p>
        </w:tc>
        <w:tc>
          <w:tcPr>
            <w:tcW w:w="6320" w:type="dxa"/>
            <w:vAlign w:val="bottom"/>
          </w:tcPr>
          <w:p>
            <w:pPr>
              <w:ind w:left="2380"/>
              <w:spacing w:after="0"/>
              <w:rPr>
                <w:sz w:val="20"/>
                <w:szCs w:val="20"/>
                <w:color w:val="auto"/>
              </w:rPr>
            </w:pPr>
            <w:r>
              <w:rPr>
                <w:rFonts w:ascii="Arial" w:cs="Arial" w:eastAsia="Arial" w:hAnsi="Arial"/>
                <w:sz w:val="18"/>
                <w:szCs w:val="18"/>
                <w:color w:val="auto"/>
              </w:rPr>
              <w:t>Christina M. Ibrahim</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20"/>
        <w:spacing w:after="0"/>
        <w:tabs>
          <w:tab w:leader="none" w:pos="5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Chief Compliance Officer and Corporate</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360"/>
      </w:cols>
      <w:pgMar w:left="240" w:top="60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2019-12-02T18:47:52Z</dcterms:created>
  <dcterms:modified xsi:type="dcterms:W3CDTF">2019-12-02T18:47:52Z</dcterms:modified>
</cp:coreProperties>
</file>