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48260</wp:posOffset>
            </wp:positionH>
            <wp:positionV relativeFrom="paragraph">
              <wp:posOffset>-220345</wp:posOffset>
            </wp:positionV>
            <wp:extent cx="71691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22, 2018</w:t>
      </w: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u w:val="single" w:color="auto"/>
          <w:color w:val="auto"/>
        </w:rPr>
        <w:t>Weatherford International public limited company</w:t>
      </w:r>
    </w:p>
    <w:p>
      <w:pPr>
        <w:spacing w:after="0" w:line="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63" w:lineRule="exact"/>
        <w:rPr>
          <w:sz w:val="24"/>
          <w:szCs w:val="24"/>
          <w:color w:val="auto"/>
        </w:rPr>
      </w:pPr>
    </w:p>
    <w:tbl>
      <w:tblPr>
        <w:tblLayout w:type="fixed"/>
        <w:tblInd w:w="80" w:type="dxa"/>
        <w:tblCellMar>
          <w:top w:w="0" w:type="dxa"/>
          <w:left w:w="0" w:type="dxa"/>
          <w:bottom w:w="0" w:type="dxa"/>
          <w:right w:w="0" w:type="dxa"/>
        </w:tblCellMar>
      </w:tblPr>
      <w:tr>
        <w:trPr>
          <w:trHeight w:val="238"/>
        </w:trPr>
        <w:tc>
          <w:tcPr>
            <w:tcW w:w="3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Ireland</w:t>
            </w:r>
          </w:p>
        </w:tc>
        <w:tc>
          <w:tcPr>
            <w:tcW w:w="3620" w:type="dxa"/>
            <w:vAlign w:val="bottom"/>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001-36504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98-0606750</w:t>
            </w:r>
          </w:p>
        </w:tc>
      </w:tr>
      <w:tr>
        <w:trPr>
          <w:trHeight w:val="54"/>
        </w:trPr>
        <w:tc>
          <w:tcPr>
            <w:tcW w:w="36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600" w:type="dxa"/>
            <w:vAlign w:val="bottom"/>
            <w:tcBorders>
              <w:bottom w:val="single" w:sz="8" w:color="auto"/>
            </w:tcBorders>
          </w:tcPr>
          <w:p>
            <w:pPr>
              <w:spacing w:after="0"/>
              <w:rPr>
                <w:sz w:val="4"/>
                <w:szCs w:val="4"/>
                <w:color w:val="auto"/>
              </w:rPr>
            </w:pPr>
          </w:p>
        </w:tc>
      </w:tr>
      <w:tr>
        <w:trPr>
          <w:trHeight w:val="237"/>
        </w:trPr>
        <w:tc>
          <w:tcPr>
            <w:tcW w:w="3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8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405"/>
        </w:trPr>
        <w:tc>
          <w:tcPr>
            <w:tcW w:w="768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Weststrasse 1, 6340 Baar, Switzerland</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 6340</w:t>
            </w:r>
          </w:p>
        </w:tc>
      </w:tr>
      <w:tr>
        <w:trPr>
          <w:trHeight w:val="54"/>
        </w:trPr>
        <w:tc>
          <w:tcPr>
            <w:tcW w:w="7460" w:type="dxa"/>
            <w:vAlign w:val="bottom"/>
            <w:tcBorders>
              <w:bottom w:val="single" w:sz="8" w:color="auto"/>
            </w:tcBorders>
            <w:gridSpan w:val="3"/>
          </w:tcPr>
          <w:p>
            <w:pPr>
              <w:spacing w:after="0"/>
              <w:rPr>
                <w:sz w:val="4"/>
                <w:szCs w:val="4"/>
                <w:color w:val="auto"/>
              </w:rPr>
            </w:pPr>
          </w:p>
        </w:tc>
        <w:tc>
          <w:tcPr>
            <w:tcW w:w="220" w:type="dxa"/>
            <w:vAlign w:val="bottom"/>
            <w:gridSpan w:val="2"/>
          </w:tcPr>
          <w:p>
            <w:pPr>
              <w:spacing w:after="0"/>
              <w:rPr>
                <w:sz w:val="4"/>
                <w:szCs w:val="4"/>
                <w:color w:val="auto"/>
              </w:rPr>
            </w:pPr>
          </w:p>
        </w:tc>
        <w:tc>
          <w:tcPr>
            <w:tcW w:w="3600" w:type="dxa"/>
            <w:vAlign w:val="bottom"/>
            <w:tcBorders>
              <w:bottom w:val="single" w:sz="8" w:color="auto"/>
            </w:tcBorders>
          </w:tcPr>
          <w:p>
            <w:pPr>
              <w:spacing w:after="0"/>
              <w:rPr>
                <w:sz w:val="4"/>
                <w:szCs w:val="4"/>
                <w:color w:val="auto"/>
              </w:rPr>
            </w:pPr>
          </w:p>
        </w:tc>
      </w:tr>
      <w:tr>
        <w:trPr>
          <w:trHeight w:val="237"/>
        </w:trPr>
        <w:tc>
          <w:tcPr>
            <w:tcW w:w="768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75"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+41.22.816.1500</w:t>
      </w:r>
    </w:p>
    <w:p>
      <w:pPr>
        <w:spacing w:after="0" w:line="158" w:lineRule="exact"/>
        <w:rPr>
          <w:sz w:val="24"/>
          <w:szCs w:val="24"/>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53975</wp:posOffset>
            </wp:positionV>
            <wp:extent cx="6380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0480" cy="8890"/>
                    </a:xfrm>
                    <a:prstGeom prst="rect">
                      <a:avLst/>
                    </a:prstGeom>
                    <a:noFill/>
                  </pic:spPr>
                </pic:pic>
              </a:graphicData>
            </a:graphic>
          </wp:anchor>
        </w:drawing>
      </w:r>
    </w:p>
    <w:p>
      <w:pPr>
        <w:spacing w:after="0" w:line="88"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52"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8"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340"/>
        <w:spacing w:after="0"/>
        <w:tabs>
          <w:tab w:leader="none" w:pos="24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Times New Roman" w:cs="Times New Roman" w:eastAsia="Times New Roman" w:hAnsi="Times New Roman"/>
          <w:sz w:val="16"/>
          <w:szCs w:val="16"/>
          <w:color w:val="auto"/>
        </w:rPr>
        <w:t>o</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400"/>
          </w:cols>
          <w:pgMar w:left="240" w:top="943" w:right="259" w:bottom="1440" w:gutter="0" w:footer="0" w:header="0"/>
        </w:sectPr>
      </w:pPr>
    </w:p>
    <w:bookmarkStart w:id="1" w:name="page2"/>
    <w:bookmarkEnd w:id="1"/>
    <w:p>
      <w:pPr>
        <w:ind w:left="8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May 22, 2018 at 9:50 a.m., Central Time, Weatherford International plc will present to certain investors at the UBS Global Oil and Gas Conference held in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Austin, Texas. A live audio webcast of the presentation will be available on the UBS website at </w:t>
      </w:r>
      <w:r>
        <w:rPr>
          <w:rFonts w:ascii="Times New Roman" w:cs="Times New Roman" w:eastAsia="Times New Roman" w:hAnsi="Times New Roman"/>
          <w:sz w:val="18"/>
          <w:szCs w:val="18"/>
          <w:u w:val="single" w:color="auto"/>
          <w:color w:val="0000FF"/>
        </w:rPr>
        <w:t>https://cc.talkpoint.com/ubsx001/052218a_as/?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entity=5_J7YOPWL</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on the date of the event. To access the audio webcast click on the UBS link provided. A recording of the UBS conference audio webcast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will be available at </w:t>
      </w:r>
      <w:r>
        <w:rPr>
          <w:rFonts w:ascii="Times New Roman" w:cs="Times New Roman" w:eastAsia="Times New Roman" w:hAnsi="Times New Roman"/>
          <w:sz w:val="17"/>
          <w:szCs w:val="17"/>
          <w:u w:val="single" w:color="auto"/>
          <w:color w:val="0000FF"/>
        </w:rPr>
        <w:t>www.weatherford.com</w:t>
      </w:r>
      <w:r>
        <w:rPr>
          <w:rFonts w:ascii="Times New Roman" w:cs="Times New Roman" w:eastAsia="Times New Roman" w:hAnsi="Times New Roman"/>
          <w:sz w:val="17"/>
          <w:szCs w:val="17"/>
          <w:color w:val="auto"/>
        </w:rPr>
        <w:t xml:space="preserve"> in Investor Relations section of the website shortly after the conference ends. To access the conference presentation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replay, click on the Investor Relations Presentations link and then click on the webcast link.</w:t>
      </w:r>
    </w:p>
    <w:p>
      <w:pPr>
        <w:spacing w:after="0" w:line="200" w:lineRule="exact"/>
        <w:rPr>
          <w:sz w:val="20"/>
          <w:szCs w:val="20"/>
          <w:color w:val="auto"/>
        </w:rPr>
      </w:pPr>
    </w:p>
    <w:p>
      <w:pPr>
        <w:spacing w:after="0" w:line="214" w:lineRule="exact"/>
        <w:rPr>
          <w:sz w:val="20"/>
          <w:szCs w:val="20"/>
          <w:color w:val="auto"/>
        </w:rPr>
      </w:pPr>
    </w:p>
    <w:p>
      <w:pPr>
        <w:ind w:right="120"/>
        <w:spacing w:after="0" w:line="376" w:lineRule="auto"/>
        <w:rPr>
          <w:sz w:val="20"/>
          <w:szCs w:val="20"/>
          <w:color w:val="auto"/>
        </w:rPr>
      </w:pPr>
      <w:r>
        <w:rPr>
          <w:rFonts w:ascii="Times New Roman" w:cs="Times New Roman" w:eastAsia="Times New Roman" w:hAnsi="Times New Roman"/>
          <w:sz w:val="18"/>
          <w:szCs w:val="18"/>
          <w:color w:val="auto"/>
        </w:rPr>
        <w:t>The information provided pursuant to this Item 7.01 is “furnished” and shall not be deemed to be “filed” with the Securities and Exchange Commission or incorporated by reference in any filing under the Securities Exchange Act of 1934, as amended, or the Securities Act of 1933, as amended, except as shall be expressly set forth by specific reference in any such filings.</w:t>
      </w:r>
    </w:p>
    <w:p>
      <w:pPr>
        <w:sectPr>
          <w:pgSz w:w="11900" w:h="16838" w:orient="portrait"/>
          <w:cols w:equalWidth="0" w:num="1">
            <w:col w:w="11420"/>
          </w:cols>
          <w:pgMar w:left="240" w:top="914" w:right="239"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2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May 22, 2018</w:t>
      </w:r>
    </w:p>
    <w:p>
      <w:pPr>
        <w:spacing w:after="0" w:line="6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By: /s/ Christina M. Ibrahim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34290</wp:posOffset>
            </wp:positionV>
            <wp:extent cx="44850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485005" cy="8890"/>
                    </a:xfrm>
                    <a:prstGeom prst="rect">
                      <a:avLst/>
                    </a:prstGeom>
                    <a:noFill/>
                  </pic:spPr>
                </pic:pic>
              </a:graphicData>
            </a:graphic>
          </wp:anchor>
        </w:drawing>
      </w:r>
    </w:p>
    <w:p>
      <w:pPr>
        <w:spacing w:after="0" w:line="5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Name: Christina M. Ibrahim</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Title: Executive Vice President, General Counsel, Chief Compliance Officer and Corporate Secretary</w:t>
      </w:r>
    </w:p>
    <w:sectPr>
      <w:pgSz w:w="11900" w:h="16838" w:orient="portrait"/>
      <w:cols w:equalWidth="0" w:num="1">
        <w:col w:w="11240"/>
      </w:cols>
      <w:pgMar w:left="240" w:top="603"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2019-12-08T10:47:46Z</dcterms:created>
  <dcterms:modified xsi:type="dcterms:W3CDTF">2019-12-08T10:47:46Z</dcterms:modified>
</cp:coreProperties>
</file>