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G48833100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4 PAGES</w:t>
      </w:r>
    </w:p>
    <w:p>
      <w:pPr>
        <w:sectPr>
          <w:pgSz w:w="11900" w:h="16838" w:orient="portrait"/>
          <w:cols w:equalWidth="0" w:num="1">
            <w:col w:w="11360"/>
          </w:cols>
          <w:pgMar w:left="240" w:top="51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5440" w:type="dxa"/>
            <w:vAlign w:val="bottom"/>
            <w:gridSpan w:val="3"/>
          </w:tcPr>
          <w:p>
            <w:pPr>
              <w:spacing w:after="0"/>
              <w:rPr>
                <w:sz w:val="20"/>
                <w:szCs w:val="20"/>
                <w:color w:val="auto"/>
              </w:rPr>
            </w:pPr>
            <w:r>
              <w:rPr>
                <w:rFonts w:ascii="Arial" w:cs="Arial" w:eastAsia="Arial" w:hAnsi="Arial"/>
                <w:sz w:val="18"/>
                <w:szCs w:val="18"/>
                <w:color w:val="auto"/>
              </w:rPr>
              <w:t>CUSIP NO. G48833100</w:t>
            </w:r>
          </w:p>
        </w:tc>
        <w:tc>
          <w:tcPr>
            <w:tcW w:w="6000" w:type="dxa"/>
            <w:vAlign w:val="bottom"/>
          </w:tcPr>
          <w:p>
            <w:pPr>
              <w:ind w:left="4380"/>
              <w:spacing w:after="0"/>
              <w:rPr>
                <w:sz w:val="20"/>
                <w:szCs w:val="20"/>
                <w:color w:val="auto"/>
              </w:rPr>
            </w:pPr>
            <w:r>
              <w:rPr>
                <w:rFonts w:ascii="Arial" w:cs="Arial" w:eastAsia="Arial" w:hAnsi="Arial"/>
                <w:sz w:val="18"/>
                <w:szCs w:val="18"/>
                <w:color w:val="auto"/>
                <w:w w:val="90"/>
              </w:rPr>
              <w:t>PAGE 2 OF 4 PAGES</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w:t>
            </w:r>
          </w:p>
        </w:tc>
        <w:tc>
          <w:tcPr>
            <w:tcW w:w="4880" w:type="dxa"/>
            <w:vAlign w:val="bottom"/>
          </w:tcPr>
          <w:p>
            <w:pPr>
              <w:ind w:left="220"/>
              <w:spacing w:after="0" w:line="195" w:lineRule="exact"/>
              <w:rPr>
                <w:sz w:val="20"/>
                <w:szCs w:val="20"/>
                <w:color w:val="auto"/>
              </w:rPr>
            </w:pPr>
            <w:r>
              <w:rPr>
                <w:rFonts w:ascii="Arial" w:cs="Arial" w:eastAsia="Arial" w:hAnsi="Arial"/>
                <w:sz w:val="18"/>
                <w:szCs w:val="18"/>
                <w:color w:val="auto"/>
              </w:rPr>
              <w:t>NAME OF REPORTING PERSON</w:t>
            </w:r>
          </w:p>
        </w:tc>
        <w:tc>
          <w:tcPr>
            <w:tcW w:w="6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w w:val="96"/>
              </w:rPr>
              <w:t>S.S. OR I.R.S. IDENTIFICATION NO. OF ABOVE PERSON</w:t>
            </w:r>
          </w:p>
        </w:tc>
        <w:tc>
          <w:tcPr>
            <w:tcW w:w="6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-282575</wp:posOffset>
            </wp:positionV>
            <wp:extent cx="8890" cy="5685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6857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8890" cy="5685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6857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-282575</wp:posOffset>
            </wp:positionV>
            <wp:extent cx="8890" cy="1981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98120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Dodge &amp; Cox</w:t>
            </w:r>
          </w:p>
        </w:tc>
        <w:tc>
          <w:tcPr>
            <w:tcW w:w="8400" w:type="dxa"/>
            <w:vAlign w:val="bottom"/>
            <w:tcBorders>
              <w:bottom w:val="single" w:sz="8" w:color="auto"/>
            </w:tcBorders>
          </w:tcPr>
          <w:p>
            <w:pPr>
              <w:jc w:val="right"/>
              <w:ind w:right="7221"/>
              <w:spacing w:after="0"/>
              <w:rPr>
                <w:sz w:val="20"/>
                <w:szCs w:val="20"/>
                <w:color w:val="auto"/>
              </w:rPr>
            </w:pPr>
            <w:r>
              <w:rPr>
                <w:rFonts w:ascii="Arial" w:cs="Arial" w:eastAsia="Arial" w:hAnsi="Arial"/>
                <w:sz w:val="22"/>
                <w:szCs w:val="22"/>
                <w:color w:val="auto"/>
                <w:w w:val="90"/>
              </w:rPr>
              <w:t>94-1441976</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5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N/A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3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8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California - U.S.A.</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7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w w:val="90"/>
              </w:rPr>
              <w:t>80,920,671</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7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15"/>
                <w:szCs w:val="15"/>
                <w:color w:val="auto"/>
              </w:rPr>
            </w:pPr>
          </w:p>
        </w:tc>
        <w:tc>
          <w:tcPr>
            <w:tcW w:w="200" w:type="dxa"/>
            <w:vAlign w:val="bottom"/>
            <w:tcBorders>
              <w:right w:val="single" w:sz="8" w:color="auto"/>
            </w:tcBorders>
            <w:vMerge w:val="continue"/>
          </w:tcPr>
          <w:p>
            <w:pPr>
              <w:spacing w:after="0"/>
              <w:rPr>
                <w:sz w:val="15"/>
                <w:szCs w:val="15"/>
                <w:color w:val="auto"/>
              </w:rPr>
            </w:pPr>
          </w:p>
        </w:tc>
        <w:tc>
          <w:tcPr>
            <w:tcW w:w="9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340" w:type="dxa"/>
            <w:vAlign w:val="bottom"/>
          </w:tcPr>
          <w:p>
            <w:pPr>
              <w:spacing w:after="0"/>
              <w:rPr>
                <w:sz w:val="3"/>
                <w:szCs w:val="3"/>
                <w:color w:val="auto"/>
              </w:rPr>
            </w:pPr>
          </w:p>
        </w:tc>
        <w:tc>
          <w:tcPr>
            <w:tcW w:w="8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42"/>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Pr>
          <w:p>
            <w:pPr>
              <w:spacing w:after="0"/>
              <w:rPr>
                <w:sz w:val="15"/>
                <w:szCs w:val="15"/>
                <w:color w:val="auto"/>
              </w:rPr>
            </w:pPr>
          </w:p>
        </w:tc>
        <w:tc>
          <w:tcPr>
            <w:tcW w:w="2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4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142"/>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340" w:type="dxa"/>
            <w:vAlign w:val="bottom"/>
          </w:tcPr>
          <w:p>
            <w:pPr>
              <w:ind w:left="320"/>
              <w:spacing w:after="0" w:line="244" w:lineRule="exact"/>
              <w:rPr>
                <w:sz w:val="20"/>
                <w:szCs w:val="20"/>
                <w:color w:val="auto"/>
              </w:rPr>
            </w:pPr>
            <w:r>
              <w:rPr>
                <w:rFonts w:ascii="Arial" w:cs="Arial" w:eastAsia="Arial" w:hAnsi="Arial"/>
                <w:sz w:val="22"/>
                <w:szCs w:val="22"/>
                <w:color w:val="auto"/>
                <w:w w:val="90"/>
              </w:rPr>
              <w:t>83,371,421</w:t>
            </w: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7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right w:val="single" w:sz="8" w:color="auto"/>
            </w:tcBorders>
            <w:vMerge w:val="continue"/>
          </w:tcPr>
          <w:p>
            <w:pPr>
              <w:spacing w:after="0"/>
              <w:rPr>
                <w:sz w:val="7"/>
                <w:szCs w:val="7"/>
                <w:color w:val="auto"/>
              </w:rPr>
            </w:pPr>
          </w:p>
        </w:tc>
        <w:tc>
          <w:tcPr>
            <w:tcW w:w="9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w w:val="77"/>
              </w:rPr>
              <w:t>AGGREGATE</w:t>
            </w:r>
          </w:p>
        </w:tc>
        <w:tc>
          <w:tcPr>
            <w:tcW w:w="9740" w:type="dxa"/>
            <w:vAlign w:val="bottom"/>
            <w:gridSpan w:val="2"/>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83,371,421</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N/A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5"/>
              </w:rPr>
              <w:t>8.5%</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0" w:type="dxa"/>
            <w:vAlign w:val="bottom"/>
          </w:tcPr>
          <w:p>
            <w:pPr>
              <w:jc w:val="right"/>
              <w:ind w:right="4821"/>
              <w:spacing w:after="0"/>
              <w:rPr>
                <w:sz w:val="20"/>
                <w:szCs w:val="20"/>
                <w:color w:val="auto"/>
              </w:rPr>
            </w:pPr>
            <w:r>
              <w:rPr>
                <w:rFonts w:ascii="Arial" w:cs="Arial" w:eastAsia="Arial" w:hAnsi="Arial"/>
                <w:sz w:val="18"/>
                <w:szCs w:val="18"/>
                <w:color w:val="auto"/>
              </w:rPr>
              <w:t>PAGE 2 OF 4 PAGES</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Weatherford International public limited company</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Bahnhofstrasse 1</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Baar CH 6340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Switzerland</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Dodge &amp; Cox</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the Principal Office or, if none, Residence</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555 California Street, 40th Floor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 94104</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u w:val="single" w:color="auto"/>
          <w:color w:val="auto"/>
        </w:rPr>
        <w:t>Citizenship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California - U.S.A.</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u w:val="single" w:color="auto"/>
          <w:color w:val="auto"/>
        </w:rPr>
        <w:t>Title of Class of Securities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Ordinary Shares</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u w:val="single" w:color="auto"/>
          <w:color w:val="auto"/>
        </w:rPr>
        <w:t>CUSIP Number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G48833100</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the Statement is being filed pursuant to Rule 13d-1(b), or 13d-2(b), check whether the person filing is a</w:t>
      </w:r>
      <w:r>
        <w:rPr>
          <w:rFonts w:ascii="Arial" w:cs="Arial" w:eastAsia="Arial" w:hAnsi="Arial"/>
          <w:sz w:val="16"/>
          <w:szCs w:val="16"/>
          <w:color w:val="auto"/>
        </w:rPr>
        <w:t>:</w:t>
      </w:r>
    </w:p>
    <w:p>
      <w:pPr>
        <w:spacing w:after="0" w:line="98" w:lineRule="exact"/>
        <w:rPr>
          <w:sz w:val="20"/>
          <w:szCs w:val="20"/>
          <w:color w:val="auto"/>
        </w:rPr>
      </w:pPr>
    </w:p>
    <w:p>
      <w:pPr>
        <w:ind w:left="1480" w:hanging="567"/>
        <w:spacing w:after="0" w:line="196" w:lineRule="exact"/>
        <w:tabs>
          <w:tab w:leader="none" w:pos="1480" w:val="left"/>
        </w:tabs>
        <w:numPr>
          <w:ilvl w:val="0"/>
          <w:numId w:val="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Advisor registered under section 203 of the Investment Advisors Act of 1940</w:t>
      </w: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131" w:lineRule="exact"/>
        <w:rPr>
          <w:sz w:val="20"/>
          <w:szCs w:val="20"/>
          <w:color w:val="auto"/>
        </w:rPr>
      </w:pPr>
    </w:p>
    <w:p>
      <w:pPr>
        <w:ind w:left="1500" w:right="6619" w:hanging="587"/>
        <w:spacing w:after="0" w:line="383"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83,371,421</w:t>
      </w:r>
    </w:p>
    <w:p>
      <w:pPr>
        <w:spacing w:after="0" w:line="1" w:lineRule="exact"/>
        <w:rPr>
          <w:rFonts w:ascii="Arial" w:cs="Arial" w:eastAsia="Arial" w:hAnsi="Arial"/>
          <w:sz w:val="18"/>
          <w:szCs w:val="18"/>
          <w:color w:val="auto"/>
        </w:rPr>
      </w:pPr>
    </w:p>
    <w:p>
      <w:pPr>
        <w:ind w:left="1500" w:right="7519" w:hanging="587"/>
        <w:spacing w:after="0" w:line="399"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8.5%</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10219"/>
          </w:cols>
          <w:pgMar w:left="240" w:top="274" w:right="1440" w:bottom="1440" w:gutter="0" w:footer="0" w:header="0"/>
        </w:sectPr>
      </w:pPr>
    </w:p>
    <w:bookmarkStart w:id="3" w:name="page4"/>
    <w:bookmarkEnd w:id="3"/>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r>
        <w:rPr>
          <w:rFonts w:ascii="Arial" w:cs="Arial" w:eastAsia="Arial" w:hAnsi="Arial"/>
          <w:sz w:val="18"/>
          <w:szCs w:val="18"/>
          <w:color w:val="auto"/>
        </w:rPr>
        <w:t>:</w:t>
      </w:r>
    </w:p>
    <w:p>
      <w:pPr>
        <w:spacing w:after="0" w:line="131"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80,920,671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83,371,421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117"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The clients of Dodge &amp; Cox, including investment companies registered under the Investment Company Act of 1940 and other managed accounts, have the right to receive or power to direct the receipt of dividends from, and the proceeds from the sale of, Weatherford International public limited company.</w:t>
      </w:r>
    </w:p>
    <w:p>
      <w:pPr>
        <w:spacing w:after="0" w:line="33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117" w:lineRule="exact"/>
        <w:rPr>
          <w:sz w:val="20"/>
          <w:szCs w:val="20"/>
          <w:color w:val="auto"/>
        </w:rPr>
      </w:pPr>
    </w:p>
    <w:p>
      <w:pPr>
        <w:ind w:left="920" w:right="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 MISTELE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Thomas M. Mistele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&amp; Senior Counsel</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2019-12-07T23:15:29Z</dcterms:created>
  <dcterms:modified xsi:type="dcterms:W3CDTF">2019-12-07T23:15:29Z</dcterms:modified>
</cp:coreProperties>
</file>