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903605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140"/>
        <w:spacing w:after="0"/>
        <w:tabs>
          <w:tab w:leader="none" w:pos="518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ectPr>
          <w:pgSz w:w="11900" w:h="16838" w:orient="portrait"/>
          <w:cols w:equalWidth="0" w:num="1">
            <w:col w:w="11240"/>
          </w:cols>
          <w:pgMar w:left="320" w:top="1427" w:right="339" w:bottom="1440" w:gutter="0" w:footer="0" w:header="0"/>
        </w:sectPr>
      </w:pPr>
    </w:p>
    <w:p>
      <w:pPr>
        <w:spacing w:after="0" w:line="8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or</w:t>
      </w:r>
    </w:p>
    <w:p>
      <w:pPr>
        <w:spacing w:after="0" w:line="23" w:lineRule="exact"/>
        <w:rPr>
          <w:sz w:val="24"/>
          <w:szCs w:val="24"/>
          <w:color w:val="auto"/>
        </w:rPr>
      </w:pPr>
    </w:p>
    <w:p>
      <w:pPr>
        <w:sectPr>
          <w:pgSz w:w="11900" w:h="16838" w:orient="portrait"/>
          <w:cols w:equalWidth="0" w:num="2">
            <w:col w:w="2700" w:space="720"/>
            <w:col w:w="7820"/>
          </w:cols>
          <w:pgMar w:left="320" w:top="1427" w:right="339" w:bottom="1440" w:gutter="0" w:footer="0" w:header="0"/>
          <w:type w:val="continuous"/>
        </w:sect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7"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7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spacing w:after="0" w:line="5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7" w:lineRule="exact"/>
        <w:rPr>
          <w:sz w:val="24"/>
          <w:szCs w:val="24"/>
          <w:color w:val="auto"/>
        </w:rPr>
      </w:pPr>
    </w:p>
    <w:tbl>
      <w:tblPr>
        <w:tblLayout w:type="fixed"/>
        <w:tblInd w:w="200" w:type="dxa"/>
        <w:tblCellMar>
          <w:top w:w="0" w:type="dxa"/>
          <w:left w:w="0" w:type="dxa"/>
          <w:bottom w:w="0" w:type="dxa"/>
          <w:right w:w="0" w:type="dxa"/>
        </w:tblCellMar>
      </w:tblPr>
      <w:tr>
        <w:trPr>
          <w:trHeight w:val="238"/>
        </w:trPr>
        <w:tc>
          <w:tcPr>
            <w:tcW w:w="7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62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6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1"/>
        </w:trPr>
        <w:tc>
          <w:tcPr>
            <w:tcW w:w="72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6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6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19685</wp:posOffset>
            </wp:positionV>
            <wp:extent cx="6266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23"/>
          <w:szCs w:val="23"/>
          <w:color w:val="auto"/>
          <w:vertAlign w:val="superscript"/>
        </w:rPr>
        <w:t>(1)</w:t>
      </w:r>
    </w:p>
    <w:p>
      <w:pPr>
        <w:spacing w:after="0" w:line="83" w:lineRule="exact"/>
        <w:rPr>
          <w:sz w:val="24"/>
          <w:szCs w:val="24"/>
          <w:color w:val="auto"/>
        </w:rPr>
      </w:pPr>
    </w:p>
    <w:p>
      <w:pPr>
        <w:ind w:left="1360"/>
        <w:spacing w:after="0"/>
        <w:tabs>
          <w:tab w:leader="none" w:pos="4540" w:val="left"/>
          <w:tab w:leader="none" w:pos="71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6969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35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1934 during the preceding 12 months (or for such shorter period that the registrant was required to file such reports), and (2) has been subject to such filing</w:t>
      </w:r>
    </w:p>
    <w:p>
      <w:pPr>
        <w:spacing w:after="0" w:line="4" w:lineRule="exact"/>
        <w:rPr>
          <w:sz w:val="24"/>
          <w:szCs w:val="24"/>
          <w:color w:val="auto"/>
        </w:rPr>
      </w:pPr>
    </w:p>
    <w:p>
      <w:pPr>
        <w:spacing w:after="0" w:line="207" w:lineRule="exact"/>
        <w:tabs>
          <w:tab w:leader="none" w:pos="342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6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000" w:type="dxa"/>
        <w:tblCellMar>
          <w:top w:w="0" w:type="dxa"/>
          <w:left w:w="0" w:type="dxa"/>
          <w:bottom w:w="0" w:type="dxa"/>
          <w:right w:w="0" w:type="dxa"/>
        </w:tblCellMar>
      </w:tblP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56"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tabs>
          <w:tab w:leader="none" w:pos="88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21, 2020, there were 70,017,356 Weatherford ordinary shares, $0.001 par value per share, outstanding.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6" w:lineRule="exact"/>
        <w:rPr>
          <w:sz w:val="24"/>
          <w:szCs w:val="24"/>
          <w:color w:val="auto"/>
        </w:rPr>
      </w:pPr>
    </w:p>
    <w:p>
      <w:pPr>
        <w:ind w:right="120" w:firstLine="8"/>
        <w:spacing w:after="0" w:line="225" w:lineRule="auto"/>
        <w:tabs>
          <w:tab w:leader="none" w:pos="61"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On April 17, 2020, the New York Stock Exchange (the “NYSE”) filed a Form 25 (the “Form 25”) with the Securities and Exchange Commission.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Form 10-Q for the Third Quarter and Nine Months Ended September 30,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14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8700" w:type="dxa"/>
            <w:vAlign w:val="bottom"/>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 – FINANCIAL INFORMATION</w:t>
              </w:r>
            </w:hyperlink>
          </w:p>
        </w:tc>
        <w:tc>
          <w:tcPr>
            <w:tcW w:w="2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7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 Financial Statements.</w:t>
              </w:r>
            </w:hyperlink>
          </w:p>
        </w:tc>
        <w:tc>
          <w:tcPr>
            <w:tcW w:w="2520" w:type="dxa"/>
            <w:vAlign w:val="bottom"/>
          </w:tcPr>
          <w:p>
            <w:pPr>
              <w:jc w:val="center"/>
              <w:ind w:left="117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9"/>
                <w:szCs w:val="19"/>
                <w:color w:val="auto"/>
              </w:rPr>
            </w:pPr>
          </w:p>
        </w:tc>
      </w:tr>
      <w:tr>
        <w:trPr>
          <w:trHeight w:val="229"/>
        </w:trPr>
        <w:tc>
          <w:tcPr>
            <w:tcW w:w="870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2520" w:type="dxa"/>
            <w:vAlign w:val="bottom"/>
            <w:shd w:val="clear" w:color="auto" w:fill="CCEEFF"/>
          </w:tcPr>
          <w:p>
            <w:pPr>
              <w:jc w:val="center"/>
              <w:ind w:left="1170"/>
              <w:spacing w:after="0"/>
              <w:rPr>
                <w:rFonts w:ascii="Times New Roman" w:cs="Times New Roman" w:eastAsia="Times New Roman" w:hAnsi="Times New Roman"/>
                <w:sz w:val="18"/>
                <w:szCs w:val="18"/>
                <w:u w:val="single" w:color="auto"/>
                <w:color w:val="0000FF"/>
                <w:w w:val="99"/>
              </w:rPr>
            </w:pPr>
            <w:hyperlink w:anchor="page21">
              <w:r>
                <w:rPr>
                  <w:rFonts w:ascii="Times New Roman" w:cs="Times New Roman" w:eastAsia="Times New Roman" w:hAnsi="Times New Roman"/>
                  <w:sz w:val="18"/>
                  <w:szCs w:val="18"/>
                  <w:u w:val="single" w:color="auto"/>
                  <w:color w:val="0000FF"/>
                  <w:w w:val="99"/>
                </w:rPr>
                <w:t>21</w:t>
              </w:r>
            </w:hyperlink>
          </w:p>
        </w:tc>
        <w:tc>
          <w:tcPr>
            <w:tcW w:w="20" w:type="dxa"/>
            <w:vAlign w:val="bottom"/>
          </w:tcPr>
          <w:p>
            <w:pPr>
              <w:spacing w:after="0"/>
              <w:rPr>
                <w:sz w:val="19"/>
                <w:szCs w:val="19"/>
                <w:color w:val="auto"/>
              </w:rPr>
            </w:pPr>
          </w:p>
        </w:tc>
      </w:tr>
      <w:tr>
        <w:trPr>
          <w:trHeight w:val="230"/>
        </w:trPr>
        <w:tc>
          <w:tcPr>
            <w:tcW w:w="87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2520" w:type="dxa"/>
            <w:vAlign w:val="bottom"/>
          </w:tcPr>
          <w:p>
            <w:pPr>
              <w:jc w:val="center"/>
              <w:ind w:left="1170"/>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33</w:t>
              </w:r>
            </w:hyperlink>
          </w:p>
        </w:tc>
        <w:tc>
          <w:tcPr>
            <w:tcW w:w="20" w:type="dxa"/>
            <w:vAlign w:val="bottom"/>
          </w:tcPr>
          <w:p>
            <w:pPr>
              <w:spacing w:after="0"/>
              <w:rPr>
                <w:sz w:val="19"/>
                <w:szCs w:val="19"/>
                <w:color w:val="auto"/>
              </w:rPr>
            </w:pPr>
          </w:p>
        </w:tc>
      </w:tr>
      <w:tr>
        <w:trPr>
          <w:trHeight w:val="229"/>
        </w:trPr>
        <w:tc>
          <w:tcPr>
            <w:tcW w:w="870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4. Controls and Procedures.</w:t>
              </w:r>
            </w:hyperlink>
          </w:p>
        </w:tc>
        <w:tc>
          <w:tcPr>
            <w:tcW w:w="2520" w:type="dxa"/>
            <w:vAlign w:val="bottom"/>
            <w:shd w:val="clear" w:color="auto" w:fill="CCEEFF"/>
          </w:tcPr>
          <w:p>
            <w:pPr>
              <w:jc w:val="center"/>
              <w:ind w:left="1170"/>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33</w:t>
              </w:r>
            </w:hyperlink>
          </w:p>
        </w:tc>
        <w:tc>
          <w:tcPr>
            <w:tcW w:w="20" w:type="dxa"/>
            <w:vAlign w:val="bottom"/>
          </w:tcPr>
          <w:p>
            <w:pPr>
              <w:spacing w:after="0"/>
              <w:rPr>
                <w:sz w:val="19"/>
                <w:szCs w:val="19"/>
                <w:color w:val="auto"/>
              </w:rPr>
            </w:pPr>
          </w:p>
        </w:tc>
      </w:tr>
      <w:tr>
        <w:trPr>
          <w:trHeight w:val="257"/>
        </w:trPr>
        <w:tc>
          <w:tcPr>
            <w:tcW w:w="8700" w:type="dxa"/>
            <w:vAlign w:val="bottom"/>
            <w:gridSpan w:val="2"/>
          </w:tcPr>
          <w:p>
            <w:pPr>
              <w:spacing w:after="0"/>
              <w:rPr>
                <w:sz w:val="22"/>
                <w:szCs w:val="22"/>
                <w:color w:val="auto"/>
              </w:rPr>
            </w:pPr>
          </w:p>
        </w:tc>
        <w:tc>
          <w:tcPr>
            <w:tcW w:w="2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8700" w:type="dxa"/>
            <w:vAlign w:val="bottom"/>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FF"/>
              </w:rPr>
            </w:pPr>
            <w:hyperlink w:anchor="page34">
              <w:r>
                <w:rPr>
                  <w:rFonts w:ascii="Times New Roman" w:cs="Times New Roman" w:eastAsia="Times New Roman" w:hAnsi="Times New Roman"/>
                  <w:sz w:val="18"/>
                  <w:szCs w:val="18"/>
                  <w:b w:val="1"/>
                  <w:bCs w:val="1"/>
                  <w:u w:val="single" w:color="auto"/>
                  <w:color w:val="0000FF"/>
                </w:rPr>
                <w:t>PART II – OTHER INFORMATION</w:t>
              </w:r>
            </w:hyperlink>
          </w:p>
        </w:tc>
        <w:tc>
          <w:tcPr>
            <w:tcW w:w="2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7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1. Legal Proceedings.</w:t>
              </w:r>
            </w:hyperlink>
          </w:p>
        </w:tc>
        <w:tc>
          <w:tcPr>
            <w:tcW w:w="2520" w:type="dxa"/>
            <w:vAlign w:val="bottom"/>
          </w:tcPr>
          <w:p>
            <w:pPr>
              <w:jc w:val="center"/>
              <w:ind w:left="1170"/>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33</w:t>
              </w:r>
            </w:hyperlink>
          </w:p>
        </w:tc>
        <w:tc>
          <w:tcPr>
            <w:tcW w:w="20" w:type="dxa"/>
            <w:vAlign w:val="bottom"/>
          </w:tcPr>
          <w:p>
            <w:pPr>
              <w:spacing w:after="0"/>
              <w:rPr>
                <w:sz w:val="19"/>
                <w:szCs w:val="19"/>
                <w:color w:val="auto"/>
              </w:rPr>
            </w:pPr>
          </w:p>
        </w:tc>
      </w:tr>
      <w:tr>
        <w:trPr>
          <w:trHeight w:val="229"/>
        </w:trPr>
        <w:tc>
          <w:tcPr>
            <w:tcW w:w="8700" w:type="dxa"/>
            <w:vAlign w:val="bottom"/>
            <w:gridSpan w:val="2"/>
            <w:shd w:val="clear" w:color="auto" w:fill="CCEEFF"/>
          </w:tcPr>
          <w:p>
            <w:pPr>
              <w:ind w:lef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0000FF"/>
                </w:rPr>
                <w:t>.</w:t>
              </w:r>
            </w:hyperlink>
          </w:p>
        </w:tc>
        <w:tc>
          <w:tcPr>
            <w:tcW w:w="2520" w:type="dxa"/>
            <w:vAlign w:val="bottom"/>
            <w:shd w:val="clear" w:color="auto" w:fill="CCEEFF"/>
          </w:tcPr>
          <w:p>
            <w:pPr>
              <w:jc w:val="center"/>
              <w:ind w:left="1170"/>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33</w:t>
              </w:r>
            </w:hyperlink>
          </w:p>
        </w:tc>
        <w:tc>
          <w:tcPr>
            <w:tcW w:w="20" w:type="dxa"/>
            <w:vAlign w:val="bottom"/>
          </w:tcPr>
          <w:p>
            <w:pPr>
              <w:spacing w:after="0"/>
              <w:rPr>
                <w:sz w:val="19"/>
                <w:szCs w:val="19"/>
                <w:color w:val="auto"/>
              </w:rPr>
            </w:pPr>
          </w:p>
        </w:tc>
      </w:tr>
      <w:tr>
        <w:trPr>
          <w:trHeight w:val="229"/>
        </w:trPr>
        <w:tc>
          <w:tcPr>
            <w:tcW w:w="87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2520" w:type="dxa"/>
            <w:vAlign w:val="bottom"/>
          </w:tcPr>
          <w:p>
            <w:pPr>
              <w:jc w:val="center"/>
              <w:ind w:left="1170"/>
              <w:spacing w:after="0"/>
              <w:rPr>
                <w:rFonts w:ascii="Times New Roman" w:cs="Times New Roman" w:eastAsia="Times New Roman" w:hAnsi="Times New Roman"/>
                <w:sz w:val="18"/>
                <w:szCs w:val="18"/>
                <w:u w:val="single" w:color="auto"/>
                <w:color w:val="0000FF"/>
                <w:w w:val="99"/>
              </w:rPr>
            </w:pPr>
            <w:hyperlink w:anchor="page34">
              <w:r>
                <w:rPr>
                  <w:rFonts w:ascii="Times New Roman" w:cs="Times New Roman" w:eastAsia="Times New Roman" w:hAnsi="Times New Roman"/>
                  <w:sz w:val="18"/>
                  <w:szCs w:val="18"/>
                  <w:u w:val="single" w:color="auto"/>
                  <w:color w:val="0000FF"/>
                  <w:w w:val="99"/>
                </w:rPr>
                <w:t>34</w:t>
              </w:r>
            </w:hyperlink>
          </w:p>
        </w:tc>
        <w:tc>
          <w:tcPr>
            <w:tcW w:w="20" w:type="dxa"/>
            <w:vAlign w:val="bottom"/>
          </w:tcPr>
          <w:p>
            <w:pPr>
              <w:spacing w:after="0"/>
              <w:rPr>
                <w:sz w:val="19"/>
                <w:szCs w:val="19"/>
                <w:color w:val="auto"/>
              </w:rPr>
            </w:pPr>
          </w:p>
        </w:tc>
      </w:tr>
      <w:tr>
        <w:trPr>
          <w:trHeight w:val="230"/>
        </w:trPr>
        <w:tc>
          <w:tcPr>
            <w:tcW w:w="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3.</w:t>
              </w:r>
            </w:hyperlink>
          </w:p>
        </w:tc>
        <w:tc>
          <w:tcPr>
            <w:tcW w:w="81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Defaults Upon Senior Securities.</w:t>
              </w:r>
            </w:hyperlink>
          </w:p>
        </w:tc>
        <w:tc>
          <w:tcPr>
            <w:tcW w:w="2520" w:type="dxa"/>
            <w:vAlign w:val="bottom"/>
            <w:shd w:val="clear" w:color="auto" w:fill="CCEEFF"/>
          </w:tcPr>
          <w:p>
            <w:pPr>
              <w:jc w:val="center"/>
              <w:ind w:left="1170"/>
              <w:spacing w:after="0"/>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34</w:t>
              </w:r>
            </w:hyperlink>
          </w:p>
        </w:tc>
        <w:tc>
          <w:tcPr>
            <w:tcW w:w="20" w:type="dxa"/>
            <w:vAlign w:val="bottom"/>
          </w:tcPr>
          <w:p>
            <w:pPr>
              <w:spacing w:after="0"/>
              <w:rPr>
                <w:sz w:val="19"/>
                <w:szCs w:val="19"/>
                <w:color w:val="auto"/>
              </w:rPr>
            </w:pPr>
          </w:p>
        </w:tc>
      </w:tr>
      <w:tr>
        <w:trPr>
          <w:trHeight w:val="229"/>
        </w:trPr>
        <w:tc>
          <w:tcPr>
            <w:tcW w:w="560" w:type="dxa"/>
            <w:vAlign w:val="bottom"/>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4.</w:t>
              </w:r>
            </w:hyperlink>
          </w:p>
        </w:tc>
        <w:tc>
          <w:tcPr>
            <w:tcW w:w="8140" w:type="dxa"/>
            <w:vAlign w:val="bottom"/>
          </w:tcPr>
          <w:p>
            <w:pPr>
              <w:ind w:left="2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u w:val="single" w:color="auto"/>
                  <w:color w:val="0000FF"/>
                </w:rPr>
                <w:t>Mine Safety Disclosures</w:t>
              </w:r>
            </w:hyperlink>
            <w:r>
              <w:rPr>
                <w:rFonts w:ascii="Times New Roman" w:cs="Times New Roman" w:eastAsia="Times New Roman" w:hAnsi="Times New Roman"/>
                <w:sz w:val="18"/>
                <w:szCs w:val="18"/>
                <w:color w:val="000000"/>
              </w:rPr>
              <w:t>.</w:t>
            </w:r>
          </w:p>
        </w:tc>
        <w:tc>
          <w:tcPr>
            <w:tcW w:w="2520" w:type="dxa"/>
            <w:vAlign w:val="bottom"/>
          </w:tcPr>
          <w:p>
            <w:pPr>
              <w:jc w:val="center"/>
              <w:ind w:left="1170"/>
              <w:spacing w:after="0"/>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34</w:t>
              </w:r>
            </w:hyperlink>
          </w:p>
        </w:tc>
        <w:tc>
          <w:tcPr>
            <w:tcW w:w="20" w:type="dxa"/>
            <w:vAlign w:val="bottom"/>
          </w:tcPr>
          <w:p>
            <w:pPr>
              <w:spacing w:after="0"/>
              <w:rPr>
                <w:sz w:val="19"/>
                <w:szCs w:val="19"/>
                <w:color w:val="auto"/>
              </w:rPr>
            </w:pPr>
          </w:p>
        </w:tc>
      </w:tr>
      <w:tr>
        <w:trPr>
          <w:trHeight w:val="230"/>
        </w:trPr>
        <w:tc>
          <w:tcPr>
            <w:tcW w:w="56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5.</w:t>
              </w:r>
            </w:hyperlink>
          </w:p>
        </w:tc>
        <w:tc>
          <w:tcPr>
            <w:tcW w:w="814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Other Information.</w:t>
              </w:r>
            </w:hyperlink>
          </w:p>
        </w:tc>
        <w:tc>
          <w:tcPr>
            <w:tcW w:w="2520" w:type="dxa"/>
            <w:vAlign w:val="bottom"/>
            <w:shd w:val="clear" w:color="auto" w:fill="CCEEFF"/>
          </w:tcPr>
          <w:p>
            <w:pPr>
              <w:jc w:val="center"/>
              <w:ind w:left="1170"/>
              <w:spacing w:after="0"/>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34</w:t>
              </w:r>
            </w:hyperlink>
          </w:p>
        </w:tc>
        <w:tc>
          <w:tcPr>
            <w:tcW w:w="20" w:type="dxa"/>
            <w:vAlign w:val="bottom"/>
          </w:tcPr>
          <w:p>
            <w:pPr>
              <w:spacing w:after="0"/>
              <w:rPr>
                <w:sz w:val="19"/>
                <w:szCs w:val="19"/>
                <w:color w:val="auto"/>
              </w:rPr>
            </w:pPr>
          </w:p>
        </w:tc>
      </w:tr>
      <w:tr>
        <w:trPr>
          <w:trHeight w:val="229"/>
        </w:trPr>
        <w:tc>
          <w:tcPr>
            <w:tcW w:w="560" w:type="dxa"/>
            <w:vAlign w:val="bottom"/>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Item 6.</w:t>
              </w:r>
            </w:hyperlink>
          </w:p>
        </w:tc>
        <w:tc>
          <w:tcPr>
            <w:tcW w:w="8140" w:type="dxa"/>
            <w:vAlign w:val="bottom"/>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Exhibits.</w:t>
              </w:r>
            </w:hyperlink>
          </w:p>
        </w:tc>
        <w:tc>
          <w:tcPr>
            <w:tcW w:w="2520" w:type="dxa"/>
            <w:vAlign w:val="bottom"/>
          </w:tcPr>
          <w:p>
            <w:pPr>
              <w:jc w:val="center"/>
              <w:ind w:left="1170"/>
              <w:spacing w:after="0"/>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34</w:t>
              </w:r>
            </w:hyperlink>
          </w:p>
        </w:tc>
        <w:tc>
          <w:tcPr>
            <w:tcW w:w="20" w:type="dxa"/>
            <w:vAlign w:val="bottom"/>
          </w:tcPr>
          <w:p>
            <w:pPr>
              <w:spacing w:after="0"/>
              <w:rPr>
                <w:sz w:val="19"/>
                <w:szCs w:val="19"/>
                <w:color w:val="auto"/>
              </w:rPr>
            </w:pPr>
          </w:p>
        </w:tc>
      </w:tr>
      <w:tr>
        <w:trPr>
          <w:trHeight w:val="229"/>
        </w:trPr>
        <w:tc>
          <w:tcPr>
            <w:tcW w:w="8700" w:type="dxa"/>
            <w:vAlign w:val="bottom"/>
            <w:gridSpan w:val="2"/>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SIGNATURES</w:t>
              </w:r>
            </w:hyperlink>
          </w:p>
        </w:tc>
        <w:tc>
          <w:tcPr>
            <w:tcW w:w="2520" w:type="dxa"/>
            <w:vAlign w:val="bottom"/>
            <w:shd w:val="clear" w:color="auto" w:fill="CCEEFF"/>
          </w:tcPr>
          <w:p>
            <w:pPr>
              <w:jc w:val="center"/>
              <w:ind w:left="1170"/>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36</w:t>
              </w:r>
            </w:hyperlink>
          </w:p>
        </w:tc>
        <w:tc>
          <w:tcPr>
            <w:tcW w:w="20" w:type="dxa"/>
            <w:vAlign w:val="bottom"/>
          </w:tcPr>
          <w:p>
            <w:pPr>
              <w:spacing w:after="0"/>
              <w:rPr>
                <w:sz w:val="19"/>
                <w:szCs w:val="19"/>
                <w:color w:val="auto"/>
              </w:rPr>
            </w:pPr>
          </w:p>
        </w:tc>
      </w:tr>
      <w:tr>
        <w:trPr>
          <w:trHeight w:val="891"/>
        </w:trPr>
        <w:tc>
          <w:tcPr>
            <w:tcW w:w="560" w:type="dxa"/>
            <w:vAlign w:val="bottom"/>
          </w:tcPr>
          <w:p>
            <w:pPr>
              <w:spacing w:after="0"/>
              <w:rPr>
                <w:sz w:val="24"/>
                <w:szCs w:val="24"/>
                <w:color w:val="auto"/>
              </w:rPr>
            </w:pPr>
          </w:p>
        </w:tc>
        <w:tc>
          <w:tcPr>
            <w:tcW w:w="814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1</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1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180" w:type="dxa"/>
            <w:vAlign w:val="bottom"/>
          </w:tcPr>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4180" w:type="dxa"/>
            <w:vAlign w:val="bottom"/>
          </w:tcPr>
          <w:p>
            <w:pPr>
              <w:spacing w:after="0"/>
              <w:rPr>
                <w:sz w:val="24"/>
                <w:szCs w:val="24"/>
                <w:color w:val="auto"/>
              </w:rPr>
            </w:pPr>
          </w:p>
        </w:tc>
        <w:tc>
          <w:tcPr>
            <w:tcW w:w="3920" w:type="dxa"/>
            <w:vAlign w:val="bottom"/>
            <w:gridSpan w:val="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 xml:space="preserve">PART I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FINANCIAL INFORMATION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7"/>
        </w:trPr>
        <w:tc>
          <w:tcPr>
            <w:tcW w:w="9780" w:type="dxa"/>
            <w:vAlign w:val="bottom"/>
            <w:gridSpan w:val="15"/>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 AND SUBSIDIARIES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80" w:type="dxa"/>
            <w:vAlign w:val="bottom"/>
            <w:gridSpan w:val="15"/>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10"/>
                <w:szCs w:val="10"/>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w:t>
            </w: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except per share amounts)</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29"/>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710</w:t>
            </w:r>
          </w:p>
        </w:tc>
        <w:tc>
          <w:tcPr>
            <w:tcW w:w="0" w:type="dxa"/>
            <w:vAlign w:val="bottom"/>
          </w:tcPr>
          <w:p>
            <w:pPr>
              <w:spacing w:after="0"/>
              <w:rPr>
                <w:sz w:val="1"/>
                <w:szCs w:val="1"/>
                <w:color w:val="auto"/>
              </w:rPr>
            </w:pPr>
          </w:p>
        </w:tc>
      </w:tr>
      <w:tr>
        <w:trPr>
          <w:trHeight w:val="229"/>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Long-lived Asset Impairments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2C2C2C"/>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399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730</w:t>
            </w:r>
          </w:p>
        </w:tc>
        <w:tc>
          <w:tcPr>
            <w:tcW w:w="0" w:type="dxa"/>
            <w:vAlign w:val="bottom"/>
          </w:tcPr>
          <w:p>
            <w:pPr>
              <w:spacing w:after="0"/>
              <w:rPr>
                <w:sz w:val="1"/>
                <w:szCs w:val="1"/>
                <w:color w:val="auto"/>
              </w:rPr>
            </w:pPr>
          </w:p>
        </w:tc>
      </w:tr>
      <w:tr>
        <w:trPr>
          <w:trHeight w:val="23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 Charges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2C2C2C"/>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Facility and Severance</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53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Charges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Prepetition Charges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Operational Assets Sale</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Loss on Sale of Businesses, Net</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(Unrecognized Contractual Interest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Expense was $133 million for three and nine months ended</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Reorganization Items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(8)</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(18)</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Loss per Share</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&amp; Diluted Weighted Average Shares Outstanding</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460" w:type="dxa"/>
            <w:vAlign w:val="bottom"/>
          </w:tcPr>
          <w:p>
            <w:pPr>
              <w:ind w:left="3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5"/>
        </w:trPr>
        <w:tc>
          <w:tcPr>
            <w:tcW w:w="9720" w:type="dxa"/>
            <w:vAlign w:val="bottom"/>
            <w:gridSpan w:val="14"/>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720" w:type="dxa"/>
            <w:vAlign w:val="bottom"/>
            <w:gridSpan w:val="14"/>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10"/>
                <w:szCs w:val="10"/>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21"/>
        </w:trPr>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29"/>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Rate Derivative Loss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Weatherford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472"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940" w:type="dxa"/>
            <w:vAlign w:val="bottom"/>
          </w:tcPr>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5"/>
        </w:trPr>
        <w:tc>
          <w:tcPr>
            <w:tcW w:w="958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76"/>
        </w:trPr>
        <w:tc>
          <w:tcPr>
            <w:tcW w:w="7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$31 at September 30, 2020 and $0 at</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176"/>
        </w:trPr>
        <w:tc>
          <w:tcPr>
            <w:tcW w:w="7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$284 at September 30, 2020 and $25 at</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75"/>
        </w:trPr>
        <w:tc>
          <w:tcPr>
            <w:tcW w:w="7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Intangible Assets, Net of Accumulated Amortization of $133 at September 30, 2020 and $9 at December</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30"/>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31, 2019</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Ordinary Shares - Par Value $0.001; Authorized 1,356 shares, Issued and Outstanding 70 shares at</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2020 and December 31, 2019</w:t>
            </w:r>
          </w:p>
        </w:tc>
        <w:tc>
          <w:tcPr>
            <w:tcW w:w="2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30"/>
        </w:trPr>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Shareholders’ Equity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460" w:type="dxa"/>
            <w:vAlign w:val="bottom"/>
          </w:tcPr>
          <w:p>
            <w:pPr>
              <w:ind w:left="3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3"/>
        </w:trPr>
        <w:tc>
          <w:tcPr>
            <w:tcW w:w="9500" w:type="dxa"/>
            <w:vAlign w:val="bottom"/>
            <w:gridSpan w:val="6"/>
          </w:tcPr>
          <w:p>
            <w:pPr>
              <w:ind w:left="31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500" w:type="dxa"/>
            <w:vAlign w:val="bottom"/>
            <w:gridSpan w:val="6"/>
          </w:tcPr>
          <w:p>
            <w:pPr>
              <w:ind w:left="2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60" w:type="dxa"/>
            <w:vAlign w:val="bottom"/>
          </w:tcPr>
          <w:p>
            <w:pPr>
              <w:spacing w:after="0"/>
              <w:rPr>
                <w:sz w:val="18"/>
                <w:szCs w:val="18"/>
                <w:color w:val="auto"/>
              </w:rPr>
            </w:pPr>
          </w:p>
        </w:tc>
        <w:tc>
          <w:tcPr>
            <w:tcW w:w="1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6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0" w:type="dxa"/>
            <w:vAlign w:val="bottom"/>
          </w:tcPr>
          <w:p>
            <w:pPr>
              <w:spacing w:after="0"/>
              <w:rPr>
                <w:sz w:val="1"/>
                <w:szCs w:val="1"/>
                <w:color w:val="auto"/>
              </w:rPr>
            </w:pPr>
          </w:p>
        </w:tc>
      </w:tr>
      <w:tr>
        <w:trPr>
          <w:trHeight w:val="208"/>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Reorganization Items (Non-Cash)</w:t>
            </w: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Reorganization Items (Debtor in Possession Financing and Backstop Agreement)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on Sale Businesses, Net</w:t>
            </w: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Payments of Deferred Consideration on the Acquisition of Equity Investment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Disposition of Businesses, Net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Bond Maturities</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Repayments of Short-term Debt, Net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Borrowings (Repayments) of Debtor in Possession Credit Agreement, Net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Debtor in Possession Financing Fees and Payments on Backstop Agreement</w:t>
            </w: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6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472" w:right="359" w:bottom="1440" w:gutter="0" w:footer="0" w:header="0"/>
        </w:sectPr>
      </w:pPr>
    </w:p>
    <w:bookmarkStart w:id="6" w:name="page7"/>
    <w:bookmarkEnd w:id="6"/>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or “Weatherford”) have been prepared in accordance with generally accepted accounting principles in the United States of America (“U.S. GAAP”) and pursuant to the rules and regulations of the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2019 (“2019 Annual Report”).</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2019 Annual Report for the discussion on our significant accounting policies. Certain reclassifications of the financial statements and accompanying footnotes for the three and nine months ended September 30, 2019 have been made to conform to the presentation for the three and nine months ended September 30, 2020.</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described in “Note 1 – Summary of Significant Accounting Policies”, “Note 2 – Emergence from Chapter 11 Bankruptcy Proceedings”, and “Note 3 – Fresh Start Accounting” of our Consolidated Financial Statements from our 2019 Annual Report, we filed voluntary petitions for bankruptcy on July 1, 2019, then emerged from bankruptcy on December 13, 2019 and adopted fresh-start accounting upon emergence. References to “Predecessor” herein relate to the Condensed Consolidated Statements of Operations of the Company prior to the emergence from bankruptcy on December 13, 2019. References to “Successor” herein relate to the Condensed Consolidated Balance Sheets of the reorganized Company as of September 30, 2020 and December 31, 2019 and the Condensed Consolidated Statements of Operations for the three and nine months ended September 30, 2020 (“Successor Period”) and are not comparable to the Condensed Consolidated Financial Statements of the Predecessor Periods for the three and nine months ended September 30, 2019 (“Predecessor Period”), as indicated by the “black line” division in the financials and footnote tables, which emphasizes the lack of comparability between amounts presented. Our financial results for future periods will be different from historical trends and the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Accounts Receivable Factoring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Our factoring transactions in the Successor Periods and Predecessor Periods were recognized as sales, and the proceeds are included as operating cash flows in our Condensed Consolidated Statements of Cash Flows. The loss on sale of accounts receivable sold was immaterial for all Successor Periods and Predecessor Periods. The following table presents accounts receivable sold and cash proceeds from the sale of accounts receivable.</w:t>
      </w:r>
    </w:p>
    <w:p>
      <w:pPr>
        <w:sectPr>
          <w:pgSz w:w="11900" w:h="16838" w:orient="portrait"/>
          <w:cols w:equalWidth="0" w:num="1">
            <w:col w:w="11240"/>
          </w:cols>
          <w:pgMar w:left="320" w:top="472" w:right="339" w:bottom="144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69"/>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21"/>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9/30/2020</w:t>
            </w:r>
          </w:p>
        </w:tc>
      </w:tr>
      <w:tr>
        <w:trPr>
          <w:trHeight w:val="21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Proceeds from Sale of Accounts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4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3. Inventories, Net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85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69"/>
        </w:trPr>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1"/>
        </w:trPr>
        <w:tc>
          <w:tcPr>
            <w:tcW w:w="14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9/30/2020</w:t>
            </w:r>
          </w:p>
        </w:tc>
      </w:tr>
      <w:tr>
        <w:trPr>
          <w:trHeight w:val="21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233"/>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9" w:lineRule="exact"/>
        <w:rPr>
          <w:sz w:val="20"/>
          <w:szCs w:val="20"/>
          <w:color w:val="auto"/>
        </w:rPr>
      </w:pPr>
    </w:p>
    <w:p>
      <w:pPr>
        <w:ind w:left="193"/>
        <w:spacing w:after="0"/>
        <w:rPr>
          <w:sz w:val="20"/>
          <w:szCs w:val="20"/>
          <w:color w:val="auto"/>
        </w:rPr>
      </w:pPr>
      <w:r>
        <w:rPr>
          <w:rFonts w:ascii="Times New Roman" w:cs="Times New Roman" w:eastAsia="Times New Roman" w:hAnsi="Times New Roman"/>
          <w:sz w:val="18"/>
          <w:szCs w:val="18"/>
          <w:b w:val="1"/>
          <w:bCs w:val="1"/>
          <w:color w:val="auto"/>
        </w:rPr>
        <w:t>Nine Months</w:t>
      </w:r>
    </w:p>
    <w:p>
      <w:pPr>
        <w:jc w:val="center"/>
        <w:ind w:right="27"/>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b w:val="1"/>
          <w:bCs w:val="1"/>
          <w:color w:val="auto"/>
        </w:rPr>
        <w:t>9/30/2019</w:t>
      </w:r>
    </w:p>
    <w:p>
      <w:pPr>
        <w:spacing w:after="0" w:line="31" w:lineRule="exact"/>
        <w:rPr>
          <w:sz w:val="20"/>
          <w:szCs w:val="20"/>
          <w:color w:val="auto"/>
        </w:rPr>
      </w:pPr>
    </w:p>
    <w:p>
      <w:pPr>
        <w:ind w:left="1073" w:hanging="1073"/>
        <w:spacing w:after="0"/>
        <w:tabs>
          <w:tab w:leader="none" w:pos="10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199</w:t>
      </w:r>
    </w:p>
    <w:p>
      <w:pPr>
        <w:spacing w:after="0" w:line="38" w:lineRule="exact"/>
        <w:rPr>
          <w:rFonts w:ascii="Times New Roman" w:cs="Times New Roman" w:eastAsia="Times New Roman" w:hAnsi="Times New Roman"/>
          <w:sz w:val="17"/>
          <w:szCs w:val="17"/>
          <w:color w:val="auto"/>
        </w:rPr>
      </w:pPr>
    </w:p>
    <w:p>
      <w:pPr>
        <w:ind w:left="1073" w:hanging="1073"/>
        <w:spacing w:after="0"/>
        <w:tabs>
          <w:tab w:leader="none" w:pos="10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186</w:t>
      </w:r>
    </w:p>
    <w:p>
      <w:pPr>
        <w:spacing w:after="0" w:line="774" w:lineRule="exact"/>
        <w:rPr>
          <w:sz w:val="20"/>
          <w:szCs w:val="20"/>
          <w:color w:val="auto"/>
        </w:rPr>
      </w:pPr>
    </w:p>
    <w:p>
      <w:pPr>
        <w:sectPr>
          <w:pgSz w:w="11900" w:h="16838" w:orient="portrait"/>
          <w:cols w:equalWidth="0" w:num="3">
            <w:col w:w="6260" w:space="220"/>
            <w:col w:w="3120" w:space="227"/>
            <w:col w:w="1413"/>
          </w:cols>
          <w:pgMar w:left="320" w:top="472"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net of reserves of $106 million and $0 as of September 30, 2020 and December 31, 2019, respectively by category were as follows: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12/31/2019</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6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2020, we recognized inventory charges and write-downs of $134 million primarily for excess and obsolete inventory as a result of the decline in oil and gas commodity demand, the downturn in the oil and gas industry and the impact of COVID-19 pandemic. These inventory charges are included in “Inventory Charges” on the accompanying Condensed Consolidated Statements of Operations for the nine months ended September 30,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Acquisitions and Divestitures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did not have any acquisitions of businesses in the three and nine months ended September 30, 2020 or 2019. We paid $12 million in March 2020 and an additional $12 million in April 2020 as final settlement of the deferred consideration associated with our acquisition of the remaining 50% equity interest in our Qatari joint venture, which took place in the first quarter of 2018.</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did not have any significant dispositions of businesses in the three and nine months ended September 30, 2020. In the second quarter of 2019 we completed the sale of our reservoir solutions and our surface data logging businesses for an aggregate sale price of $256 million and recognized a net gain of approximately $117 million and divested a carrying amount of $95 million in net assets.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2019, we received the remaining gross proceeds of $72 million to complete the final closings pursuant to the purchase and sale agreements entered into with ADES International Holding Ltd. in July of 2018 to sell our land drilling rig operations in Algeria, Kuwait and Saudi Arabia for an aggregate purchase price of $288 million. The loss on the sale of land drilling rigs operations recognized in the first quarter of 2019 was $6 million and the divested carrying amount of net assets was $66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8" w:name="page9"/>
    <w:bookmarkEnd w:id="8"/>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 Long-lived Asset Impairments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recognize any long-lived asset impairments in the third quarter ended September 30, 2020.</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unprecedented global economic and industry conditions resulting from the decline in demand and impact from the COVID-19 pandemic were identified as impairment indicators. As a result, we performed interim impairment assessments as of March 31, 2020, and as of June 30, 2020, of our property, plant and equipment, definite-lived intangible assets, goodwill and right of use assets with the assistance of third-party valuation advisors. Based on our impairment test, we determined the carrying amount of certain long-lived assets exceeded their respective fair values and recognized $818 million of long-lived asset impairments in “Long-lived Asset Impairments” on the accompanying Condensed Consolidated Statements of Operations during the nine months ended September 30, 2020.</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our long-lived assets were determined using discounted cash flow or Level 3 fair value analyses. The unobservable inputs to the income approach included the estimated discounted future cash flows by asset group, specifically the forecasted revenue, forecasted operating margins, and discount rate assumptions used to determine the fair value of certain asset groups.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details the Successor long-lived asset impairments by asset and segment recognized for the nine months ended September 30, 2020.</w:t>
      </w:r>
    </w:p>
    <w:p>
      <w:pPr>
        <w:spacing w:after="0" w:line="144"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 September 30, 2020</w:t>
            </w: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Pr>
          <w:p>
            <w:pPr>
              <w:spacing w:after="0"/>
              <w:rPr>
                <w:sz w:val="14"/>
                <w:szCs w:val="14"/>
                <w:color w:val="auto"/>
              </w:rPr>
            </w:pPr>
          </w:p>
        </w:tc>
        <w:tc>
          <w:tcPr>
            <w:tcW w:w="112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Western</w:t>
            </w:r>
          </w:p>
        </w:tc>
        <w:tc>
          <w:tcPr>
            <w:tcW w:w="180" w:type="dxa"/>
            <w:vAlign w:val="bottom"/>
          </w:tcPr>
          <w:p>
            <w:pPr>
              <w:spacing w:after="0"/>
              <w:rPr>
                <w:sz w:val="14"/>
                <w:szCs w:val="14"/>
                <w:color w:val="auto"/>
              </w:rPr>
            </w:pPr>
          </w:p>
        </w:tc>
        <w:tc>
          <w:tcPr>
            <w:tcW w:w="11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Eastern</w:t>
            </w:r>
          </w:p>
        </w:tc>
        <w:tc>
          <w:tcPr>
            <w:tcW w:w="320" w:type="dxa"/>
            <w:vAlign w:val="bottom"/>
          </w:tcPr>
          <w:p>
            <w:pPr>
              <w:spacing w:after="0"/>
              <w:rPr>
                <w:sz w:val="14"/>
                <w:szCs w:val="14"/>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Hemisphere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Hemisphere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no Predecessor long-lived asset impairments in the third quarter of 2019 and $20 million of Predecessor long-lived asset impairments for the nine months ended September 30, 2019. The impairments in 2019 were related to our Western Hemisphere segment totaling $13 million and Eastern Hemisphere totaling $7 million.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impairment indicators discussed in “Note 5 - Long-Lived Asset Impairments” triggered interim quantitative goodwill assessments as of March 31, 2020 and June 30, 2020. Our quantitative goodwill impairment assessments were based on a discounted cash flow analysis and a multiples-based market approach for comparable companies in our industry, a Level 3 fair value analysis. The analysis included significant judgments, including estimated future cash flows by reporting unit, specifically forecasted revenue, forecasted operating margins, discount rates and forecasted capital expenditures used to determine the fair value of the reporting units. As a result, we fully impaired our goodwill in the Russia and Middle East &amp; North Africa (“MENA”) reporting units as of the second quarter ended June 30, 2020.</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by reporting segment for the nine months ended September 30, 2020, are presented in the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Western Hemisphere</w:t>
            </w:r>
          </w:p>
        </w:tc>
        <w:tc>
          <w:tcPr>
            <w:tcW w:w="20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Eastern Hemisphere</w:t>
            </w:r>
          </w:p>
        </w:tc>
        <w:tc>
          <w:tcPr>
            <w:tcW w:w="500" w:type="dxa"/>
            <w:vAlign w:val="bottom"/>
          </w:tcPr>
          <w:p>
            <w:pPr>
              <w:spacing w:after="0"/>
              <w:rPr>
                <w:sz w:val="20"/>
                <w:szCs w:val="20"/>
                <w:color w:val="auto"/>
              </w:rPr>
            </w:pPr>
          </w:p>
        </w:tc>
        <w:tc>
          <w:tcPr>
            <w:tcW w:w="16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19"/>
                <w:szCs w:val="19"/>
                <w:color w:val="auto"/>
              </w:rPr>
            </w:pPr>
          </w:p>
        </w:tc>
        <w:tc>
          <w:tcPr>
            <w:tcW w:w="21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2019, the Predecessor goodwill impairment tests indicated that goodwill was impaired and as a result the Predecessor incurred a charge of $399 million and $730 million, respectively. The Predecessor impairment indicators were a result of lower activity levels and lower exploration and production capital spending that resulted in a decline in drilling activity and forecasted growth in the North America, Asia and MENA reporting units.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definite-lived intangible assets, net of accumulated amortization, were as follows:</w:t>
      </w:r>
    </w:p>
    <w:p>
      <w:pPr>
        <w:spacing w:after="0" w:line="140"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12/31/2019</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478</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841</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did not recognize any impairment of intangible assets in the Successor three months ended September 30, 2020. For the Successor nine months ended September 30, 2020, based on our impairment tests in the first and second quarters of 2020, we recognized impairments of $159 million of our developed and acquired technology.</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expense was $38 million and $124 million for the Successor three and nine months ended September 30, 2020, respectively, and $17 million and $49 million for the Predecessor three and nine months ended September 30, 2019 and is reported in Selling, General and Administrative on our Condensed Consolidated Statements of Operations. As of September 30, 2020, accumulated amortization was $101 million for Developed and Acquired Technology and $32 million for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 w:name="page11"/>
    <w:bookmarkEnd w:id="10"/>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Restructuring, Facility Consolidation and Severance Charges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Successor three and nine months ended September 30, 2020, in response to the impact on our business from the COVID-19 pandemic and the significant decline in demand, we initiated additional immediate actions and developed plans to reduce our future cost structure. As a result, during the Successor three and nine months ended September 30, 2020, we incurred restructuring and severance charges of $31 million and $114 million, respectively in “Restructuring, Facility and Severance” on the accompanying Condensed Consolidated Statements of Operations. Additional charges with respect to our ongoing cost reduction actions are expected to be recorded through the remainder of 2020 and could result in additional charges in future periods as we execute and revise our plans.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restructuring and severance charges for the Successor Period and Predecessor Period.</w:t>
      </w:r>
    </w:p>
    <w:p>
      <w:pPr>
        <w:sectPr>
          <w:pgSz w:w="11900" w:h="16838" w:orient="portrait"/>
          <w:cols w:equalWidth="0" w:num="1">
            <w:col w:w="11240"/>
          </w:cols>
          <w:pgMar w:left="320" w:top="472" w:right="339" w:bottom="1440" w:gutter="0" w:footer="0" w:header="0"/>
        </w:sectPr>
      </w:pP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Successor</w:t>
            </w:r>
          </w:p>
        </w:tc>
      </w:tr>
      <w:tr>
        <w:trPr>
          <w:trHeight w:val="169"/>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21"/>
        </w:trPr>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9/30/2020</w:t>
            </w:r>
          </w:p>
        </w:tc>
      </w:tr>
      <w:tr>
        <w:trPr>
          <w:trHeight w:val="21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Facility Consolidation and Other Charges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Asset Related Charges (non-cash)</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and Severance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-1191260</wp:posOffset>
            </wp:positionV>
            <wp:extent cx="7054850" cy="1174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174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Successor</w:t>
            </w:r>
          </w:p>
        </w:tc>
      </w:tr>
      <w:tr>
        <w:trPr>
          <w:trHeight w:val="169"/>
        </w:trPr>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1"/>
        </w:trPr>
        <w:tc>
          <w:tcPr>
            <w:tcW w:w="16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9/30/2020</w:t>
            </w:r>
          </w:p>
        </w:tc>
      </w:tr>
      <w:tr>
        <w:trPr>
          <w:trHeight w:val="21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95"/>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9" w:lineRule="exact"/>
        <w:rPr>
          <w:sz w:val="20"/>
          <w:szCs w:val="20"/>
          <w:color w:val="auto"/>
        </w:rPr>
      </w:pPr>
    </w:p>
    <w:p>
      <w:pPr>
        <w:ind w:left="255"/>
        <w:spacing w:after="0"/>
        <w:rPr>
          <w:sz w:val="20"/>
          <w:szCs w:val="20"/>
          <w:color w:val="auto"/>
        </w:rPr>
      </w:pPr>
      <w:r>
        <w:rPr>
          <w:rFonts w:ascii="Times New Roman" w:cs="Times New Roman" w:eastAsia="Times New Roman" w:hAnsi="Times New Roman"/>
          <w:sz w:val="18"/>
          <w:szCs w:val="18"/>
          <w:b w:val="1"/>
          <w:bCs w:val="1"/>
          <w:color w:val="auto"/>
        </w:rPr>
        <w:t>Nine Months</w:t>
      </w:r>
    </w:p>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7"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9/30/2019</w:t>
      </w:r>
    </w:p>
    <w:p>
      <w:pPr>
        <w:spacing w:after="0" w:line="31" w:lineRule="exact"/>
        <w:rPr>
          <w:sz w:val="20"/>
          <w:szCs w:val="20"/>
          <w:color w:val="auto"/>
        </w:rPr>
      </w:pPr>
    </w:p>
    <w:p>
      <w:pPr>
        <w:ind w:left="1275" w:hanging="1275"/>
        <w:spacing w:after="0"/>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7" w:lineRule="exact"/>
        <w:rPr>
          <w:rFonts w:ascii="Times New Roman" w:cs="Times New Roman" w:eastAsia="Times New Roman" w:hAnsi="Times New Roman"/>
          <w:sz w:val="18"/>
          <w:szCs w:val="18"/>
          <w:color w:val="auto"/>
        </w:rPr>
      </w:pPr>
    </w:p>
    <w:p>
      <w:pPr>
        <w:ind w:left="12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22" w:lineRule="exact"/>
        <w:rPr>
          <w:rFonts w:ascii="Times New Roman" w:cs="Times New Roman" w:eastAsia="Times New Roman" w:hAnsi="Times New Roman"/>
          <w:sz w:val="18"/>
          <w:szCs w:val="18"/>
          <w:color w:val="auto"/>
        </w:rPr>
      </w:pPr>
    </w:p>
    <w:p>
      <w:pPr>
        <w:ind w:left="12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31" w:lineRule="exact"/>
        <w:rPr>
          <w:sz w:val="20"/>
          <w:szCs w:val="20"/>
          <w:color w:val="auto"/>
        </w:rPr>
      </w:pPr>
    </w:p>
    <w:p>
      <w:pPr>
        <w:ind w:left="1275" w:hanging="1275"/>
        <w:spacing w:after="0"/>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855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3">
            <w:col w:w="5860" w:space="260"/>
            <w:col w:w="3240" w:space="285"/>
            <w:col w:w="1595"/>
          </w:cols>
          <w:pgMar w:left="320" w:top="472" w:right="339" w:bottom="1440" w:gutter="0" w:footer="0" w:header="0"/>
          <w:type w:val="continuous"/>
        </w:sectPr>
      </w:pPr>
    </w:p>
    <w:p>
      <w:pPr>
        <w:spacing w:after="0" w:line="10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restructuring and severance charges by reporting segment and Corporate for the Successor Period and Predecessor Period.</w:t>
      </w:r>
    </w:p>
    <w:p>
      <w:pPr>
        <w:sectPr>
          <w:pgSz w:w="11900" w:h="16838" w:orient="portrait"/>
          <w:cols w:equalWidth="0" w:num="1">
            <w:col w:w="11240"/>
          </w:cols>
          <w:pgMar w:left="320" w:top="472" w:right="339" w:bottom="1440" w:gutter="0" w:footer="0" w:header="0"/>
          <w:type w:val="continuous"/>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69"/>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21"/>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9/30/2020</w:t>
            </w: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17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174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0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Successor</w:t>
            </w:r>
          </w:p>
        </w:tc>
      </w:tr>
      <w:tr>
        <w:trPr>
          <w:trHeight w:val="169"/>
        </w:trPr>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21"/>
        </w:trPr>
        <w:tc>
          <w:tcPr>
            <w:tcW w:w="18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9/30/2020</w:t>
            </w:r>
          </w:p>
        </w:tc>
      </w:tr>
      <w:tr>
        <w:trPr>
          <w:trHeight w:val="21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12" w:lineRule="exact"/>
        <w:rPr>
          <w:sz w:val="20"/>
          <w:szCs w:val="20"/>
          <w:color w:val="auto"/>
        </w:rPr>
      </w:pPr>
    </w:p>
    <w:p>
      <w:pPr>
        <w:jc w:val="center"/>
        <w:ind w:left="-1"/>
        <w:spacing w:after="0" w:line="276" w:lineRule="auto"/>
        <w:rPr>
          <w:sz w:val="20"/>
          <w:szCs w:val="20"/>
          <w:color w:val="auto"/>
        </w:rPr>
      </w:pPr>
      <w:r>
        <w:rPr>
          <w:rFonts w:ascii="Times New Roman" w:cs="Times New Roman" w:eastAsia="Times New Roman" w:hAnsi="Times New Roman"/>
          <w:sz w:val="18"/>
          <w:szCs w:val="18"/>
          <w:b w:val="1"/>
          <w:bCs w:val="1"/>
          <w:color w:val="auto"/>
        </w:rPr>
        <w:t>Nine Months Ended 9/30/2019</w:t>
      </w:r>
    </w:p>
    <w:p>
      <w:pPr>
        <w:ind w:left="1302" w:hanging="1302"/>
        <w:spacing w:after="0"/>
        <w:tabs>
          <w:tab w:leader="none" w:pos="13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7" w:lineRule="exact"/>
        <w:rPr>
          <w:rFonts w:ascii="Times New Roman" w:cs="Times New Roman" w:eastAsia="Times New Roman" w:hAnsi="Times New Roman"/>
          <w:sz w:val="18"/>
          <w:szCs w:val="18"/>
          <w:color w:val="auto"/>
        </w:rPr>
      </w:pPr>
    </w:p>
    <w:p>
      <w:pPr>
        <w:ind w:left="1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31" w:lineRule="exact"/>
        <w:rPr>
          <w:sz w:val="20"/>
          <w:szCs w:val="20"/>
          <w:color w:val="auto"/>
        </w:rPr>
      </w:pPr>
    </w:p>
    <w:p>
      <w:pPr>
        <w:ind w:left="1302" w:hanging="1302"/>
        <w:spacing w:after="0"/>
        <w:tabs>
          <w:tab w:leader="none" w:pos="13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3">
            <w:col w:w="5840" w:space="260"/>
            <w:col w:w="3300" w:space="278"/>
            <w:col w:w="1562"/>
          </w:cols>
          <w:pgMar w:left="320" w:top="472" w:right="339" w:bottom="1440" w:gutter="0" w:footer="0" w:header="0"/>
          <w:type w:val="continuous"/>
        </w:sectPr>
      </w:pPr>
    </w:p>
    <w:p>
      <w:pPr>
        <w:spacing w:after="0" w:line="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restructuring and severance accrual activity charges, payments and other changes for the Successor Period ended September 30,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20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Accrued Balance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Balance at</w:t>
            </w:r>
          </w:p>
        </w:tc>
        <w:tc>
          <w:tcPr>
            <w:tcW w:w="0" w:type="dxa"/>
            <w:vAlign w:val="bottom"/>
          </w:tcPr>
          <w:p>
            <w:pPr>
              <w:spacing w:after="0"/>
              <w:rPr>
                <w:sz w:val="1"/>
                <w:szCs w:val="1"/>
                <w:color w:val="auto"/>
              </w:rPr>
            </w:pPr>
          </w:p>
        </w:tc>
      </w:tr>
      <w:tr>
        <w:trPr>
          <w:trHeight w:val="175"/>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68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at December 31,</w:t>
            </w:r>
          </w:p>
        </w:tc>
        <w:tc>
          <w:tcPr>
            <w:tcW w:w="300" w:type="dxa"/>
            <w:vAlign w:val="bottom"/>
          </w:tcPr>
          <w:p>
            <w:pPr>
              <w:spacing w:after="0"/>
              <w:rPr>
                <w:sz w:val="15"/>
                <w:szCs w:val="15"/>
                <w:color w:val="auto"/>
              </w:rPr>
            </w:pPr>
          </w:p>
        </w:tc>
        <w:tc>
          <w:tcPr>
            <w:tcW w:w="11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4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Cash Payments</w:t>
            </w:r>
          </w:p>
        </w:tc>
        <w:tc>
          <w:tcPr>
            <w:tcW w:w="300" w:type="dxa"/>
            <w:vAlign w:val="bottom"/>
          </w:tcPr>
          <w:p>
            <w:pPr>
              <w:spacing w:after="0"/>
              <w:rPr>
                <w:sz w:val="15"/>
                <w:szCs w:val="15"/>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 Reserve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1" w:name="page12"/>
    <w:bookmarkEnd w:id="11"/>
    <w:tbl>
      <w:tblPr>
        <w:tblLayout w:type="fixed"/>
        <w:tblInd w:w="340" w:type="dxa"/>
        <w:tblCellMar>
          <w:top w:w="0" w:type="dxa"/>
          <w:left w:w="0" w:type="dxa"/>
          <w:bottom w:w="0" w:type="dxa"/>
          <w:right w:w="0" w:type="dxa"/>
        </w:tblCellMar>
      </w:tblPr>
      <w:tr>
        <w:trPr>
          <w:trHeight w:val="234"/>
        </w:trPr>
        <w:tc>
          <w:tcPr>
            <w:tcW w:w="7060" w:type="dxa"/>
            <w:vAlign w:val="bottom"/>
            <w:gridSpan w:val="2"/>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83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Borrowings and Other Obligations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12/31/2019</w:t>
            </w:r>
          </w:p>
        </w:tc>
      </w:tr>
      <w:tr>
        <w:trPr>
          <w:trHeight w:val="223"/>
        </w:trPr>
        <w:tc>
          <w:tcPr>
            <w:tcW w:w="34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Portion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40" w:type="dxa"/>
            <w:vAlign w:val="bottom"/>
          </w:tcPr>
          <w:p>
            <w:pPr>
              <w:spacing w:after="0"/>
              <w:rPr>
                <w:sz w:val="19"/>
                <w:szCs w:val="19"/>
                <w:color w:val="auto"/>
              </w:rPr>
            </w:pPr>
          </w:p>
        </w:tc>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Short-term Financing Arrangements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4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34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9"/>
        </w:trPr>
        <w:tc>
          <w:tcPr>
            <w:tcW w:w="34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11.00% Exit Notes due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57"/>
        </w:trPr>
        <w:tc>
          <w:tcPr>
            <w:tcW w:w="34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8.75% Senior Secured Notes due 2024</w:t>
            </w: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Long-term Portion</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34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r>
    </w:tbl>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ABL Credit Agreement</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13, 2019, we entered into a senior secured asset-based lending agreement in an aggregate amount of $450 million (the “ABL Credit Agreement”) with the lenders party thereto and Wells Fargo Bank, N.A. as administrative agent. On August 28, 2020, we issued $500 million of 8.75% Senior Secured Notes due 2024 (“Senior Secured Notes”) and terminated the ABL Credit Agreement, resulting in the alleviation of our substantial doubt to continue as a going concern that was previously reported as of June 30, 2020. At the time of termination, there were no loan amounts outstanding under the ABL Credit Agreement, and all outstanding letters of credit thereunder were either cash collateralized or transferred to issuing banks under the senior secured letter of credit agreement (“LC Credit Agreement”), described below. Upon termination of the ABL Credit Agreement, we recorded $15 million of unamortized deferred debt issuance costs in “Interest Expense, Net” on our Condensed Consolidated Financial Statements.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LC Credit Agreement</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13, 2019, we entered into the LC Credit Agreement in an aggregate amount of $195 million maturing on June 13, 2024 with the lenders party thereto and Deutsche Bank Trust Company Americas as administrative agent. On August 28, 2020, we amended the LC Credit Agreement to, among other things, increase the aggregate commitments to $215 million, modify the maturity date to May 29, 2024 and reduce the minimum liquidity covenant from $200 million to $175 million. The LC Credit Agreement is used for the issuance of bid and performance letters of credit of the Company and certain of its subsidiaries. At September 30, 2020, we had approximately $168 million in outstanding letters of credit under the LC Credit Agreement and availability of $47 million. We incurred $6 million of issuance costs in obtaining the amendment, increasing our unamortized costs to $12 million. These issuance costs will be recognized over the term of the agreement in “Other Expense, Net” on our Condensed Consolidated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$346 million of letters of credit outstanding, consisting of the $168 million mentioned above under the LC Credit Agreement and another $178 million under various uncommitted facilities (of which there was $170 million in cash collateral held and recorded in “Restricted Cash” on the Condensed Consolidated Balance Sheets).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terms, interest rates and fees for borrowings under the LC Credit Agreement are the same as those presented in “Note 13 – Short-Term Borrowings and other Debt Obligations” in our 2019 Annual Report.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13, 2019, we issued unsecured 11% senior notes maturing December 1, 2024 (“Exit Notes”) for an aggregate principal amount of $2.1 billion. Interest on the Exit Notes accrues at the rate of 11% per annum and is payable semiannually in arrears on June 1 and December 1. The first interest payment was made on June 1, 2020.</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28, 2020, Weatherford International Ltd., as issuer, Weatherford International plc and Weatherford International, LLC, as guarantors, and the other subsidiary guarantors party thereto, entered into an indenture with Wilmington Trust, National Association, as trustee and collateral agent, and issued the Senior Secured Notes in an aggregate principal amount of $500 million. Interest on the Senior Secured Notes accrues at the rate of 8.75% per annum and is payable semiannually in arrears on March 1 and September 1, commencing on March 1, 2021. Proceeds from the issuance were reduced by a purchase commitment discount of $25 million and a commitment fee of $15 million. These debt issuance costs along with legal and other direct costs are presented as a contra-liability of the carrying amount of the debt liability and will be recognized using the effective interest rate method over the term of the debt in “Interest Expense, Net” on our Condensed Consolidated Financial Statements.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Senior Secured Notes are fully and unconditionally guaranteed on a senior secured basis by the Company’s material domestic subsidiaries, certain material foreign subsidiaries, and in the future by other subsidiaries that guarantee its obligations under the LC Credit Agreement or other material indebtedness. The Senior Secured Notes are secured by substantially all of the assets of the Company and the guarantors (on an effectively first-priority basis with respect to the priority collateral for the Senior Secured Notes, and on an effectively second-priority basis with respect to the priority collateral for the LC Credit Agreement, in each case, subject to permitted liens).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indentures governing the Exit Notes and Senior Secured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In addition, the Senior Secured Notes require maintaining at least $175 million of minimum liquidity as defined in the Senior Secured Notes indenture agreement.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we were in compliance with the covenants of the aforementioned indentures and the LC Credit Agreement.</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Short and Long-term Borrowings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our short-term borrowings approximates their fair value due to their short maturities. These short-term borrowings are classified as Level 2 in the fair value hierarchy.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the Exit and Senior Secured Notes.</w:t>
      </w:r>
    </w:p>
    <w:p>
      <w:pPr>
        <w:spacing w:after="0" w:line="98"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12/31/2019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11.00% Exit Notes due 2024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57"/>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8.75% Senior Secured Notes due 2024</w:t>
            </w:r>
          </w:p>
        </w:tc>
        <w:tc>
          <w:tcPr>
            <w:tcW w:w="3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bl>
    <w:p>
      <w:pPr>
        <w:spacing w:after="0" w:line="30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our debt decreased significantly primarily due to the negative impact the COVID-19 pandemic had on our business and industry, which increased the credit spreads of our debt.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consist solely of our derivative instruments. 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Our derivative activity is not material to our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other financial instruments include cash and cash equivalents, accounts receivable, accounts payable and held-to-maturity investments. The estimated fair value of these financial instruments approximates their carrying values as reflected in our Condensed Consolidated Financial Statements. The fair value of our short-term and long-term borrowings are discussed in “Note 8 – Borrowings and Other Obligations.”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and December 31, 2019, we had $25 million and $50 million, respectively, of held-to-maturity Angolan government bonds.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2020, we received proceeds of $25 million from the maturity of a portion of our Angolan government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these bonds approximated their fair value as of September 30, 2020 and December 31, 2019, respectively.</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Disputes, Litigation and Legal Contingencies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courts in many jurisdictions around the world have been temporarily closed for trials and hearings, which has resulted in delays in many of our litigation matters.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Accrued litigation and settlements recorded in “Other Current Liabilities” on the accompanying Condensed Consolidated Balance Sheets as of September 30, 2020 and December 31, 2019 were $43 million and $44 million,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GAMCO Shareholder Litigation</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plaintiffs filed their response on July 3, 2020. The defendants filed a reply brief on August 3, 2020, and now the Court will rule on the motion to dismiss.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Prior Shareholder Litigation</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2010, three shareholder derivative actions were filed, and in 2014 a fourth shareholder derivative action was filed, purportedly on behalf of the Company, asserting breach of duty and other claims against certain then-current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Times New Roman" w:cs="Times New Roman" w:eastAsia="Times New Roman" w:hAnsi="Times New Roman"/>
          <w:sz w:val="18"/>
          <w:szCs w:val="18"/>
          <w:i w:val="1"/>
          <w:iCs w:val="1"/>
          <w:color w:val="auto"/>
        </w:rPr>
        <w:t>Neff v. Brady, et al.</w:t>
      </w:r>
      <w:r>
        <w:rPr>
          <w:rFonts w:ascii="Times New Roman" w:cs="Times New Roman" w:eastAsia="Times New Roman" w:hAnsi="Times New Roman"/>
          <w:sz w:val="18"/>
          <w:szCs w:val="18"/>
          <w:color w:val="auto"/>
        </w:rPr>
        <w:t>, No. 2010040764 (collectively referred to as the “</w:t>
      </w:r>
      <w:r>
        <w:rPr>
          <w:rFonts w:ascii="Times New Roman" w:cs="Times New Roman" w:eastAsia="Times New Roman" w:hAnsi="Times New Roman"/>
          <w:sz w:val="18"/>
          <w:szCs w:val="18"/>
          <w:i w:val="1"/>
          <w:iCs w:val="1"/>
          <w:color w:val="auto"/>
        </w:rPr>
        <w:t>Neff Case</w:t>
      </w:r>
      <w:r>
        <w:rPr>
          <w:rFonts w:ascii="Times New Roman" w:cs="Times New Roman" w:eastAsia="Times New Roman" w:hAnsi="Times New Roman"/>
          <w:sz w:val="18"/>
          <w:szCs w:val="18"/>
          <w:color w:val="auto"/>
        </w:rPr>
        <w:t>”).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Although the plaintiffs appealed the jurisdictional ruling, on June 19, 2020, the plaintiffs filed a motion to dismiss the appeal with prejudice. This litigation has concluded.</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ten to twenty-year period and may cost as much as $6 million. We continuously monitor and strive to maintain compliance with changes in laws and regulations that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Shareholders’ Equity (Deficiency)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our shareholders’ equity (deficiency) activity for the three and nine months ended September 30,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220" w:type="dxa"/>
            <w:vAlign w:val="bottom"/>
          </w:tcPr>
          <w:p>
            <w:pPr>
              <w:spacing w:after="0"/>
              <w:rPr>
                <w:sz w:val="16"/>
                <w:szCs w:val="16"/>
                <w:color w:val="auto"/>
              </w:rPr>
            </w:pPr>
          </w:p>
        </w:tc>
        <w:tc>
          <w:tcPr>
            <w:tcW w:w="92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10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11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14"/>
                <w:szCs w:val="14"/>
                <w:color w:val="auto"/>
              </w:rPr>
            </w:pPr>
          </w:p>
        </w:tc>
        <w:tc>
          <w:tcPr>
            <w:tcW w:w="1340" w:type="dxa"/>
            <w:vAlign w:val="bottom"/>
          </w:tcPr>
          <w:p>
            <w:pPr>
              <w:jc w:val="center"/>
              <w:ind w:right="111"/>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31"/>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162"/>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Issued</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Excess of Par</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91"/>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4"/>
                <w:szCs w:val="14"/>
                <w:color w:val="auto"/>
              </w:rPr>
            </w:pPr>
          </w:p>
        </w:tc>
        <w:tc>
          <w:tcPr>
            <w:tcW w:w="1000" w:type="dxa"/>
            <w:vAlign w:val="bottom"/>
          </w:tcPr>
          <w:p>
            <w:pPr>
              <w:jc w:val="center"/>
              <w:ind w:right="91"/>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80" w:type="dxa"/>
            <w:vAlign w:val="bottom"/>
          </w:tcPr>
          <w:p>
            <w:pPr>
              <w:spacing w:after="0"/>
              <w:rPr>
                <w:sz w:val="14"/>
                <w:szCs w:val="14"/>
                <w:color w:val="auto"/>
              </w:rPr>
            </w:pPr>
          </w:p>
        </w:tc>
        <w:tc>
          <w:tcPr>
            <w:tcW w:w="1140" w:type="dxa"/>
            <w:vAlign w:val="bottom"/>
          </w:tcPr>
          <w:p>
            <w:pPr>
              <w:jc w:val="center"/>
              <w:ind w:right="31"/>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(Deficiency)</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2019 (Successor)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2020 (Successor)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2020 (Successor)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2020 (Successor)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2018 (Predecessor)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Granted, Vested and Exercised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2019 (Predecessor)</w:t>
            </w: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6,719</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7"/>
                <w:szCs w:val="17"/>
                <w:color w:val="auto"/>
              </w:rPr>
            </w:pPr>
          </w:p>
        </w:tc>
        <w:tc>
          <w:tcPr>
            <w:tcW w:w="1340" w:type="dxa"/>
            <w:vAlign w:val="bottom"/>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Interests</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Granted, Vested and Exercised</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2019 (Predecessor)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Awards Granted, Vested and Exercised</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2019 (Predecessor)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income (loss) by component for the nine months ended September 30, 2020 for the Successor and nine months ended September 30, 2019 for the Predecessor:</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7"/>
                <w:szCs w:val="17"/>
                <w:color w:val="auto"/>
              </w:rPr>
            </w:pP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Defined Benefit</w:t>
            </w:r>
          </w:p>
        </w:tc>
        <w:tc>
          <w:tcPr>
            <w:tcW w:w="15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Deferred Loss on</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Pr>
          <w:p>
            <w:pPr>
              <w:spacing w:after="0"/>
              <w:rPr>
                <w:sz w:val="15"/>
                <w:szCs w:val="15"/>
                <w:color w:val="auto"/>
              </w:rPr>
            </w:pPr>
          </w:p>
        </w:tc>
        <w:tc>
          <w:tcPr>
            <w:tcW w:w="13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 (Successor)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 (Successor)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2018 (Predecessor)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activity</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2019 (Predecessor)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Loss per Share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basic and diluted weighted average shares outstanding and loss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ectPr>
          <w:pgSz w:w="11900" w:h="16838" w:orient="portrait"/>
          <w:cols w:equalWidth="0" w:num="1">
            <w:col w:w="11240"/>
          </w:cols>
          <w:pgMar w:left="320" w:top="472" w:right="339" w:bottom="1440" w:gutter="0" w:footer="0" w:header="0"/>
        </w:sectPr>
      </w:pP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0" w:type="dxa"/>
            <w:vAlign w:val="bottom"/>
          </w:tcPr>
          <w:p>
            <w:pPr>
              <w:spacing w:after="0"/>
              <w:rPr>
                <w:sz w:val="1"/>
                <w:szCs w:val="1"/>
                <w:color w:val="auto"/>
              </w:rPr>
            </w:pPr>
          </w:p>
        </w:tc>
      </w:tr>
      <w:tr>
        <w:trPr>
          <w:trHeight w:val="16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w:t>
            </w:r>
          </w:p>
        </w:tc>
        <w:tc>
          <w:tcPr>
            <w:tcW w:w="160" w:type="dxa"/>
            <w:vAlign w:val="bottom"/>
          </w:tcPr>
          <w:p>
            <w:pPr>
              <w:spacing w:after="0"/>
              <w:rPr>
                <w:sz w:val="14"/>
                <w:szCs w:val="14"/>
                <w:color w:val="auto"/>
              </w:rPr>
            </w:pPr>
          </w:p>
        </w:tc>
        <w:tc>
          <w:tcPr>
            <w:tcW w:w="13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21"/>
        </w:trPr>
        <w:tc>
          <w:tcPr>
            <w:tcW w:w="4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except per share amounts)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Attributable to Weatherford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-1002665</wp:posOffset>
            </wp:positionV>
            <wp:extent cx="7132320" cy="1003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03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169"/>
        </w:trPr>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1"/>
        </w:trPr>
        <w:tc>
          <w:tcPr>
            <w:tcW w:w="16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9/30/2020</w:t>
            </w:r>
          </w:p>
        </w:tc>
      </w:tr>
      <w:tr>
        <w:trPr>
          <w:trHeight w:val="21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29"/>
        </w:trPr>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281"/>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29"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8"/>
          <w:szCs w:val="18"/>
          <w:b w:val="1"/>
          <w:bCs w:val="1"/>
          <w:color w:val="auto"/>
        </w:rPr>
        <w:t>Nine Months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9/30/2019</w:t>
      </w:r>
    </w:p>
    <w:p>
      <w:pPr>
        <w:spacing w:after="0" w:line="31" w:lineRule="exact"/>
        <w:rPr>
          <w:sz w:val="20"/>
          <w:szCs w:val="20"/>
          <w:color w:val="auto"/>
        </w:rPr>
      </w:pPr>
    </w:p>
    <w:p>
      <w:pPr>
        <w:ind w:left="921" w:hanging="921"/>
        <w:spacing w:after="0"/>
        <w:tabs>
          <w:tab w:leader="none" w:pos="9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(1,618)</w:t>
      </w:r>
    </w:p>
    <w:p>
      <w:pPr>
        <w:spacing w:after="0" w:line="27" w:lineRule="exact"/>
        <w:rPr>
          <w:rFonts w:ascii="Times New Roman" w:cs="Times New Roman" w:eastAsia="Times New Roman" w:hAnsi="Times New Roman"/>
          <w:sz w:val="18"/>
          <w:szCs w:val="18"/>
          <w:color w:val="auto"/>
        </w:rPr>
      </w:pPr>
    </w:p>
    <w:p>
      <w:pPr>
        <w:ind w:left="10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w:t>
      </w:r>
    </w:p>
    <w:p>
      <w:pPr>
        <w:spacing w:after="0" w:line="23" w:lineRule="exact"/>
        <w:rPr>
          <w:sz w:val="20"/>
          <w:szCs w:val="20"/>
          <w:color w:val="auto"/>
        </w:rPr>
      </w:pPr>
    </w:p>
    <w:p>
      <w:pPr>
        <w:ind w:left="1021" w:hanging="1021"/>
        <w:spacing w:after="0"/>
        <w:tabs>
          <w:tab w:leader="none" w:pos="10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w:t>
      </w:r>
    </w:p>
    <w:p>
      <w:pPr>
        <w:spacing w:after="0" w:line="98" w:lineRule="exact"/>
        <w:rPr>
          <w:sz w:val="20"/>
          <w:szCs w:val="20"/>
          <w:color w:val="auto"/>
        </w:rPr>
      </w:pPr>
    </w:p>
    <w:p>
      <w:pPr>
        <w:sectPr>
          <w:pgSz w:w="11900" w:h="16838" w:orient="portrait"/>
          <w:cols w:equalWidth="0" w:num="3">
            <w:col w:w="6160" w:space="200"/>
            <w:col w:w="3160" w:space="239"/>
            <w:col w:w="1481"/>
          </w:cols>
          <w:pgMar w:left="320" w:top="472" w:right="339" w:bottom="1440" w:gutter="0" w:footer="0" w:header="0"/>
          <w:type w:val="continuous"/>
        </w:sect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basic and diluted weighted average shares outstanding for the Successor Period and Predecessor Period are equivalent due to the net loss attributable to shareholders. Diluted weighted average shares outstanding for both the three and nine months ended September 30, 2020 exclude 8 million potential ordinary shares, and the three and nine months ended September 30, 2019 exclude 163 million and 208 million potential ordinary shares, respectively, for restricted share units, performance units, exchangeable senior notes and warrants outstanding as we had net losses for those periods and their inclusion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7" w:name="page18"/>
    <w:bookmarkEnd w:id="17"/>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Revenues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Line and Geographic Region</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Revenues are attributable to countries based on the ultimate destination of the sale of products or performance of services. During the second quarter of 2020, in order to support the streamlining and realignment of the business, we combined our prior reported four product lines into two product lines, and all prior periods have been retrospectively recast to conform to this new presentation. Our two primary product lines are as follows: (1) Production and Completions and (2) Drilling, Evaluation and Intervention. Our new combined Production and Completion product line was previously reported as two separate product lines. Our new Drilling, Evaluation and Intervention product line was previously reported as two separate product lines of Drilling and Evaluation and Well Construction. The unmanned equipment that we lease to customers as operating leases consists primarily of drilling rental tools (in the Drilling, Evaluation and Intervention product line) and artificial lift pumping equipment (in the Production and Completions product line). These equipment rental revenues are generally provided based on call-out work orders that include fixed per unit prices and are derived from short-term contracts. Equipment rental revenues recognized under Accounting Standards Update No. 2016-02, Leases (Topic 842) were $30 million and $119 million for the three and nine months Successor Periods ended September 30, 2020, respectively, and $64 million and $226 million for the three and nine months Predecessor Periods ended September 30, 2019, respectively.</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our product and service revenues by major product line and geographic region for the three and nine months ended September 30,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2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Borders>
              <w:right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4"/>
                <w:szCs w:val="14"/>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21"/>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9"/>
                <w:szCs w:val="19"/>
                <w:color w:val="auto"/>
              </w:rPr>
            </w:pPr>
          </w:p>
        </w:tc>
        <w:tc>
          <w:tcPr>
            <w:tcW w:w="1720" w:type="dxa"/>
            <w:vAlign w:val="bottom"/>
            <w:tcBorders>
              <w:right w:val="single" w:sz="8" w:color="auto"/>
            </w:tcBorders>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Line Revenue by Hemisphere: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Production and Completions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lef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Drilling, Evaluation and Intervention</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bottom w:val="single" w:sz="8" w:color="CCEEFF"/>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Western Hemisphere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left w:val="single" w:sz="8" w:color="CCEEFF"/>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Production and Completions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lef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Drilling, Evaluation and Intervention</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CCEEFF"/>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Eastern Hemisphere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left w:val="single" w:sz="8" w:color="CCEEFF"/>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tcBorders>
              <w:bottom w:val="single" w:sz="8" w:color="CCEEFF"/>
              <w:right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left w:val="single" w:sz="8" w:color="CCEEFF"/>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 w:type="dxa"/>
            <w:vAlign w:val="bottom"/>
            <w:shd w:val="clear" w:color="auto" w:fill="000000"/>
          </w:tcPr>
          <w:p>
            <w:pPr>
              <w:spacing w:after="0"/>
              <w:rPr>
                <w:sz w:val="14"/>
                <w:szCs w:val="14"/>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21"/>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9"/>
                <w:szCs w:val="19"/>
                <w:color w:val="auto"/>
              </w:rPr>
            </w:pPr>
          </w:p>
        </w:tc>
        <w:tc>
          <w:tcPr>
            <w:tcW w:w="172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000000"/>
          </w:tcPr>
          <w:p>
            <w:pPr>
              <w:spacing w:after="0"/>
              <w:rPr>
                <w:sz w:val="19"/>
                <w:szCs w:val="19"/>
                <w:color w:val="auto"/>
              </w:rPr>
            </w:pP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Borders>
              <w:lef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Western Hemisphere</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0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Middle East &amp; North Africa and Asia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000000"/>
          </w:tcPr>
          <w:p>
            <w:pPr>
              <w:spacing w:after="0"/>
              <w:rPr>
                <w:sz w:val="19"/>
                <w:szCs w:val="19"/>
                <w:color w:val="auto"/>
              </w:rPr>
            </w:pP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Borders>
              <w:lef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Eastern Hemisphere</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0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shd w:val="clear" w:color="auto" w:fill="000000"/>
          </w:tcPr>
          <w:p>
            <w:pPr>
              <w:spacing w:after="0"/>
              <w:rPr>
                <w:sz w:val="21"/>
                <w:szCs w:val="21"/>
                <w:color w:val="auto"/>
              </w:rPr>
            </w:pP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300" w:type="dxa"/>
            <w:vAlign w:val="bottom"/>
            <w:tcBorders>
              <w:lef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receivables for product and services included in “Accounts Receivable, Net,” “Contrast Assets” and “Contract Liabilities” at September 30, 2020 and December 31, 2019.</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12/31/2019</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27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27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7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7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30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recognized for the nine months ended September 30, 2020 that were included in the contract liabilities balance at the beginning of 2020 was $8 million.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following table, estimated revenue expected to be recognized in the future related to performance obligations that are either unsatisfied or partially unsatisfied as of September 30, 2020 primarily relate to subsea services and an artificial lift contract.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2019 Annual Report.</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8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69"/>
        </w:trPr>
        <w:tc>
          <w:tcPr>
            <w:tcW w:w="4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1"/>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9/30/2020</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9/30/2019</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Impairments and Other Charges </w:t>
            </w:r>
            <w:r>
              <w:rPr>
                <w:rFonts w:ascii="Times New Roman" w:cs="Times New Roman" w:eastAsia="Times New Roman" w:hAnsi="Times New Roman"/>
                <w:sz w:val="23"/>
                <w:szCs w:val="23"/>
                <w:color w:val="auto"/>
                <w:vertAlign w:val="superscript"/>
              </w:rPr>
              <w:t>(a) (b)</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Operational Assets Sale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6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Gain (Loss) on Sale of Businesses, Net </w:t>
            </w:r>
            <w:r>
              <w:rPr>
                <w:rFonts w:ascii="Times New Roman" w:cs="Times New Roman" w:eastAsia="Times New Roman" w:hAnsi="Times New Roman"/>
                <w:sz w:val="22"/>
                <w:szCs w:val="22"/>
                <w:color w:val="auto"/>
                <w:vertAlign w:val="superscript"/>
              </w:rPr>
              <w:t>(c)</w:t>
            </w:r>
          </w:p>
        </w:tc>
        <w:tc>
          <w:tcPr>
            <w:tcW w:w="16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Reorganization Items</w:t>
            </w:r>
          </w:p>
        </w:tc>
        <w:tc>
          <w:tcPr>
            <w:tcW w:w="16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right="20" w:hanging="250"/>
        <w:spacing w:after="0" w:line="254" w:lineRule="auto"/>
        <w:tabs>
          <w:tab w:leader="none" w:pos="4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Successor three months ended September 30, 2020, primarily includes restructuring and other charges. In the Successor nine months ended September 30, 2020, primarily includes the impairment of goodwill, property, plant and equipment, intangibles and right of use assets, inventory excess and obsolete charges, and restructuring and other charges. See “Note 3 – Inventories, Net”, “Note 5 - Long-Lived Asset Impairments”, “Note 6 – Goodwill and Intangible Assets”, and “Note 7</w:t>
      </w: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Restructuring, Facility Consolidation and Severance Charges” for additional information.</w:t>
      </w:r>
    </w:p>
    <w:p>
      <w:pPr>
        <w:spacing w:after="0" w:line="5" w:lineRule="exact"/>
        <w:rPr>
          <w:rFonts w:ascii="Times New Roman" w:cs="Times New Roman" w:eastAsia="Times New Roman" w:hAnsi="Times New Roman"/>
          <w:sz w:val="16"/>
          <w:szCs w:val="16"/>
          <w:color w:val="auto"/>
        </w:rPr>
      </w:pPr>
    </w:p>
    <w:p>
      <w:pPr>
        <w:ind w:left="420" w:right="100" w:hanging="250"/>
        <w:spacing w:after="0" w:line="246" w:lineRule="auto"/>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Predecessor three months ended September 30, 2019, primarily includes goodwill impairment, and restructuring and other charges. In the Predecessor nine months ended September 30, 2019, primarily includes goodwill impairment, restructuring and other charges, and prepetition charges for professional and other fees related to the Predecessor bankruptcy cases. See “Note 5 - Long-Lived Asset Impairments”, “Note 6 – Goodwill and Intangible Assets”, and “Note 7 – Restructuring, Facility Consolidation and Severance Charges” for additional information.</w:t>
      </w:r>
    </w:p>
    <w:p>
      <w:pPr>
        <w:spacing w:after="0" w:line="1"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the gain on sale of our reservoir solutions business in the Predecessor second quarter of 2019.</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assets by segment at for each period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12/31/2019</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Hemisphere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Eastern Hemisphere</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0"/>
        </w:trPr>
        <w:tc>
          <w:tcPr>
            <w:tcW w:w="6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the discrete method to determine our quarterly tax provision because small changes in estimated ordinary annual income result in significant changes in our estimated annual effective tax rate. The discrete method treats the year-to-date period as if it was the annual period and determines the income tax expense or benefit on that basis.</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Successor three and nine months ended September 30, 2020, we recognized tax expense of $8 million and $64 million, respectively, on a loss before income taxes of $159 million and $1.6 billion, respectively, as compared to the Predecessor three and nine months ended September 30, 2019 where we recognized tax expense of $31 million and $76 million, respectively, on a loss before income taxes of $784 million and $1.5 billion, respectively. Tax expense for the three and nine months ended September 30, 2020 and 2019 includes withholding taxes, minimum taxes and deemed profit taxes that do not directly correlate to ordinary income or loss. Impairments and other charges did not result in significant tax benefit in either period. Tax expense for the Successor nine months ended September 30, 2020 includes $20 million recorded in the first quarter of 2020 to recognize valuation allowance in jurisdictions where we are no longer able to forecast taxable income and a subsequent $11 million release to derecognize such valuation allowance in the current quarter where this was no longer applicable.</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September 30, 2020, we anticipate that it is reasonably possible that our uncertain tax positions of $214 million may decrease by up to $2 million in the next twelve months due to expiration of statutes of limitations, settlements and/or conclusions of tax examinations.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many countries have enacted tax relief measures to provide aid and economic stimulus to companies impacted by the COVID-19 pandemic. For the Successor third quarter and nine months ended September 30, 2020, there were no material tax impacts to our financial statements as it relates to COVID-19 tax relief measures.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As used herein,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Item 1A. – Risk Factors.” As described in “Note 1 – General” references to “Successor” herein relate to the Condensed Consolidated Balance Sheets of the reorganized Company as of September 30, 2020 and December 31, 2019 and the Condensed Consolidated Statements of Operations for the three and nine months ended September 30, 2020 (“Successor Period”) and are not comparable to the Condensed Consolidated Financial Statements of the Predecessor Periods for the three and nine months ended September 30, 2019 (“Predecessor Period”), as indicated by the “black line” division in the financials and footnote tables, which emphasizes the lack of comparability between amounts presented.</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operations in approximately 80 countries and have service and sales locations in oil and natural gas producing regions globally. Our operational performance is reviewed on a geographic basis, and we report the Western Hemisphere and Eastern Hemisphere as separate, distinct reporting segments.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business is to provide equipment and services to the oil and natural gas exploration and production industry, both onshore and offshore. During the second quarter of 2020, in order to support the streamlining and realignment of the business, we combined our prior reported four product lines into two product lines. Our two primary product lines are as follows: (1) Production and Completions and (2) Drilling, Evaluation and Intervention. Our new combined Production and Completion product line was previously reported as two separate product lines. Our new Drilling, Evaluation and Intervention product line was previously reported as two separate product lines of Drilling and Evaluation and Well Construction.</w:t>
      </w:r>
    </w:p>
    <w:p>
      <w:pPr>
        <w:spacing w:after="0" w:line="206" w:lineRule="exact"/>
        <w:rPr>
          <w:sz w:val="20"/>
          <w:szCs w:val="20"/>
          <w:color w:val="auto"/>
        </w:rPr>
      </w:pPr>
    </w:p>
    <w:p>
      <w:pPr>
        <w:jc w:val="both"/>
        <w:ind w:left="820" w:hanging="326"/>
        <w:spacing w:after="0" w:line="262" w:lineRule="auto"/>
        <w:tabs>
          <w:tab w:leader="none" w:pos="81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Production and Completions </w:t>
      </w:r>
      <w:r>
        <w:rPr>
          <w:rFonts w:ascii="Times New Roman" w:cs="Times New Roman" w:eastAsia="Times New Roman" w:hAnsi="Times New Roman"/>
          <w:sz w:val="18"/>
          <w:szCs w:val="18"/>
          <w:color w:val="auto"/>
        </w:rPr>
        <w:t>offers production optimization services and a complete production ecosystem, featuring our artificial-lift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820" w:hanging="326"/>
        <w:spacing w:after="0" w:line="257"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Drilling, Evaluation and Intervention </w:t>
      </w:r>
      <w:r>
        <w:rPr>
          <w:rFonts w:ascii="Times New Roman" w:cs="Times New Roman" w:eastAsia="Times New Roman" w:hAnsi="Times New Roman"/>
          <w:sz w:val="18"/>
          <w:szCs w:val="18"/>
          <w:color w:val="auto"/>
        </w:rPr>
        <w:t>comprises a suite of services ranging from early well planning to reservoir management. The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customer activity shutdowns, travel constraints and access restrictions to customer work locations continue to cause significant uncertainty for the global economy, resulting in the continued significant decline in the global demand for oil and gas. This continues to cause an imbalance in the supply and demand for oil and gas. The impacts of the COVID-19 pandemic together with uncertainty around the extent and timing for an economic recovery, have caused extreme market volatility of commodity prices and resulted in significant reductions to the capital spending of exploration and production companies and lowering expectations of oil and gas related spending throughout the remainder of 2020 and beyond. This has resulted in significant corresponding uncertainty for the trajectory of the oil and gas industry and the Company. In addition, we expect the risk of a reinstatement of COVID-19 related restrictions or lockdowns to remain high, which creates further uncertainty in the global economic outlook and impact on oil and gas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continues to closely monitor the global impacts surrounding the COVID-19 pandemic, including operational and manufacturing disruptions, logistical constraints and travel restrictions. These factors have negatively impacted our ability to operate and we expect these negative impacts to continue.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continuously improve crew rotations and management practices to minimize our employees’ exposure to COVID-19 while at client facilities. In addition, our identification and management of COVID-19 cases continues to improve with advanced testing and response procedures. Faced with these challenges, we have evolved our digital portfolio and enhanced our applications to offer fully integrated digital oilfield solutions. We have increased our offerings of automated well construction and remote monitoring and predictive analytics related to our production offerings.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 in the Successor third quarter of 2020 declined 39% compared to the Predecessor third quarter of 2019 and declined 28% year over year due to lower business activity resulting from the factors described above. Demand for our products and services has weakened and we continue to expect lower than normal demand for our products and services through the remainder of 2020 and into 2021. As a result, our financial outlook for the remainder of the year continues to be materially and negatively impacted. We continue to anticipate significant constraints on our ability to generate and grow our revenues, profits and cash flows. We anticipate a multi-year dislocation across the industry, particularly in North America, Europe, Latin America and Sub Saharan Africa.</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implemented a number of aggressive actions to right-size our business to address current market conditions, including:</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pay reductions of 20% for management and to our Board of Directors’ annual cash retainer;</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headcount reductions across North American and International operations, as well as the global support structure consistent with the decline in business activity;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Furloughs and pay reductions for remaining employees in the United States and selected international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planned capital expenditures by approximately 50% in 2020 versus 2019 levels;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consolidating geographic and product line structures to better align with market conditions.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of the cost reduction initiatives listed above, like temporary pay reductions and headcount reductions, have been extended through the fourth quarter of 2020. At September 30, 2020, we had sufficient liquidity to operate our business. However, our rapidly changing operating environment has led to an inability to predict the ultimate length and depth of the adverse economic impact from the COVID-19 pandemic and the uncertainty in the global oil markets. The impact on our Company has been, and is expected to continue to be, significant.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delisting of our ordinary shares from the New York Stock Exchange (“NYSE”) became effective on April 27, 2020. Our ordinary shares were deregistered under Section 12(b) of the Exchange Act on July 16, 2020. We continue to evaluate listing options and intend to list on the NYSE or National Association of Securities Dealers Automated Quotations (“NASDAQ”) when our Board of Directors determines market conditions are appropriate. The Company intends to continue filing periodic reports with the Securities and Exchange Commission (“SEC”) on a voluntary basis. We continue to trade on the OTC Pink Marketplace under the ticker symbol “WFTLF”.</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Opportunities and Challenges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oil and gas, control costs, and penetrate new and existing markets with our newly developed technologies. Over the long-term, we expect the world’s demand for energy will rise from current levels requiring increased oil field services and more advanced technology from the oilfield</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industry. We remain focused on delivering innovative and cost-efficient solutions for customers to assist them in achieving their operational, safety and environmental objectives.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challenges also include adverse market conditions that could make our targeted cost reduction benefits more difficult to obtain and the ability to recruit and retain employees problematic. The imbalance between supply and demand for oil created by the simultaneous impact of the COVID-19 pandemic, together with uncertainty around the extent and timing for an economic recovery, have caused extreme market volatility and resulted in a decline in commodity prices since the beginning of 2020 and resulted in significant reductions to the capital spending plans of exploration and production companies. In addition, continued negative sentiment for the energy industry in the capital markets has impacted, and may continue to impact, demand for our products and services, as our customers, particularly those in North America, have experienced and likely will continue to experience challenges securing appropriate amounts of capital under suitable terms to finance their operations. The cyclicality of the energy industry and the COVID-19 pandemic continues to impact the demand for our products and services, such as our drilling and evaluation services, well construction and well completion services, which strongly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are following our long-term strategy aimed at achieving profitability in our businesses, servicing our customers, right-sizing our business and creating value for our stakeholders. Our long-term success will be determined by our ability to manage effectively the cyclicality of our industry, including the ongoing and prolonged industry downturn, our ability to respond to industry demands and periods of over-supply or uncertain oil prices, and ultimately to generate consistent positive cash flow and positive returns on the invested capital.</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Industry Trends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charts set forth certain statistics that reflect historical market conditions.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Henry Hub natural gas during the three and nine months ended September 30, 2020 and 2019. Commodity prices decreased during 2020 following the dual impact of the COVID-19 pandemic and the inability of Organization of Petroleum Exporting Countries (“OPEC”) and other high oil exporting non-OPEC nations (“OPEC+”) to agree on production cuts.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00" w:type="dxa"/>
            <w:vAlign w:val="bottom"/>
            <w:tcBorders>
              <w:bottom w:val="single" w:sz="8" w:color="auto"/>
            </w:tcBorders>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9/30/2020</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9/30/2019</w:t>
            </w:r>
          </w:p>
        </w:tc>
        <w:tc>
          <w:tcPr>
            <w:tcW w:w="19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9/30/2020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9/30/2019</w:t>
            </w: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$40.91</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$56.47</w:t>
            </w:r>
          </w:p>
        </w:tc>
        <w:tc>
          <w:tcPr>
            <w:tcW w:w="19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$38.24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44"/>
        </w:trPr>
        <w:tc>
          <w:tcPr>
            <w:tcW w:w="4980" w:type="dxa"/>
            <w:vAlign w:val="bottom"/>
          </w:tcPr>
          <w:p>
            <w:pPr>
              <w:ind w:left="20"/>
              <w:spacing w:after="0" w:line="244"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3"/>
                <w:szCs w:val="23"/>
                <w:color w:val="auto"/>
                <w:vertAlign w:val="superscript"/>
              </w:rPr>
              <w:t>(2)</w:t>
            </w:r>
          </w:p>
        </w:tc>
        <w:tc>
          <w:tcPr>
            <w:tcW w:w="23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$2.00</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$2.33</w:t>
            </w:r>
          </w:p>
        </w:tc>
        <w:tc>
          <w:tcPr>
            <w:tcW w:w="19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bl>
    <w:p>
      <w:pPr>
        <w:ind w:left="180" w:hanging="154"/>
        <w:spacing w:after="0" w:line="215" w:lineRule="auto"/>
        <w:tabs>
          <w:tab w:leader="none" w:pos="1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Oil price measured in dollars per barrel (rounded to the nearest dollar)</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Natural gas price measured in dollars per million British thermal units (Btu), or MMBtu</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historical average rig counts based on the weekly Baker Hughes Company rig count information were as follows:</w:t>
            </w: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0"/>
        </w:trPr>
        <w:tc>
          <w:tcPr>
            <w:tcW w:w="5320" w:type="dxa"/>
            <w:vAlign w:val="bottom"/>
          </w:tcPr>
          <w:p>
            <w:pPr>
              <w:spacing w:after="0"/>
              <w:rPr>
                <w:sz w:val="24"/>
                <w:szCs w:val="24"/>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532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9/30/2020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9/30/2019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9/30/2020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9/30/2019</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3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731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32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1,032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1,445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the North American and International Rig Count totaled 332 and 702,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4" w:name="page25"/>
    <w:bookmarkEnd w:id="24"/>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Factors influencing oil and natural gas prices during the period include the imbalance between supply and demand for oil created by the simultaneous impact of the COVID-19 pandemic and actions by certain OPEC+ nations, the uncertainty around the extent and timing for an economic recovery and global market volatility. These factors contributed to the resulting precipitous decline in commodity prices, rising oil and gas inventory levels, decreased realized and expected levels of oil and gas demand, decreased level of production capacity and geopolitical uncertainty. While OPEC+ agreed in April to cut production, downward pressure on commodity prices has continued and could continue for the foreseeable future, particularly given concerns over available storage capacity.</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and Overview</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Successor revenues totaled $807 million in the third quarter ended September 30, 2020 and $2.8 billion in the Successor nine months ended September 30, 2020. This is a decrease of $507 million, or 39%, and $1.1 billion, or 28%, compared to the Predecessor revenues in the third quarter and nine months ended September 30, 2019, respectively, as the unprecedented global health and economic crisis sparked by the COVID-19 pandemic continued to negatively impact industry activity during the third quarter ended September 30, 2020. Our revenue decline was predominantly driven by lower activity levels in North America and lower demand for services in the United States, but was also impacted by declines in activity internationally, primarily in Latin America, Middle East, North Africa and Russia.</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Successor consolidated operating results improved $387 million in the Successor third quarter ended September 30, 2020 and decreased $513 million in the Successor nine months ended September 30, 2020 compared to the Predecessor consolidated operating results in the third quarter and nine months ended September 30, 2019. The improved operating results in the Successor third quarter ended September 30, 2020 primarily reflects lower impairment charges, lower retention expenses and improvements in our organizational structure, partially offset by the decline in demand due to the COVID-19 pandemic. Included in the Successor and Predecessor third quarter is a gain on sale of operational assets. The decline in operating results for the nine months ended September 30, 2020 primarily reflects the decline in demand due to COVID-19 pandemic, long-lived asset impairment charges, goodwill impairment, and inventory charges, partially offset by the lower retention expenses and improvements in our organizational structure.</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Successor segment operating income was $3 million in the third quarter ended September 30, 2020 and $42 million in the nine months ended September 30, 2020, a decrease of $68 million and $97 million, respectively, compared to the Predecessor segment operating income in the third quarter and nine months ended September 30, 2019. The decrease was driven by the decline in demand for services related to COVID-19 pandemic, partially offset by our lower cost structure.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Operating Charges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Successor three months ended September 30, 2020, significant charges incurred totaled $47 million of restructuring, severance and other operating charges. For the Predecessor three months ended September 30, 2019, significant charges incurred totaled $494 million and included $399 million goodwill impairment, $53 million of restructuring charges and $42 million of other operating charges.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Successor nine months ended September 30, 2020, significant charges incurred totaled $1.35 billion and included $818 million related to long-lived asset impairments, $239 million of goodwill impairments, $134 million for inventory charges, and $162 million of restructuring, severance and other charges. For the Predecessor nine months ended September 30, 2019, significant charges incurred totaled $1.03 billion and included $730 million goodwill impairment, $86 million of prepetition charges, $93 million of restructuring charges and $120 million of other operating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consolidated results of operations and financial information by operating segment and other selected information for the periods indicated. The Successor Period and the Predecessor Period are distinct reporting periods as a result of our emergence from bankruptcy on December 13, 2019.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i w:val="1"/>
                <w:iCs w:val="1"/>
                <w:color w:val="auto"/>
              </w:rPr>
              <w:t>(Dollars and shares in millions,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9/30/2019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(Unfavorable)</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Operational Assets Sale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Sale of Businesses, Net</w:t>
            </w:r>
          </w:p>
        </w:tc>
        <w:tc>
          <w:tcPr>
            <w:tcW w:w="160" w:type="dxa"/>
            <w:vAlign w:val="bottom"/>
          </w:tcPr>
          <w:p>
            <w:pPr>
              <w:spacing w:after="0"/>
              <w:rPr>
                <w:sz w:val="19"/>
                <w:szCs w:val="19"/>
                <w:color w:val="auto"/>
              </w:rPr>
            </w:pPr>
          </w:p>
        </w:tc>
        <w:tc>
          <w:tcPr>
            <w:tcW w:w="14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Items</w:t>
            </w:r>
          </w:p>
        </w:tc>
        <w:tc>
          <w:tcPr>
            <w:tcW w:w="160" w:type="dxa"/>
            <w:vAlign w:val="bottom"/>
            <w:shd w:val="clear" w:color="auto" w:fill="CCEEFF"/>
          </w:tcPr>
          <w:p>
            <w:pPr>
              <w:spacing w:after="0"/>
              <w:rPr>
                <w:sz w:val="19"/>
                <w:szCs w:val="19"/>
                <w:color w:val="auto"/>
              </w:rPr>
            </w:pPr>
          </w:p>
        </w:tc>
        <w:tc>
          <w:tcPr>
            <w:tcW w:w="14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Nine Months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data)</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2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9/30/2019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Favorable</w:t>
            </w:r>
          </w:p>
        </w:tc>
        <w:tc>
          <w:tcPr>
            <w:tcW w:w="100" w:type="dxa"/>
            <w:vAlign w:val="bottom"/>
          </w:tcPr>
          <w:p>
            <w:pPr>
              <w:spacing w:after="0"/>
              <w:rPr>
                <w:sz w:val="14"/>
                <w:szCs w:val="14"/>
                <w:color w:val="auto"/>
              </w:rPr>
            </w:pPr>
          </w:p>
        </w:tc>
        <w:tc>
          <w:tcPr>
            <w:tcW w:w="14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(Unfavorable)</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Operational Assets Sale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 Net</w:t>
            </w:r>
          </w:p>
        </w:tc>
        <w:tc>
          <w:tcPr>
            <w:tcW w:w="1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5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Items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Revenues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Western Hemisphere revenues decreased $359 million, or 53%, in the Successor third quarter ended September 30, 2020 and $906 million, or 43%, for the Successor nine months ended September 30, 2020 compared to the Predecessor third quarter and nine months ended September 30, 2019 as the unprecedented global health and economic crisis sparked by the COVID-19 pandemic negatively impacted industry activity. The lower demand for oil and gas created by the impact of the COVID-19 pandemic, together with uncertainty around the extent and timing for an economic recovery, have caused significant reductions to the capital spending plans of exploration and production companies. This resulted in lower activity levels in the U.S. and Canada as a result of a decline in rig related activity and exploration spending, which has reduced demand for drilling, completion and production products and services. We also experienced declines in Latin America with significant activity reductions in Argentina and Columbia due to the COVID-19 pandemic and lower demand for oil and gas.</w:t>
      </w:r>
    </w:p>
    <w:p>
      <w:pPr>
        <w:spacing w:after="0" w:line="2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Eastern Hemisphere revenues decreased $148 million, or 23%, in the Successor third quarter ended September 30, 2020 and $220 million, or 12%, for the Successor nine months ended September 30, 2020 compared to the Predecessor third quarter and nine months ended September 30, 2019 related to a decline in activity in the Middle East, North Africa, Asia and Russia due to COVID-19 pandemic.</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Results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Successor segment operating income was $3 million in the third quarter ended September 30, 2020 and Successor segment operating income was $42 million for the nine months ended September 30, 2020, a decrease of $68 million and $97 million, respectively, compared to the Predecessor third quarter and nine months ended September 30, 2019. The result was principally driven by the impact of the COVID-19 pandemic resulting in lower activity levels in North America as well as third quarter declines in activity internationally, primarily in Latin America, Middle East, North Africa and Russia.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Western Hemisphere Successor segment operating loss of $2 million in the third quarter ended September 30, 2020 and Successor segment operating income of $4 million for the nine months ended September 30, 2020, declined $17 million and $31 million, respectively, compared to the Predecessor third quarter and nine months ended September 30, 2019. The segment income decline was impacted by lower activity levels in North America, Argentina and Colombia, the deterioration in demand for services due to the COVID-19 pandemic and weakening demand for oil and gas.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Eastern Hemisphere Successor segment operating income of $5 million in the third quarter ended September 30, 2020 and $38 million for the nine months ended September 30, 2020 was down by $51 million and $66 million, respectively, compared to the Predecessor third quarter and nine months ended September 30, 2019. The segment income decline was impacted by slowing activity levels, deterioration in demand for services due to the COVID-19 pandemic and weakening demand for oil and gas, partially offset by improved margins on product sales in the Middle East, lower operational costs and reduced employee retention expenses.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Successor interest expense was $79 million in the third quarter ended September 30, 2020 and $196 million for nine months ended September 30, 2020. The Successor interest expense represents interest on our 11.0% Exit Notes due 2024 (“Exit Notes”) and our 8.75% Senior Secured Notes due 2024 (“Senior Secured Notes”) as well as the write-off of unamortized deferred issuance costs of $15 million associated with the termination of our senior secured lending agreement (“ABL Credit Agreement”). See “Note 8 – Borrowings and Other Obligations” to the Condensed Consolidated Financial Statements for further details on the refinancing.</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Predecessor interest expense was $26 million in the third quarter ended September 30, 2019 and $341 million for the nine months ended September 30, 2019. Predecessor interest expense in the third quarter of 2019 is primarily related to the interest on our Debtor-in-Possession Credit Agreement (“DIP Credit Agreement”). In the third quarter of 2019 the Predecessor had unrecognized contractual interest of $133 million (no longer accrued interest) on its unsecured senior notes and the unpaid balance was classified as liabilities subject to compromise. In addition, the Predecessor discontinued the amortization of deferred financing and debt discounts as the unamortized balances were removed in the Predecessor third quarter and recorded as “Reorganization Items” on the Condensed Consolidated Statements of Operations.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Predecessor interest expense in the nine months ended September 30, 2019 primarily represented interest on Predecessor DIP Credit Agreement in the third quarter of 2019 and interest on the Predecessor senior notes and credit agreements for the first half of 2019.</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Items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Predecessor expenses, gains and losses that are realized or incurred as of or subsequent to its petition date and as a direct result of the bankruptcy cases are recorded under “Reorganization Items” on our Condensed Consolidated Statements of Operations. For the three and nine months ended September 30, 2019, Predecessor “Reorganization Items” were $303 million and comprised of $134 million of expense related to the write-off of deferred financing and debt discounts on liabilities subject to compromise that was previously being amortized over the life of the Predecessor senior notes, $81 million of backstop commitment fees, $56 million of debtor-in-possession financing fees, and $32 million of professional fees.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Successor other expense was $20 million in the third quarter ended September 30, 2020 and $56 million for the nine months ended September 30, 2020 compared to Predecessor other expense of $8 million in the third quarter ended September 30, 2019 and $18 million for the nine months ended September 30, 2019. Other expense was primarily driven by foreign currency exchange losses of $13 million in the third quarter of 2020 and $38 million for the nine months ended September 30, 2020 related to currency losses in countries with no or limited markets to hedge. The unfavorable change primarily relates to the weakening of foreign currencies following the onset of COVID-19 pandemic. Other expense also includes letter of credit fees and other financing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Successor three and nine months ended September 30, 2020, we recognized tax expense of $8 million and $64 million, respectively, on a loss before income taxes of $159 million and $1.6 billion, respectively, as compared to the Predecessor three and nine months ended September 30, 2019 where we recognized tax expense of $31 million and $76 million, respectively, on a loss before income taxes of $784 million and $1.5 billion, respectively. Tax expense for the three and nine months ended September 30, 2020 and 2019 includes withholding taxes, minimum taxes and deemed profit taxes that do not directly correlate to ordinary income or loss. Impairments and other charges did not result in significant tax benefit in either period. Tax expense for the Successor nine months ended September 30, 2020 includes $20 million recorded in the first quarter of 2020 to recognize valuation allowance in jurisdictions where we are no longer able to forecast taxable income and a subsequent $11 million release to derecognize such valuation allowance in the current quarter where this was no longer applicable.</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September 30, 2020, we anticipate that it is reasonably possible that our uncertain tax positions of $214 million may decrease by up to $2 million in the next twelve months due to expiration of statutes of limitations, settlements and/or conclusions of tax examinations.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many countries have enacted tax relief measures to provide aid and economic stimulus to companies impacted by the COVID-19 pandemic. For the third quarter and nine months ended September 30, 2020, there were no material tax impacts to our financial statements as it relates to COVID-19 tax relief measures.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Facility Consolidation and Severance Charges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Successor three and nine months ended September 30, 2020, in response to the impact on our business from the COVID-19 pandemic and the significant decline in demand, we initiated additional immediate actions and developed plans to reduce our future cost structure as discussed previously under the “Outlook” subheading in “Item 2. – Management’s Discussion and Analysis of Financial Condition and Results of Operations.” As a result, during the Successor three and nine months ended September 30, 2020, we incurred restructuring and severance charges of $31 million and $114 million, respectively. Additional charges with respect to our ongoing cost reduction actions are expected to be recorded through the remainder of 2020 and could result in additional charges in future periods as we execute and revise our plans.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Please see “Note 7 – Restructuring, Facility Consolidation and Severance Charges” to our Condensed Consolidated Financial Statements for additional details of our charges by segment.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28, 2020, we completed a series of financing transactions that meaningfully enhanced our liquidity, including issuing $500 million of Senior Secured Notes, terminating our ABL Credit Agreement, and amending and increasing the size of our senior secured letter of credit agreement (the “LC Credit Agreement”) to $215 million. The proceeds from our Senior Secured Notes, combined with the termination of our ABL Credit Agreement and the covenants under the ABL Credit Agreement, resulted in the alleviation of our substantial doubt to continue as a going concern that was previously reported at June 30, 2020. See “Note 8 – Borrowings and Other Obligations” to the Condensed Consolidated Financial Statements for further details.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effects of the COVID-19 pandemic have resulted in a significant and continued reduction in international and U.S. economic activity. The imbalance between supply and demand for oil created by the impact of the COVID-19 pandemic, together with uncertainty around the extent and timing for an economic recovery, have caused significant reductions to the capital spending plans of exploration and production companies. This has resulted in weakened demand for our products and services throughout 2020, and caused significant volatility and disruption of the financial markets. This period of extreme economic disruption, low oil prices and reduced demand for our products and services has had, and is likely to continue to have, a significantly negative impact on our business, results of operation and financial condition.</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2020, we had total cash and cash equivalents and restricted cash of $1.3 billion of which $172 million was restricted cash, compared to total cash and cash equivalents and restricted cash of $800 million of which $182 million was restricted cash at December 31, 2019. At September 30, 2020, we had available liquidity of $842 million as defined in our amended LC Credit Agreement and Senior Secured Notes. The following table summarizes cash flows provided by (used in) each type of activity for the nine months ended September 30, 2020 and September 30, 2019:</w:t>
      </w:r>
    </w:p>
    <w:p>
      <w:pPr>
        <w:sectPr>
          <w:pgSz w:w="11900" w:h="16838" w:orient="portrait"/>
          <w:cols w:equalWidth="0" w:num="1">
            <w:col w:w="11240"/>
          </w:cols>
          <w:pgMar w:left="320" w:top="472" w:right="339" w:bottom="1440" w:gutter="0" w:footer="0" w:header="0"/>
        </w:sectPr>
      </w:pPr>
    </w:p>
    <w:p>
      <w:pPr>
        <w:spacing w:after="0" w:line="9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14"/>
        </w:trPr>
        <w:tc>
          <w:tcPr>
            <w:tcW w:w="60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9/30/2020</w:t>
            </w:r>
          </w:p>
        </w:tc>
      </w:tr>
      <w:tr>
        <w:trPr>
          <w:trHeight w:val="21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9"/>
                <w:szCs w:val="19"/>
                <w:color w:val="auto"/>
              </w:rPr>
            </w:pPr>
          </w:p>
        </w:tc>
        <w:tc>
          <w:tcPr>
            <w:tcW w:w="1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20"/>
                <w:szCs w:val="20"/>
                <w:color w:val="auto"/>
              </w:rPr>
            </w:pPr>
          </w:p>
        </w:tc>
        <w:tc>
          <w:tcPr>
            <w:tcW w:w="1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-890905</wp:posOffset>
            </wp:positionV>
            <wp:extent cx="6180455" cy="891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80455"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36"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9/30/2019</w:t>
      </w:r>
    </w:p>
    <w:p>
      <w:pPr>
        <w:spacing w:after="0" w:line="31" w:lineRule="exact"/>
        <w:rPr>
          <w:sz w:val="20"/>
          <w:szCs w:val="20"/>
          <w:color w:val="auto"/>
        </w:rPr>
      </w:pPr>
    </w:p>
    <w:p>
      <w:pPr>
        <w:ind w:left="1232" w:hanging="1232"/>
        <w:spacing w:after="0"/>
        <w:tabs>
          <w:tab w:leader="none" w:pos="123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(679)</w:t>
      </w:r>
    </w:p>
    <w:p>
      <w:pPr>
        <w:spacing w:after="0" w:line="38" w:lineRule="exact"/>
        <w:rPr>
          <w:rFonts w:ascii="Times New Roman" w:cs="Times New Roman" w:eastAsia="Times New Roman" w:hAnsi="Times New Roman"/>
          <w:sz w:val="17"/>
          <w:szCs w:val="17"/>
          <w:color w:val="auto"/>
        </w:rPr>
      </w:pPr>
    </w:p>
    <w:p>
      <w:pPr>
        <w:ind w:left="12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210</w:t>
      </w:r>
    </w:p>
    <w:p>
      <w:pPr>
        <w:spacing w:after="0" w:line="22" w:lineRule="exact"/>
        <w:rPr>
          <w:rFonts w:ascii="Times New Roman" w:cs="Times New Roman" w:eastAsia="Times New Roman" w:hAnsi="Times New Roman"/>
          <w:sz w:val="17"/>
          <w:szCs w:val="17"/>
          <w:color w:val="auto"/>
        </w:rPr>
      </w:pPr>
    </w:p>
    <w:p>
      <w:pPr>
        <w:ind w:left="12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917</w:t>
      </w:r>
    </w:p>
    <w:p>
      <w:pPr>
        <w:spacing w:after="0" w:line="222" w:lineRule="exact"/>
        <w:rPr>
          <w:sz w:val="20"/>
          <w:szCs w:val="20"/>
          <w:color w:val="auto"/>
        </w:rPr>
      </w:pPr>
    </w:p>
    <w:p>
      <w:pPr>
        <w:sectPr>
          <w:pgSz w:w="11900" w:h="16838" w:orient="portrait"/>
          <w:cols w:equalWidth="0" w:num="2">
            <w:col w:w="8540" w:space="308"/>
            <w:col w:w="2392"/>
          </w:cols>
          <w:pgMar w:left="320" w:top="472" w:right="339" w:bottom="1440" w:gutter="0" w:footer="0" w:header="0"/>
          <w:type w:val="continuous"/>
        </w:sectPr>
      </w:pP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Successor was $188 million for the nine months ended September 30, 2020 compared to cash used in operating activities for the Predecessor of $679 million for the nine months ended September 30, 2019. Cash provided by Successor operating activities for the nine months ended September 30, 2020 was driven by improved collections on our accounts receivables, lower payments for working capital activities, lower retention and performance cash bonuses and was partially offset by payments for interest. Cash used in Predecessor operating activities for the nine months ended September 30, 2019 was driven by working capital needs, payments for interest, performance and retention bonuses, severance and other restructuring and transformation costs. In the Predecessor nine months ended September 30, 2019, cash used in operating activities included payments for prepetition and “Reorganization Items” charges primarily for professional and other fees.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Successor was $89 million for the nine months ended September 30, 2020 compared to cash provided by investing activities for the Predecessor of $210 million for the nine months ended September 30, 2019.</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Successor nine months ended September 30, 2020, the primary uses of cash in investing activities were (i) capital expenditures of $100 million for property, plant and equipment and (ii) cash paid of $24 million related to a deferred payment for our 2018 acquisition of our Qatari joint venture. During the Successor nine months ended September 30, 2020, the primary sources of cash from investing activities included $13 million from other asset dispositions and $25 million of cash proceeds from Angolan government bonds. The amount we spend for capital expenditures varies each year and is based on the types of contracts into which we enter, our asset availability and our expectations with respect to activity levels.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30" w:name="page31"/>
    <w:bookmarkEnd w:id="30"/>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Predecessor nine months ended September 30, 2019, the primary uses of cash in investing activities were (i) capital expenditures of $177 million for property, plant and equipment and the acquisition of assets held for sale and (ii) cash paid of $12 million to acquire intellectual property and other intangibles. During the Predecessor nine months ended September 30, 2019, the primary sources of cash from investing activities were (i) proceeds from the sale of business of $319 million, primarily from the completed dispositions of our land drilling rigs operations, reservoir solutions and surface data logging businesses and (ii) proceeds of $80 million from the disposition of other assets.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provided by financing activities was $400 million for the Successor nine months ended September 30, 2020 compared to cash provided by financing activities for the Predecessor of $917 million for the nine months ended September 30, 2019. For the Successor nine months ended September 30, 2020 we received net proceeds of $457 million from the issuance of our Senior Secured Notes and used cash of $57 million for the repayment of debt and other financing activities.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the Predecessor had borrowings of $1.4 billion under the DIP Credit Agreement, short-term borrowings net of repayments of $25 million primarily from the Predecessor revolving credit agreements, and long-term debt repayments of $317 million for payments on the Predecessor term loan agreement and financed leases. In addition, the Predecessor paid $110 million in DIP financing fees and on the backstop agreement pursuant to the plan of reorganization.</w:t>
      </w:r>
    </w:p>
    <w:p>
      <w:pPr>
        <w:spacing w:after="0" w:line="207"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The proceeds of the borrowings under the DIP Credit Agreement were used to repay certain prepetition indebtedness, cash collateralized certain obligations with respect to letters of credit and similar instruments and finance the working capital needs and general corporate purposes of the Predecessor.</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sources of available liquidity going forward include cash generated by our operations, cash and cash equivalent balances, accounts receivable factoring, dispositions, and availability under our LC Credit Agreement. We have an aggregate commitments of $215 million under the LC Credit Agreement for issuance of letters of credit. At September 30, 2020, we had approximately $168 million in outstanding letters of credit under the LC Credit Agreement and availability of $47 million. At September 30, 2020, we had available liquidity of $842 million as defined in our LC Credit Agreement and Senior Secured Notes. At September 30, 2020, we had sufficient liquidity to operate our business.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historically have accessed banks for short-term loans and have accessed the capital markets with debt and equity offerings. However, the energy industry continues to have negative sentiment in the market which has impacted the ability of energy sector participants to access appropriate amounts of capital and under suitable terms. Although we may have access to capital markets, it may not be on terms that are commercially acceptable to the Company. From time to time we may enter into transactions to dispose of businesses or capital assets that no longer fit our long-term strategy.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weak economic environments, we may experience increased delays and failures to pay our invoices due to, among other reasons, a reduction in our customers’ cash flow from operations and their access to the credit markets as well as unsettled political conditions. Given the nature and significance of the COVID-19 pandemic and disruption in the oil and gas industry, we could experience delayed customer payments and payment defaults associated with customer liquidity issues and bankruptcies.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anticipate our cash requirements will continue to include interest payments primarily on our long-term debt and credit agreements, payments for capital expenditures, repayment of financed leases, payments for short-term working capital needs and costs associated with our revenue and cost improvement efforts under our restructuring plans, including severance payments. Our cash requirements may also include business acquisitions, awards under our employee incentive programs and other amounts to settle litigation related matters. We anticipate funding these requirements from cash and cash equivalent balances, accounts receivable factoring and proceeds from disposals of businesses or capital assets that no longer fit our long-term strategy. However, the weak operating environment has led to the inability to predict the depth and length of the adverse</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economic impact on the industry. The actions taken by management to preserve liquidity and capital include the reduction of capital expenditures, consolidation of product lines to eliminate redundancy, exiting from sub-scale operations and a higher level of headcount reductions.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challenging outlook, our capital spending for 2020 is projected to be between approximately $100 - $150 million, a reduction of approximately 50% from 2019. Expenditures are expected to be used primarily to support the ongoing activities and commitments in our core business. If we are unable to generate sufficient cash flows or access other sources of liquidity described in the previous paragraph, we may need to further reduce or eliminate our anticipated capital expenditures in the fourth quarter of 2020 which would further impact the business.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(including restricted cash of $172 million primarily related to cash collateral on our letters of credit) totaled $1.3 billion at September 30, 2020, and are held by subsidiaries outside of Ireland, our taxing jurisdiction. We have in excess of $130 million of our cash and cash equivalents that cannot be immediately repatriated from various countries due to country central bank controls or other regulations. Based on the nature of our structure, other than the restrictions noted above, we are generally able to redeploy cash with no incremental tax.</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our Moody’s Investor Services credit rating on the newly issued Senior Secured Notes and our senior secured LC Credit Agreement was Ba3, with a negative outlook. Our Exit Notes have a credit rating of B3 with a negative outlook. At September 30, 2020, our S&amp;P credit rating on our Senior Secured Notes and our LC Agreement was B-, with a negative outlook. The credit rating on our Exit Notes was CCC with a negative outlook.</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may continue to have access to credit markets, our non-investment grade status, restrictions under our Exit Notes, Senior Secured Notes and LC agreement, and the industry downturn could limit our ability to raise capital, refinance our existing debt, or could cause us to refinance or issue debt with less favorable and more restrictive terms and conditions, and could increase certain fees and interest of our borrowings. Suppliers and financial institutions may lower or eliminate the level of credit provided through payment or intraday funding when dealing with us thereby increasing the need for higher levels of cash on hand, which could decrease our ability to repay debt balances, negatively affect our cash flow and impact our access to the inventory and services needed to operate our business.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Weatherford International plc, a public limited company organized under the laws of Ireland, and as the ultimate parent of the Weatherford group, guarantees the obligations of its subsidiaries. Please see our discussion on guarantees in “Part II - Item 7 - Management’s Discussion and Analysis of Financial Condition and Results of Operation” of our 2019 Annual Report.</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Letters of Credit and Surety Bonds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had $346 million of letters of credit outstanding, consisting of $168 million under the LC Credit Agreement and $178 million under various uncommitted facilities (of which there was $170 million in cash collateral held and recorded in “Restricted Cash” on the Condensed Consolidated Balance Sheets). On August 28, 2020, we terminated our ABL Credit Agreement and all letters of credit outstanding under the ABL Credit Agreement were either cash collateralized or transferred to issuing banks under the LC Agreement.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Latin America we utilize surety bonds as part of our customary business practice. These obligations could be called by the beneficiaries should we breach certain contractual or performance obligations.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 is based upon our Condensed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2019 Annual Report and our second quarter Form 10-Q filed on August 14, 2020.</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 Risk Factors”, sets forth certain risks and uncertainties relating to our forward-looking statements that may cause actual results to be materially different from our present expectations or projections:</w:t>
      </w:r>
    </w:p>
    <w:p>
      <w:pPr>
        <w:spacing w:after="0" w:line="216" w:lineRule="exact"/>
        <w:rPr>
          <w:sz w:val="20"/>
          <w:szCs w:val="20"/>
          <w:color w:val="auto"/>
        </w:rPr>
      </w:pPr>
    </w:p>
    <w:p>
      <w:pPr>
        <w:jc w:val="both"/>
        <w:ind w:left="740" w:hanging="327"/>
        <w:spacing w:after="0" w:line="255"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OPEC;</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9" w:lineRule="exact"/>
        <w:rPr>
          <w:rFonts w:ascii="Times New Roman" w:cs="Times New Roman" w:eastAsia="Times New Roman" w:hAnsi="Times New Roman"/>
          <w:sz w:val="18"/>
          <w:szCs w:val="18"/>
          <w:color w:val="auto"/>
        </w:rPr>
      </w:pPr>
    </w:p>
    <w:p>
      <w:pPr>
        <w:ind w:left="740" w:hanging="327"/>
        <w:spacing w:after="0" w:line="250"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senior management;</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9" w:lineRule="exact"/>
        <w:rPr>
          <w:rFonts w:ascii="Times New Roman" w:cs="Times New Roman" w:eastAsia="Times New Roman" w:hAnsi="Times New Roman"/>
          <w:sz w:val="18"/>
          <w:szCs w:val="18"/>
          <w:color w:val="auto"/>
        </w:rPr>
      </w:pPr>
    </w:p>
    <w:p>
      <w:pPr>
        <w:jc w:val="both"/>
        <w:ind w:left="740" w:hanging="327"/>
        <w:spacing w:after="0" w:line="250"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 and</w:t>
      </w:r>
    </w:p>
    <w:p>
      <w:pPr>
        <w:spacing w:after="0" w:line="9" w:lineRule="exact"/>
        <w:rPr>
          <w:rFonts w:ascii="Times New Roman" w:cs="Times New Roman" w:eastAsia="Times New Roman" w:hAnsi="Times New Roman"/>
          <w:sz w:val="18"/>
          <w:szCs w:val="18"/>
          <w:color w:val="auto"/>
        </w:rPr>
      </w:pPr>
    </w:p>
    <w:p>
      <w:pPr>
        <w:ind w:left="740" w:right="200" w:hanging="327"/>
        <w:spacing w:after="0" w:line="260"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environmental and tax and accounting laws, rules and regulations.</w:t>
      </w:r>
    </w:p>
    <w:p>
      <w:pPr>
        <w:spacing w:after="0" w:line="2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33" w:name="page34"/>
    <w:bookmarkEnd w:id="33"/>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should underlying assumptions prove incorrect, our actual results, performance or achievements may vary materially from those described in this quarterly report as anticipated, believed, estimated, expected, intended, planned or projected.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our other filings with the SEC. Our annual reports on Form 10-K, quarterly reports on Form 10-Q, current reports on Form 8-K and amendments to those reports filed or furnished with the SEC are made available free of charge on our web site www.weatherford.com under “Investor Relations” as soon as reasonably practicable after we have electronically filed the material with, or furnished it to, the SEC.</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2019. Other than the decrease in the fair value of our debt as discussed in “Note 8 – Borrowings and Other Obligations” to our Condensed Consolidated Financial Statements, our exposure to market risk has not changed materially since December 31, 2019.</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Disclosure controls and procedures (as defined in Rules 13a-15(e) and 15d-15(e)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period ended September 30, 2020, management enhanced existing controls by designing and implementing new controls to remediate the material weakness in internal controls disclosed in our Form 10-Q as of June 30, 2020 over the review of the net book values by long-lived asset group and reporting segment used in the long-lived assets impairment assessment. However, during the three months ended September 30, 2020, there were not a sufficient number of instances of the operation of these controls to conclude that the material weakness in internal control was remediated. Consequently, our CEO and CFO concluded that our disclosure controls and procedures as of the end of the period covered by this quarterly report were not effective.</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controls implemented to remediate the material weakness described above, there were no other changes in our internal control over financial reporting that occurred during the three months ended September 30, 2020 that have materially affected, or are reasonably likely to materially affect, our internal control over financial reporting.</w:t>
      </w: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Disputes and Litigation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10 – Disputes, Litigation and Contingencies” to our Condensed Consolidated Financial Statements for details regarding our ongoing disputes and litigation.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2019 Annual Report, Part I, under the heading “Item 1A. – Risk Factors” and other information included and incorporated by reference in this report. As of September 30, 2020, there have been no material changes in our assessment of our risk factors from those set forth in our second quarter Form 10-Q filed on August 14, 2020.</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34" w:name="page35"/>
    <w:bookmarkEnd w:id="34"/>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30, 2020, the Board of Directors of the Company approved the Weatherford International plc Second Amended and Restated 2019 Equity Incentive Plan, which, among other things, increases the number of shares available for issuance to 8,600,000, revises the applicable definition of “change in control” to exclude certain restructuring events and remove a liquidation or dissolution as a trigger, and conforms the plan to the Company’s recently revised Compensation Clawback Policy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21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040" w:type="dxa"/>
            <w:vAlign w:val="bottom"/>
            <w:tcBorders>
              <w:bottom w:val="single" w:sz="8" w:color="auto"/>
            </w:tcBorders>
            <w:gridSpan w:val="3"/>
            <w:vMerge w:val="continue"/>
          </w:tcPr>
          <w:p>
            <w:pPr>
              <w:spacing w:after="0"/>
              <w:rPr>
                <w:sz w:val="19"/>
                <w:szCs w:val="19"/>
                <w:color w:val="auto"/>
              </w:rPr>
            </w:pPr>
          </w:p>
        </w:tc>
        <w:tc>
          <w:tcPr>
            <w:tcW w:w="284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jc w:val="center"/>
              <w:ind w:right="7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5040" w:type="dxa"/>
            <w:vAlign w:val="bottom"/>
            <w:gridSpan w:val="3"/>
            <w:shd w:val="clear" w:color="auto" w:fill="CCEEFF"/>
          </w:tcPr>
          <w:p>
            <w:pPr>
              <w:spacing w:after="0" w:line="18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Memorandum and Articles of Association of</w:t>
              </w:r>
            </w:hyperlink>
          </w:p>
        </w:tc>
        <w:tc>
          <w:tcPr>
            <w:tcW w:w="284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Exhibit 3.1 of the Company’s</w:t>
            </w:r>
          </w:p>
        </w:tc>
        <w:tc>
          <w:tcPr>
            <w:tcW w:w="2120" w:type="dxa"/>
            <w:vAlign w:val="bottom"/>
            <w:shd w:val="clear" w:color="auto" w:fill="CCEEFF"/>
          </w:tcPr>
          <w:p>
            <w:pPr>
              <w:ind w:left="360"/>
              <w:spacing w:after="0" w:line="182"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494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Weatherford International public limited company.</w:t>
              </w:r>
            </w:hyperlink>
          </w:p>
        </w:tc>
        <w:tc>
          <w:tcPr>
            <w:tcW w:w="100" w:type="dxa"/>
            <w:vAlign w:val="bottom"/>
            <w:tcBorders>
              <w:top w:val="single" w:sz="8" w:color="CCEEFF"/>
            </w:tcBorders>
            <w:shd w:val="clear" w:color="auto" w:fill="CCEEFF"/>
          </w:tcPr>
          <w:p>
            <w:pPr>
              <w:spacing w:after="0"/>
              <w:rPr>
                <w:sz w:val="13"/>
                <w:szCs w:val="13"/>
                <w:color w:val="auto"/>
              </w:rPr>
            </w:pPr>
          </w:p>
        </w:tc>
        <w:tc>
          <w:tcPr>
            <w:tcW w:w="2840" w:type="dxa"/>
            <w:vAlign w:val="bottom"/>
            <w:tcBorders>
              <w:top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Current Report on Form 8-K</w:t>
            </w:r>
          </w:p>
        </w:tc>
        <w:tc>
          <w:tcPr>
            <w:tcW w:w="2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3640" w:type="dxa"/>
            <w:vAlign w:val="bottom"/>
            <w:tcBorders>
              <w:top w:val="single" w:sz="8" w:color="0000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filed December 18, 2019</w:t>
            </w:r>
          </w:p>
        </w:tc>
        <w:tc>
          <w:tcPr>
            <w:tcW w:w="2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72" w:right="339" w:bottom="1440" w:gutter="0" w:footer="0" w:header="0"/>
        </w:sectPr>
      </w:pPr>
    </w:p>
    <w:p>
      <w:pPr>
        <w:ind w:left="1240" w:hanging="811"/>
        <w:spacing w:after="0" w:line="219"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56">
        <w:r>
          <w:rPr>
            <w:rFonts w:ascii="Times New Roman" w:cs="Times New Roman" w:eastAsia="Times New Roman" w:hAnsi="Times New Roman"/>
            <w:sz w:val="18"/>
            <w:szCs w:val="18"/>
            <w:u w:val="single" w:color="auto"/>
            <w:color w:val="0000FF"/>
          </w:rPr>
          <w:t>Indenture, dated August 28, 2020, by and among Weatherford</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International Ltd., as issuer, the guarantors party thereto and</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Wilmington Trust, National Association, as trustee and collateral</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68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21" w:lineRule="auto"/>
        <w:tabs>
          <w:tab w:leader="none" w:pos="3080" w:val="left"/>
        </w:tabs>
        <w:rPr>
          <w:sz w:val="20"/>
          <w:szCs w:val="20"/>
          <w:color w:val="auto"/>
        </w:rPr>
      </w:pPr>
      <w:r>
        <w:rPr>
          <w:rFonts w:ascii="Times New Roman" w:cs="Times New Roman" w:eastAsia="Times New Roman" w:hAnsi="Times New Roman"/>
          <w:sz w:val="18"/>
          <w:szCs w:val="18"/>
          <w:color w:val="auto"/>
        </w:rPr>
        <w:t>Exhibit 4.1 of the Company’s</w:t>
      </w:r>
      <w:r>
        <w:rPr>
          <w:sz w:val="20"/>
          <w:szCs w:val="20"/>
          <w:color w:val="auto"/>
        </w:rPr>
        <w:tab/>
      </w:r>
      <w:r>
        <w:rPr>
          <w:rFonts w:ascii="Times New Roman" w:cs="Times New Roman" w:eastAsia="Times New Roman" w:hAnsi="Times New Roman"/>
          <w:sz w:val="18"/>
          <w:szCs w:val="18"/>
          <w:color w:val="auto"/>
        </w:rPr>
        <w:t>File No. 1-36504</w:t>
      </w:r>
    </w:p>
    <w:p>
      <w:pPr>
        <w:spacing w:after="0" w:line="203" w:lineRule="auto"/>
        <w:rPr>
          <w:sz w:val="20"/>
          <w:szCs w:val="20"/>
          <w:color w:val="auto"/>
        </w:rPr>
      </w:pPr>
      <w:r>
        <w:rPr>
          <w:rFonts w:ascii="Times New Roman" w:cs="Times New Roman" w:eastAsia="Times New Roman" w:hAnsi="Times New Roman"/>
          <w:sz w:val="18"/>
          <w:szCs w:val="18"/>
          <w:color w:val="auto"/>
        </w:rPr>
        <w:t>Current Report on Form 8-K</w:t>
      </w:r>
    </w:p>
    <w:p>
      <w:pPr>
        <w:spacing w:after="0"/>
        <w:rPr>
          <w:sz w:val="20"/>
          <w:szCs w:val="20"/>
          <w:color w:val="auto"/>
        </w:rPr>
      </w:pPr>
      <w:r>
        <w:rPr>
          <w:rFonts w:ascii="Times New Roman" w:cs="Times New Roman" w:eastAsia="Times New Roman" w:hAnsi="Times New Roman"/>
          <w:sz w:val="18"/>
          <w:szCs w:val="18"/>
          <w:color w:val="auto"/>
        </w:rPr>
        <w:t>filed August 28, 2020</w:t>
      </w:r>
    </w:p>
    <w:p>
      <w:pPr>
        <w:spacing w:after="0" w:line="18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900" w:space="480"/>
            <w:col w:w="4860"/>
          </w:cols>
          <w:pgMar w:left="320" w:top="472" w:right="339" w:bottom="1440" w:gutter="0" w:footer="0" w:header="0"/>
          <w:type w:val="continuous"/>
        </w:sectPr>
      </w:pPr>
    </w:p>
    <w:p>
      <w:pPr>
        <w:ind w:left="420"/>
        <w:spacing w:after="0" w:line="221" w:lineRule="auto"/>
        <w:tabs>
          <w:tab w:leader="none" w:pos="1220" w:val="left"/>
          <w:tab w:leader="none" w:pos="6360" w:val="left"/>
          <w:tab w:leader="none" w:pos="9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56">
        <w:r>
          <w:rPr>
            <w:rFonts w:ascii="Times New Roman" w:cs="Times New Roman" w:eastAsia="Times New Roman" w:hAnsi="Times New Roman"/>
            <w:sz w:val="18"/>
            <w:szCs w:val="18"/>
            <w:u w:val="single" w:color="auto"/>
            <w:color w:val="0000FF"/>
          </w:rPr>
          <w:t>Form of Senior Secured Note (included in Exhibit 4.1).</w:t>
        </w:r>
      </w:hyperlink>
      <w:r>
        <w:rPr>
          <w:rFonts w:ascii="Times New Roman" w:cs="Times New Roman" w:eastAsia="Times New Roman" w:hAnsi="Times New Roman"/>
          <w:sz w:val="18"/>
          <w:szCs w:val="18"/>
          <w:u w:val="single" w:color="auto"/>
          <w:color w:val="0000FF"/>
        </w:rPr>
        <w:tab/>
        <w:t>Exhibit 4.2 of the Company’s</w:t>
        <w:tab/>
        <w:t>File No. 1-36504</w:t>
      </w:r>
    </w:p>
    <w:p>
      <w:pPr>
        <w:ind w:left="6380"/>
        <w:spacing w:after="0" w:line="204" w:lineRule="auto"/>
        <w:rPr>
          <w:sz w:val="20"/>
          <w:szCs w:val="20"/>
          <w:color w:val="auto"/>
        </w:rPr>
      </w:pPr>
      <w:r>
        <w:rPr>
          <w:rFonts w:ascii="Times New Roman" w:cs="Times New Roman" w:eastAsia="Times New Roman" w:hAnsi="Times New Roman"/>
          <w:sz w:val="18"/>
          <w:szCs w:val="18"/>
          <w:color w:val="auto"/>
        </w:rPr>
        <w:t>Current Report on Form 8-K</w:t>
      </w:r>
    </w:p>
    <w:p>
      <w:pPr>
        <w:ind w:left="6380"/>
        <w:spacing w:after="0"/>
        <w:rPr>
          <w:sz w:val="20"/>
          <w:szCs w:val="20"/>
          <w:color w:val="auto"/>
        </w:rPr>
      </w:pPr>
      <w:r>
        <w:rPr>
          <w:rFonts w:ascii="Times New Roman" w:cs="Times New Roman" w:eastAsia="Times New Roman" w:hAnsi="Times New Roman"/>
          <w:sz w:val="18"/>
          <w:szCs w:val="18"/>
          <w:color w:val="auto"/>
        </w:rPr>
        <w:t>filed August 28, 2020</w:t>
      </w:r>
    </w:p>
    <w:p>
      <w:pPr>
        <w:sectPr>
          <w:pgSz w:w="11900" w:h="16838" w:orient="portrait"/>
          <w:cols w:equalWidth="0" w:num="1">
            <w:col w:w="11240"/>
          </w:cols>
          <w:pgMar w:left="320" w:top="472" w:right="339" w:bottom="1440" w:gutter="0" w:footer="0" w:header="0"/>
          <w:type w:val="continuous"/>
        </w:sectPr>
      </w:pPr>
    </w:p>
    <w:p>
      <w:pPr>
        <w:spacing w:after="0" w:line="7" w:lineRule="exact"/>
        <w:rPr>
          <w:rFonts w:ascii="Times New Roman" w:cs="Times New Roman" w:eastAsia="Times New Roman" w:hAnsi="Times New Roman"/>
          <w:sz w:val="18"/>
          <w:szCs w:val="18"/>
          <w:u w:val="single" w:color="auto"/>
          <w:color w:val="0000FF"/>
        </w:rPr>
      </w:pPr>
    </w:p>
    <w:p>
      <w:pPr>
        <w:ind w:left="1240" w:hanging="856"/>
        <w:spacing w:after="0" w:line="241"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58">
        <w:r>
          <w:rPr>
            <w:rFonts w:ascii="Times New Roman" w:cs="Times New Roman" w:eastAsia="Times New Roman" w:hAnsi="Times New Roman"/>
            <w:sz w:val="18"/>
            <w:szCs w:val="18"/>
            <w:u w:val="single" w:color="auto"/>
            <w:color w:val="0000FF"/>
          </w:rPr>
          <w:t>Amendment No. 1 to LC Credit Agreement and Amendment No. 1 to</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U.S. Security Agreement, dated August 28, 2020, by and among</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Weatherford International Ltd., Weatherford International plc,</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Weatherford International LLC, the other guarantors of the LC Credit</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Agreement, Deutsche Bank Trust Company Americas and the lenders</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under the LC Credit Agreement.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29" w:lineRule="auto"/>
        <w:tabs>
          <w:tab w:leader="none" w:pos="308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8"/>
          <w:szCs w:val="18"/>
          <w:color w:val="auto"/>
        </w:rPr>
        <w:t>File No. 1-36504</w:t>
      </w:r>
    </w:p>
    <w:p>
      <w:pPr>
        <w:spacing w:after="0" w:line="204" w:lineRule="auto"/>
        <w:rPr>
          <w:sz w:val="20"/>
          <w:szCs w:val="20"/>
          <w:color w:val="auto"/>
        </w:rPr>
      </w:pPr>
      <w:r>
        <w:rPr>
          <w:rFonts w:ascii="Times New Roman" w:cs="Times New Roman" w:eastAsia="Times New Roman" w:hAnsi="Times New Roman"/>
          <w:sz w:val="18"/>
          <w:szCs w:val="18"/>
          <w:color w:val="auto"/>
        </w:rPr>
        <w:t>Current Report on Form 8-K</w:t>
      </w:r>
    </w:p>
    <w:p>
      <w:pPr>
        <w:spacing w:after="0"/>
        <w:rPr>
          <w:sz w:val="20"/>
          <w:szCs w:val="20"/>
          <w:color w:val="auto"/>
        </w:rPr>
      </w:pPr>
      <w:r>
        <w:rPr>
          <w:rFonts w:ascii="Times New Roman" w:cs="Times New Roman" w:eastAsia="Times New Roman" w:hAnsi="Times New Roman"/>
          <w:sz w:val="18"/>
          <w:szCs w:val="18"/>
          <w:color w:val="auto"/>
        </w:rPr>
        <w:t>filed August 28, 2020</w:t>
      </w:r>
    </w:p>
    <w:p>
      <w:pPr>
        <w:spacing w:after="0" w:line="69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60" w:space="120"/>
            <w:col w:w="4860"/>
          </w:cols>
          <w:pgMar w:left="320" w:top="47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10.2</w:t>
            </w:r>
          </w:p>
        </w:tc>
        <w:tc>
          <w:tcPr>
            <w:tcW w:w="5060" w:type="dxa"/>
            <w:vAlign w:val="bottom"/>
            <w:gridSpan w:val="5"/>
            <w:shd w:val="clear" w:color="auto" w:fill="CCEEFF"/>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LC Credit Agreement, dated December 13, 2019 (as amended by</w:t>
              </w:r>
            </w:hyperlink>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10.2 to the Company’s Current</w:t>
            </w:r>
          </w:p>
        </w:tc>
        <w:tc>
          <w:tcPr>
            <w:tcW w:w="1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 No. 1-36504</w:t>
            </w:r>
          </w:p>
        </w:tc>
      </w:tr>
      <w:tr>
        <w:trPr>
          <w:trHeight w:val="182"/>
        </w:trPr>
        <w:tc>
          <w:tcPr>
            <w:tcW w:w="124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0000FF"/>
            </w:tcBorders>
            <w:gridSpan w:val="4"/>
            <w:shd w:val="clear" w:color="auto" w:fill="CCEEFF"/>
          </w:tcPr>
          <w:p>
            <w:pPr>
              <w:spacing w:after="0" w:line="18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Amendment No. 1, dated August 28, 2020), by and among</w:t>
              </w:r>
            </w:hyperlink>
          </w:p>
        </w:tc>
        <w:tc>
          <w:tcPr>
            <w:tcW w:w="38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CCEEFF"/>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Report on Form 8-K filed August 28,</w:t>
            </w:r>
          </w:p>
        </w:tc>
        <w:tc>
          <w:tcPr>
            <w:tcW w:w="1840" w:type="dxa"/>
            <w:vAlign w:val="bottom"/>
            <w:tcBorders>
              <w:top w:val="single" w:sz="8" w:color="CCEEFF"/>
            </w:tcBorders>
            <w:shd w:val="clear" w:color="auto" w:fill="CCEEFF"/>
          </w:tcPr>
          <w:p>
            <w:pPr>
              <w:spacing w:after="0"/>
              <w:rPr>
                <w:sz w:val="15"/>
                <w:szCs w:val="15"/>
                <w:color w:val="auto"/>
              </w:rPr>
            </w:pPr>
          </w:p>
        </w:tc>
      </w:tr>
      <w:tr>
        <w:trPr>
          <w:trHeight w:val="183"/>
        </w:trPr>
        <w:tc>
          <w:tcPr>
            <w:tcW w:w="124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0000FF"/>
            </w:tcBorders>
            <w:shd w:val="clear" w:color="auto" w:fill="CCEEFF"/>
          </w:tcPr>
          <w:p>
            <w:pPr>
              <w:spacing w:after="0" w:line="18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Weatherford International Ltd., Weatherford International</w:t>
              </w:r>
            </w:hyperlink>
          </w:p>
        </w:tc>
        <w:tc>
          <w:tcPr>
            <w:tcW w:w="840" w:type="dxa"/>
            <w:vAlign w:val="bottom"/>
            <w:tcBorders>
              <w:top w:val="single" w:sz="8" w:color="CCEEFF"/>
            </w:tcBorders>
            <w:gridSpan w:val="4"/>
            <w:shd w:val="clear" w:color="auto" w:fill="CCEEFF"/>
          </w:tcPr>
          <w:p>
            <w:pPr>
              <w:spacing w:after="0" w:line="18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plc,</w:t>
              </w:r>
            </w:hyperlink>
          </w:p>
        </w:tc>
        <w:tc>
          <w:tcPr>
            <w:tcW w:w="3100" w:type="dxa"/>
            <w:vAlign w:val="bottom"/>
            <w:tcBorders>
              <w:top w:val="single" w:sz="8" w:color="CCEEFF"/>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2020 (included in Exhibit 10.1 to the</w:t>
            </w:r>
          </w:p>
        </w:tc>
        <w:tc>
          <w:tcPr>
            <w:tcW w:w="1840" w:type="dxa"/>
            <w:vAlign w:val="bottom"/>
            <w:tcBorders>
              <w:top w:val="single" w:sz="8" w:color="CCEEFF"/>
            </w:tcBorders>
            <w:shd w:val="clear" w:color="auto" w:fill="CCEEFF"/>
          </w:tcPr>
          <w:p>
            <w:pPr>
              <w:spacing w:after="0"/>
              <w:rPr>
                <w:sz w:val="15"/>
                <w:szCs w:val="15"/>
                <w:color w:val="auto"/>
              </w:rPr>
            </w:pPr>
          </w:p>
        </w:tc>
      </w:tr>
      <w:tr>
        <w:trPr>
          <w:trHeight w:val="18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446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6"/>
              </w:rPr>
            </w:pPr>
            <w:hyperlink r:id="rId58">
              <w:r>
                <w:rPr>
                  <w:rFonts w:ascii="Times New Roman" w:cs="Times New Roman" w:eastAsia="Times New Roman" w:hAnsi="Times New Roman"/>
                  <w:sz w:val="18"/>
                  <w:szCs w:val="18"/>
                  <w:color w:val="0000FF"/>
                  <w:w w:val="96"/>
                </w:rPr>
                <w:t>Weatherford International LLC, Deutsche Bank Trust Company</w:t>
              </w:r>
            </w:hyperlink>
          </w:p>
        </w:tc>
        <w:tc>
          <w:tcPr>
            <w:tcW w:w="140" w:type="dxa"/>
            <w:vAlign w:val="bottom"/>
            <w:tcBorders>
              <w:top w:val="single" w:sz="8" w:color="CCEEFF"/>
              <w:bottom w:val="single" w:sz="8" w:color="0000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100" w:type="dxa"/>
            <w:vAlign w:val="bottom"/>
            <w:tcBorders>
              <w:top w:val="single" w:sz="8" w:color="CCEEFF"/>
              <w:bottom w:val="single" w:sz="8" w:color="CCEEFF"/>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Company’s Current Report on Form 8-K</w:t>
            </w:r>
          </w:p>
        </w:tc>
        <w:tc>
          <w:tcPr>
            <w:tcW w:w="18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1"/>
        </w:trPr>
        <w:tc>
          <w:tcPr>
            <w:tcW w:w="1240" w:type="dxa"/>
            <w:vAlign w:val="bottom"/>
            <w:shd w:val="clear" w:color="auto" w:fill="CCEEFF"/>
          </w:tcPr>
          <w:p>
            <w:pPr>
              <w:spacing w:after="0"/>
              <w:rPr>
                <w:sz w:val="16"/>
                <w:szCs w:val="16"/>
                <w:color w:val="auto"/>
              </w:rPr>
            </w:pPr>
          </w:p>
        </w:tc>
        <w:tc>
          <w:tcPr>
            <w:tcW w:w="5060" w:type="dxa"/>
            <w:vAlign w:val="bottom"/>
            <w:gridSpan w:val="5"/>
            <w:shd w:val="clear" w:color="auto" w:fill="CCEEFF"/>
          </w:tcPr>
          <w:p>
            <w:pPr>
              <w:spacing w:after="0" w:line="191" w:lineRule="exact"/>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Americas and the lenders party thereto from time to time (included in</w:t>
              </w:r>
            </w:hyperlink>
          </w:p>
        </w:tc>
        <w:tc>
          <w:tcPr>
            <w:tcW w:w="310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filed August 28, 2020)</w:t>
            </w:r>
          </w:p>
        </w:tc>
        <w:tc>
          <w:tcPr>
            <w:tcW w:w="1840" w:type="dxa"/>
            <w:vAlign w:val="bottom"/>
            <w:shd w:val="clear" w:color="auto" w:fill="CCEEFF"/>
          </w:tcPr>
          <w:p>
            <w:pPr>
              <w:spacing w:after="0"/>
              <w:rPr>
                <w:sz w:val="16"/>
                <w:szCs w:val="16"/>
                <w:color w:val="auto"/>
              </w:rPr>
            </w:pPr>
          </w:p>
        </w:tc>
      </w:tr>
      <w:tr>
        <w:trPr>
          <w:trHeight w:val="248"/>
        </w:trPr>
        <w:tc>
          <w:tcPr>
            <w:tcW w:w="1240" w:type="dxa"/>
            <w:vAlign w:val="bottom"/>
            <w:shd w:val="clear" w:color="auto" w:fill="CCEEFF"/>
          </w:tcPr>
          <w:p>
            <w:pPr>
              <w:spacing w:after="0"/>
              <w:rPr>
                <w:sz w:val="21"/>
                <w:szCs w:val="21"/>
                <w:color w:val="auto"/>
              </w:rPr>
            </w:pPr>
          </w:p>
        </w:tc>
        <w:tc>
          <w:tcPr>
            <w:tcW w:w="506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Exhibit 10.1).</w:t>
              </w:r>
            </w:hyperlink>
          </w:p>
        </w:tc>
        <w:tc>
          <w:tcPr>
            <w:tcW w:w="3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810"/>
        </w:trPr>
        <w:tc>
          <w:tcPr>
            <w:tcW w:w="1240" w:type="dxa"/>
            <w:vAlign w:val="bottom"/>
          </w:tcPr>
          <w:p>
            <w:pPr>
              <w:spacing w:after="0"/>
              <w:rPr>
                <w:sz w:val="24"/>
                <w:szCs w:val="24"/>
                <w:color w:val="auto"/>
              </w:rPr>
            </w:pPr>
          </w:p>
        </w:tc>
        <w:tc>
          <w:tcPr>
            <w:tcW w:w="4680" w:type="dxa"/>
            <w:vAlign w:val="bottom"/>
            <w:gridSpan w:val="4"/>
          </w:tcPr>
          <w:p>
            <w:pPr>
              <w:ind w:left="446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360" w:type="dxa"/>
            <w:vAlign w:val="bottom"/>
            <w:gridSpan w:val="7"/>
          </w:tcPr>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2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1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19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211"/>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20" w:type="dxa"/>
            <w:vAlign w:val="bottom"/>
            <w:gridSpan w:val="6"/>
            <w:vMerge w:val="continue"/>
          </w:tcPr>
          <w:p>
            <w:pPr>
              <w:spacing w:after="0"/>
              <w:rPr>
                <w:sz w:val="18"/>
                <w:szCs w:val="18"/>
                <w:color w:val="auto"/>
              </w:rPr>
            </w:pPr>
          </w:p>
        </w:tc>
        <w:tc>
          <w:tcPr>
            <w:tcW w:w="296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5120" w:type="dxa"/>
            <w:vAlign w:val="bottom"/>
            <w:gridSpan w:val="6"/>
          </w:tcPr>
          <w:p>
            <w:pPr>
              <w:spacing w:after="0" w:line="194"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Intercreditor Agreement, dated August 28, 2020, by and among</w:t>
              </w:r>
            </w:hyperlink>
          </w:p>
        </w:tc>
        <w:tc>
          <w:tcPr>
            <w:tcW w:w="29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Exhibit 10.3 to the Company’s Current</w:t>
            </w:r>
          </w:p>
        </w:tc>
        <w:tc>
          <w:tcPr>
            <w:tcW w:w="19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580" w:type="dxa"/>
            <w:vAlign w:val="bottom"/>
            <w:tcBorders>
              <w:top w:val="single" w:sz="8" w:color="0000FF"/>
            </w:tcBorders>
            <w:gridSpan w:val="3"/>
          </w:tcPr>
          <w:p>
            <w:pPr>
              <w:spacing w:after="0" w:line="149"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Deutsche Bank Trust Company Americas, Wilmington Trust,</w:t>
              </w:r>
            </w:hyperlink>
          </w:p>
        </w:tc>
        <w:tc>
          <w:tcPr>
            <w:tcW w:w="540" w:type="dxa"/>
            <w:vAlign w:val="bottom"/>
            <w:gridSpan w:val="3"/>
          </w:tcPr>
          <w:p>
            <w:pPr>
              <w:spacing w:after="0" w:line="149" w:lineRule="exact"/>
              <w:rPr>
                <w:rFonts w:ascii="Times New Roman" w:cs="Times New Roman" w:eastAsia="Times New Roman" w:hAnsi="Times New Roman"/>
                <w:sz w:val="17"/>
                <w:szCs w:val="17"/>
                <w:color w:val="0000FF"/>
                <w:w w:val="88"/>
              </w:rPr>
            </w:pPr>
            <w:hyperlink r:id="rId61">
              <w:r>
                <w:rPr>
                  <w:rFonts w:ascii="Times New Roman" w:cs="Times New Roman" w:eastAsia="Times New Roman" w:hAnsi="Times New Roman"/>
                  <w:sz w:val="17"/>
                  <w:szCs w:val="17"/>
                  <w:color w:val="0000FF"/>
                  <w:w w:val="88"/>
                </w:rPr>
                <w:t>National</w:t>
              </w:r>
            </w:hyperlink>
          </w:p>
        </w:tc>
        <w:tc>
          <w:tcPr>
            <w:tcW w:w="29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Report on Form 8-K</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5080" w:type="dxa"/>
            <w:vAlign w:val="bottom"/>
            <w:tcBorders>
              <w:top w:val="single" w:sz="8" w:color="0000FF"/>
            </w:tcBorders>
            <w:gridSpan w:val="5"/>
          </w:tcPr>
          <w:p>
            <w:pPr>
              <w:spacing w:after="0" w:line="16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Association, BTA Institutional Services Australia Limited,</w:t>
              </w:r>
            </w:hyperlink>
          </w:p>
        </w:tc>
        <w:tc>
          <w:tcPr>
            <w:tcW w:w="40" w:type="dxa"/>
            <w:vAlign w:val="bottom"/>
          </w:tcPr>
          <w:p>
            <w:pPr>
              <w:spacing w:after="0"/>
              <w:rPr>
                <w:sz w:val="14"/>
                <w:szCs w:val="14"/>
                <w:color w:val="auto"/>
              </w:rPr>
            </w:pPr>
          </w:p>
        </w:tc>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filed August 28, 2020</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422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u w:val="single" w:color="auto"/>
                <w:color w:val="0000FF"/>
              </w:rPr>
            </w:pPr>
            <w:hyperlink r:id="rId61">
              <w:r>
                <w:rPr>
                  <w:rFonts w:ascii="Times New Roman" w:cs="Times New Roman" w:eastAsia="Times New Roman" w:hAnsi="Times New Roman"/>
                  <w:sz w:val="16"/>
                  <w:szCs w:val="16"/>
                  <w:u w:val="single" w:color="auto"/>
                  <w:color w:val="0000FF"/>
                </w:rPr>
                <w:t>Weatherford International plc and the grantors party there</w:t>
              </w:r>
            </w:hyperlink>
          </w:p>
        </w:tc>
        <w:tc>
          <w:tcPr>
            <w:tcW w:w="900" w:type="dxa"/>
            <w:vAlign w:val="bottom"/>
            <w:gridSpan w:val="4"/>
          </w:tcPr>
          <w:p>
            <w:pPr>
              <w:spacing w:after="0" w:line="142" w:lineRule="exact"/>
              <w:rPr>
                <w:rFonts w:ascii="Times New Roman" w:cs="Times New Roman" w:eastAsia="Times New Roman" w:hAnsi="Times New Roman"/>
                <w:sz w:val="16"/>
                <w:szCs w:val="16"/>
                <w:u w:val="single" w:color="auto"/>
                <w:color w:val="0000FF"/>
              </w:rPr>
            </w:pPr>
            <w:hyperlink r:id="rId61">
              <w:r>
                <w:rPr>
                  <w:rFonts w:ascii="Times New Roman" w:cs="Times New Roman" w:eastAsia="Times New Roman" w:hAnsi="Times New Roman"/>
                  <w:sz w:val="16"/>
                  <w:szCs w:val="16"/>
                  <w:u w:val="single" w:color="auto"/>
                  <w:color w:val="0000FF"/>
                </w:rPr>
                <w:t>to from time</w:t>
              </w:r>
            </w:hyperlink>
          </w:p>
        </w:tc>
        <w:tc>
          <w:tcPr>
            <w:tcW w:w="2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20" w:type="dxa"/>
            <w:vAlign w:val="bottom"/>
            <w:gridSpan w:val="6"/>
          </w:tcPr>
          <w:p>
            <w:pPr>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to time.</w:t>
              </w:r>
            </w:hyperlink>
          </w:p>
        </w:tc>
        <w:tc>
          <w:tcPr>
            <w:tcW w:w="2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6"/>
              </w:rPr>
              <w:t>†*10.4</w:t>
            </w:r>
          </w:p>
        </w:tc>
        <w:tc>
          <w:tcPr>
            <w:tcW w:w="51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Offer Letter to H. Keith Jennings dated August 6, 2020.</w:t>
              </w:r>
            </w:hyperlink>
          </w:p>
        </w:tc>
        <w:tc>
          <w:tcPr>
            <w:tcW w:w="2960" w:type="dxa"/>
            <w:vAlign w:val="bottom"/>
            <w:shd w:val="clear" w:color="auto" w:fill="CCEEFF"/>
          </w:tcPr>
          <w:p>
            <w:pPr>
              <w:spacing w:after="0"/>
              <w:rPr>
                <w:sz w:val="21"/>
                <w:szCs w:val="21"/>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39"/>
        </w:trPr>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†*10.5</w:t>
            </w:r>
          </w:p>
        </w:tc>
        <w:tc>
          <w:tcPr>
            <w:tcW w:w="5120" w:type="dxa"/>
            <w:vAlign w:val="bottom"/>
            <w:gridSpan w:val="6"/>
          </w:tcPr>
          <w:p>
            <w:pPr>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u w:val="single" w:color="auto"/>
                  <w:color w:val="0000FF"/>
                </w:rPr>
                <w:t>Offer Letter to Girish K. Saligram dated September 9, 2020</w:t>
              </w:r>
              <w:r>
                <w:rPr>
                  <w:rFonts w:ascii="Times New Roman" w:cs="Times New Roman" w:eastAsia="Times New Roman" w:hAnsi="Times New Roman"/>
                  <w:sz w:val="18"/>
                  <w:szCs w:val="18"/>
                  <w:color w:val="0000FF"/>
                </w:rPr>
                <w:t>.</w:t>
              </w:r>
            </w:hyperlink>
          </w:p>
        </w:tc>
        <w:tc>
          <w:tcPr>
            <w:tcW w:w="2960" w:type="dxa"/>
            <w:vAlign w:val="bottom"/>
          </w:tcPr>
          <w:p>
            <w:pPr>
              <w:spacing w:after="0"/>
              <w:rPr>
                <w:sz w:val="20"/>
                <w:szCs w:val="20"/>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6"/>
              </w:rPr>
              <w:t>†*10.6</w:t>
            </w:r>
          </w:p>
        </w:tc>
        <w:tc>
          <w:tcPr>
            <w:tcW w:w="5120" w:type="dxa"/>
            <w:vAlign w:val="bottom"/>
            <w:gridSpan w:val="6"/>
            <w:shd w:val="clear" w:color="auto" w:fill="CCEEFF"/>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Weatherford International plc Second Amended and Restated 2019</w:t>
              </w:r>
            </w:hyperlink>
          </w:p>
        </w:tc>
        <w:tc>
          <w:tcPr>
            <w:tcW w:w="2960" w:type="dxa"/>
            <w:vAlign w:val="bottom"/>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83"/>
        </w:trPr>
        <w:tc>
          <w:tcPr>
            <w:tcW w:w="1240" w:type="dxa"/>
            <w:vAlign w:val="bottom"/>
            <w:tcBorders>
              <w:top w:val="single" w:sz="8" w:color="CCEEFF"/>
            </w:tcBorders>
            <w:shd w:val="clear" w:color="auto" w:fill="CCEEFF"/>
          </w:tcPr>
          <w:p>
            <w:pPr>
              <w:spacing w:after="0"/>
              <w:rPr>
                <w:sz w:val="15"/>
                <w:szCs w:val="15"/>
                <w:color w:val="auto"/>
              </w:rPr>
            </w:pPr>
          </w:p>
        </w:tc>
        <w:tc>
          <w:tcPr>
            <w:tcW w:w="4820" w:type="dxa"/>
            <w:vAlign w:val="bottom"/>
            <w:tcBorders>
              <w:top w:val="single" w:sz="8" w:color="0000FF"/>
            </w:tcBorders>
            <w:gridSpan w:val="4"/>
            <w:shd w:val="clear" w:color="auto" w:fill="CCEEFF"/>
          </w:tcPr>
          <w:p>
            <w:pPr>
              <w:spacing w:after="0" w:line="18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Equity Incentive Plan.</w:t>
              </w:r>
            </w:hyperlink>
          </w:p>
        </w:tc>
        <w:tc>
          <w:tcPr>
            <w:tcW w:w="300" w:type="dxa"/>
            <w:vAlign w:val="bottom"/>
            <w:tcBorders>
              <w:top w:val="single" w:sz="8" w:color="CCEEFF"/>
            </w:tcBorders>
            <w:gridSpan w:val="2"/>
            <w:shd w:val="clear" w:color="auto" w:fill="CCEEFF"/>
          </w:tcPr>
          <w:p>
            <w:pPr>
              <w:spacing w:after="0"/>
              <w:rPr>
                <w:sz w:val="15"/>
                <w:szCs w:val="15"/>
                <w:color w:val="auto"/>
              </w:rPr>
            </w:pPr>
          </w:p>
        </w:tc>
        <w:tc>
          <w:tcPr>
            <w:tcW w:w="296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†31.1</w:t>
            </w:r>
          </w:p>
        </w:tc>
        <w:tc>
          <w:tcPr>
            <w:tcW w:w="8080" w:type="dxa"/>
            <w:vAlign w:val="bottom"/>
            <w:gridSpan w:val="7"/>
          </w:tcPr>
          <w:p>
            <w:pPr>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hyperlink>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808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hyperlink>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††32.1</w:t>
            </w:r>
          </w:p>
        </w:tc>
        <w:tc>
          <w:tcPr>
            <w:tcW w:w="8080" w:type="dxa"/>
            <w:vAlign w:val="bottom"/>
            <w:gridSpan w:val="7"/>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hyperlink>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6"/>
              </w:rPr>
              <w:t>††32.2</w:t>
            </w:r>
          </w:p>
        </w:tc>
        <w:tc>
          <w:tcPr>
            <w:tcW w:w="808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Certification of Chief Financial Officer pursuant to Section 906 of the Sarbanes-Oxley Act of 2002.</w:t>
              </w:r>
            </w:hyperlink>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9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9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9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1240" w:hanging="834"/>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ind w:left="34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50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2020</w:t>
            </w:r>
          </w:p>
        </w:tc>
        <w:tc>
          <w:tcPr>
            <w:tcW w:w="68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H. Keith Jennings</w:t>
            </w:r>
          </w:p>
        </w:tc>
      </w:tr>
      <w:tr>
        <w:trPr>
          <w:trHeight w:val="218"/>
        </w:trPr>
        <w:tc>
          <w:tcPr>
            <w:tcW w:w="4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 Keith Jennings</w:t>
            </w:r>
          </w:p>
        </w:tc>
      </w:tr>
      <w:tr>
        <w:trPr>
          <w:trHeight w:val="230"/>
        </w:trPr>
        <w:tc>
          <w:tcPr>
            <w:tcW w:w="4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2020</w:t>
            </w:r>
          </w:p>
        </w:tc>
        <w:tc>
          <w:tcPr>
            <w:tcW w:w="68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Stuart Fraser</w:t>
            </w:r>
          </w:p>
        </w:tc>
      </w:tr>
      <w:tr>
        <w:trPr>
          <w:trHeight w:val="218"/>
        </w:trPr>
        <w:tc>
          <w:tcPr>
            <w:tcW w:w="4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Stuart Fraser</w:t>
            </w:r>
          </w:p>
        </w:tc>
      </w:tr>
      <w:tr>
        <w:trPr>
          <w:trHeight w:val="229"/>
        </w:trPr>
        <w:tc>
          <w:tcPr>
            <w:tcW w:w="4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w:t>
            </w:r>
          </w:p>
        </w:tc>
      </w:tr>
      <w:tr>
        <w:trPr>
          <w:trHeight w:val="234"/>
        </w:trPr>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472"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0861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July 30, 2020</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AND CONFIDENTIAL</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H. Keith Jennings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Dear Keith,</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At Weatherford, we have an exceptional team of people working together in more than 100 countries around the world to solve the toughest energy challenges through a unique portfolio of technologies and safe, efficient processes.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We are delighted to extend the following job offer to join us at Weatherford.</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look forward to working with you and believe that you can make a very significant, positive contribution to the success of Weatherford. Our company offers you an opportunity to put your experience, abilities, dedication, energy and creativity to excellent use. Welcome to the Team!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We appreciate your careful consideration of the terms and conditions included in this offer letter.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summary of your benefits can be found on the following pages.</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This offer is contingent upon you successfully providing the necessary pre-hire documentation (including evidence of your right to work) and completion of any pre-hire testing relevant to your employment location.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Please review the enclosed information and contact Ellen Chin or me if you have any questions or concerns. I would appreciate your acceptance of this new opportunity by signing below and returning your signed copy as soon as possible. The offer will remain open for 7 business days, after which time it will automatically expire.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welcoming you to Weatherford.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Karl Blanchard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Karl Blanchard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On and behalf of Weatherford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04659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046595" cy="3429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www.weatherford.com</w:t>
      </w:r>
    </w:p>
    <w:p>
      <w:pPr>
        <w:sectPr>
          <w:pgSz w:w="11900" w:h="16838" w:orient="portrait"/>
          <w:cols w:equalWidth="0" w:num="1">
            <w:col w:w="11240"/>
          </w:cols>
          <w:pgMar w:left="320" w:top="358" w:right="33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CE1141"/>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046595" cy="900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046595" cy="90043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9"/>
          <w:szCs w:val="19"/>
          <w:color w:val="auto"/>
        </w:rPr>
        <w:t>Position Title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Herbert Keith Jennings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Executive Vice President and Chief Financial Officer</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2000 St. James Place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Houston, TX 77056</w:t>
      </w:r>
    </w:p>
    <w:p>
      <w:pPr>
        <w:spacing w:after="0"/>
        <w:rPr>
          <w:sz w:val="20"/>
          <w:szCs w:val="20"/>
          <w:color w:val="auto"/>
        </w:rPr>
      </w:pPr>
      <w:r>
        <w:rPr>
          <w:rFonts w:ascii="Arial" w:cs="Arial" w:eastAsia="Arial" w:hAnsi="Arial"/>
          <w:sz w:val="20"/>
          <w:szCs w:val="20"/>
          <w:b w:val="1"/>
          <w:bCs w:val="1"/>
          <w:color w:val="CE1141"/>
        </w:rPr>
        <w:t>USA</w:t>
      </w:r>
    </w:p>
    <w:p>
      <w:pPr>
        <w:spacing w:after="0" w:line="200" w:lineRule="exact"/>
        <w:rPr>
          <w:sz w:val="20"/>
          <w:szCs w:val="20"/>
          <w:color w:val="auto"/>
        </w:rPr>
      </w:pPr>
    </w:p>
    <w:p>
      <w:pPr>
        <w:sectPr>
          <w:pgSz w:w="11900" w:h="16838" w:orient="portrait"/>
          <w:cols w:equalWidth="0" w:num="2">
            <w:col w:w="3940" w:space="720"/>
            <w:col w:w="6580"/>
          </w:cols>
          <w:pgMar w:left="320" w:top="140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POINT OF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046595" cy="1003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046595" cy="100330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Manager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Karl Blanchard</w:t>
      </w:r>
    </w:p>
    <w:p>
      <w:pPr>
        <w:spacing w:after="0" w:line="215" w:lineRule="exact"/>
        <w:rPr>
          <w:sz w:val="20"/>
          <w:szCs w:val="20"/>
          <w:color w:val="auto"/>
        </w:rPr>
      </w:pPr>
    </w:p>
    <w:p>
      <w:pPr>
        <w:sectPr>
          <w:pgSz w:w="11900" w:h="16838" w:orient="portrait"/>
          <w:cols w:equalWidth="0" w:num="2">
            <w:col w:w="3940" w:space="720"/>
            <w:col w:w="6580"/>
          </w:cols>
          <w:pgMar w:left="320" w:top="1404" w:right="339" w:bottom="1440" w:gutter="0" w:footer="0" w:header="0"/>
          <w:type w:val="continuous"/>
        </w:sect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0"/>
          <w:szCs w:val="20"/>
          <w:color w:val="auto"/>
        </w:rPr>
        <w:t>HR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Ellen Chin</w:t>
      </w:r>
    </w:p>
    <w:p>
      <w:pPr>
        <w:spacing w:after="0" w:line="226" w:lineRule="exact"/>
        <w:rPr>
          <w:sz w:val="20"/>
          <w:szCs w:val="20"/>
          <w:color w:val="auto"/>
        </w:rPr>
      </w:pPr>
    </w:p>
    <w:p>
      <w:pPr>
        <w:sectPr>
          <w:pgSz w:w="11900" w:h="16838" w:orient="portrait"/>
          <w:cols w:equalWidth="0" w:num="2">
            <w:col w:w="3940" w:space="720"/>
            <w:col w:w="6580"/>
          </w:cols>
          <w:pgMar w:left="320" w:top="14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EMPLOYMENT PACKAGE INFORMATION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BASE SALARY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$500,000 ANNUALLY</w:t>
      </w:r>
    </w:p>
    <w:p>
      <w:pPr>
        <w:spacing w:after="0"/>
        <w:rPr>
          <w:sz w:val="20"/>
          <w:szCs w:val="20"/>
          <w:color w:val="auto"/>
        </w:rPr>
      </w:pPr>
      <w:r>
        <w:rPr>
          <w:rFonts w:ascii="Arial" w:cs="Arial" w:eastAsia="Arial" w:hAnsi="Arial"/>
          <w:sz w:val="20"/>
          <w:szCs w:val="20"/>
          <w:color w:val="auto"/>
        </w:rPr>
        <w:t>Your base salary will be paid semi-monthly via the normal payroll cycle.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EXECUTIVE NON-EQUITY INCENTIVE COMPENSATION PLAN (EICP)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100% OF ANNUAL BASE SALARY AT “TARGET” REWARD OPPORTUNITY</w:t>
      </w:r>
    </w:p>
    <w:p>
      <w:pPr>
        <w:jc w:val="both"/>
        <w:spacing w:after="0" w:line="246" w:lineRule="auto"/>
        <w:rPr>
          <w:sz w:val="20"/>
          <w:szCs w:val="20"/>
          <w:color w:val="auto"/>
        </w:rPr>
      </w:pPr>
      <w:r>
        <w:rPr>
          <w:rFonts w:ascii="Arial" w:cs="Arial" w:eastAsia="Arial" w:hAnsi="Arial"/>
          <w:sz w:val="20"/>
          <w:szCs w:val="20"/>
          <w:color w:val="auto"/>
        </w:rPr>
        <w:t>You are eligible to participate in the Weatherford Executive Non-Equity Incentive Compensation Plan (EICP), subject to terms and conditions of the plan, as amended from time to time. Any incentive payout from the EICP will be prorated for your period of employment, calculated from your hire 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2020 LONG TERM CASH INCENTIVE PLAN (LTCIP)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325% OF ANNUAL BASE SALARY</w:t>
      </w:r>
    </w:p>
    <w:p>
      <w:pPr>
        <w:jc w:val="both"/>
        <w:spacing w:after="0" w:line="242" w:lineRule="auto"/>
        <w:rPr>
          <w:sz w:val="20"/>
          <w:szCs w:val="20"/>
          <w:color w:val="auto"/>
        </w:rPr>
      </w:pPr>
      <w:r>
        <w:rPr>
          <w:rFonts w:ascii="Arial" w:cs="Arial" w:eastAsia="Arial" w:hAnsi="Arial"/>
          <w:sz w:val="20"/>
          <w:szCs w:val="20"/>
          <w:color w:val="auto"/>
        </w:rPr>
        <w:t>Upon joining the Company, you will be awarded a long-term cash incentive award equal to 325% of base salary which will vest in accordance with the LTCIP vesting schedule (with the time-based portion of the award vesting in equal installments on each of December 31, 2020, 2021 and 2022) and is subject to approval by the Board of Directors and subject to acceptance of the award agreement and the terms and conditions of the 2020 LTCIP. Any incentive payout from the LTCIP will be prorated for your period of employment, calculated from your hire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LONG TERM INCENTIVE (LTI)</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For 2021 and subsequent years, you are eligible for consideration under Weatherford’s Annual Equity Incentive Plan (EIP) or other long-term incentive plans that may be approved by the Board. Your eligibility to receive Awards under the EIP or any other long-term incentive plan is subject to approval by the Board of Directors, or a committee thereof, of Weatherford International and subject always to the terms and conditions of Weatherford International plc 2019 Equity Incentive Plan, as may be amended from time to time by Weatherford International or any other long term incentive plan that may be adopted by the Board.</w:t>
      </w:r>
    </w:p>
    <w:p>
      <w:pPr>
        <w:sectPr>
          <w:pgSz w:w="11900" w:h="16838" w:orient="portrait"/>
          <w:cols w:equalWidth="0" w:num="1">
            <w:col w:w="11240"/>
          </w:cols>
          <w:pgMar w:left="320" w:top="1404" w:right="339" w:bottom="1440" w:gutter="0" w:footer="0" w:header="0"/>
          <w:type w:val="continuous"/>
        </w:sectPr>
      </w:pPr>
    </w:p>
    <w:bookmarkStart w:id="39" w:name="page40"/>
    <w:bookmarkEnd w:id="39"/>
    <w:p>
      <w:pPr>
        <w:jc w:val="both"/>
        <w:spacing w:after="0" w:line="25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Any future grants, annual and otherwise, will be at the discretion of the Board and subject to the terms and conditions of the current or future Long-Term Incentive Program in place. The award of any incentive is discretionary, and subject to approval of Management and to the Terms and Conditions of the Award Agreement.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SIGN-ON BONUS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$250,000 PAYABLE AFTER JOINING</w:t>
      </w:r>
    </w:p>
    <w:p>
      <w:pPr>
        <w:spacing w:after="0"/>
        <w:rPr>
          <w:sz w:val="20"/>
          <w:szCs w:val="20"/>
          <w:color w:val="auto"/>
        </w:rPr>
      </w:pPr>
      <w:r>
        <w:rPr>
          <w:rFonts w:ascii="Arial" w:cs="Arial" w:eastAsia="Arial" w:hAnsi="Arial"/>
          <w:sz w:val="20"/>
          <w:szCs w:val="20"/>
          <w:b w:val="1"/>
          <w:bCs w:val="1"/>
          <w:color w:val="CE1141"/>
        </w:rPr>
        <w:t>US $250,000 PAYABLE SIX (6) MONTHS AFTER HIRE DATE</w:t>
      </w:r>
    </w:p>
    <w:p>
      <w:pPr>
        <w:jc w:val="both"/>
        <w:spacing w:after="0" w:line="241" w:lineRule="auto"/>
        <w:rPr>
          <w:sz w:val="20"/>
          <w:szCs w:val="20"/>
          <w:color w:val="auto"/>
        </w:rPr>
      </w:pPr>
      <w:r>
        <w:rPr>
          <w:rFonts w:ascii="Arial" w:cs="Arial" w:eastAsia="Arial" w:hAnsi="Arial"/>
          <w:sz w:val="20"/>
          <w:szCs w:val="20"/>
          <w:color w:val="auto"/>
        </w:rPr>
        <w:t>Your initial sign on bonus payment will be paid via the next payroll cycle after commencement of your employment. The remaining payment will be paid as indicated. You must be on the payroll and an active employee of the company at the time of any future payments to be eligible to receive the payment. Should you voluntarily resign your employment with Weatherford or if you are involuntarily terminated for cause within twelve (12) months of each payment, you agree to immediately repay the full amount which has been paid to you without proration. Should you voluntarily resign your employment with Weatherford or if you are involuntarily terminated for cause within twelve (12) months to twenty-four (24) months of each payment date, you agree to immediately repay fifty percent (50%) of the amount.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Departure after each payment:</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620" w:type="dxa"/>
            <w:vAlign w:val="bottom"/>
            <w:tcBorders>
              <w:top w:val="single" w:sz="8" w:color="A6A6A6"/>
              <w:left w:val="single" w:sz="8" w:color="A6A6A6"/>
              <w:right w:val="single" w:sz="8" w:color="A6A6A6"/>
            </w:tcBorders>
          </w:tcPr>
          <w:p>
            <w:pPr>
              <w:ind w:left="40"/>
              <w:spacing w:after="0"/>
              <w:rPr>
                <w:sz w:val="20"/>
                <w:szCs w:val="20"/>
                <w:color w:val="auto"/>
              </w:rPr>
            </w:pPr>
            <w:r>
              <w:rPr>
                <w:rFonts w:ascii="Arial" w:cs="Arial" w:eastAsia="Arial" w:hAnsi="Arial"/>
                <w:sz w:val="20"/>
                <w:szCs w:val="20"/>
                <w:color w:val="auto"/>
              </w:rPr>
              <w:t>0 and 12 months</w:t>
            </w:r>
          </w:p>
        </w:tc>
        <w:tc>
          <w:tcPr>
            <w:tcW w:w="4700" w:type="dxa"/>
            <w:vAlign w:val="bottom"/>
            <w:tcBorders>
              <w:top w:val="single" w:sz="8" w:color="A6A6A6"/>
              <w:right w:val="single" w:sz="8" w:color="A6A6A6"/>
            </w:tcBorders>
          </w:tcPr>
          <w:p>
            <w:pPr>
              <w:ind w:left="20"/>
              <w:spacing w:after="0"/>
              <w:rPr>
                <w:sz w:val="20"/>
                <w:szCs w:val="20"/>
                <w:color w:val="auto"/>
              </w:rPr>
            </w:pPr>
            <w:r>
              <w:rPr>
                <w:rFonts w:ascii="Arial" w:cs="Arial" w:eastAsia="Arial" w:hAnsi="Arial"/>
                <w:sz w:val="20"/>
                <w:szCs w:val="20"/>
                <w:color w:val="auto"/>
              </w:rPr>
              <w:t>100% of each sign-on bonus payment</w:t>
            </w:r>
          </w:p>
        </w:tc>
      </w:tr>
      <w:tr>
        <w:trPr>
          <w:trHeight w:val="30"/>
        </w:trPr>
        <w:tc>
          <w:tcPr>
            <w:tcW w:w="2620" w:type="dxa"/>
            <w:vAlign w:val="bottom"/>
            <w:tcBorders>
              <w:left w:val="single" w:sz="8" w:color="A6A6A6"/>
              <w:bottom w:val="single" w:sz="8" w:color="A6A6A6"/>
              <w:right w:val="single" w:sz="8" w:color="A6A6A6"/>
            </w:tcBorders>
          </w:tcPr>
          <w:p>
            <w:pPr>
              <w:spacing w:after="0"/>
              <w:rPr>
                <w:sz w:val="2"/>
                <w:szCs w:val="2"/>
                <w:color w:val="auto"/>
              </w:rPr>
            </w:pPr>
          </w:p>
        </w:tc>
        <w:tc>
          <w:tcPr>
            <w:tcW w:w="4700" w:type="dxa"/>
            <w:vAlign w:val="bottom"/>
            <w:tcBorders>
              <w:bottom w:val="single" w:sz="8" w:color="A6A6A6"/>
              <w:right w:val="single" w:sz="8" w:color="A6A6A6"/>
            </w:tcBorders>
          </w:tcPr>
          <w:p>
            <w:pPr>
              <w:spacing w:after="0"/>
              <w:rPr>
                <w:sz w:val="2"/>
                <w:szCs w:val="2"/>
                <w:color w:val="auto"/>
              </w:rPr>
            </w:pPr>
          </w:p>
        </w:tc>
      </w:tr>
      <w:tr>
        <w:trPr>
          <w:trHeight w:val="274"/>
        </w:trPr>
        <w:tc>
          <w:tcPr>
            <w:tcW w:w="2620" w:type="dxa"/>
            <w:vAlign w:val="bottom"/>
            <w:tcBorders>
              <w:left w:val="single" w:sz="8" w:color="A6A6A6"/>
              <w:right w:val="single" w:sz="8" w:color="A6A6A6"/>
            </w:tcBorders>
          </w:tcPr>
          <w:p>
            <w:pPr>
              <w:ind w:left="40"/>
              <w:spacing w:after="0"/>
              <w:rPr>
                <w:sz w:val="20"/>
                <w:szCs w:val="20"/>
                <w:color w:val="auto"/>
              </w:rPr>
            </w:pPr>
            <w:r>
              <w:rPr>
                <w:rFonts w:ascii="Arial" w:cs="Arial" w:eastAsia="Arial" w:hAnsi="Arial"/>
                <w:sz w:val="20"/>
                <w:szCs w:val="20"/>
                <w:color w:val="auto"/>
              </w:rPr>
              <w:t>12 and 24 months</w:t>
            </w:r>
          </w:p>
        </w:tc>
        <w:tc>
          <w:tcPr>
            <w:tcW w:w="4700" w:type="dxa"/>
            <w:vAlign w:val="bottom"/>
            <w:tcBorders>
              <w:right w:val="single" w:sz="8" w:color="A6A6A6"/>
            </w:tcBorders>
          </w:tcPr>
          <w:p>
            <w:pPr>
              <w:ind w:left="20"/>
              <w:spacing w:after="0"/>
              <w:rPr>
                <w:sz w:val="20"/>
                <w:szCs w:val="20"/>
                <w:color w:val="auto"/>
              </w:rPr>
            </w:pPr>
            <w:r>
              <w:rPr>
                <w:rFonts w:ascii="Arial" w:cs="Arial" w:eastAsia="Arial" w:hAnsi="Arial"/>
                <w:sz w:val="20"/>
                <w:szCs w:val="20"/>
                <w:color w:val="auto"/>
              </w:rPr>
              <w:t>50% of each sign-on bonus payment</w:t>
            </w:r>
          </w:p>
        </w:tc>
      </w:tr>
      <w:tr>
        <w:trPr>
          <w:trHeight w:val="30"/>
        </w:trPr>
        <w:tc>
          <w:tcPr>
            <w:tcW w:w="2620" w:type="dxa"/>
            <w:vAlign w:val="bottom"/>
            <w:tcBorders>
              <w:left w:val="single" w:sz="8" w:color="A6A6A6"/>
              <w:bottom w:val="single" w:sz="8" w:color="A6A6A6"/>
              <w:right w:val="single" w:sz="8" w:color="A6A6A6"/>
            </w:tcBorders>
          </w:tcPr>
          <w:p>
            <w:pPr>
              <w:spacing w:after="0"/>
              <w:rPr>
                <w:sz w:val="2"/>
                <w:szCs w:val="2"/>
                <w:color w:val="auto"/>
              </w:rPr>
            </w:pPr>
          </w:p>
        </w:tc>
        <w:tc>
          <w:tcPr>
            <w:tcW w:w="4700" w:type="dxa"/>
            <w:vAlign w:val="bottom"/>
            <w:tcBorders>
              <w:bottom w:val="single" w:sz="8" w:color="A6A6A6"/>
              <w:right w:val="single" w:sz="8" w:color="A6A6A6"/>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RELOCATION ALLOWANCE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$150,000</w:t>
      </w:r>
    </w:p>
    <w:p>
      <w:pPr>
        <w:jc w:val="both"/>
        <w:spacing w:after="0" w:line="246" w:lineRule="auto"/>
        <w:rPr>
          <w:sz w:val="20"/>
          <w:szCs w:val="20"/>
          <w:color w:val="auto"/>
        </w:rPr>
      </w:pPr>
      <w:r>
        <w:rPr>
          <w:rFonts w:ascii="Arial" w:cs="Arial" w:eastAsia="Arial" w:hAnsi="Arial"/>
          <w:sz w:val="20"/>
          <w:szCs w:val="20"/>
          <w:color w:val="auto"/>
        </w:rPr>
        <w:t>Upon joining, Weatherford will pay you a relocation allowance of $150,000. This relocation allowance is subject to repayment should you resign or be terminated for cause (as solely determined by Weatherford) within the first two (2) years of the effective date of hire.</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Departure within:</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2280" w:type="dxa"/>
            <w:vAlign w:val="bottom"/>
            <w:tcBorders>
              <w:top w:val="single" w:sz="8" w:color="A6A6A6"/>
              <w:left w:val="single" w:sz="8" w:color="A6A6A6"/>
              <w:right w:val="single" w:sz="8" w:color="A6A6A6"/>
            </w:tcBorders>
          </w:tcPr>
          <w:p>
            <w:pPr>
              <w:ind w:left="40"/>
              <w:spacing w:after="0"/>
              <w:rPr>
                <w:sz w:val="20"/>
                <w:szCs w:val="20"/>
                <w:color w:val="auto"/>
              </w:rPr>
            </w:pPr>
            <w:r>
              <w:rPr>
                <w:rFonts w:ascii="Arial" w:cs="Arial" w:eastAsia="Arial" w:hAnsi="Arial"/>
                <w:sz w:val="20"/>
                <w:szCs w:val="20"/>
                <w:color w:val="auto"/>
              </w:rPr>
              <w:t>0 and 12 months</w:t>
            </w:r>
          </w:p>
        </w:tc>
        <w:tc>
          <w:tcPr>
            <w:tcW w:w="4460" w:type="dxa"/>
            <w:vAlign w:val="bottom"/>
            <w:tcBorders>
              <w:top w:val="single" w:sz="8" w:color="A6A6A6"/>
              <w:right w:val="single" w:sz="8" w:color="A6A6A6"/>
            </w:tcBorders>
          </w:tcPr>
          <w:p>
            <w:pPr>
              <w:ind w:left="20"/>
              <w:spacing w:after="0"/>
              <w:rPr>
                <w:sz w:val="20"/>
                <w:szCs w:val="20"/>
                <w:color w:val="auto"/>
              </w:rPr>
            </w:pPr>
            <w:r>
              <w:rPr>
                <w:rFonts w:ascii="Arial" w:cs="Arial" w:eastAsia="Arial" w:hAnsi="Arial"/>
                <w:sz w:val="20"/>
                <w:szCs w:val="20"/>
                <w:color w:val="auto"/>
              </w:rPr>
              <w:t>100% of total relocation allowance</w:t>
            </w:r>
          </w:p>
        </w:tc>
      </w:tr>
      <w:tr>
        <w:trPr>
          <w:trHeight w:val="30"/>
        </w:trPr>
        <w:tc>
          <w:tcPr>
            <w:tcW w:w="2280" w:type="dxa"/>
            <w:vAlign w:val="bottom"/>
            <w:tcBorders>
              <w:left w:val="single" w:sz="8" w:color="A6A6A6"/>
              <w:bottom w:val="single" w:sz="8" w:color="A6A6A6"/>
              <w:right w:val="single" w:sz="8" w:color="A6A6A6"/>
            </w:tcBorders>
          </w:tcPr>
          <w:p>
            <w:pPr>
              <w:spacing w:after="0"/>
              <w:rPr>
                <w:sz w:val="2"/>
                <w:szCs w:val="2"/>
                <w:color w:val="auto"/>
              </w:rPr>
            </w:pPr>
          </w:p>
        </w:tc>
        <w:tc>
          <w:tcPr>
            <w:tcW w:w="4460" w:type="dxa"/>
            <w:vAlign w:val="bottom"/>
            <w:tcBorders>
              <w:bottom w:val="single" w:sz="8" w:color="A6A6A6"/>
              <w:right w:val="single" w:sz="8" w:color="A6A6A6"/>
            </w:tcBorders>
          </w:tcPr>
          <w:p>
            <w:pPr>
              <w:spacing w:after="0"/>
              <w:rPr>
                <w:sz w:val="2"/>
                <w:szCs w:val="2"/>
                <w:color w:val="auto"/>
              </w:rPr>
            </w:pPr>
          </w:p>
        </w:tc>
      </w:tr>
      <w:tr>
        <w:trPr>
          <w:trHeight w:val="274"/>
        </w:trPr>
        <w:tc>
          <w:tcPr>
            <w:tcW w:w="2280" w:type="dxa"/>
            <w:vAlign w:val="bottom"/>
            <w:tcBorders>
              <w:left w:val="single" w:sz="8" w:color="A6A6A6"/>
              <w:right w:val="single" w:sz="8" w:color="A6A6A6"/>
            </w:tcBorders>
          </w:tcPr>
          <w:p>
            <w:pPr>
              <w:ind w:left="40"/>
              <w:spacing w:after="0"/>
              <w:rPr>
                <w:sz w:val="20"/>
                <w:szCs w:val="20"/>
                <w:color w:val="auto"/>
              </w:rPr>
            </w:pPr>
            <w:r>
              <w:rPr>
                <w:rFonts w:ascii="Arial" w:cs="Arial" w:eastAsia="Arial" w:hAnsi="Arial"/>
                <w:sz w:val="20"/>
                <w:szCs w:val="20"/>
                <w:color w:val="auto"/>
              </w:rPr>
              <w:t>12 and 24 months</w:t>
            </w:r>
          </w:p>
        </w:tc>
        <w:tc>
          <w:tcPr>
            <w:tcW w:w="4460" w:type="dxa"/>
            <w:vAlign w:val="bottom"/>
            <w:tcBorders>
              <w:right w:val="single" w:sz="8" w:color="A6A6A6"/>
            </w:tcBorders>
          </w:tcPr>
          <w:p>
            <w:pPr>
              <w:ind w:left="20"/>
              <w:spacing w:after="0"/>
              <w:rPr>
                <w:sz w:val="20"/>
                <w:szCs w:val="20"/>
                <w:color w:val="auto"/>
              </w:rPr>
            </w:pPr>
            <w:r>
              <w:rPr>
                <w:rFonts w:ascii="Arial" w:cs="Arial" w:eastAsia="Arial" w:hAnsi="Arial"/>
                <w:sz w:val="20"/>
                <w:szCs w:val="20"/>
                <w:color w:val="auto"/>
              </w:rPr>
              <w:t>50% of total relocation allowance</w:t>
            </w:r>
          </w:p>
        </w:tc>
      </w:tr>
      <w:tr>
        <w:trPr>
          <w:trHeight w:val="30"/>
        </w:trPr>
        <w:tc>
          <w:tcPr>
            <w:tcW w:w="2280" w:type="dxa"/>
            <w:vAlign w:val="bottom"/>
            <w:tcBorders>
              <w:left w:val="single" w:sz="8" w:color="A6A6A6"/>
              <w:bottom w:val="single" w:sz="8" w:color="A6A6A6"/>
              <w:right w:val="single" w:sz="8" w:color="A6A6A6"/>
            </w:tcBorders>
          </w:tcPr>
          <w:p>
            <w:pPr>
              <w:spacing w:after="0"/>
              <w:rPr>
                <w:sz w:val="2"/>
                <w:szCs w:val="2"/>
                <w:color w:val="auto"/>
              </w:rPr>
            </w:pPr>
          </w:p>
        </w:tc>
        <w:tc>
          <w:tcPr>
            <w:tcW w:w="4460" w:type="dxa"/>
            <w:vAlign w:val="bottom"/>
            <w:tcBorders>
              <w:bottom w:val="single" w:sz="8" w:color="A6A6A6"/>
              <w:right w:val="single" w:sz="8" w:color="A6A6A6"/>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CHANGE IN CONTROL AGREEMENT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MULTIPLE 2X</w:t>
      </w:r>
    </w:p>
    <w:p>
      <w:pPr>
        <w:jc w:val="both"/>
        <w:ind w:right="20"/>
        <w:spacing w:after="0" w:line="253" w:lineRule="auto"/>
        <w:rPr>
          <w:sz w:val="20"/>
          <w:szCs w:val="20"/>
          <w:color w:val="auto"/>
        </w:rPr>
      </w:pPr>
      <w:r>
        <w:rPr>
          <w:rFonts w:ascii="Arial" w:cs="Arial" w:eastAsia="Arial" w:hAnsi="Arial"/>
          <w:sz w:val="20"/>
          <w:szCs w:val="20"/>
          <w:color w:val="auto"/>
        </w:rPr>
        <w:t>In connection with your employment, you will be covered under the Company’s Change in Control Policy (the “CIC Agreement”), with a 2x multiple.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SEVERANCE BENEFITS</w:t>
      </w:r>
    </w:p>
    <w:p>
      <w:pPr>
        <w:spacing w:after="0" w:line="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You will be eligible to receive Executive severance benefits in the event of a termination without cause and without a Change in Control in the amount of twelve (12) months of annual base salary plus your EICP target reward opportunity, except if such termination occurs during the “protected period”. The “protected period” is defined as the period within six (6) months of the hire of the company’s Chief Executive Officer. If termination without cause and without a Change in Control occurs </w:t>
      </w:r>
      <w:r>
        <w:rPr>
          <w:rFonts w:ascii="Arial" w:cs="Arial" w:eastAsia="Arial" w:hAnsi="Arial"/>
          <w:sz w:val="20"/>
          <w:szCs w:val="20"/>
          <w:u w:val="single" w:color="auto"/>
          <w:color w:val="auto"/>
        </w:rPr>
        <w:t>during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protected period</w:t>
      </w:r>
      <w:r>
        <w:rPr>
          <w:rFonts w:ascii="Arial" w:cs="Arial" w:eastAsia="Arial" w:hAnsi="Arial"/>
          <w:sz w:val="20"/>
          <w:szCs w:val="20"/>
          <w:color w:val="auto"/>
        </w:rPr>
        <w:t xml:space="preserve">, you will be eligible to receive an additional six (6) months of annual base salary and </w:t>
      </w:r>
      <w:r>
        <w:rPr>
          <w:rFonts w:ascii="Arial" w:cs="Arial" w:eastAsia="Arial" w:hAnsi="Arial"/>
          <w:sz w:val="20"/>
          <w:szCs w:val="20"/>
          <w:u w:val="single" w:color="auto"/>
          <w:color w:val="auto"/>
        </w:rPr>
        <w:t>an additional 50% of the</w:t>
      </w:r>
      <w:r>
        <w:rPr>
          <w:rFonts w:ascii="Arial" w:cs="Arial" w:eastAsia="Arial" w:hAnsi="Arial"/>
          <w:sz w:val="20"/>
          <w:szCs w:val="20"/>
          <w:color w:val="auto"/>
        </w:rPr>
        <w:t xml:space="preserve"> EICP target reward opportunity. Any such severance benefits will be subject to your execution of the Company’s release of claims.</w:t>
      </w:r>
    </w:p>
    <w:p>
      <w:pPr>
        <w:sectPr>
          <w:pgSz w:w="11900" w:h="16838" w:orient="portrait"/>
          <w:cols w:equalWidth="0" w:num="1">
            <w:col w:w="11240"/>
          </w:cols>
          <w:pgMar w:left="320" w:top="1406"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CE1141"/>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ANNUAL LEAVE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30 DAYS PER YEAR</w:t>
      </w:r>
    </w:p>
    <w:p>
      <w:pPr>
        <w:ind w:right="500"/>
        <w:spacing w:after="0" w:line="279" w:lineRule="auto"/>
        <w:rPr>
          <w:sz w:val="20"/>
          <w:szCs w:val="20"/>
          <w:color w:val="auto"/>
        </w:rPr>
      </w:pPr>
      <w:r>
        <w:rPr>
          <w:rFonts w:ascii="Arial" w:cs="Arial" w:eastAsia="Arial" w:hAnsi="Arial"/>
          <w:sz w:val="19"/>
          <w:szCs w:val="19"/>
          <w:color w:val="auto"/>
        </w:rPr>
        <w:t>Your annual leave will accrue on a calendar year basis and will be pro-rated in the first year of employment in line with your employment start date. The Company will also provide you with an additional ten (10) Company designated holidays.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BENEFITS PROGRAM</w:t>
      </w:r>
    </w:p>
    <w:p>
      <w:pPr>
        <w:spacing w:after="0" w:line="28" w:lineRule="exact"/>
        <w:rPr>
          <w:sz w:val="20"/>
          <w:szCs w:val="20"/>
          <w:color w:val="auto"/>
        </w:rPr>
      </w:pPr>
    </w:p>
    <w:p>
      <w:pPr>
        <w:ind w:right="760"/>
        <w:spacing w:after="0" w:line="253" w:lineRule="auto"/>
        <w:rPr>
          <w:sz w:val="20"/>
          <w:szCs w:val="20"/>
          <w:color w:val="auto"/>
        </w:rPr>
      </w:pPr>
      <w:r>
        <w:rPr>
          <w:rFonts w:ascii="Arial" w:cs="Arial" w:eastAsia="Arial" w:hAnsi="Arial"/>
          <w:sz w:val="20"/>
          <w:szCs w:val="20"/>
          <w:color w:val="auto"/>
        </w:rPr>
        <w:t>We are pleased to offer you participation in Weatherford’s benefits program on your first day of employment. Please see enclosed Weatherford Benefits Summary.</w:t>
      </w:r>
    </w:p>
    <w:p>
      <w:pPr>
        <w:spacing w:after="0" w:line="191" w:lineRule="exact"/>
        <w:rPr>
          <w:sz w:val="20"/>
          <w:szCs w:val="20"/>
          <w:color w:val="auto"/>
        </w:rPr>
      </w:pPr>
    </w:p>
    <w:p>
      <w:pPr>
        <w:jc w:val="both"/>
        <w:ind w:right="220"/>
        <w:spacing w:after="0" w:line="259" w:lineRule="auto"/>
        <w:rPr>
          <w:sz w:val="20"/>
          <w:szCs w:val="20"/>
          <w:color w:val="auto"/>
        </w:rPr>
      </w:pPr>
      <w:r>
        <w:rPr>
          <w:rFonts w:ascii="Arial" w:cs="Arial" w:eastAsia="Arial" w:hAnsi="Arial"/>
          <w:sz w:val="20"/>
          <w:szCs w:val="20"/>
          <w:color w:val="auto"/>
        </w:rPr>
        <w:t>You will receive a Welcome Letter from our Benefits Department within 2 to 3 weeks of your start date, providing you with your access ID and instructions to complete your enrollment online. You will have 31 days from date of hire to enroll otherwise your plan will default to the basic single coverage.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START DATE</w:t>
      </w:r>
    </w:p>
    <w:p>
      <w:pPr>
        <w:spacing w:after="0" w:line="2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Your expected start date will be on or around September 1, 2020 and will be confirmed following successful completion of all pre-employment testing and, if applicable, on the obtaining of any necessary immigration documentation required to allow you to work.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PRE-EMPLOYMENT REQUIREMENTS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This offer of employment and your subsequent employment with Weatherford are contingent upon the following conditions:</w:t>
      </w:r>
    </w:p>
    <w:p>
      <w:pPr>
        <w:spacing w:after="0" w:line="241" w:lineRule="exact"/>
        <w:rPr>
          <w:sz w:val="20"/>
          <w:szCs w:val="20"/>
          <w:color w:val="auto"/>
        </w:rPr>
      </w:pPr>
    </w:p>
    <w:p>
      <w:pPr>
        <w:ind w:left="340" w:hanging="332"/>
        <w:spacing w:after="0" w:line="254" w:lineRule="auto"/>
        <w:tabs>
          <w:tab w:leader="none" w:pos="301"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Proof of your right to work</w:t>
      </w:r>
      <w:r>
        <w:rPr>
          <w:rFonts w:ascii="Arial" w:cs="Arial" w:eastAsia="Arial" w:hAnsi="Arial"/>
          <w:sz w:val="20"/>
          <w:szCs w:val="20"/>
          <w:color w:val="auto"/>
        </w:rPr>
        <w:t>. You will be required to produce evidence that you have the legal right to work on your first</w:t>
      </w:r>
      <w:r>
        <w:rPr>
          <w:rFonts w:ascii="Arial" w:cs="Arial" w:eastAsia="Arial" w:hAnsi="Arial"/>
          <w:sz w:val="20"/>
          <w:szCs w:val="20"/>
          <w:b w:val="1"/>
          <w:bCs w:val="1"/>
          <w:color w:val="auto"/>
        </w:rPr>
        <w:t xml:space="preserve"> </w:t>
      </w:r>
      <w:r>
        <w:rPr>
          <w:rFonts w:ascii="Arial" w:cs="Arial" w:eastAsia="Arial" w:hAnsi="Arial"/>
          <w:sz w:val="20"/>
          <w:szCs w:val="20"/>
          <w:color w:val="auto"/>
        </w:rPr>
        <w:t>day.</w:t>
      </w:r>
    </w:p>
    <w:p>
      <w:pPr>
        <w:ind w:left="340" w:hanging="332"/>
        <w:spacing w:after="0" w:line="239" w:lineRule="auto"/>
        <w:tabs>
          <w:tab w:leader="none" w:pos="301"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 xml:space="preserve">Satisfactory completion of a company medical examination/ drug and alcohol test. </w:t>
      </w:r>
      <w:r>
        <w:rPr>
          <w:rFonts w:ascii="Arial" w:cs="Arial" w:eastAsia="Arial" w:hAnsi="Arial"/>
          <w:sz w:val="20"/>
          <w:szCs w:val="20"/>
          <w:color w:val="auto"/>
        </w:rPr>
        <w:t>You will be required to pass a drug</w:t>
      </w:r>
      <w:r>
        <w:rPr>
          <w:rFonts w:ascii="Arial" w:cs="Arial" w:eastAsia="Arial" w:hAnsi="Arial"/>
          <w:sz w:val="20"/>
          <w:szCs w:val="20"/>
          <w:b w:val="1"/>
          <w:bCs w:val="1"/>
          <w:color w:val="auto"/>
        </w:rPr>
        <w:t xml:space="preserve"> </w:t>
      </w:r>
      <w:r>
        <w:rPr>
          <w:rFonts w:ascii="Arial" w:cs="Arial" w:eastAsia="Arial" w:hAnsi="Arial"/>
          <w:sz w:val="20"/>
          <w:szCs w:val="20"/>
          <w:color w:val="auto"/>
        </w:rPr>
        <w:t>and alcohol test and / or medical prior to commencing employment.</w:t>
      </w:r>
    </w:p>
    <w:p>
      <w:pPr>
        <w:ind w:left="340" w:hanging="332"/>
        <w:spacing w:after="0" w:line="239" w:lineRule="auto"/>
        <w:tabs>
          <w:tab w:leader="none" w:pos="301"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Receipt of background / reference check</w:t>
      </w:r>
      <w:r>
        <w:rPr>
          <w:rFonts w:ascii="Arial" w:cs="Arial" w:eastAsia="Arial" w:hAnsi="Arial"/>
          <w:sz w:val="20"/>
          <w:szCs w:val="20"/>
          <w:color w:val="auto"/>
        </w:rPr>
        <w:t>. You must complete the necessary background check and / or provide the</w:t>
      </w:r>
      <w:r>
        <w:rPr>
          <w:rFonts w:ascii="Arial" w:cs="Arial" w:eastAsia="Arial" w:hAnsi="Arial"/>
          <w:sz w:val="20"/>
          <w:szCs w:val="20"/>
          <w:b w:val="1"/>
          <w:bCs w:val="1"/>
          <w:color w:val="auto"/>
        </w:rPr>
        <w:t xml:space="preserve"> </w:t>
      </w:r>
      <w:r>
        <w:rPr>
          <w:rFonts w:ascii="Arial" w:cs="Arial" w:eastAsia="Arial" w:hAnsi="Arial"/>
          <w:sz w:val="20"/>
          <w:szCs w:val="20"/>
          <w:color w:val="auto"/>
        </w:rPr>
        <w:t>names of referees (one of whom should be your most recent employer);</w:t>
      </w:r>
    </w:p>
    <w:p>
      <w:pPr>
        <w:jc w:val="both"/>
        <w:ind w:left="340" w:hanging="332"/>
        <w:spacing w:after="0" w:line="244" w:lineRule="auto"/>
        <w:tabs>
          <w:tab w:leader="none" w:pos="301"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 xml:space="preserve">Verification of your qualifications by Weatherford. </w:t>
      </w:r>
      <w:r>
        <w:rPr>
          <w:rFonts w:ascii="Arial" w:cs="Arial" w:eastAsia="Arial" w:hAnsi="Arial"/>
          <w:sz w:val="20"/>
          <w:szCs w:val="20"/>
          <w:color w:val="auto"/>
        </w:rPr>
        <w:t>This will either form part of your background check or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produce evidence of your educational/professional qualifications to the company before or on the first day of your employment.</w:t>
      </w:r>
    </w:p>
    <w:p>
      <w:pPr>
        <w:ind w:left="300" w:hanging="292"/>
        <w:spacing w:after="0"/>
        <w:tabs>
          <w:tab w:leader="none" w:pos="30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Satisfactory completion of any probationary period.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this offer of employment, you certify that:</w:t>
      </w:r>
    </w:p>
    <w:p>
      <w:pPr>
        <w:spacing w:after="0" w:line="26" w:lineRule="exact"/>
        <w:rPr>
          <w:sz w:val="20"/>
          <w:szCs w:val="20"/>
          <w:color w:val="auto"/>
        </w:rPr>
      </w:pPr>
    </w:p>
    <w:p>
      <w:pPr>
        <w:ind w:left="340" w:right="120" w:hanging="332"/>
        <w:spacing w:after="0" w:line="246" w:lineRule="auto"/>
        <w:tabs>
          <w:tab w:leader="none" w:pos="301" w:val="left"/>
        </w:tabs>
        <w:numPr>
          <w:ilvl w:val="0"/>
          <w:numId w:val="20"/>
        </w:numPr>
        <w:rPr>
          <w:rFonts w:ascii="Arial" w:cs="Arial" w:eastAsia="Arial" w:hAnsi="Arial"/>
          <w:sz w:val="20"/>
          <w:szCs w:val="20"/>
          <w:color w:val="auto"/>
        </w:rPr>
      </w:pPr>
      <w:r>
        <w:rPr>
          <w:rFonts w:ascii="Arial" w:cs="Arial" w:eastAsia="Arial" w:hAnsi="Arial"/>
          <w:sz w:val="20"/>
          <w:szCs w:val="20"/>
          <w:color w:val="auto"/>
        </w:rPr>
        <w:t>You will abide by the terms of any enforceable non-competition agreement you have with your current employer and confirm the fact that you will not bring with you to Weatherford, nor at any time attempt to use, any confidential, non-public information of your current or past employers in the performance of your work for Weatherford.</w:t>
      </w:r>
    </w:p>
    <w:p>
      <w:pPr>
        <w:sectPr>
          <w:pgSz w:w="11900" w:h="16838" w:orient="portrait"/>
          <w:cols w:equalWidth="0" w:num="1">
            <w:col w:w="11240"/>
          </w:cols>
          <w:pgMar w:left="320" w:top="1404" w:right="339" w:bottom="1440" w:gutter="0" w:footer="0" w:header="0"/>
        </w:sectPr>
      </w:pPr>
    </w:p>
    <w:bookmarkStart w:id="41" w:name="page42"/>
    <w:bookmarkEnd w:id="41"/>
    <w:p>
      <w:pPr>
        <w:jc w:val="both"/>
        <w:spacing w:after="0" w:line="28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This letter does not represent an offer of employment for any specified term. Your employment will be at will, which means that either you or Weatherford may terminate your employment at any time for any reason or no reason whatsoever.</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Please confirm your acceptance of this offer by electronically signing this offer letter below. Upon your acceptance of this offer, you will be contacted to schedule a convenient time and location for the company medical / drug and alcohol test. This offer shall remain open until 5:00pm Central Time on August 7, 2020. The offer shall automatically expire, become null and void in all respects unless the same is accepted by you in writing and returned to Weatherford as requested herein by the date and time set forth in the previous sentence.</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excited to have you join us and look forward to working together to make Weatherford a leader in the oilfield service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046595" cy="626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046595" cy="626110"/>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Printed Name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Keith Jennings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/s/ H. Keith Jennings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8/6/2020</w:t>
      </w:r>
    </w:p>
    <w:p>
      <w:pPr>
        <w:sectPr>
          <w:pgSz w:w="11900" w:h="16838" w:orient="portrait"/>
          <w:cols w:equalWidth="0" w:num="2">
            <w:col w:w="3440" w:space="720"/>
            <w:col w:w="7080"/>
          </w:cols>
          <w:pgMar w:left="320" w:top="1406" w:right="3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20"/>
          <w:szCs w:val="20"/>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0861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September 9, 2020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AND CONFIDENTIAL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Girish Saligram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Dear Girish,</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At Weatherford, we have an exceptional team of people working together in more than 70 countries around the world to solve the toughest energy challenges through a unique portfolio of technologies and safe, efficient processes.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We are delighted to extend you the following job offer to join us as President and Chief Executive Officer at Weatherford.</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Upon commencement of your employment, the Board will elect you as a Director of the Company. During the term of your employment as President and Chief Executive Officer, and upon the expiration of your initial term and each subsequent term as a Director, Weatherford will use its best efforts to nominate you for re-election as a Director of the Company. Election to the Board is dependent upon the affirmative vote of the Shareholders.</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look forward to working with you and believe that you can make a very significant, positive contribution to the success of Weatherford. Our company offers you an opportunity to put your experience, abilities, dedication, energy and creativity to excellent use. Welcome to the Team!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We appreciate your careful consideration of the terms and conditions included in this offer letter.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 summary of your benefits can be found on the following pages.</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Please review the enclosed information and contact Ellen Chin or me if you have any questions or concerns. I would appreciate your acceptance of this new opportunity by signing below and returning your signed copy as soon as possible. The offer will remain open for 5 business days, after which time it will automatically expire.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welcoming you to Weatherford.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Chuck Sledge</w:t>
      </w:r>
    </w:p>
    <w:p>
      <w:pPr>
        <w:spacing w:after="0" w:line="233" w:lineRule="auto"/>
        <w:rPr>
          <w:sz w:val="20"/>
          <w:szCs w:val="20"/>
          <w:color w:val="auto"/>
        </w:rPr>
      </w:pPr>
      <w:r>
        <w:rPr>
          <w:rFonts w:ascii="Arial" w:cs="Arial" w:eastAsia="Arial" w:hAnsi="Arial"/>
          <w:sz w:val="20"/>
          <w:szCs w:val="20"/>
          <w:color w:val="auto"/>
        </w:rPr>
        <w:t>Chuck Sledge</w:t>
      </w:r>
    </w:p>
    <w:p>
      <w:pPr>
        <w:spacing w:after="0" w:line="226" w:lineRule="auto"/>
        <w:rPr>
          <w:sz w:val="20"/>
          <w:szCs w:val="20"/>
          <w:color w:val="auto"/>
        </w:rPr>
      </w:pPr>
      <w:r>
        <w:rPr>
          <w:rFonts w:ascii="Arial" w:cs="Arial" w:eastAsia="Arial" w:hAnsi="Arial"/>
          <w:sz w:val="20"/>
          <w:szCs w:val="20"/>
          <w:i w:val="1"/>
          <w:iCs w:val="1"/>
          <w:color w:val="auto"/>
        </w:rPr>
        <w:t>Chairman of the Board</w:t>
      </w:r>
    </w:p>
    <w:p>
      <w:pPr>
        <w:spacing w:after="0"/>
        <w:rPr>
          <w:sz w:val="20"/>
          <w:szCs w:val="20"/>
          <w:color w:val="auto"/>
        </w:rPr>
      </w:pPr>
      <w:r>
        <w:rPr>
          <w:rFonts w:ascii="Arial" w:cs="Arial" w:eastAsia="Arial" w:hAnsi="Arial"/>
          <w:sz w:val="20"/>
          <w:szCs w:val="20"/>
          <w:color w:val="auto"/>
        </w:rPr>
        <w:t>On behalf of Weatherford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46595"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046595" cy="34290"/>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www.weatherford.com</w:t>
      </w:r>
    </w:p>
    <w:p>
      <w:pPr>
        <w:sectPr>
          <w:pgSz w:w="11900" w:h="16838" w:orient="portrait"/>
          <w:cols w:equalWidth="0" w:num="1">
            <w:col w:w="11240"/>
          </w:cols>
          <w:pgMar w:left="320" w:top="353" w:right="339" w:bottom="1440" w:gutter="0" w:footer="0" w:header="0"/>
        </w:sectPr>
      </w:pPr>
    </w:p>
    <w:bookmarkStart w:id="43" w:name="page44"/>
    <w:bookmarkEnd w:id="43"/>
    <w:p>
      <w:pPr>
        <w:spacing w:after="0"/>
        <w:rPr>
          <w:sz w:val="20"/>
          <w:szCs w:val="20"/>
          <w:color w:val="auto"/>
        </w:rPr>
      </w:pPr>
      <w:r>
        <w:rPr>
          <w:rFonts w:ascii="Arial" w:cs="Arial" w:eastAsia="Arial" w:hAnsi="Arial"/>
          <w:sz w:val="19"/>
          <w:szCs w:val="19"/>
          <w:b w:val="1"/>
          <w:bCs w:val="1"/>
          <w:color w:val="CE1141"/>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40575" cy="8229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40575" cy="822960"/>
                    </a:xfrm>
                    <a:prstGeom prst="rect">
                      <a:avLst/>
                    </a:prstGeom>
                    <a:noFill/>
                  </pic:spPr>
                </pic:pic>
              </a:graphicData>
            </a:graphic>
          </wp:anchor>
        </w:drawing>
      </w:r>
    </w:p>
    <w:p>
      <w:pPr>
        <w:sectPr>
          <w:pgSz w:w="11900" w:h="16838" w:orient="portrait"/>
          <w:cols w:equalWidth="0" w:num="1">
            <w:col w:w="11260"/>
          </w:cols>
          <w:pgMar w:left="320" w:top="1404" w:right="31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Position Title</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20"/>
          <w:szCs w:val="20"/>
          <w:color w:val="auto"/>
        </w:rPr>
        <w:t>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Girish Saligram</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CE1141"/>
        </w:rPr>
        <w:t>President and Chief Executive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2000 St. James Place</w:t>
      </w:r>
    </w:p>
    <w:p>
      <w:pPr>
        <w:spacing w:after="0"/>
        <w:rPr>
          <w:sz w:val="20"/>
          <w:szCs w:val="20"/>
          <w:color w:val="auto"/>
        </w:rPr>
      </w:pPr>
      <w:r>
        <w:rPr>
          <w:rFonts w:ascii="Arial" w:cs="Arial" w:eastAsia="Arial" w:hAnsi="Arial"/>
          <w:sz w:val="20"/>
          <w:szCs w:val="20"/>
          <w:b w:val="1"/>
          <w:bCs w:val="1"/>
          <w:color w:val="CE1141"/>
        </w:rPr>
        <w:t>Houston, TX 77056</w:t>
      </w:r>
    </w:p>
    <w:p>
      <w:pPr>
        <w:spacing w:after="0"/>
        <w:rPr>
          <w:sz w:val="20"/>
          <w:szCs w:val="20"/>
          <w:color w:val="auto"/>
        </w:rPr>
      </w:pPr>
      <w:r>
        <w:rPr>
          <w:rFonts w:ascii="Arial" w:cs="Arial" w:eastAsia="Arial" w:hAnsi="Arial"/>
          <w:sz w:val="20"/>
          <w:szCs w:val="20"/>
          <w:b w:val="1"/>
          <w:bCs w:val="1"/>
          <w:color w:val="CE1141"/>
        </w:rPr>
        <w:t>USA</w:t>
      </w:r>
    </w:p>
    <w:p>
      <w:pPr>
        <w:spacing w:after="0" w:line="200" w:lineRule="exact"/>
        <w:rPr>
          <w:sz w:val="20"/>
          <w:szCs w:val="20"/>
          <w:color w:val="auto"/>
        </w:rPr>
      </w:pPr>
    </w:p>
    <w:p>
      <w:pPr>
        <w:sectPr>
          <w:pgSz w:w="11900" w:h="16838" w:orient="portrait"/>
          <w:cols w:equalWidth="0" w:num="2">
            <w:col w:w="4000" w:space="720"/>
            <w:col w:w="6540"/>
          </w:cols>
          <w:pgMar w:left="320" w:top="1404" w:right="31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POINT OF CONTACT</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700" w:type="dxa"/>
            <w:vAlign w:val="bottom"/>
            <w:tcBorders>
              <w:top w:val="single" w:sz="8" w:color="BFBFBF"/>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20"/>
                <w:szCs w:val="20"/>
                <w:color w:val="auto"/>
              </w:rPr>
              <w:t>Chairman of the Board</w:t>
            </w:r>
          </w:p>
        </w:tc>
        <w:tc>
          <w:tcPr>
            <w:tcW w:w="656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20"/>
                <w:szCs w:val="20"/>
                <w:b w:val="1"/>
                <w:bCs w:val="1"/>
                <w:color w:val="CE1141"/>
              </w:rPr>
              <w:t>Chuck Sledge</w:t>
            </w:r>
          </w:p>
        </w:tc>
      </w:tr>
      <w:tr>
        <w:trPr>
          <w:trHeight w:val="263"/>
        </w:trPr>
        <w:tc>
          <w:tcPr>
            <w:tcW w:w="4700" w:type="dxa"/>
            <w:vAlign w:val="bottom"/>
            <w:tcBorders>
              <w:left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20"/>
                <w:szCs w:val="20"/>
                <w:color w:val="auto"/>
              </w:rPr>
              <w:t>HR</w:t>
            </w:r>
          </w:p>
        </w:tc>
        <w:tc>
          <w:tcPr>
            <w:tcW w:w="656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20"/>
                <w:szCs w:val="20"/>
                <w:b w:val="1"/>
                <w:bCs w:val="1"/>
                <w:color w:val="CE1141"/>
              </w:rPr>
              <w:t>Ellen Chin</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EMPLOYMENT PACKAGE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BASE SALARY</w:t>
      </w:r>
    </w:p>
    <w:p>
      <w:pPr>
        <w:spacing w:after="0"/>
        <w:rPr>
          <w:sz w:val="20"/>
          <w:szCs w:val="20"/>
          <w:color w:val="auto"/>
        </w:rPr>
      </w:pPr>
      <w:r>
        <w:rPr>
          <w:rFonts w:ascii="Arial" w:cs="Arial" w:eastAsia="Arial" w:hAnsi="Arial"/>
          <w:sz w:val="20"/>
          <w:szCs w:val="20"/>
          <w:b w:val="1"/>
          <w:bCs w:val="1"/>
          <w:color w:val="CE1141"/>
        </w:rPr>
        <w:t>US $825,000 ANNUALLY</w:t>
      </w:r>
    </w:p>
    <w:p>
      <w:pPr>
        <w:spacing w:after="0"/>
        <w:rPr>
          <w:sz w:val="20"/>
          <w:szCs w:val="20"/>
          <w:color w:val="auto"/>
        </w:rPr>
      </w:pPr>
      <w:r>
        <w:rPr>
          <w:rFonts w:ascii="Arial" w:cs="Arial" w:eastAsia="Arial" w:hAnsi="Arial"/>
          <w:sz w:val="20"/>
          <w:szCs w:val="20"/>
          <w:color w:val="auto"/>
        </w:rPr>
        <w:t>Your base salary will be paid semi-monthly via the Company’s normal payroll cycle.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EXECUTIVE NON-EQUITY INCENTIVE COMPENSATION PLAN (EICP)</w:t>
      </w:r>
    </w:p>
    <w:p>
      <w:pPr>
        <w:spacing w:after="0"/>
        <w:rPr>
          <w:sz w:val="20"/>
          <w:szCs w:val="20"/>
          <w:color w:val="auto"/>
        </w:rPr>
      </w:pPr>
      <w:r>
        <w:rPr>
          <w:rFonts w:ascii="Arial" w:cs="Arial" w:eastAsia="Arial" w:hAnsi="Arial"/>
          <w:sz w:val="20"/>
          <w:szCs w:val="20"/>
          <w:b w:val="1"/>
          <w:bCs w:val="1"/>
          <w:color w:val="CE1141"/>
        </w:rPr>
        <w:t>125% OF ANNUAL BASE SALARY AT “TARGET” REWARD OPPORTUNITY</w:t>
      </w:r>
    </w:p>
    <w:p>
      <w:pPr>
        <w:jc w:val="both"/>
        <w:ind w:right="20"/>
        <w:spacing w:after="0" w:line="234" w:lineRule="auto"/>
        <w:rPr>
          <w:sz w:val="20"/>
          <w:szCs w:val="20"/>
          <w:color w:val="auto"/>
        </w:rPr>
      </w:pPr>
      <w:r>
        <w:rPr>
          <w:rFonts w:ascii="Arial" w:cs="Arial" w:eastAsia="Arial" w:hAnsi="Arial"/>
          <w:sz w:val="20"/>
          <w:szCs w:val="20"/>
          <w:color w:val="auto"/>
        </w:rPr>
        <w:t>You are eligible to participate in the Weatherford Executive Non-Equity Incentive Compensation Plan (EICP), subject to the terms and conditions of the plan, as amended from time to time. Any incentive payout from the EICP will be prorated for your period of employment, calculated from your hire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2020 LONG TERM CASH INCENTIVE PLAN (LTCIP)</w:t>
      </w:r>
    </w:p>
    <w:p>
      <w:pPr>
        <w:spacing w:after="0"/>
        <w:rPr>
          <w:sz w:val="20"/>
          <w:szCs w:val="20"/>
          <w:color w:val="auto"/>
        </w:rPr>
      </w:pPr>
      <w:r>
        <w:rPr>
          <w:rFonts w:ascii="Arial" w:cs="Arial" w:eastAsia="Arial" w:hAnsi="Arial"/>
          <w:sz w:val="20"/>
          <w:szCs w:val="20"/>
          <w:b w:val="1"/>
          <w:bCs w:val="1"/>
          <w:color w:val="CE1141"/>
        </w:rPr>
        <w:t>425% OF ANNUAL BASE SALARY</w:t>
      </w:r>
    </w:p>
    <w:p>
      <w:pPr>
        <w:jc w:val="both"/>
        <w:ind w:right="20"/>
        <w:spacing w:after="0" w:line="218" w:lineRule="auto"/>
        <w:rPr>
          <w:sz w:val="20"/>
          <w:szCs w:val="20"/>
          <w:color w:val="auto"/>
        </w:rPr>
      </w:pPr>
      <w:r>
        <w:rPr>
          <w:rFonts w:ascii="Arial" w:cs="Arial" w:eastAsia="Arial" w:hAnsi="Arial"/>
          <w:sz w:val="20"/>
          <w:szCs w:val="20"/>
          <w:color w:val="auto"/>
        </w:rPr>
        <w:t>Upon joining the Company, you will be awarded a long-term cash incentive award equal to 425% of base salary which will vest in accordance with the LTCIP vesting schedule shown below (with the time-based portion of the award (30%) vesting in equal installments on each of December 31, 2020, 2021 and 2022, or upon an earlier “Covered Termination</w:t>
      </w:r>
      <w:r>
        <w:rPr>
          <w:rFonts w:ascii="Arial" w:cs="Arial" w:eastAsia="Arial" w:hAnsi="Arial"/>
          <w:sz w:val="25"/>
          <w:szCs w:val="25"/>
          <w:color w:val="auto"/>
          <w:vertAlign w:val="superscript"/>
        </w:rPr>
        <w:t>1</w:t>
      </w:r>
      <w:r>
        <w:rPr>
          <w:rFonts w:ascii="Arial" w:cs="Arial" w:eastAsia="Arial" w:hAnsi="Arial"/>
          <w:sz w:val="20"/>
          <w:szCs w:val="20"/>
          <w:color w:val="auto"/>
        </w:rPr>
        <w:t>”) and subject to your acceptance of the award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7" w:lineRule="exact"/>
        <w:rPr>
          <w:sz w:val="20"/>
          <w:szCs w:val="20"/>
          <w:color w:val="auto"/>
        </w:rPr>
      </w:pPr>
    </w:p>
    <w:p>
      <w:pPr>
        <w:ind w:right="40" w:firstLine="8"/>
        <w:spacing w:after="0" w:line="211" w:lineRule="auto"/>
        <w:tabs>
          <w:tab w:leader="none" w:pos="111"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 “Covered Termination” shall mean an involuntary termination without Cause, a voluntary resignation for Good Reason, or a termination due to death or disability.</w:t>
      </w:r>
    </w:p>
    <w:p>
      <w:pPr>
        <w:spacing w:after="0" w:line="234" w:lineRule="auto"/>
        <w:rPr>
          <w:rFonts w:ascii="Arial" w:cs="Arial" w:eastAsia="Arial" w:hAnsi="Arial"/>
          <w:sz w:val="23"/>
          <w:szCs w:val="23"/>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shall mean the occurrence of any of the following:</w:t>
      </w:r>
    </w:p>
    <w:p>
      <w:pPr>
        <w:jc w:val="both"/>
        <w:ind w:right="20" w:firstLine="1304"/>
        <w:spacing w:after="0" w:line="239" w:lineRule="auto"/>
        <w:tabs>
          <w:tab w:leader="none" w:pos="15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willful and continued failure of the employee to substantially perform the employee’s duties with the Company (other than any such failure resulting from incapacity due to physical or mental illness), after a written demand for substantial performance is delivered to the employee by the Company that specifically identifies the manner in which the employee has not substantially performed the employee’s duties, and after the employee fails to take the corrective action(s) identified by the Company after being given a reasonable period of time of no less than 10 days to do so;</w:t>
      </w:r>
    </w:p>
    <w:p>
      <w:pPr>
        <w:sectPr>
          <w:pgSz w:w="11900" w:h="16838" w:orient="portrait"/>
          <w:cols w:equalWidth="0" w:num="1">
            <w:col w:w="11260"/>
          </w:cols>
          <w:pgMar w:left="320" w:top="1404" w:right="319" w:bottom="1440" w:gutter="0" w:footer="0" w:header="0"/>
          <w:type w:val="continuous"/>
        </w:sectPr>
      </w:pPr>
    </w:p>
    <w:bookmarkStart w:id="44" w:name="page45"/>
    <w:bookmarkEnd w:id="44"/>
    <w:p>
      <w:pPr>
        <w:jc w:val="both"/>
        <w:spacing w:after="0" w:line="24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t>agreement and the terms and conditions of the 2020 LTCIP. Any incentive payout from the LTCIP will be prorated for your period of employment, using a fraction with the numerator calculated from your hire date through December 31, 2022 over the three calendar year period from 2020-2022.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3" w:lineRule="exact"/>
        <w:rPr>
          <w:sz w:val="20"/>
          <w:szCs w:val="20"/>
          <w:color w:val="auto"/>
        </w:rPr>
      </w:pPr>
    </w:p>
    <w:p>
      <w:pPr>
        <w:ind w:left="1560" w:hanging="256"/>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employee willfully engaging in illegal conduct;</w:t>
      </w:r>
    </w:p>
    <w:p>
      <w:pPr>
        <w:ind w:firstLine="1304"/>
        <w:spacing w:after="0" w:line="234" w:lineRule="auto"/>
        <w:tabs>
          <w:tab w:leader="none" w:pos="15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employee willfully engaging in gross misconduct that results or could reasonably be expected to result in harm to the Company’s or any of its Affiliates’ business or reputation;</w:t>
      </w:r>
    </w:p>
    <w:p>
      <w:pPr>
        <w:spacing w:after="0" w:line="1" w:lineRule="exact"/>
        <w:rPr>
          <w:rFonts w:ascii="Arial" w:cs="Arial" w:eastAsia="Arial" w:hAnsi="Arial"/>
          <w:sz w:val="18"/>
          <w:szCs w:val="18"/>
          <w:color w:val="auto"/>
        </w:rPr>
      </w:pPr>
    </w:p>
    <w:p>
      <w:pPr>
        <w:ind w:right="60" w:firstLine="1304"/>
        <w:spacing w:after="0" w:line="234" w:lineRule="auto"/>
        <w:tabs>
          <w:tab w:leader="none" w:pos="1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employee’s material breach of any written agreements with or material policies of the Company or its Affiliates, including, but not limited to, those relating to discrimination, harassment, performance of illegal or unethical activities and ethical misconduct; or</w:t>
      </w:r>
    </w:p>
    <w:p>
      <w:pPr>
        <w:spacing w:after="0" w:line="2" w:lineRule="exact"/>
        <w:rPr>
          <w:rFonts w:ascii="Arial" w:cs="Arial" w:eastAsia="Arial" w:hAnsi="Arial"/>
          <w:sz w:val="18"/>
          <w:szCs w:val="18"/>
          <w:color w:val="auto"/>
        </w:rPr>
      </w:pPr>
    </w:p>
    <w:p>
      <w:pPr>
        <w:ind w:left="1560" w:hanging="256"/>
        <w:spacing w:after="0" w:line="234" w:lineRule="auto"/>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employee’s violation of any fiduciary duty or duty of loyalty owed to the Company or any of its Affiliates.</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No act, or failure to act, on the part of the employee shall be considered “</w:t>
      </w:r>
      <w:r>
        <w:rPr>
          <w:rFonts w:ascii="Arial" w:cs="Arial" w:eastAsia="Arial" w:hAnsi="Arial"/>
          <w:sz w:val="18"/>
          <w:szCs w:val="18"/>
          <w:b w:val="1"/>
          <w:bCs w:val="1"/>
          <w:color w:val="auto"/>
        </w:rPr>
        <w:t>wilful</w:t>
      </w:r>
      <w:r>
        <w:rPr>
          <w:rFonts w:ascii="Arial" w:cs="Arial" w:eastAsia="Arial" w:hAnsi="Arial"/>
          <w:sz w:val="18"/>
          <w:szCs w:val="18"/>
          <w:color w:val="auto"/>
        </w:rPr>
        <w:t>” unless it is done, or omitted to be done, by the employee in bad faith or without reasonable belief that the employee’s action or omission was in the best interests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express written consent of the employee:</w:t>
      </w:r>
    </w:p>
    <w:p>
      <w:pPr>
        <w:spacing w:after="0" w:line="20" w:lineRule="exact"/>
        <w:rPr>
          <w:sz w:val="20"/>
          <w:szCs w:val="20"/>
          <w:color w:val="auto"/>
        </w:rPr>
      </w:pPr>
    </w:p>
    <w:p>
      <w:pPr>
        <w:ind w:right="100" w:firstLine="1304"/>
        <w:spacing w:after="0" w:line="234" w:lineRule="auto"/>
        <w:tabs>
          <w:tab w:leader="none" w:pos="15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assignment of the employee to duties materially inconsistent with the employee’s authorities, duties and responsibilities (including, without limitation, titles and reporting requirements) as an employee of the Company or any of its Affiliates (including, without limitation, any material adverse change in the employee’s reporting) from those in effect on the date immediately preceding the Change in Control; for the avoidance of doubt, a material adverse change in the employee’s reporting relationship shall occur for the Chief Executive Officer if such employee ceases to report to the Board or if an Executive Chairman or similar role is appointed for the Company;</w:t>
      </w:r>
    </w:p>
    <w:p>
      <w:pPr>
        <w:spacing w:after="0" w:line="4" w:lineRule="exact"/>
        <w:rPr>
          <w:rFonts w:ascii="Arial" w:cs="Arial" w:eastAsia="Arial" w:hAnsi="Arial"/>
          <w:sz w:val="18"/>
          <w:szCs w:val="18"/>
          <w:color w:val="auto"/>
        </w:rPr>
      </w:pPr>
    </w:p>
    <w:p>
      <w:pPr>
        <w:ind w:right="100" w:firstLine="1304"/>
        <w:spacing w:after="0" w:line="234" w:lineRule="auto"/>
        <w:tabs>
          <w:tab w:leader="none" w:pos="15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reduction in the employee’s Total Target Direct Compensation, as established by the Board of Directors or any committee thereof, from the levels in place on the date immediately preceding the Change in Control, except if such reduction is part of a cost reduction initiative that applies to and affects all executive officers of the Company and/or all executive officers of any Person that controls the Company equally and proportionately;</w:t>
      </w:r>
    </w:p>
    <w:p>
      <w:pPr>
        <w:spacing w:after="0" w:line="2" w:lineRule="exact"/>
        <w:rPr>
          <w:rFonts w:ascii="Arial" w:cs="Arial" w:eastAsia="Arial" w:hAnsi="Arial"/>
          <w:sz w:val="18"/>
          <w:szCs w:val="18"/>
          <w:color w:val="auto"/>
        </w:rPr>
      </w:pPr>
    </w:p>
    <w:p>
      <w:pPr>
        <w:ind w:right="140" w:firstLine="1304"/>
        <w:spacing w:after="0" w:line="234" w:lineRule="auto"/>
        <w:tabs>
          <w:tab w:leader="none" w:pos="15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employee whose principal office is located at the Company’s Houston, Texas headquarters location, the relocation of the employee’s principal office to an area more than 50 miles from its location immediately prior to such relocation; or</w:t>
      </w:r>
    </w:p>
    <w:p>
      <w:pPr>
        <w:spacing w:after="0" w:line="1" w:lineRule="exact"/>
        <w:rPr>
          <w:rFonts w:ascii="Arial" w:cs="Arial" w:eastAsia="Arial" w:hAnsi="Arial"/>
          <w:sz w:val="18"/>
          <w:szCs w:val="18"/>
          <w:color w:val="auto"/>
        </w:rPr>
      </w:pPr>
    </w:p>
    <w:p>
      <w:pPr>
        <w:ind w:left="1600" w:hanging="296"/>
        <w:spacing w:after="0" w:line="234"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breach of this agreement or any failure by the Company to secure assumption of this agreement by a successor or</w:t>
      </w:r>
    </w:p>
    <w:p>
      <w:pPr>
        <w:spacing w:after="0"/>
        <w:rPr>
          <w:rFonts w:ascii="Arial" w:cs="Arial" w:eastAsia="Arial" w:hAnsi="Arial"/>
          <w:sz w:val="18"/>
          <w:szCs w:val="18"/>
          <w:color w:val="auto"/>
        </w:rPr>
      </w:pPr>
      <w:r>
        <w:rPr>
          <w:rFonts w:ascii="Arial" w:cs="Arial" w:eastAsia="Arial" w:hAnsi="Arial"/>
          <w:sz w:val="18"/>
          <w:szCs w:val="18"/>
          <w:color w:val="auto"/>
        </w:rPr>
        <w:t>assign;</w:t>
      </w:r>
    </w:p>
    <w:p>
      <w:pPr>
        <w:spacing w:after="0" w:line="21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such event described in paragraph (i) through (iv) above shall constitute “Good Reason” unless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provides the Company with notice of Good Reason setting forth the event that the employee believes in good faith constitutes Good Reason within 45 days following the employee’s knowledge of such event;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event described in paragraph (i) through (iv) above shall constitute Good Reason if the Company cures such event within 30 days following the Company’s receipt of such notice.</w:t>
      </w:r>
    </w:p>
    <w:p>
      <w:pPr>
        <w:sectPr>
          <w:pgSz w:w="11900" w:h="16838" w:orient="portrait"/>
          <w:cols w:equalWidth="0" w:num="1">
            <w:col w:w="11240"/>
          </w:cols>
          <w:pgMar w:left="320" w:top="1406"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LTCIP VESTING SCHEDULE</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Proration* Calculation For CEO LTCIP Award</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304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20"/>
                <w:szCs w:val="20"/>
                <w:color w:val="auto"/>
              </w:rPr>
              <w:t>September 9, 2020</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3040" w:type="dxa"/>
            <w:vAlign w:val="bottom"/>
          </w:tcPr>
          <w:p>
            <w:pPr>
              <w:spacing w:after="0"/>
              <w:rPr>
                <w:sz w:val="20"/>
                <w:szCs w:val="20"/>
                <w:color w:val="auto"/>
              </w:rPr>
            </w:pPr>
            <w:r>
              <w:rPr>
                <w:rFonts w:ascii="Arial" w:cs="Arial" w:eastAsia="Arial" w:hAnsi="Arial"/>
                <w:sz w:val="20"/>
                <w:szCs w:val="20"/>
                <w:color w:val="auto"/>
              </w:rPr>
              <w:t>Assumed Start Date</w:t>
            </w: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October 12, 2020</w:t>
            </w:r>
          </w:p>
        </w:tc>
        <w:tc>
          <w:tcPr>
            <w:tcW w:w="0" w:type="dxa"/>
            <w:vAlign w:val="bottom"/>
          </w:tcPr>
          <w:p>
            <w:pPr>
              <w:spacing w:after="0"/>
              <w:rPr>
                <w:sz w:val="1"/>
                <w:szCs w:val="1"/>
                <w:color w:val="auto"/>
              </w:rPr>
            </w:pPr>
          </w:p>
        </w:tc>
      </w:tr>
      <w:tr>
        <w:trPr>
          <w:trHeight w:val="487"/>
        </w:trPr>
        <w:tc>
          <w:tcPr>
            <w:tcW w:w="3040" w:type="dxa"/>
            <w:vAlign w:val="bottom"/>
          </w:tcPr>
          <w:p>
            <w:pPr>
              <w:spacing w:after="0"/>
              <w:rPr>
                <w:sz w:val="20"/>
                <w:szCs w:val="20"/>
                <w:color w:val="auto"/>
              </w:rPr>
            </w:pPr>
            <w:r>
              <w:rPr>
                <w:rFonts w:ascii="Arial" w:cs="Arial" w:eastAsia="Arial" w:hAnsi="Arial"/>
                <w:sz w:val="20"/>
                <w:szCs w:val="20"/>
                <w:color w:val="auto"/>
              </w:rPr>
              <w:t>Base Salary</w:t>
            </w: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$825,000</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color w:val="auto"/>
              </w:rPr>
              <w:t>LTCIP %</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425.00%</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color w:val="auto"/>
                <w:w w:val="98"/>
              </w:rPr>
              <w:t>LTCIP $ (At Target - Not Prorated)</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$3,506,250</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color w:val="auto"/>
              </w:rPr>
              <w:t>Prorated* LTCIP %</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73.97%</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r>
              <w:rPr>
                <w:rFonts w:ascii="Arial" w:cs="Arial" w:eastAsia="Arial" w:hAnsi="Arial"/>
                <w:sz w:val="20"/>
                <w:szCs w:val="20"/>
                <w:color w:val="auto"/>
              </w:rPr>
              <w:t>Prorated* LTCIP $</w:t>
            </w:r>
          </w:p>
        </w:tc>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$2,593,664</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b w:val="1"/>
                <w:bCs w:val="1"/>
                <w:color w:val="auto"/>
              </w:rPr>
              <w:t>Time-Based</w:t>
            </w:r>
          </w:p>
        </w:tc>
        <w:tc>
          <w:tcPr>
            <w:tcW w:w="2360" w:type="dxa"/>
            <w:vAlign w:val="bottom"/>
          </w:tcPr>
          <w:p>
            <w:pPr>
              <w:jc w:val="right"/>
              <w:spacing w:after="0"/>
              <w:rPr>
                <w:sz w:val="20"/>
                <w:szCs w:val="20"/>
                <w:color w:val="auto"/>
              </w:rPr>
            </w:pPr>
            <w:r>
              <w:rPr>
                <w:rFonts w:ascii="Arial" w:cs="Arial" w:eastAsia="Arial" w:hAnsi="Arial"/>
                <w:sz w:val="20"/>
                <w:szCs w:val="20"/>
                <w:b w:val="1"/>
                <w:bCs w:val="1"/>
                <w:color w:val="auto"/>
              </w:rPr>
              <w:t>30%</w:t>
            </w:r>
          </w:p>
        </w:tc>
        <w:tc>
          <w:tcPr>
            <w:tcW w:w="7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$778,099</w:t>
            </w:r>
          </w:p>
        </w:tc>
        <w:tc>
          <w:tcPr>
            <w:tcW w:w="0" w:type="dxa"/>
            <w:vAlign w:val="bottom"/>
          </w:tcPr>
          <w:p>
            <w:pPr>
              <w:spacing w:after="0"/>
              <w:rPr>
                <w:sz w:val="1"/>
                <w:szCs w:val="1"/>
                <w:color w:val="auto"/>
              </w:rPr>
            </w:pPr>
          </w:p>
        </w:tc>
      </w:tr>
      <w:tr>
        <w:trPr>
          <w:trHeight w:val="281"/>
        </w:trPr>
        <w:tc>
          <w:tcPr>
            <w:tcW w:w="3040" w:type="dxa"/>
            <w:vAlign w:val="bottom"/>
          </w:tcPr>
          <w:p>
            <w:pPr>
              <w:spacing w:after="0"/>
              <w:rPr>
                <w:sz w:val="20"/>
                <w:szCs w:val="20"/>
                <w:color w:val="auto"/>
              </w:rPr>
            </w:pPr>
            <w:r>
              <w:rPr>
                <w:rFonts w:ascii="Arial" w:cs="Arial" w:eastAsia="Arial" w:hAnsi="Arial"/>
                <w:sz w:val="20"/>
                <w:szCs w:val="20"/>
                <w:b w:val="1"/>
                <w:bCs w:val="1"/>
                <w:color w:val="auto"/>
              </w:rPr>
              <w:t>Perf.-Based</w:t>
            </w:r>
          </w:p>
        </w:tc>
        <w:tc>
          <w:tcPr>
            <w:tcW w:w="2360" w:type="dxa"/>
            <w:vAlign w:val="bottom"/>
          </w:tcPr>
          <w:p>
            <w:pPr>
              <w:jc w:val="right"/>
              <w:spacing w:after="0"/>
              <w:rPr>
                <w:sz w:val="20"/>
                <w:szCs w:val="20"/>
                <w:color w:val="auto"/>
              </w:rPr>
            </w:pPr>
            <w:r>
              <w:rPr>
                <w:rFonts w:ascii="Arial" w:cs="Arial" w:eastAsia="Arial" w:hAnsi="Arial"/>
                <w:sz w:val="20"/>
                <w:szCs w:val="20"/>
                <w:b w:val="1"/>
                <w:bCs w:val="1"/>
                <w:color w:val="auto"/>
              </w:rPr>
              <w:t>70%</w:t>
            </w:r>
          </w:p>
        </w:tc>
        <w:tc>
          <w:tcPr>
            <w:tcW w:w="7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$1,815,565</w:t>
            </w:r>
          </w:p>
        </w:tc>
        <w:tc>
          <w:tcPr>
            <w:tcW w:w="0" w:type="dxa"/>
            <w:vAlign w:val="bottom"/>
          </w:tcPr>
          <w:p>
            <w:pPr>
              <w:spacing w:after="0"/>
              <w:rPr>
                <w:sz w:val="1"/>
                <w:szCs w:val="1"/>
                <w:color w:val="auto"/>
              </w:rPr>
            </w:pPr>
          </w:p>
        </w:tc>
      </w:tr>
      <w:tr>
        <w:trPr>
          <w:trHeight w:val="477"/>
        </w:trPr>
        <w:tc>
          <w:tcPr>
            <w:tcW w:w="3040" w:type="dxa"/>
            <w:vAlign w:val="bottom"/>
          </w:tcPr>
          <w:p>
            <w:pPr>
              <w:spacing w:after="0"/>
              <w:rPr>
                <w:sz w:val="20"/>
                <w:szCs w:val="20"/>
                <w:color w:val="auto"/>
              </w:rPr>
            </w:pPr>
            <w:r>
              <w:rPr>
                <w:rFonts w:ascii="Arial" w:cs="Arial" w:eastAsia="Arial" w:hAnsi="Arial"/>
                <w:sz w:val="20"/>
                <w:szCs w:val="20"/>
                <w:color w:val="auto"/>
              </w:rPr>
              <w:t>LTCIP Vesting</w:t>
            </w: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color w:val="auto"/>
              </w:rPr>
              <w:t>Time-Based:</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color w:val="auto"/>
              </w:rPr>
              <w:t>Award Date</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$76,849</w:t>
            </w: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r>
              <w:rPr>
                <w:rFonts w:ascii="Arial" w:cs="Arial" w:eastAsia="Arial" w:hAnsi="Arial"/>
                <w:sz w:val="20"/>
                <w:szCs w:val="20"/>
                <w:color w:val="auto"/>
              </w:rPr>
              <w:t>December 31, 2020</w:t>
            </w:r>
          </w:p>
        </w:tc>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20"/>
                <w:szCs w:val="20"/>
                <w:color w:val="auto"/>
              </w:rPr>
              <w:t>December 31, 2021</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$350,625</w:t>
            </w:r>
          </w:p>
        </w:tc>
        <w:tc>
          <w:tcPr>
            <w:tcW w:w="0" w:type="dxa"/>
            <w:vAlign w:val="bottom"/>
          </w:tcPr>
          <w:p>
            <w:pPr>
              <w:spacing w:after="0"/>
              <w:rPr>
                <w:sz w:val="1"/>
                <w:szCs w:val="1"/>
                <w:color w:val="auto"/>
              </w:rPr>
            </w:pPr>
          </w:p>
        </w:tc>
      </w:tr>
      <w:tr>
        <w:trPr>
          <w:trHeight w:val="261"/>
        </w:trPr>
        <w:tc>
          <w:tcPr>
            <w:tcW w:w="3040" w:type="dxa"/>
            <w:vAlign w:val="bottom"/>
          </w:tcPr>
          <w:p>
            <w:pPr>
              <w:spacing w:after="0"/>
              <w:rPr>
                <w:sz w:val="20"/>
                <w:szCs w:val="20"/>
                <w:color w:val="auto"/>
              </w:rPr>
            </w:pPr>
            <w:r>
              <w:rPr>
                <w:rFonts w:ascii="Arial" w:cs="Arial" w:eastAsia="Arial" w:hAnsi="Arial"/>
                <w:sz w:val="20"/>
                <w:szCs w:val="20"/>
                <w:color w:val="auto"/>
              </w:rPr>
              <w:t>December 31, 2022</w:t>
            </w:r>
          </w:p>
        </w:tc>
        <w:tc>
          <w:tcPr>
            <w:tcW w:w="2360" w:type="dxa"/>
            <w:vAlign w:val="bottom"/>
            <w:vMerge w:val="restart"/>
          </w:tcPr>
          <w:p>
            <w:pPr>
              <w:jc w:val="right"/>
              <w:ind w:right="661"/>
              <w:spacing w:after="0"/>
              <w:rPr>
                <w:sz w:val="20"/>
                <w:szCs w:val="20"/>
                <w:color w:val="auto"/>
              </w:rPr>
            </w:pPr>
            <w:r>
              <w:rPr>
                <w:rFonts w:ascii="Arial" w:cs="Arial" w:eastAsia="Arial" w:hAnsi="Arial"/>
                <w:sz w:val="20"/>
                <w:szCs w:val="20"/>
                <w:b w:val="1"/>
                <w:bCs w:val="1"/>
                <w:i w:val="1"/>
                <w:iCs w:val="1"/>
                <w:color w:val="auto"/>
              </w:rPr>
              <w:t>Total</w:t>
            </w:r>
          </w:p>
        </w:tc>
        <w:tc>
          <w:tcPr>
            <w:tcW w:w="7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$350,625</w:t>
            </w:r>
          </w:p>
        </w:tc>
        <w:tc>
          <w:tcPr>
            <w:tcW w:w="0" w:type="dxa"/>
            <w:vAlign w:val="bottom"/>
          </w:tcPr>
          <w:p>
            <w:pPr>
              <w:spacing w:after="0"/>
              <w:rPr>
                <w:sz w:val="1"/>
                <w:szCs w:val="1"/>
                <w:color w:val="auto"/>
              </w:rPr>
            </w:pPr>
          </w:p>
        </w:tc>
      </w:tr>
      <w:tr>
        <w:trPr>
          <w:trHeight w:val="271"/>
        </w:trPr>
        <w:tc>
          <w:tcPr>
            <w:tcW w:w="3040" w:type="dxa"/>
            <w:vAlign w:val="bottom"/>
          </w:tcPr>
          <w:p>
            <w:pPr>
              <w:spacing w:after="0"/>
              <w:rPr>
                <w:sz w:val="23"/>
                <w:szCs w:val="23"/>
                <w:color w:val="auto"/>
              </w:rPr>
            </w:pPr>
          </w:p>
        </w:tc>
        <w:tc>
          <w:tcPr>
            <w:tcW w:w="2360" w:type="dxa"/>
            <w:vAlign w:val="bottom"/>
            <w:vMerge w:val="continue"/>
          </w:tcPr>
          <w:p>
            <w:pPr>
              <w:spacing w:after="0"/>
              <w:rPr>
                <w:sz w:val="23"/>
                <w:szCs w:val="23"/>
                <w:color w:val="auto"/>
              </w:rPr>
            </w:pPr>
          </w:p>
        </w:tc>
        <w:tc>
          <w:tcPr>
            <w:tcW w:w="7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$778,099</w:t>
            </w:r>
          </w:p>
        </w:tc>
        <w:tc>
          <w:tcPr>
            <w:tcW w:w="0" w:type="dxa"/>
            <w:vAlign w:val="bottom"/>
          </w:tcPr>
          <w:p>
            <w:pPr>
              <w:spacing w:after="0"/>
              <w:rPr>
                <w:sz w:val="1"/>
                <w:szCs w:val="1"/>
                <w:color w:val="auto"/>
              </w:rPr>
            </w:pPr>
          </w:p>
        </w:tc>
      </w:tr>
      <w:tr>
        <w:trPr>
          <w:trHeight w:val="461"/>
        </w:trPr>
        <w:tc>
          <w:tcPr>
            <w:tcW w:w="3040" w:type="dxa"/>
            <w:vAlign w:val="bottom"/>
          </w:tcPr>
          <w:p>
            <w:pPr>
              <w:spacing w:after="0"/>
              <w:rPr>
                <w:sz w:val="20"/>
                <w:szCs w:val="20"/>
                <w:color w:val="auto"/>
              </w:rPr>
            </w:pPr>
            <w:r>
              <w:rPr>
                <w:rFonts w:ascii="Arial" w:cs="Arial" w:eastAsia="Arial" w:hAnsi="Arial"/>
                <w:sz w:val="20"/>
                <w:szCs w:val="20"/>
                <w:b w:val="1"/>
                <w:bCs w:val="1"/>
                <w:color w:val="auto"/>
              </w:rPr>
              <w:t>Performance-based:</w:t>
            </w: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$1,815,565</w:t>
            </w:r>
          </w:p>
        </w:tc>
        <w:tc>
          <w:tcPr>
            <w:tcW w:w="0" w:type="dxa"/>
            <w:vAlign w:val="bottom"/>
          </w:tcPr>
          <w:p>
            <w:pPr>
              <w:spacing w:after="0"/>
              <w:rPr>
                <w:sz w:val="1"/>
                <w:szCs w:val="1"/>
                <w:color w:val="auto"/>
              </w:rPr>
            </w:pPr>
          </w:p>
        </w:tc>
      </w:tr>
      <w:tr>
        <w:trPr>
          <w:trHeight w:val="281"/>
        </w:trPr>
        <w:tc>
          <w:tcPr>
            <w:tcW w:w="6140" w:type="dxa"/>
            <w:vAlign w:val="bottom"/>
            <w:gridSpan w:val="3"/>
          </w:tcPr>
          <w:p>
            <w:pPr>
              <w:spacing w:after="0"/>
              <w:rPr>
                <w:sz w:val="20"/>
                <w:szCs w:val="20"/>
                <w:color w:val="auto"/>
              </w:rPr>
            </w:pPr>
            <w:r>
              <w:rPr>
                <w:rFonts w:ascii="Arial" w:cs="Arial" w:eastAsia="Arial" w:hAnsi="Arial"/>
                <w:sz w:val="20"/>
                <w:szCs w:val="20"/>
                <w:b w:val="1"/>
                <w:bCs w:val="1"/>
                <w:color w:val="auto"/>
              </w:rPr>
              <w:t>Eligible to cliff-vest, to the extent earned, on December 31, 2022</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*Pro-rated for time in role.</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LONG TERM INCENTIVE (LTI)</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For 2021 and subsequent years, you are eligible for consideration under Weatherford’s Annual Equity Incentive Plan (EIP) or other long-term incentive plans that may be approved by the Board. Your eligibility to receive Awards under the EIP or any other long-term incentive plan is subject to approval by the Board of Directors of Weatherford International (or a committee thereof) and subject always to the terms and conditions of Weatherford International plc 2019 Equity Incentive Plan, as may be amended from time to time by Weatherford International or any other long term incentive plan that may be adopted by the Board.</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Any future grants, annual and otherwise, will be at the discretion of the Board and subject to the terms and conditions of the current or future Long-Term Incentive Program then in place. The award of any incentive is discretionary, and subject to approval of the Board of Directors (or a committee thereof) and to the terms and conditions of the applicable Award Agreement which shall be consistent with this letter agreement.</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20"/>
          <w:szCs w:val="20"/>
          <w:color w:val="auto"/>
        </w:rPr>
        <w:t>For purposes of vesting of applicable equity awards granted to you under the Weatherford International plc 2019 Equity Incentive Plan document, the respective award agreements will provide you with the following rights in the event of a termination without Cause or a resignation for Good Reason: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Type of Award</w:t>
            </w:r>
          </w:p>
        </w:tc>
        <w:tc>
          <w:tcPr>
            <w:tcW w:w="4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Term w/o Cause / Resig. For Good Reason</w:t>
            </w: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Term w/o Cause / Resig. for Good Reason &amp; CIC</w:t>
            </w:r>
          </w:p>
        </w:tc>
      </w:tr>
      <w:tr>
        <w:trPr>
          <w:trHeight w:val="220"/>
        </w:trPr>
        <w:tc>
          <w:tcPr>
            <w:tcW w:w="240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RSU (time based)</w:t>
            </w:r>
          </w:p>
        </w:tc>
        <w:tc>
          <w:tcPr>
            <w:tcW w:w="426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rPr>
              <w:t>Vest pro-rata on unvested pieces during any</w:t>
            </w:r>
          </w:p>
        </w:tc>
        <w:tc>
          <w:tcPr>
            <w:tcW w:w="44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rPr>
              <w:t>Fully vest</w:t>
            </w:r>
          </w:p>
        </w:tc>
      </w:tr>
      <w:tr>
        <w:trPr>
          <w:trHeight w:val="229"/>
        </w:trPr>
        <w:tc>
          <w:tcPr>
            <w:tcW w:w="240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vesting period. For example, if terminated in</w:t>
            </w:r>
          </w:p>
        </w:tc>
        <w:tc>
          <w:tcPr>
            <w:tcW w:w="4480" w:type="dxa"/>
            <w:vAlign w:val="bottom"/>
            <w:tcBorders>
              <w:right w:val="single" w:sz="8" w:color="auto"/>
            </w:tcBorders>
          </w:tcPr>
          <w:p>
            <w:pPr>
              <w:spacing w:after="0"/>
              <w:rPr>
                <w:sz w:val="19"/>
                <w:szCs w:val="19"/>
                <w:color w:val="auto"/>
              </w:rPr>
            </w:pPr>
          </w:p>
        </w:tc>
      </w:tr>
      <w:tr>
        <w:trPr>
          <w:trHeight w:val="230"/>
        </w:trPr>
        <w:tc>
          <w:tcPr>
            <w:tcW w:w="240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of year 2 of a 3-year grant, would be</w:t>
            </w:r>
          </w:p>
        </w:tc>
        <w:tc>
          <w:tcPr>
            <w:tcW w:w="4480" w:type="dxa"/>
            <w:vAlign w:val="bottom"/>
            <w:tcBorders>
              <w:right w:val="single" w:sz="8" w:color="auto"/>
            </w:tcBorders>
          </w:tcPr>
          <w:p>
            <w:pPr>
              <w:spacing w:after="0"/>
              <w:rPr>
                <w:sz w:val="19"/>
                <w:szCs w:val="19"/>
                <w:color w:val="auto"/>
              </w:rPr>
            </w:pPr>
          </w:p>
        </w:tc>
      </w:tr>
      <w:tr>
        <w:trPr>
          <w:trHeight w:val="229"/>
        </w:trPr>
        <w:tc>
          <w:tcPr>
            <w:tcW w:w="240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entitled to ½ of the shares that would otherwise</w:t>
            </w:r>
          </w:p>
        </w:tc>
        <w:tc>
          <w:tcPr>
            <w:tcW w:w="4480" w:type="dxa"/>
            <w:vAlign w:val="bottom"/>
            <w:tcBorders>
              <w:right w:val="single" w:sz="8" w:color="auto"/>
            </w:tcBorders>
          </w:tcPr>
          <w:p>
            <w:pPr>
              <w:spacing w:after="0"/>
              <w:rPr>
                <w:sz w:val="19"/>
                <w:szCs w:val="19"/>
                <w:color w:val="auto"/>
              </w:rPr>
            </w:pPr>
          </w:p>
        </w:tc>
      </w:tr>
      <w:tr>
        <w:trPr>
          <w:trHeight w:val="229"/>
        </w:trPr>
        <w:tc>
          <w:tcPr>
            <w:tcW w:w="2400" w:type="dxa"/>
            <w:vAlign w:val="bottom"/>
            <w:tcBorders>
              <w:left w:val="single" w:sz="8" w:color="auto"/>
              <w:right w:val="single" w:sz="8" w:color="auto"/>
            </w:tcBorders>
          </w:tcPr>
          <w:p>
            <w:pPr>
              <w:spacing w:after="0"/>
              <w:rPr>
                <w:sz w:val="19"/>
                <w:szCs w:val="19"/>
                <w:color w:val="auto"/>
              </w:rPr>
            </w:pPr>
          </w:p>
        </w:tc>
        <w:tc>
          <w:tcPr>
            <w:tcW w:w="426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0"/>
                <w:szCs w:val="20"/>
                <w:color w:val="auto"/>
              </w:rPr>
              <w:t>vest in year 2 - - forfeiting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half of year 2</w:t>
            </w:r>
          </w:p>
        </w:tc>
        <w:tc>
          <w:tcPr>
            <w:tcW w:w="4480" w:type="dxa"/>
            <w:vAlign w:val="bottom"/>
            <w:tcBorders>
              <w:right w:val="single" w:sz="8" w:color="auto"/>
            </w:tcBorders>
          </w:tcPr>
          <w:p>
            <w:pPr>
              <w:spacing w:after="0"/>
              <w:rPr>
                <w:sz w:val="19"/>
                <w:szCs w:val="19"/>
                <w:color w:val="auto"/>
              </w:rPr>
            </w:pPr>
          </w:p>
        </w:tc>
      </w:tr>
      <w:tr>
        <w:trPr>
          <w:trHeight w:val="280"/>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4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shares and forfeiting year 3 shares as well</w:t>
            </w:r>
          </w:p>
        </w:tc>
        <w:tc>
          <w:tcPr>
            <w:tcW w:w="4480" w:type="dxa"/>
            <w:vAlign w:val="bottom"/>
            <w:tcBorders>
              <w:bottom w:val="single" w:sz="8" w:color="auto"/>
              <w:right w:val="single" w:sz="8" w:color="auto"/>
            </w:tcBorders>
          </w:tcPr>
          <w:p>
            <w:pPr>
              <w:spacing w:after="0"/>
              <w:rPr>
                <w:sz w:val="24"/>
                <w:szCs w:val="24"/>
                <w:color w:val="auto"/>
              </w:rPr>
            </w:pPr>
          </w:p>
        </w:tc>
      </w:tr>
      <w:tr>
        <w:trPr>
          <w:trHeight w:val="189"/>
        </w:trPr>
        <w:tc>
          <w:tcPr>
            <w:tcW w:w="240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20"/>
                <w:szCs w:val="20"/>
                <w:color w:val="auto"/>
              </w:rPr>
              <w:t>PSUs</w:t>
            </w:r>
          </w:p>
        </w:tc>
        <w:tc>
          <w:tcPr>
            <w:tcW w:w="42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rPr>
              <w:t>Vest pro-rata for time at company – subject to</w:t>
            </w:r>
          </w:p>
        </w:tc>
        <w:tc>
          <w:tcPr>
            <w:tcW w:w="4480" w:type="dxa"/>
            <w:vAlign w:val="bottom"/>
            <w:tcBorders>
              <w:right w:val="single" w:sz="8" w:color="auto"/>
            </w:tcBorders>
          </w:tcPr>
          <w:p>
            <w:pPr>
              <w:spacing w:after="0" w:line="189" w:lineRule="exact"/>
              <w:rPr>
                <w:sz w:val="20"/>
                <w:szCs w:val="20"/>
                <w:color w:val="auto"/>
              </w:rPr>
            </w:pPr>
            <w:r>
              <w:rPr>
                <w:rFonts w:ascii="Arial" w:cs="Arial" w:eastAsia="Arial" w:hAnsi="Arial"/>
                <w:sz w:val="20"/>
                <w:szCs w:val="20"/>
                <w:color w:val="auto"/>
              </w:rPr>
              <w:t>Fully vest - Look at attainment on metrics up to</w:t>
            </w: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42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rPr>
              <w:t>performance metrics &amp; paid at end of</w:t>
            </w:r>
          </w:p>
        </w:tc>
        <w:tc>
          <w:tcPr>
            <w:tcW w:w="4480" w:type="dxa"/>
            <w:vAlign w:val="bottom"/>
            <w:tcBorders>
              <w:right w:val="single" w:sz="8" w:color="auto"/>
            </w:tcBorders>
          </w:tcPr>
          <w:p>
            <w:pPr>
              <w:spacing w:after="0" w:line="189" w:lineRule="exact"/>
              <w:rPr>
                <w:sz w:val="20"/>
                <w:szCs w:val="20"/>
                <w:color w:val="auto"/>
              </w:rPr>
            </w:pPr>
            <w:r>
              <w:rPr>
                <w:rFonts w:ascii="Arial" w:cs="Arial" w:eastAsia="Arial" w:hAnsi="Arial"/>
                <w:sz w:val="20"/>
                <w:szCs w:val="20"/>
                <w:color w:val="auto"/>
                <w:w w:val="99"/>
              </w:rPr>
              <w:t>point of separation and apply those metrics across</w:t>
            </w: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42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rPr>
              <w:t>measurement period – i.e., the performance</w:t>
            </w:r>
          </w:p>
        </w:tc>
        <w:tc>
          <w:tcPr>
            <w:tcW w:w="4480" w:type="dxa"/>
            <w:vAlign w:val="bottom"/>
            <w:tcBorders>
              <w:right w:val="single" w:sz="8" w:color="auto"/>
            </w:tcBorders>
          </w:tcPr>
          <w:p>
            <w:pPr>
              <w:spacing w:after="0" w:line="189" w:lineRule="exact"/>
              <w:rPr>
                <w:sz w:val="20"/>
                <w:szCs w:val="20"/>
                <w:color w:val="auto"/>
              </w:rPr>
            </w:pPr>
            <w:r>
              <w:rPr>
                <w:rFonts w:ascii="Arial" w:cs="Arial" w:eastAsia="Arial" w:hAnsi="Arial"/>
                <w:sz w:val="20"/>
                <w:szCs w:val="20"/>
                <w:color w:val="auto"/>
              </w:rPr>
              <w:t>entire award</w:t>
            </w: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42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rPr>
              <w:t>attainment for the departing executive will be</w:t>
            </w:r>
          </w:p>
        </w:tc>
        <w:tc>
          <w:tcPr>
            <w:tcW w:w="4480" w:type="dxa"/>
            <w:vAlign w:val="bottom"/>
            <w:tcBorders>
              <w:right w:val="single" w:sz="8" w:color="auto"/>
            </w:tcBorders>
          </w:tcPr>
          <w:p>
            <w:pPr>
              <w:spacing w:after="0"/>
              <w:rPr>
                <w:sz w:val="16"/>
                <w:szCs w:val="16"/>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42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w w:val="99"/>
              </w:rPr>
              <w:t>the same as for an employee who is present for</w:t>
            </w:r>
          </w:p>
        </w:tc>
        <w:tc>
          <w:tcPr>
            <w:tcW w:w="4480" w:type="dxa"/>
            <w:vAlign w:val="bottom"/>
            <w:tcBorders>
              <w:right w:val="single" w:sz="8" w:color="auto"/>
            </w:tcBorders>
          </w:tcPr>
          <w:p>
            <w:pPr>
              <w:spacing w:after="0"/>
              <w:rPr>
                <w:sz w:val="16"/>
                <w:szCs w:val="16"/>
                <w:color w:val="auto"/>
              </w:rPr>
            </w:pPr>
          </w:p>
        </w:tc>
      </w:tr>
      <w:tr>
        <w:trPr>
          <w:trHeight w:val="243"/>
        </w:trPr>
        <w:tc>
          <w:tcPr>
            <w:tcW w:w="2400" w:type="dxa"/>
            <w:vAlign w:val="bottom"/>
            <w:tcBorders>
              <w:left w:val="single" w:sz="8" w:color="auto"/>
              <w:bottom w:val="single" w:sz="8" w:color="auto"/>
              <w:right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the entire period</w:t>
            </w:r>
          </w:p>
        </w:tc>
        <w:tc>
          <w:tcPr>
            <w:tcW w:w="44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SIGN-ON AWARD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US $1,200,000 TOTAL VALUE</w:t>
      </w:r>
    </w:p>
    <w:p>
      <w:pPr>
        <w:spacing w:after="0"/>
        <w:rPr>
          <w:sz w:val="20"/>
          <w:szCs w:val="20"/>
          <w:color w:val="auto"/>
        </w:rPr>
      </w:pPr>
      <w:r>
        <w:rPr>
          <w:rFonts w:ascii="Arial" w:cs="Arial" w:eastAsia="Arial" w:hAnsi="Arial"/>
          <w:sz w:val="20"/>
          <w:szCs w:val="20"/>
          <w:color w:val="auto"/>
        </w:rPr>
        <w:t>Your sign-on bonus will be awarded to you in the form of cash and equity awards.</w:t>
      </w:r>
    </w:p>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380" w:type="dxa"/>
            <w:vAlign w:val="bottom"/>
            <w:tcBorders>
              <w:left w:val="single" w:sz="8" w:color="A6A6A6"/>
              <w:right w:val="single" w:sz="8" w:color="A6A6A6"/>
            </w:tcBorders>
            <w:shd w:val="clear" w:color="auto" w:fill="A6A6A6"/>
          </w:tcPr>
          <w:p>
            <w:pPr>
              <w:ind w:left="40"/>
              <w:spacing w:after="0"/>
              <w:rPr>
                <w:sz w:val="20"/>
                <w:szCs w:val="20"/>
                <w:color w:val="auto"/>
              </w:rPr>
            </w:pPr>
            <w:r>
              <w:rPr>
                <w:rFonts w:ascii="Arial" w:cs="Arial" w:eastAsia="Arial" w:hAnsi="Arial"/>
                <w:sz w:val="20"/>
                <w:szCs w:val="20"/>
                <w:b w:val="1"/>
                <w:bCs w:val="1"/>
                <w:color w:val="FFFFFF"/>
              </w:rPr>
              <w:t>Vehicle</w:t>
            </w:r>
          </w:p>
        </w:tc>
        <w:tc>
          <w:tcPr>
            <w:tcW w:w="2840" w:type="dxa"/>
            <w:vAlign w:val="bottom"/>
            <w:tcBorders>
              <w:right w:val="single" w:sz="8" w:color="A6A6A6"/>
            </w:tcBorders>
            <w:shd w:val="clear" w:color="auto" w:fill="A6A6A6"/>
          </w:tcPr>
          <w:p>
            <w:pPr>
              <w:ind w:left="20"/>
              <w:spacing w:after="0"/>
              <w:rPr>
                <w:sz w:val="20"/>
                <w:szCs w:val="20"/>
                <w:color w:val="auto"/>
              </w:rPr>
            </w:pPr>
            <w:r>
              <w:rPr>
                <w:rFonts w:ascii="Arial" w:cs="Arial" w:eastAsia="Arial" w:hAnsi="Arial"/>
                <w:sz w:val="20"/>
                <w:szCs w:val="20"/>
                <w:b w:val="1"/>
                <w:bCs w:val="1"/>
                <w:color w:val="FFFFFF"/>
              </w:rPr>
              <w:t>Value</w:t>
            </w:r>
          </w:p>
        </w:tc>
        <w:tc>
          <w:tcPr>
            <w:tcW w:w="4920" w:type="dxa"/>
            <w:vAlign w:val="bottom"/>
            <w:tcBorders>
              <w:right w:val="single" w:sz="8" w:color="A6A6A6"/>
            </w:tcBorders>
            <w:shd w:val="clear" w:color="auto" w:fill="A6A6A6"/>
          </w:tcPr>
          <w:p>
            <w:pPr>
              <w:ind w:left="20"/>
              <w:spacing w:after="0"/>
              <w:rPr>
                <w:sz w:val="20"/>
                <w:szCs w:val="20"/>
                <w:color w:val="auto"/>
              </w:rPr>
            </w:pPr>
            <w:r>
              <w:rPr>
                <w:rFonts w:ascii="Arial" w:cs="Arial" w:eastAsia="Arial" w:hAnsi="Arial"/>
                <w:sz w:val="20"/>
                <w:szCs w:val="20"/>
                <w:b w:val="1"/>
                <w:bCs w:val="1"/>
                <w:color w:val="FFFFFF"/>
              </w:rPr>
              <w:t>Details</w:t>
            </w:r>
          </w:p>
        </w:tc>
      </w:tr>
      <w:tr>
        <w:trPr>
          <w:trHeight w:val="243"/>
        </w:trPr>
        <w:tc>
          <w:tcPr>
            <w:tcW w:w="338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20"/>
                <w:szCs w:val="20"/>
                <w:color w:val="auto"/>
              </w:rPr>
              <w:t>Cash Award</w:t>
            </w:r>
          </w:p>
        </w:tc>
        <w:tc>
          <w:tcPr>
            <w:tcW w:w="28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20"/>
                <w:szCs w:val="20"/>
                <w:b w:val="1"/>
                <w:bCs w:val="1"/>
                <w:color w:val="auto"/>
              </w:rPr>
              <w:t>$400,000 USD</w:t>
            </w:r>
          </w:p>
        </w:tc>
        <w:tc>
          <w:tcPr>
            <w:tcW w:w="492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20"/>
                <w:szCs w:val="20"/>
                <w:color w:val="auto"/>
              </w:rPr>
              <w:t>Paid via next payroll after commencement</w:t>
            </w:r>
          </w:p>
        </w:tc>
      </w:tr>
      <w:tr>
        <w:trPr>
          <w:trHeight w:val="236"/>
        </w:trPr>
        <w:tc>
          <w:tcPr>
            <w:tcW w:w="338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20"/>
                <w:szCs w:val="20"/>
                <w:color w:val="auto"/>
              </w:rPr>
              <w:t>Equity Awards</w:t>
            </w:r>
          </w:p>
        </w:tc>
        <w:tc>
          <w:tcPr>
            <w:tcW w:w="2840" w:type="dxa"/>
            <w:vAlign w:val="bottom"/>
            <w:tcBorders>
              <w:bottom w:val="single" w:sz="8" w:color="A6A6A6"/>
              <w:right w:val="single" w:sz="8" w:color="A6A6A6"/>
            </w:tcBorders>
          </w:tcPr>
          <w:p>
            <w:pPr>
              <w:spacing w:after="0"/>
              <w:rPr>
                <w:sz w:val="20"/>
                <w:szCs w:val="20"/>
                <w:color w:val="auto"/>
              </w:rPr>
            </w:pPr>
          </w:p>
        </w:tc>
        <w:tc>
          <w:tcPr>
            <w:tcW w:w="4920" w:type="dxa"/>
            <w:vAlign w:val="bottom"/>
            <w:tcBorders>
              <w:bottom w:val="single" w:sz="8" w:color="A6A6A6"/>
              <w:right w:val="single" w:sz="8" w:color="A6A6A6"/>
            </w:tcBorders>
          </w:tcPr>
          <w:p>
            <w:pPr>
              <w:spacing w:after="0"/>
              <w:rPr>
                <w:sz w:val="20"/>
                <w:szCs w:val="20"/>
                <w:color w:val="auto"/>
              </w:rPr>
            </w:pPr>
          </w:p>
        </w:tc>
      </w:tr>
      <w:tr>
        <w:trPr>
          <w:trHeight w:val="220"/>
        </w:trPr>
        <w:tc>
          <w:tcPr>
            <w:tcW w:w="3380" w:type="dxa"/>
            <w:vAlign w:val="bottom"/>
            <w:tcBorders>
              <w:left w:val="single" w:sz="8" w:color="A6A6A6"/>
              <w:right w:val="single" w:sz="8" w:color="A6A6A6"/>
            </w:tcBorders>
          </w:tcPr>
          <w:p>
            <w:pPr>
              <w:ind w:left="40"/>
              <w:spacing w:after="0" w:line="220" w:lineRule="exact"/>
              <w:rPr>
                <w:sz w:val="20"/>
                <w:szCs w:val="20"/>
                <w:color w:val="auto"/>
              </w:rPr>
            </w:pPr>
            <w:r>
              <w:rPr>
                <w:rFonts w:ascii="Arial" w:cs="Arial" w:eastAsia="Arial" w:hAnsi="Arial"/>
                <w:sz w:val="20"/>
                <w:szCs w:val="20"/>
                <w:color w:val="auto"/>
              </w:rPr>
              <w:t>Restricted Share Units (“RSUs”)</w:t>
            </w:r>
          </w:p>
        </w:tc>
        <w:tc>
          <w:tcPr>
            <w:tcW w:w="2840" w:type="dxa"/>
            <w:vAlign w:val="bottom"/>
            <w:tcBorders>
              <w:right w:val="single" w:sz="8" w:color="A6A6A6"/>
            </w:tcBorders>
          </w:tcPr>
          <w:p>
            <w:pPr>
              <w:ind w:left="20"/>
              <w:spacing w:after="0" w:line="220" w:lineRule="exact"/>
              <w:rPr>
                <w:sz w:val="20"/>
                <w:szCs w:val="20"/>
                <w:color w:val="auto"/>
              </w:rPr>
            </w:pPr>
            <w:r>
              <w:rPr>
                <w:rFonts w:ascii="Arial" w:cs="Arial" w:eastAsia="Arial" w:hAnsi="Arial"/>
                <w:sz w:val="20"/>
                <w:szCs w:val="20"/>
                <w:b w:val="1"/>
                <w:bCs w:val="1"/>
                <w:color w:val="auto"/>
              </w:rPr>
              <w:t>$400,000 USD value</w:t>
            </w:r>
          </w:p>
        </w:tc>
        <w:tc>
          <w:tcPr>
            <w:tcW w:w="4920" w:type="dxa"/>
            <w:vAlign w:val="bottom"/>
            <w:tcBorders>
              <w:right w:val="single" w:sz="8" w:color="A6A6A6"/>
            </w:tcBorders>
          </w:tcPr>
          <w:p>
            <w:pPr>
              <w:ind w:left="20"/>
              <w:spacing w:after="0" w:line="220" w:lineRule="exact"/>
              <w:rPr>
                <w:sz w:val="20"/>
                <w:szCs w:val="20"/>
                <w:color w:val="auto"/>
              </w:rPr>
            </w:pPr>
            <w:r>
              <w:rPr>
                <w:rFonts w:ascii="Arial" w:cs="Arial" w:eastAsia="Arial" w:hAnsi="Arial"/>
                <w:sz w:val="20"/>
                <w:szCs w:val="20"/>
                <w:color w:val="auto"/>
              </w:rPr>
              <w:t>•  Shares will be awarded based on the closing share</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price of hire date</w:t>
            </w:r>
          </w:p>
        </w:tc>
      </w:tr>
      <w:tr>
        <w:trPr>
          <w:trHeight w:val="229"/>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20"/>
              <w:spacing w:after="0"/>
              <w:rPr>
                <w:sz w:val="20"/>
                <w:szCs w:val="20"/>
                <w:color w:val="auto"/>
              </w:rPr>
            </w:pPr>
            <w:r>
              <w:rPr>
                <w:rFonts w:ascii="Arial" w:cs="Arial" w:eastAsia="Arial" w:hAnsi="Arial"/>
                <w:sz w:val="20"/>
                <w:szCs w:val="20"/>
                <w:color w:val="auto"/>
              </w:rPr>
              <w:t>•  Subject to a 3-year ratable vesting schedule from</w:t>
            </w:r>
          </w:p>
        </w:tc>
      </w:tr>
      <w:tr>
        <w:trPr>
          <w:trHeight w:val="280"/>
        </w:trPr>
        <w:tc>
          <w:tcPr>
            <w:tcW w:w="3380" w:type="dxa"/>
            <w:vAlign w:val="bottom"/>
            <w:tcBorders>
              <w:left w:val="single" w:sz="8" w:color="A6A6A6"/>
              <w:bottom w:val="single" w:sz="8" w:color="A6A6A6"/>
              <w:right w:val="single" w:sz="8" w:color="A6A6A6"/>
            </w:tcBorders>
          </w:tcPr>
          <w:p>
            <w:pPr>
              <w:spacing w:after="0"/>
              <w:rPr>
                <w:sz w:val="24"/>
                <w:szCs w:val="24"/>
                <w:color w:val="auto"/>
              </w:rPr>
            </w:pPr>
          </w:p>
        </w:tc>
        <w:tc>
          <w:tcPr>
            <w:tcW w:w="2840" w:type="dxa"/>
            <w:vAlign w:val="bottom"/>
            <w:tcBorders>
              <w:bottom w:val="single" w:sz="8" w:color="A6A6A6"/>
              <w:right w:val="single" w:sz="8" w:color="A6A6A6"/>
            </w:tcBorders>
          </w:tcPr>
          <w:p>
            <w:pPr>
              <w:spacing w:after="0"/>
              <w:rPr>
                <w:sz w:val="24"/>
                <w:szCs w:val="24"/>
                <w:color w:val="auto"/>
              </w:rPr>
            </w:pPr>
          </w:p>
        </w:tc>
        <w:tc>
          <w:tcPr>
            <w:tcW w:w="4920" w:type="dxa"/>
            <w:vAlign w:val="bottom"/>
            <w:tcBorders>
              <w:bottom w:val="single" w:sz="8" w:color="A6A6A6"/>
              <w:right w:val="single" w:sz="8" w:color="A6A6A6"/>
            </w:tcBorders>
          </w:tcPr>
          <w:p>
            <w:pPr>
              <w:ind w:left="340"/>
              <w:spacing w:after="0"/>
              <w:rPr>
                <w:sz w:val="20"/>
                <w:szCs w:val="20"/>
                <w:color w:val="auto"/>
              </w:rPr>
            </w:pPr>
            <w:r>
              <w:rPr>
                <w:rFonts w:ascii="Arial" w:cs="Arial" w:eastAsia="Arial" w:hAnsi="Arial"/>
                <w:sz w:val="20"/>
                <w:szCs w:val="20"/>
                <w:color w:val="auto"/>
                <w:w w:val="98"/>
              </w:rPr>
              <w:t>hire date (or, if earlier, upon a Covered Termination)</w:t>
            </w:r>
          </w:p>
        </w:tc>
      </w:tr>
      <w:tr>
        <w:trPr>
          <w:trHeight w:val="227"/>
        </w:trPr>
        <w:tc>
          <w:tcPr>
            <w:tcW w:w="3380" w:type="dxa"/>
            <w:vAlign w:val="bottom"/>
            <w:tcBorders>
              <w:left w:val="single" w:sz="8" w:color="A6A6A6"/>
              <w:right w:val="single" w:sz="8" w:color="A6A6A6"/>
            </w:tcBorders>
          </w:tcPr>
          <w:p>
            <w:pPr>
              <w:ind w:left="40"/>
              <w:spacing w:after="0" w:line="227" w:lineRule="exact"/>
              <w:rPr>
                <w:sz w:val="20"/>
                <w:szCs w:val="20"/>
                <w:color w:val="auto"/>
              </w:rPr>
            </w:pPr>
            <w:r>
              <w:rPr>
                <w:rFonts w:ascii="Arial" w:cs="Arial" w:eastAsia="Arial" w:hAnsi="Arial"/>
                <w:sz w:val="20"/>
                <w:szCs w:val="20"/>
                <w:color w:val="auto"/>
              </w:rPr>
              <w:t>Performance Share Units (“PSUs”)</w:t>
            </w:r>
          </w:p>
        </w:tc>
        <w:tc>
          <w:tcPr>
            <w:tcW w:w="2840" w:type="dxa"/>
            <w:vAlign w:val="bottom"/>
            <w:tcBorders>
              <w:right w:val="single" w:sz="8" w:color="A6A6A6"/>
            </w:tcBorders>
          </w:tcPr>
          <w:p>
            <w:pPr>
              <w:ind w:left="20"/>
              <w:spacing w:after="0" w:line="227" w:lineRule="exact"/>
              <w:rPr>
                <w:sz w:val="20"/>
                <w:szCs w:val="20"/>
                <w:color w:val="auto"/>
              </w:rPr>
            </w:pPr>
            <w:r>
              <w:rPr>
                <w:rFonts w:ascii="Arial" w:cs="Arial" w:eastAsia="Arial" w:hAnsi="Arial"/>
                <w:sz w:val="20"/>
                <w:szCs w:val="20"/>
                <w:b w:val="1"/>
                <w:bCs w:val="1"/>
                <w:color w:val="auto"/>
              </w:rPr>
              <w:t>$400,000 USD value</w:t>
            </w:r>
          </w:p>
        </w:tc>
        <w:tc>
          <w:tcPr>
            <w:tcW w:w="4920" w:type="dxa"/>
            <w:vAlign w:val="bottom"/>
            <w:tcBorders>
              <w:right w:val="single" w:sz="8" w:color="A6A6A6"/>
            </w:tcBorders>
          </w:tcPr>
          <w:p>
            <w:pPr>
              <w:ind w:left="20"/>
              <w:spacing w:after="0" w:line="227" w:lineRule="exact"/>
              <w:rPr>
                <w:sz w:val="20"/>
                <w:szCs w:val="20"/>
                <w:color w:val="auto"/>
              </w:rPr>
            </w:pPr>
            <w:r>
              <w:rPr>
                <w:rFonts w:ascii="Arial" w:cs="Arial" w:eastAsia="Arial" w:hAnsi="Arial"/>
                <w:sz w:val="20"/>
                <w:szCs w:val="20"/>
                <w:color w:val="auto"/>
              </w:rPr>
              <w:t>•  Shares will be awarded based on the closing share</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price of hire date</w:t>
            </w:r>
          </w:p>
        </w:tc>
      </w:tr>
      <w:tr>
        <w:trPr>
          <w:trHeight w:val="229"/>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20"/>
              <w:spacing w:after="0"/>
              <w:rPr>
                <w:sz w:val="20"/>
                <w:szCs w:val="20"/>
                <w:color w:val="auto"/>
              </w:rPr>
            </w:pPr>
            <w:r>
              <w:rPr>
                <w:rFonts w:ascii="Arial" w:cs="Arial" w:eastAsia="Arial" w:hAnsi="Arial"/>
                <w:sz w:val="20"/>
                <w:szCs w:val="20"/>
                <w:color w:val="auto"/>
              </w:rPr>
              <w:t>•  To vest as follows:</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1/3 will vest at a share price of $3.45</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1/3 will vest at a share price of $3.95</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1/3 will vest at a share price of $4.45</w:t>
            </w:r>
          </w:p>
        </w:tc>
      </w:tr>
      <w:tr>
        <w:trPr>
          <w:trHeight w:val="229"/>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w w:val="99"/>
              </w:rPr>
              <w:t>The aforementioned share prices must be achieved</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and sustained (or increased, but not decreased) for</w:t>
            </w:r>
          </w:p>
        </w:tc>
      </w:tr>
      <w:tr>
        <w:trPr>
          <w:trHeight w:val="230"/>
        </w:trPr>
        <w:tc>
          <w:tcPr>
            <w:tcW w:w="3380" w:type="dxa"/>
            <w:vAlign w:val="bottom"/>
            <w:tcBorders>
              <w:left w:val="single" w:sz="8" w:color="A6A6A6"/>
              <w:right w:val="single" w:sz="8" w:color="A6A6A6"/>
            </w:tcBorders>
          </w:tcPr>
          <w:p>
            <w:pPr>
              <w:spacing w:after="0"/>
              <w:rPr>
                <w:sz w:val="19"/>
                <w:szCs w:val="19"/>
                <w:color w:val="auto"/>
              </w:rPr>
            </w:pPr>
          </w:p>
        </w:tc>
        <w:tc>
          <w:tcPr>
            <w:tcW w:w="2840" w:type="dxa"/>
            <w:vAlign w:val="bottom"/>
            <w:tcBorders>
              <w:right w:val="single" w:sz="8" w:color="A6A6A6"/>
            </w:tcBorders>
          </w:tcPr>
          <w:p>
            <w:pPr>
              <w:spacing w:after="0"/>
              <w:rPr>
                <w:sz w:val="19"/>
                <w:szCs w:val="19"/>
                <w:color w:val="auto"/>
              </w:rPr>
            </w:pPr>
          </w:p>
        </w:tc>
        <w:tc>
          <w:tcPr>
            <w:tcW w:w="4920" w:type="dxa"/>
            <w:vAlign w:val="bottom"/>
            <w:tcBorders>
              <w:right w:val="single" w:sz="8" w:color="A6A6A6"/>
            </w:tcBorders>
          </w:tcPr>
          <w:p>
            <w:pPr>
              <w:ind w:left="340"/>
              <w:spacing w:after="0"/>
              <w:rPr>
                <w:sz w:val="20"/>
                <w:szCs w:val="20"/>
                <w:color w:val="auto"/>
              </w:rPr>
            </w:pPr>
            <w:r>
              <w:rPr>
                <w:rFonts w:ascii="Arial" w:cs="Arial" w:eastAsia="Arial" w:hAnsi="Arial"/>
                <w:sz w:val="20"/>
                <w:szCs w:val="20"/>
                <w:color w:val="auto"/>
              </w:rPr>
              <w:t>a period of 60 consecutive trading days in order for</w:t>
            </w:r>
          </w:p>
        </w:tc>
      </w:tr>
      <w:tr>
        <w:trPr>
          <w:trHeight w:val="280"/>
        </w:trPr>
        <w:tc>
          <w:tcPr>
            <w:tcW w:w="3380" w:type="dxa"/>
            <w:vAlign w:val="bottom"/>
            <w:tcBorders>
              <w:left w:val="single" w:sz="8" w:color="A6A6A6"/>
              <w:bottom w:val="single" w:sz="8" w:color="A6A6A6"/>
              <w:right w:val="single" w:sz="8" w:color="A6A6A6"/>
            </w:tcBorders>
          </w:tcPr>
          <w:p>
            <w:pPr>
              <w:spacing w:after="0"/>
              <w:rPr>
                <w:sz w:val="24"/>
                <w:szCs w:val="24"/>
                <w:color w:val="auto"/>
              </w:rPr>
            </w:pPr>
          </w:p>
        </w:tc>
        <w:tc>
          <w:tcPr>
            <w:tcW w:w="2840" w:type="dxa"/>
            <w:vAlign w:val="bottom"/>
            <w:tcBorders>
              <w:bottom w:val="single" w:sz="8" w:color="A6A6A6"/>
              <w:right w:val="single" w:sz="8" w:color="A6A6A6"/>
            </w:tcBorders>
          </w:tcPr>
          <w:p>
            <w:pPr>
              <w:spacing w:after="0"/>
              <w:rPr>
                <w:sz w:val="24"/>
                <w:szCs w:val="24"/>
                <w:color w:val="auto"/>
              </w:rPr>
            </w:pPr>
          </w:p>
        </w:tc>
        <w:tc>
          <w:tcPr>
            <w:tcW w:w="4920" w:type="dxa"/>
            <w:vAlign w:val="bottom"/>
            <w:tcBorders>
              <w:bottom w:val="single" w:sz="8" w:color="A6A6A6"/>
              <w:right w:val="single" w:sz="8" w:color="A6A6A6"/>
            </w:tcBorders>
          </w:tcPr>
          <w:p>
            <w:pPr>
              <w:ind w:left="340"/>
              <w:spacing w:after="0"/>
              <w:rPr>
                <w:sz w:val="20"/>
                <w:szCs w:val="20"/>
                <w:color w:val="auto"/>
              </w:rPr>
            </w:pPr>
            <w:r>
              <w:rPr>
                <w:rFonts w:ascii="Arial" w:cs="Arial" w:eastAsia="Arial" w:hAnsi="Arial"/>
                <w:sz w:val="20"/>
                <w:szCs w:val="20"/>
                <w:color w:val="auto"/>
              </w:rPr>
              <w:t>vesting to occur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-2622550</wp:posOffset>
            </wp:positionV>
            <wp:extent cx="825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-2622550</wp:posOffset>
            </wp:positionV>
            <wp:extent cx="889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Equity Award:</w:t>
      </w:r>
    </w:p>
    <w:p>
      <w:pPr>
        <w:spacing w:after="0" w:line="2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Your initial Equity Awards will be awarded on your commencement date, and, both those awarded upon hire and subsequently awarded, will be subject to the terms and conditions of the Award agreement (which shall be consistent with the provisions set forth in this letter agreement) and the Weatherford International plc 2019 Equity Incentive Plan document, as amended.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Cash Sign-On Award:</w:t>
      </w:r>
    </w:p>
    <w:p>
      <w:pPr>
        <w:spacing w:after="0" w:line="2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Your initial cash sign-on award will be paid via the next payroll cycle after commencement of your employment. If your employment shall terminate other than due to a Covered Termination, (i) within twelve (12) months of the payment, you agree to immediately repay the full amount which has been paid to you without proration, or (ii) between twelve (12) months and twenty-four (24) months of the payment, you agree to immediately repay fifty percent (50%) of the amount.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CHANGE IN CONTROL POLICY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MULTIPLE 2X</w:t>
      </w:r>
    </w:p>
    <w:p>
      <w:pPr>
        <w:jc w:val="both"/>
        <w:spacing w:after="0" w:line="246" w:lineRule="auto"/>
        <w:rPr>
          <w:sz w:val="20"/>
          <w:szCs w:val="20"/>
          <w:color w:val="auto"/>
        </w:rPr>
      </w:pPr>
      <w:r>
        <w:rPr>
          <w:rFonts w:ascii="Arial" w:cs="Arial" w:eastAsia="Arial" w:hAnsi="Arial"/>
          <w:sz w:val="20"/>
          <w:szCs w:val="20"/>
          <w:color w:val="auto"/>
        </w:rPr>
        <w:t>In connection with your employment, you will be covered under the Company’s Change in Control Policy (the “CIC”), with accrued amounts and continued benefits, lump sum payment equal to 2x multiple of annual base salary plus your EICP target reward opportunity, a pro rata target bonus for the year of termination, and outplacement services.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SEVERANCE BENEFITS</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 will be eligible to receive Executive severance benefits in the event of a termination without cause and without a Change in Control in the amount of twelve (12) months of annual base salary plus your EICP target reward opportunity. Any severance benefits will be subject to your execution of the Company’s release of claims and the Company’s standard restrictive covenants (i.e. non-competition, non-solicitation, non-disparagement, confidentiality, etc).</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ANNUAL LEAVE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30 DAYS PER YEAR</w:t>
      </w:r>
    </w:p>
    <w:p>
      <w:pPr>
        <w:jc w:val="both"/>
        <w:spacing w:after="0" w:line="253" w:lineRule="auto"/>
        <w:rPr>
          <w:sz w:val="20"/>
          <w:szCs w:val="20"/>
          <w:color w:val="auto"/>
        </w:rPr>
      </w:pPr>
      <w:r>
        <w:rPr>
          <w:rFonts w:ascii="Arial" w:cs="Arial" w:eastAsia="Arial" w:hAnsi="Arial"/>
          <w:sz w:val="20"/>
          <w:szCs w:val="20"/>
          <w:color w:val="auto"/>
        </w:rPr>
        <w:t>Your annual leave will accrue on a calendar year basis and will be pro-rated in the first year of employment in line with your employment start date. The Company will also provide you with an additional ten (10) Company designated holidays.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BENEFITS PROGRAM</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pleased to offer you participation in Weatherford’s benefits program on your first day of employment which shall include reimbursement of your business expenses in accordance with the Weatherford policies and which shall include reimbursement of your legal fees in the review of this letter agreement. Please see enclosed Weatherford Benefits Summary.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You will receive a Welcome Letter from our Benefits Department within 2 to 3 weeks of your start date, providing you with your access ID and instructions to complete your enrollment online. You will have 31 days from date of hire to enroll otherwise your plan will default to the basic single coverage.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CE1141"/>
        </w:rPr>
        <w:t>START DATE</w:t>
      </w:r>
    </w:p>
    <w:p>
      <w:pPr>
        <w:spacing w:after="0" w:line="2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Your expected start date will be on or around October 12, 2020 and will be confirmed following successful completion of all pre-employment testing and, if applicable, on the obtaining of any necessary immigration documentation required to allow you to work.</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861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accepting this offer of employment, you certify that:</w:t>
      </w:r>
    </w:p>
    <w:p>
      <w:pPr>
        <w:spacing w:after="0" w:line="26" w:lineRule="exact"/>
        <w:rPr>
          <w:sz w:val="20"/>
          <w:szCs w:val="20"/>
          <w:color w:val="auto"/>
        </w:rPr>
      </w:pPr>
    </w:p>
    <w:p>
      <w:pPr>
        <w:jc w:val="both"/>
        <w:ind w:left="340" w:right="20" w:hanging="332"/>
        <w:spacing w:after="0" w:line="246" w:lineRule="auto"/>
        <w:tabs>
          <w:tab w:leader="none" w:pos="301" w:val="left"/>
        </w:tabs>
        <w:numPr>
          <w:ilvl w:val="0"/>
          <w:numId w:val="24"/>
        </w:numPr>
        <w:rPr>
          <w:rFonts w:ascii="Arial" w:cs="Arial" w:eastAsia="Arial" w:hAnsi="Arial"/>
          <w:sz w:val="20"/>
          <w:szCs w:val="20"/>
          <w:color w:val="auto"/>
        </w:rPr>
      </w:pPr>
      <w:r>
        <w:rPr>
          <w:rFonts w:ascii="Arial" w:cs="Arial" w:eastAsia="Arial" w:hAnsi="Arial"/>
          <w:sz w:val="20"/>
          <w:szCs w:val="20"/>
          <w:color w:val="auto"/>
        </w:rPr>
        <w:t>You will abide by the terms of any enforceable non-competition agreement you have with your current employer and confirm the fact that you will not bring with you to Weatherford, nor at any time attempt to use, any confidential, non-public information of your current or past employers in the performance of your work for Weatherford.</w:t>
      </w:r>
    </w:p>
    <w:p>
      <w:pPr>
        <w:spacing w:after="0" w:line="19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This letter does not represent an offer of employment for any specified term. Your employment will be at will, which means that either you or Weatherford may terminate your employment at any time for any reason or no reason whatsoever.</w:t>
      </w:r>
    </w:p>
    <w:p>
      <w:pPr>
        <w:spacing w:after="0" w:line="165"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Please confirm your acceptance of this offer by electronically signing this offer letter below. Upon your acceptance of this offer, you will be contacted to schedule a convenient time and location for the company medical / drug and alcohol test.</w:t>
      </w:r>
    </w:p>
    <w:p>
      <w:pPr>
        <w:spacing w:after="0" w:line="165"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We are excited to have you join us and look forward to working together to make Weatherford a leader in the oilfield service marketplace.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Printed Name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Girish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-143510</wp:posOffset>
            </wp:positionV>
            <wp:extent cx="7046595" cy="49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046595" cy="49720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Girish Saligram</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September 9, 2020</w:t>
      </w:r>
    </w:p>
    <w:p>
      <w:pPr>
        <w:sectPr>
          <w:pgSz w:w="11900" w:h="16838" w:orient="portrait"/>
          <w:cols w:equalWidth="0" w:num="2">
            <w:col w:w="3440" w:space="720"/>
            <w:col w:w="7080"/>
          </w:cols>
          <w:pgMar w:left="320" w:top="1440"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INTERNATIONAL PLC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2019 EQUITY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Restated and Adopted as of October 30, 2020</w:t>
      </w:r>
    </w:p>
    <w:p>
      <w:pPr>
        <w:spacing w:after="0" w:line="256"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Purpose of the Plan</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Weatherford International plc 2019 Equity Incentive Plan was originally adopted by the Board on December 12, 2019, amended and restated as of April 13, 2020 and is hereby further amended and restated as of October 30, 2020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spacing w:after="0" w:line="126"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16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capitalized terms used in the Plan have the respective meanings set forth in this Section 2, unless the context clearly indicates otherwise. The singular pronoun shall include the plural where the context so indicates.</w:t>
      </w:r>
    </w:p>
    <w:p>
      <w:pPr>
        <w:spacing w:after="0" w:line="105"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The Companies Act 2014 of Ireland, as amended.</w:t>
      </w:r>
    </w:p>
    <w:p>
      <w:pPr>
        <w:spacing w:after="0" w:line="16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66"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Accounting Standards Generally Accepted Accounting Principles</w:t>
      </w:r>
      <w:r>
        <w:rPr>
          <w:rFonts w:ascii="Times New Roman" w:cs="Times New Roman" w:eastAsia="Times New Roman" w:hAnsi="Times New Roman"/>
          <w:sz w:val="20"/>
          <w:szCs w:val="20"/>
          <w:color w:val="auto"/>
        </w:rPr>
        <w:t>: Means in the United States, International Financial Reporting Standards or such other accounting principles or standards as may apply to the Company’s financial statements under United States federal securities laws from time to time.</w:t>
      </w:r>
    </w:p>
    <w:p>
      <w:pPr>
        <w:spacing w:after="0" w:line="20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spacing w:after="0" w:line="20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Associate</w:t>
      </w:r>
      <w:r>
        <w:rPr>
          <w:rFonts w:ascii="Times New Roman" w:cs="Times New Roman" w:eastAsia="Times New Roman" w:hAnsi="Times New Roman"/>
          <w:sz w:val="20"/>
          <w:szCs w:val="20"/>
          <w:color w:val="auto"/>
        </w:rPr>
        <w:t>: With respect to a specified Person, means:</w:t>
      </w:r>
    </w:p>
    <w:p>
      <w:pPr>
        <w:spacing w:after="0" w:line="2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company, corporation, partnership, or other organization of which such specified Person is an officer or partner;</w:t>
      </w:r>
    </w:p>
    <w:p>
      <w:pPr>
        <w:spacing w:after="0" w:line="139" w:lineRule="exact"/>
        <w:rPr>
          <w:rFonts w:ascii="Times New Roman" w:cs="Times New Roman" w:eastAsia="Times New Roman" w:hAnsi="Times New Roman"/>
          <w:sz w:val="20"/>
          <w:szCs w:val="20"/>
          <w:color w:val="auto"/>
        </w:rPr>
      </w:pPr>
    </w:p>
    <w:p>
      <w:pPr>
        <w:ind w:left="1920" w:hanging="636"/>
        <w:spacing w:after="0" w:line="269" w:lineRule="auto"/>
        <w:tabs>
          <w:tab w:leader="none" w:pos="191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trust or other estate in which such specified Person has a substantial beneficial interest or as to which such specified Person serves as trustee or in a similar fiduciary capacity;</w:t>
      </w:r>
    </w:p>
    <w:p>
      <w:pPr>
        <w:spacing w:after="0" w:line="105"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1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relative or spouse of such specified Person, or any relative of such spouse who has the same home as such specified Person, or who is a director or officer of the Company or any of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603" w:right="339" w:bottom="1440" w:gutter="0" w:footer="0" w:header="0"/>
        </w:sectPr>
      </w:pPr>
    </w:p>
    <w:bookmarkStart w:id="50" w:name="page51"/>
    <w:bookmarkEnd w:id="50"/>
    <w:p>
      <w:pPr>
        <w:jc w:val="both"/>
        <w:ind w:left="1920" w:hanging="636"/>
        <w:spacing w:after="0" w:line="254" w:lineRule="auto"/>
        <w:tabs>
          <w:tab w:leader="none" w:pos="19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 is a director, officer, or partner of such specified Person or of any company (other than the Company or any wholly-owned Subsidiary), corporation, partnership or other entity which is an Affiliate of such specified person.</w:t>
      </w:r>
    </w:p>
    <w:p>
      <w:pPr>
        <w:spacing w:after="0" w:line="120" w:lineRule="exact"/>
        <w:rPr>
          <w:rFonts w:ascii="Times New Roman" w:cs="Times New Roman" w:eastAsia="Times New Roman" w:hAnsi="Times New Roman"/>
          <w:sz w:val="20"/>
          <w:szCs w:val="20"/>
          <w:color w:val="auto"/>
        </w:rPr>
      </w:pPr>
    </w:p>
    <w:p>
      <w:pPr>
        <w:ind w:right="20" w:firstLine="656"/>
        <w:spacing w:after="0" w:line="269" w:lineRule="auto"/>
        <w:tabs>
          <w:tab w:leader="none" w:pos="129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An Option, Restricted Share, Restricted Share Unit, Share Appreciation Right, Other Share-Based Award or Performance-Based Award granted pursuant to the Plan.</w:t>
      </w:r>
    </w:p>
    <w:p>
      <w:pPr>
        <w:spacing w:after="0" w:line="5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Any written agreement, contract, or other instrument or document evidencing the terms and conditions of an Award, including through electronic medium.</w:t>
      </w:r>
    </w:p>
    <w:p>
      <w:pPr>
        <w:spacing w:after="0" w:line="5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71"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Plans</w:t>
      </w:r>
      <w:r>
        <w:rPr>
          <w:rFonts w:ascii="Times New Roman" w:cs="Times New Roman" w:eastAsia="Times New Roman" w:hAnsi="Times New Roman"/>
          <w:sz w:val="20"/>
          <w:szCs w:val="20"/>
          <w:color w:val="auto"/>
        </w:rPr>
        <w:t>: All employee benefit and compensation plans, agreements, arrangements, programs, policies, practices, contracts or agreements of the Company and its Affiliates.</w:t>
      </w:r>
    </w:p>
    <w:p>
      <w:pPr>
        <w:spacing w:after="0" w:line="5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 Board of Directors of the Company.</w:t>
      </w:r>
    </w:p>
    <w:p>
      <w:pPr>
        <w:spacing w:after="0" w:line="107" w:lineRule="exact"/>
        <w:rPr>
          <w:rFonts w:ascii="Times New Roman" w:cs="Times New Roman" w:eastAsia="Times New Roman" w:hAnsi="Times New Roman"/>
          <w:sz w:val="20"/>
          <w:szCs w:val="20"/>
          <w:color w:val="auto"/>
        </w:rPr>
      </w:pPr>
    </w:p>
    <w:p>
      <w:pPr>
        <w:jc w:val="both"/>
        <w:ind w:firstLine="656"/>
        <w:spacing w:after="0" w:line="241"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spacing w:after="0" w:line="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Shall be deemed to have occurred if any event set forth in any one of the following paragraphs shall have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occurred:</w:t>
      </w:r>
    </w:p>
    <w:p>
      <w:pPr>
        <w:spacing w:after="0" w:line="86" w:lineRule="exact"/>
        <w:rPr>
          <w:sz w:val="20"/>
          <w:szCs w:val="20"/>
          <w:color w:val="auto"/>
        </w:rPr>
      </w:pPr>
    </w:p>
    <w:p>
      <w:pPr>
        <w:jc w:val="both"/>
        <w:ind w:firstLine="656"/>
        <w:spacing w:after="0" w:line="245" w:lineRule="auto"/>
        <w:tabs>
          <w:tab w:leader="none" w:pos="129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is or becomes the Beneficial Owner, directly or indirectly, of 50% or more of either (A) the then outstanding Shares of the Company (the “</w:t>
      </w:r>
      <w:r>
        <w:rPr>
          <w:rFonts w:ascii="Times New Roman" w:cs="Times New Roman" w:eastAsia="Times New Roman" w:hAnsi="Times New Roman"/>
          <w:sz w:val="20"/>
          <w:szCs w:val="20"/>
          <w:u w:val="single" w:color="auto"/>
          <w:color w:val="auto"/>
        </w:rPr>
        <w:t>Outstanding Ordinary Shares</w:t>
      </w:r>
      <w:r>
        <w:rPr>
          <w:rFonts w:ascii="Times New Roman" w:cs="Times New Roman" w:eastAsia="Times New Roman" w:hAnsi="Times New Roman"/>
          <w:sz w:val="20"/>
          <w:szCs w:val="20"/>
          <w:color w:val="auto"/>
        </w:rPr>
        <w:t>”) or (B) the combined voting power of the then outstanding voting securities of the Company entitled to vote generally in the election of directors (the “</w:t>
      </w:r>
      <w:r>
        <w:rPr>
          <w:rFonts w:ascii="Times New Roman" w:cs="Times New Roman" w:eastAsia="Times New Roman" w:hAnsi="Times New Roman"/>
          <w:sz w:val="20"/>
          <w:szCs w:val="20"/>
          <w:u w:val="single" w:color="auto"/>
          <w:color w:val="auto"/>
        </w:rPr>
        <w:t>Outstanding Voting Securities</w:t>
      </w:r>
      <w:r>
        <w:rPr>
          <w:rFonts w:ascii="Times New Roman" w:cs="Times New Roman" w:eastAsia="Times New Roman" w:hAnsi="Times New Roman"/>
          <w:sz w:val="20"/>
          <w:szCs w:val="20"/>
          <w:color w:val="auto"/>
        </w:rPr>
        <w:t>”), excluding any Specified Holder or any Person who becomes such a Beneficial Owner in connection with a transaction that complies with clauses (A), (B) and (C) of paragraph</w:t>
      </w:r>
    </w:p>
    <w:p>
      <w:pPr>
        <w:ind w:left="360" w:hanging="352"/>
        <w:spacing w:after="0"/>
        <w:tabs>
          <w:tab w:leader="none" w:pos="3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1" w:name="page52"/>
    <w:bookmarkEnd w:id="51"/>
    <w:p>
      <w:pPr>
        <w:jc w:val="both"/>
        <w:ind w:firstLine="656"/>
        <w:spacing w:after="0" w:line="245" w:lineRule="auto"/>
        <w:tabs>
          <w:tab w:leader="none" w:pos="129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Effective Date, constitute the Board (the “</w:t>
      </w:r>
      <w:r>
        <w:rPr>
          <w:rFonts w:ascii="Times New Roman" w:cs="Times New Roman" w:eastAsia="Times New Roman" w:hAnsi="Times New Roman"/>
          <w:sz w:val="20"/>
          <w:szCs w:val="20"/>
          <w:u w:val="single" w:color="auto"/>
          <w:color w:val="auto"/>
        </w:rPr>
        <w:t>Incumbent Board</w:t>
      </w:r>
      <w:r>
        <w:rPr>
          <w:rFonts w:ascii="Times New Roman" w:cs="Times New Roman" w:eastAsia="Times New Roman" w:hAnsi="Times New Roman"/>
          <w:sz w:val="20"/>
          <w:szCs w:val="20"/>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211" w:lineRule="exact"/>
        <w:rPr>
          <w:rFonts w:ascii="Times New Roman" w:cs="Times New Roman" w:eastAsia="Times New Roman" w:hAnsi="Times New Roman"/>
          <w:sz w:val="20"/>
          <w:szCs w:val="20"/>
          <w:color w:val="auto"/>
        </w:rPr>
      </w:pPr>
    </w:p>
    <w:p>
      <w:pPr>
        <w:jc w:val="both"/>
        <w:ind w:firstLine="656"/>
        <w:spacing w:after="0" w:line="241"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p>
    <w:p>
      <w:pPr>
        <w:spacing w:after="0" w:line="13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Notwithstanding the foregoing, no Change in Control shall be deemed to have occurred (i) in connection with a bankruptcy pursuant to Chapter 7 or Chapter 11 of the United States Bankruptcy Code or upon consummation of a Restructuring, (ii)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Section 2(k)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2" w:name="page53"/>
    <w:bookmarkEnd w:id="52"/>
    <w:p>
      <w:pPr>
        <w:ind w:firstLine="656"/>
        <w:spacing w:after="0" w:line="269" w:lineRule="auto"/>
        <w:tabs>
          <w:tab w:leader="none" w:pos="128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U.S. Internal Revenue Code of 1986, as amended, or any successor thereto, and the rules and regulations promulgated thereunder.</w:t>
      </w:r>
    </w:p>
    <w:p>
      <w:pPr>
        <w:spacing w:after="0" w:line="10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The Compensation Committee of the Board (or a subcommittee thereof), or the delegate to which the Board or the Compensation Committee has delegated its authority pursuant to Section 4(a) hereof, or such other committee of the Board to which the Board has delegated power to act under or pursuant to the provisions of the Plan.</w:t>
      </w:r>
    </w:p>
    <w:p>
      <w:pPr>
        <w:spacing w:after="0" w:line="12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Weatherford International plc, an Irish public limited company and any successor thereto.</w:t>
      </w:r>
    </w:p>
    <w:p>
      <w:pPr>
        <w:spacing w:after="0" w:line="161"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Assets</w:t>
      </w:r>
      <w:r>
        <w:rPr>
          <w:rFonts w:ascii="Times New Roman" w:cs="Times New Roman" w:eastAsia="Times New Roman" w:hAnsi="Times New Roman"/>
          <w:sz w:val="20"/>
          <w:szCs w:val="20"/>
          <w:color w:val="auto"/>
        </w:rPr>
        <w:t>: Means the assets (of any kind) owned by the Company, including without limitation, the securities of the Company’s Subsidiaries and any of the assets owned by the Company’s Subsidiaries.</w:t>
      </w:r>
    </w:p>
    <w:p>
      <w:pPr>
        <w:spacing w:after="0" w:line="105" w:lineRule="exact"/>
        <w:rPr>
          <w:rFonts w:ascii="Times New Roman" w:cs="Times New Roman" w:eastAsia="Times New Roman" w:hAnsi="Times New Roman"/>
          <w:sz w:val="20"/>
          <w:szCs w:val="20"/>
          <w:color w:val="auto"/>
        </w:rPr>
      </w:pPr>
    </w:p>
    <w:p>
      <w:pPr>
        <w:jc w:val="both"/>
        <w:ind w:firstLine="656"/>
        <w:spacing w:after="0" w:line="243"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 inventions or systems information, whether or not patentable or copyrightable, and that is not otherwise a Trade Secret.</w:t>
      </w:r>
    </w:p>
    <w:p>
      <w:pPr>
        <w:spacing w:after="0" w:line="135"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xml:space="preserve"> 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w:t>
      </w:r>
    </w:p>
    <w:p>
      <w:pPr>
        <w:spacing w:after="0" w:line="125" w:lineRule="exact"/>
        <w:rPr>
          <w:rFonts w:ascii="Times New Roman" w:cs="Times New Roman" w:eastAsia="Times New Roman" w:hAnsi="Times New Roman"/>
          <w:sz w:val="20"/>
          <w:szCs w:val="20"/>
          <w:color w:val="auto"/>
        </w:rPr>
      </w:pPr>
    </w:p>
    <w:p>
      <w:pPr>
        <w:ind w:firstLine="656"/>
        <w:spacing w:after="0" w:line="269" w:lineRule="auto"/>
        <w:tabs>
          <w:tab w:leader="none" w:pos="128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Means “Detrimental Activity” as defined in the Company’s Compensation Clawback Policy or any other clawback, forfeiture or other similar policy adopted by the Board or the Committee and as in effect from time to time.</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A member of the Board.</w:t>
      </w:r>
    </w:p>
    <w:p>
      <w:pPr>
        <w:spacing w:after="0" w:line="161"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3" w:name="page54"/>
    <w:bookmarkEnd w:id="53"/>
    <w:p>
      <w:pPr>
        <w:jc w:val="both"/>
        <w:ind w:firstLine="656"/>
        <w:spacing w:after="0" w:line="249"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 Right</w:t>
      </w:r>
      <w:r>
        <w:rPr>
          <w:rFonts w:ascii="Times New Roman" w:cs="Times New Roman" w:eastAsia="Times New Roman" w:hAnsi="Times New Roman"/>
          <w:sz w:val="20"/>
          <w:szCs w:val="20"/>
          <w:color w:val="auto"/>
        </w:rPr>
        <w:t>: A right to receive the equivalent value of dividends paid on the Shares with respect to Shares underlying Restricted Share Units or an Other Share-Based Award that is a Full Value Award prior to vesting of the Award, subject to the additional requirements of Section 10(b) hereof. Such Dividend Equivalent Right shall be converted to cash or additional Shares, or a combination of cash and Shares, by such formula and at such time and subject to such limitations as may be determined by the Committee.</w:t>
      </w:r>
    </w:p>
    <w:p>
      <w:pPr>
        <w:spacing w:after="0" w:line="125"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2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spacing w:after="0" w:line="120"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Entity</w:t>
      </w:r>
      <w:r>
        <w:rPr>
          <w:rFonts w:ascii="Times New Roman" w:cs="Times New Roman" w:eastAsia="Times New Roman" w:hAnsi="Times New Roman"/>
          <w:sz w:val="20"/>
          <w:szCs w:val="20"/>
          <w:color w:val="auto"/>
        </w:rPr>
        <w:t>: Any corporation, partnership, association, joint-stock company, limited liability company, trust, unincorporated organization or other business entity.</w:t>
      </w:r>
    </w:p>
    <w:p>
      <w:pPr>
        <w:spacing w:after="0" w:line="105"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U.S. Securities Exchange Act of 1934, as amended, or any successor thereto, and the rules and regulations promulgated thereunder.</w:t>
      </w:r>
    </w:p>
    <w:p>
      <w:pPr>
        <w:spacing w:after="0" w:line="105" w:lineRule="exact"/>
        <w:rPr>
          <w:rFonts w:ascii="Times New Roman" w:cs="Times New Roman" w:eastAsia="Times New Roman" w:hAnsi="Times New Roman"/>
          <w:sz w:val="20"/>
          <w:szCs w:val="20"/>
          <w:color w:val="auto"/>
        </w:rPr>
      </w:pPr>
    </w:p>
    <w:p>
      <w:pPr>
        <w:jc w:val="both"/>
        <w:ind w:firstLine="656"/>
        <w:spacing w:after="0" w:line="243"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spacing w:after="0" w:line="132" w:lineRule="exact"/>
        <w:rPr>
          <w:sz w:val="20"/>
          <w:szCs w:val="20"/>
          <w:color w:val="auto"/>
        </w:rPr>
      </w:pPr>
    </w:p>
    <w:p>
      <w:pPr>
        <w:jc w:val="both"/>
        <w:ind w:firstLine="656"/>
        <w:spacing w:after="0" w:line="254" w:lineRule="auto"/>
        <w:tabs>
          <w:tab w:leader="none" w:pos="12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Value Awards</w:t>
      </w:r>
      <w:r>
        <w:rPr>
          <w:rFonts w:ascii="Times New Roman" w:cs="Times New Roman" w:eastAsia="Times New Roman" w:hAnsi="Times New Roman"/>
          <w:sz w:val="20"/>
          <w:szCs w:val="20"/>
          <w:color w:val="auto"/>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spacing w:after="0" w:line="12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ISO</w:t>
      </w:r>
      <w:r>
        <w:rPr>
          <w:rFonts w:ascii="Times New Roman" w:cs="Times New Roman" w:eastAsia="Times New Roman" w:hAnsi="Times New Roman"/>
          <w:sz w:val="20"/>
          <w:szCs w:val="20"/>
          <w:color w:val="auto"/>
        </w:rPr>
        <w:t>: An Option that is intended to be an incentive stock option granted pursuant to Section 7(e) of the Plan.</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An option granted pursuant to Section 7 of the Plan.</w:t>
      </w:r>
    </w:p>
    <w:p>
      <w:pPr>
        <w:spacing w:after="0" w:line="161" w:lineRule="exact"/>
        <w:rPr>
          <w:rFonts w:ascii="Times New Roman" w:cs="Times New Roman" w:eastAsia="Times New Roman" w:hAnsi="Times New Roman"/>
          <w:sz w:val="20"/>
          <w:szCs w:val="20"/>
          <w:color w:val="auto"/>
        </w:rPr>
      </w:pPr>
    </w:p>
    <w:p>
      <w:pPr>
        <w:ind w:right="20" w:firstLine="656"/>
        <w:spacing w:after="0" w:line="269" w:lineRule="auto"/>
        <w:tabs>
          <w:tab w:leader="none" w:pos="128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Price</w:t>
      </w:r>
      <w:r>
        <w:rPr>
          <w:rFonts w:ascii="Times New Roman" w:cs="Times New Roman" w:eastAsia="Times New Roman" w:hAnsi="Times New Roman"/>
          <w:sz w:val="20"/>
          <w:szCs w:val="20"/>
          <w:color w:val="auto"/>
        </w:rPr>
        <w:t>: The price at which a Share may be purchased upon the exercise of an Option, as determined pursuant to Section 7(b) of the Plan.</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Share-Based Awards</w:t>
      </w:r>
      <w:r>
        <w:rPr>
          <w:rFonts w:ascii="Times New Roman" w:cs="Times New Roman" w:eastAsia="Times New Roman" w:hAnsi="Times New Roman"/>
          <w:sz w:val="20"/>
          <w:szCs w:val="20"/>
          <w:color w:val="auto"/>
        </w:rPr>
        <w:t>: Awards granted pursuant to Section 9 of the Plan.</w:t>
      </w:r>
    </w:p>
    <w:p>
      <w:pPr>
        <w:spacing w:after="0" w:line="161"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Employee, Consultant, or Director who is selected by the Committee to participate in the Plan and to whom an Award is granted pursuant to the Plan.</w:t>
      </w:r>
    </w:p>
    <w:p>
      <w:pPr>
        <w:spacing w:after="0" w:line="1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Performance-Based Award</w:t>
      </w:r>
      <w:r>
        <w:rPr>
          <w:rFonts w:ascii="Times New Roman" w:cs="Times New Roman" w:eastAsia="Times New Roman" w:hAnsi="Times New Roman"/>
          <w:sz w:val="20"/>
          <w:szCs w:val="20"/>
          <w:color w:val="auto"/>
        </w:rPr>
        <w:t>: A Full-Value Award that vests, in whole or in part, based on the attainment of a Performance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4" w:name="page55"/>
    <w:bookmarkEnd w:id="54"/>
    <w:p>
      <w:pPr>
        <w:jc w:val="both"/>
        <w:ind w:firstLine="656"/>
        <w:spacing w:after="0" w:line="255" w:lineRule="auto"/>
        <w:tabs>
          <w:tab w:leader="none" w:pos="1288"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Criteria</w:t>
      </w:r>
      <w:r>
        <w:rPr>
          <w:rFonts w:ascii="Times New Roman" w:cs="Times New Roman" w:eastAsia="Times New Roman" w:hAnsi="Times New Roman"/>
          <w:sz w:val="19"/>
          <w:szCs w:val="19"/>
          <w:color w:val="auto"/>
        </w:rPr>
        <w:t>: The criteria that the Committee selects for purposes of establishing the Performance Goal(s) for a Participant during a Performance Period. The Performance Criteria that will be used to 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 (ix) expense management; (x) return on invested capital; (xi) improvements in capital structure; (xii) profitability of an identifiable business unit or product; (xiii) maintenance or improvement of profit margins or revenue; (xiv) Share price; (xv) market share; (xvi) revenues or sales; (xvii) costs; (xviii) available cash flow; (xix) working capital; (xx) return on assets;</w:t>
      </w:r>
    </w:p>
    <w:p>
      <w:pPr>
        <w:spacing w:after="0" w:line="3" w:lineRule="exact"/>
        <w:rPr>
          <w:rFonts w:ascii="Times New Roman" w:cs="Times New Roman" w:eastAsia="Times New Roman" w:hAnsi="Times New Roman"/>
          <w:sz w:val="19"/>
          <w:szCs w:val="19"/>
          <w:color w:val="auto"/>
        </w:rPr>
      </w:pPr>
    </w:p>
    <w:p>
      <w:pPr>
        <w:ind w:firstLine="8"/>
        <w:spacing w:after="0" w:line="246" w:lineRule="auto"/>
        <w:tabs>
          <w:tab w:leader="none" w:pos="45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shareholder return, (xxii) productivity ratios, and (xxiii) economic value added. The Performance Criteria may be calculated in accordance with the Applicable Accounting Standards or on an adjusted basis.</w:t>
      </w:r>
    </w:p>
    <w:p>
      <w:pPr>
        <w:spacing w:after="0" w:line="127" w:lineRule="exact"/>
        <w:rPr>
          <w:rFonts w:ascii="Times New Roman" w:cs="Times New Roman" w:eastAsia="Times New Roman" w:hAnsi="Times New Roman"/>
          <w:sz w:val="20"/>
          <w:szCs w:val="20"/>
          <w:color w:val="auto"/>
        </w:rPr>
      </w:pPr>
    </w:p>
    <w:p>
      <w:pPr>
        <w:jc w:val="both"/>
        <w:ind w:firstLine="656"/>
        <w:spacing w:after="0" w:line="241" w:lineRule="auto"/>
        <w:tabs>
          <w:tab w:leader="none" w:pos="129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spacing w:after="0" w:line="14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120"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3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This Weatherford International plc Second Amended and Restated 2019 Equity Incentive Plan, as amended from time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time.</w:t>
      </w:r>
    </w:p>
    <w:p>
      <w:pPr>
        <w:spacing w:after="0" w:line="139" w:lineRule="exact"/>
        <w:rPr>
          <w:rFonts w:ascii="Times New Roman" w:cs="Times New Roman" w:eastAsia="Times New Roman" w:hAnsi="Times New Roman"/>
          <w:sz w:val="20"/>
          <w:szCs w:val="20"/>
          <w:color w:val="auto"/>
        </w:rPr>
      </w:pPr>
    </w:p>
    <w:p>
      <w:pPr>
        <w:ind w:firstLine="656"/>
        <w:spacing w:after="0" w:line="269" w:lineRule="auto"/>
        <w:tabs>
          <w:tab w:leader="none" w:pos="129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Shares awarded to a Participant pursuant to Section 6 of the Plan that shall be subject to certain restrictions and may be subject to risk of forfeiture.</w:t>
      </w:r>
    </w:p>
    <w:p>
      <w:pPr>
        <w:spacing w:after="0" w:line="105" w:lineRule="exact"/>
        <w:rPr>
          <w:rFonts w:ascii="Times New Roman" w:cs="Times New Roman" w:eastAsia="Times New Roman" w:hAnsi="Times New Roman"/>
          <w:sz w:val="20"/>
          <w:szCs w:val="20"/>
          <w:color w:val="auto"/>
        </w:rPr>
      </w:pPr>
    </w:p>
    <w:p>
      <w:pPr>
        <w:ind w:right="20" w:firstLine="656"/>
        <w:spacing w:after="0" w:line="269" w:lineRule="auto"/>
        <w:tabs>
          <w:tab w:leader="none" w:pos="128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 Unit</w:t>
      </w:r>
      <w:r>
        <w:rPr>
          <w:rFonts w:ascii="Times New Roman" w:cs="Times New Roman" w:eastAsia="Times New Roman" w:hAnsi="Times New Roman"/>
          <w:sz w:val="20"/>
          <w:szCs w:val="20"/>
          <w:color w:val="auto"/>
        </w:rPr>
        <w:t>: An Award granted pursuant to Section 5 of the Plan that shall be evidenced by a bookkeeping entry representing the equivalent of one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5" w:name="page56"/>
    <w:bookmarkEnd w:id="55"/>
    <w:p>
      <w:pPr>
        <w:jc w:val="both"/>
        <w:ind w:firstLine="656"/>
        <w:spacing w:after="0" w:line="244"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Restructuring</w:t>
      </w:r>
      <w:r>
        <w:rPr>
          <w:rFonts w:ascii="Times New Roman" w:cs="Times New Roman" w:eastAsia="Times New Roman" w:hAnsi="Times New Roman"/>
          <w:sz w:val="20"/>
          <w:szCs w:val="20"/>
          <w:color w:val="auto"/>
        </w:rPr>
        <w:t>: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Times New Roman" w:cs="Times New Roman" w:eastAsia="Times New Roman" w:hAnsi="Times New Roman"/>
          <w:sz w:val="20"/>
          <w:szCs w:val="20"/>
          <w:u w:val="single" w:color="auto"/>
          <w:color w:val="auto"/>
        </w:rPr>
        <w:t>Existing Obligations</w:t>
      </w:r>
      <w:r>
        <w:rPr>
          <w:rFonts w:ascii="Times New Roman" w:cs="Times New Roman" w:eastAsia="Times New Roman" w:hAnsi="Times New Roman"/>
          <w:sz w:val="20"/>
          <w:szCs w:val="20"/>
          <w:color w:val="auto"/>
        </w:rPr>
        <w:t>”)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spacing w:after="0" w:line="13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Code Section 409A, as amended, or any successor thereto, and the rules and regulations promulgated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39" w:lineRule="exact"/>
        <w:rPr>
          <w:rFonts w:ascii="Times New Roman" w:cs="Times New Roman" w:eastAsia="Times New Roman" w:hAnsi="Times New Roman"/>
          <w:sz w:val="20"/>
          <w:szCs w:val="20"/>
          <w:color w:val="auto"/>
        </w:rPr>
      </w:pPr>
    </w:p>
    <w:p>
      <w:pPr>
        <w:ind w:firstLine="656"/>
        <w:spacing w:after="0" w:line="269"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U.S. Securities Act of 1933, as amended, or any successor thereto, and the rules and regulations promulgated thereunder.</w:t>
      </w:r>
    </w:p>
    <w:p>
      <w:pPr>
        <w:spacing w:after="0" w:line="105" w:lineRule="exact"/>
        <w:rPr>
          <w:rFonts w:ascii="Times New Roman" w:cs="Times New Roman" w:eastAsia="Times New Roman" w:hAnsi="Times New Roman"/>
          <w:sz w:val="20"/>
          <w:szCs w:val="20"/>
          <w:color w:val="auto"/>
        </w:rPr>
      </w:pPr>
    </w:p>
    <w:p>
      <w:pPr>
        <w:jc w:val="both"/>
        <w:ind w:firstLine="656"/>
        <w:spacing w:after="0" w:line="243" w:lineRule="auto"/>
        <w:tabs>
          <w:tab w:leader="none" w:pos="128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w:t>
      </w:r>
      <w:r>
        <w:rPr>
          <w:rFonts w:ascii="Times New Roman" w:cs="Times New Roman" w:eastAsia="Times New Roman" w:hAnsi="Times New Roman"/>
          <w:sz w:val="20"/>
          <w:szCs w:val="20"/>
          <w:color w:val="auto"/>
        </w:rPr>
        <w:t>: Except as otherwise determined by the Committee in its sole discretion, a Participant’s Service terminates 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spacing w:after="0" w:line="145" w:lineRule="exact"/>
        <w:rPr>
          <w:rFonts w:ascii="Times New Roman" w:cs="Times New Roman" w:eastAsia="Times New Roman" w:hAnsi="Times New Roman"/>
          <w:sz w:val="20"/>
          <w:szCs w:val="20"/>
          <w:color w:val="auto"/>
        </w:rPr>
      </w:pPr>
    </w:p>
    <w:p>
      <w:pPr>
        <w:ind w:firstLine="656"/>
        <w:spacing w:after="0" w:line="269" w:lineRule="auto"/>
        <w:tabs>
          <w:tab w:leader="none" w:pos="128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Ordinary shares in the capital of the Company, nominal value $0.001 per ordinary share, and such other securities of the Company that may be substituted for the Shares pursuant to Section 11 of the Plan.</w:t>
      </w:r>
    </w:p>
    <w:p>
      <w:pPr>
        <w:spacing w:after="0" w:line="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Appreciation Right</w:t>
      </w:r>
      <w:r>
        <w:rPr>
          <w:rFonts w:ascii="Times New Roman" w:cs="Times New Roman" w:eastAsia="Times New Roman" w:hAnsi="Times New Roman"/>
          <w:sz w:val="20"/>
          <w:szCs w:val="20"/>
          <w:color w:val="auto"/>
        </w:rPr>
        <w:t>: A share appreciation right granted pursuant to Section 8 of the Plan.</w:t>
      </w:r>
    </w:p>
    <w:p>
      <w:pPr>
        <w:spacing w:after="0" w:line="161" w:lineRule="exact"/>
        <w:rPr>
          <w:rFonts w:ascii="Times New Roman" w:cs="Times New Roman" w:eastAsia="Times New Roman" w:hAnsi="Times New Roman"/>
          <w:sz w:val="20"/>
          <w:szCs w:val="20"/>
          <w:color w:val="auto"/>
        </w:rPr>
      </w:pPr>
    </w:p>
    <w:p>
      <w:pPr>
        <w:ind w:firstLine="656"/>
        <w:spacing w:after="0" w:line="269"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Holder</w:t>
      </w:r>
      <w:r>
        <w:rPr>
          <w:rFonts w:ascii="Times New Roman" w:cs="Times New Roman" w:eastAsia="Times New Roman" w:hAnsi="Times New Roman"/>
          <w:sz w:val="20"/>
          <w:szCs w:val="20"/>
          <w:color w:val="auto"/>
        </w:rPr>
        <w:t>: Any Person who is the Beneficial Owner, directly or indirectly, of 10% or more of the Outstanding Ordinary Shares of the Company as of the Effective Date.</w:t>
      </w:r>
    </w:p>
    <w:p>
      <w:pPr>
        <w:spacing w:after="0" w:line="10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Strike Price</w:t>
      </w:r>
      <w:r>
        <w:rPr>
          <w:rFonts w:ascii="Times New Roman" w:cs="Times New Roman" w:eastAsia="Times New Roman" w:hAnsi="Times New Roman"/>
          <w:sz w:val="20"/>
          <w:szCs w:val="20"/>
          <w:color w:val="auto"/>
        </w:rPr>
        <w:t>: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w:t>
      </w:r>
    </w:p>
    <w:p>
      <w:pPr>
        <w:spacing w:after="0" w:line="120"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Any Affiliate which is a subsidiary of the Company within the meaning of Section 7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6" w:name="page57"/>
    <w:bookmarkEnd w:id="56"/>
    <w:p>
      <w:pPr>
        <w:jc w:val="both"/>
        <w:ind w:firstLine="656"/>
        <w:spacing w:after="0" w:line="254" w:lineRule="auto"/>
        <w:tabs>
          <w:tab w:leader="none" w:pos="12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An Award granted under the Plan in assumption of, or in substitution or exchange for, an outstanding award previously granted by an entity directly or indirectly acquired by the Company or any Subsidiary or with which the Company or any Subsidiary combines.</w:t>
      </w:r>
    </w:p>
    <w:p>
      <w:pPr>
        <w:spacing w:after="0" w:line="120"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spacing w:after="0" w:line="120"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Means without limitation, (1)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spacing w:after="0" w:line="131" w:lineRule="exact"/>
        <w:rPr>
          <w:sz w:val="20"/>
          <w:szCs w:val="20"/>
          <w:color w:val="auto"/>
        </w:rPr>
      </w:pPr>
    </w:p>
    <w:p>
      <w:pPr>
        <w:ind w:left="1300" w:hanging="644"/>
        <w:spacing w:after="0"/>
        <w:tabs>
          <w:tab w:leader="none" w:pos="13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Weatherford Group</w:t>
      </w:r>
      <w:r>
        <w:rPr>
          <w:rFonts w:ascii="Times New Roman" w:cs="Times New Roman" w:eastAsia="Times New Roman" w:hAnsi="Times New Roman"/>
          <w:sz w:val="20"/>
          <w:szCs w:val="20"/>
          <w:color w:val="auto"/>
        </w:rPr>
        <w:t>: The Company and its Subsidiaries.</w:t>
      </w:r>
    </w:p>
    <w:p>
      <w:pPr>
        <w:spacing w:after="0" w:line="15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Shares Subject to the Plan and Limitation on Issuable Shares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Subject to Section 11, and as of the Effective Date, the total number of Shares which may be issued under the Plan is 8,600,000, and the maximum number of Shares for which ISOs may be granted is 400,000. Except as provided below in Section 3(b) or 3(c),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spacing w:after="0" w:line="131" w:lineRule="exact"/>
        <w:rPr>
          <w:sz w:val="20"/>
          <w:szCs w:val="20"/>
          <w:color w:val="auto"/>
        </w:rPr>
      </w:pPr>
    </w:p>
    <w:p>
      <w:pPr>
        <w:ind w:left="1280" w:hanging="634"/>
        <w:spacing w:after="0"/>
        <w:tabs>
          <w:tab w:leader="none" w:pos="1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Reissuable Under Plan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Shares Not Reissuable Under Plan</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the foregoing, the following Shares shall be counted against the maximum number of Shares available for issuance pursuant to Section 3(a) 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 (iii) Shares that are repurchased or redeemed on the open market with the proceeds of the exercise of an Option.</w:t>
      </w:r>
    </w:p>
    <w:p>
      <w:pPr>
        <w:spacing w:after="0" w:line="131" w:lineRule="exact"/>
        <w:rPr>
          <w:sz w:val="20"/>
          <w:szCs w:val="20"/>
          <w:color w:val="auto"/>
        </w:rPr>
      </w:pPr>
    </w:p>
    <w:p>
      <w:pPr>
        <w:ind w:left="1280" w:hanging="634"/>
        <w:spacing w:after="0"/>
        <w:tabs>
          <w:tab w:leader="none" w:pos="12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Not Counted Against Share Pool Reserve</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anything contained in Section 3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7" w:name="page58"/>
    <w:bookmarkEnd w:id="57"/>
    <w:p>
      <w:pPr>
        <w:ind w:right="20"/>
        <w:spacing w:after="0" w:line="269" w:lineRule="auto"/>
        <w:rPr>
          <w:sz w:val="20"/>
          <w:szCs w:val="20"/>
          <w:color w:val="auto"/>
        </w:rPr>
      </w:pPr>
      <w:r>
        <w:rPr>
          <w:rFonts w:ascii="Times New Roman" w:cs="Times New Roman" w:eastAsia="Times New Roman" w:hAnsi="Times New Roman"/>
          <w:sz w:val="20"/>
          <w:szCs w:val="20"/>
          <w:color w:val="auto"/>
        </w:rPr>
        <w:t>Company or Subsidiary combines (as appropriately adjusted to reflect the acquisition or combination transaction) may be used for Awards under the Plan and shall not reduce the number of Shares available for delivery under the Plan.</w:t>
      </w:r>
    </w:p>
    <w:p>
      <w:pPr>
        <w:spacing w:after="0" w:line="105" w:lineRule="exact"/>
        <w:rPr>
          <w:sz w:val="20"/>
          <w:szCs w:val="20"/>
          <w:color w:val="auto"/>
        </w:rPr>
      </w:pPr>
    </w:p>
    <w:p>
      <w:pPr>
        <w:ind w:left="1280" w:hanging="634"/>
        <w:spacing w:after="0"/>
        <w:tabs>
          <w:tab w:leader="none" w:pos="1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Non-Employee Director Award Limit</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spacing w:after="0" w:line="126"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Plan shall be administered by the Committee, which may delegate its duties and powers in whole or in part to any subcommittee thereof consisting solely of at least two individuals who are intended to qualify as “Non-Employee Directors” within the meaning of Rule 16b-3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w:t>
      </w:r>
    </w:p>
    <w:p>
      <w:pPr>
        <w:spacing w:after="0" w:line="139" w:lineRule="exact"/>
        <w:rPr>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of Committee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Committee has the exclusive power, authority and discretion to:</w:t>
      </w:r>
    </w:p>
    <w:p>
      <w:pPr>
        <w:spacing w:after="0" w:line="162" w:lineRule="exact"/>
        <w:rPr>
          <w:sz w:val="20"/>
          <w:szCs w:val="20"/>
          <w:color w:val="auto"/>
        </w:rPr>
      </w:pPr>
    </w:p>
    <w:p>
      <w:pPr>
        <w:ind w:left="1920" w:hanging="636"/>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Participants to receive Awards;</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each Participant;</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to which an Award will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8" w:name="page59"/>
    <w:bookmarkEnd w:id="58"/>
    <w:p>
      <w:pPr>
        <w:jc w:val="both"/>
        <w:ind w:left="1920" w:hanging="636"/>
        <w:spacing w:after="0" w:line="245" w:lineRule="auto"/>
        <w:tabs>
          <w:tab w:leader="none" w:pos="19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spacing w:after="0" w:line="130" w:lineRule="exact"/>
        <w:rPr>
          <w:rFonts w:ascii="Times New Roman" w:cs="Times New Roman" w:eastAsia="Times New Roman" w:hAnsi="Times New Roman"/>
          <w:sz w:val="20"/>
          <w:szCs w:val="20"/>
          <w:color w:val="auto"/>
        </w:rPr>
      </w:pPr>
    </w:p>
    <w:p>
      <w:pPr>
        <w:jc w:val="both"/>
        <w:ind w:left="1920" w:hanging="636"/>
        <w:spacing w:after="0" w:line="245" w:lineRule="auto"/>
        <w:tabs>
          <w:tab w:leader="none" w:pos="191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w:t>
      </w:r>
    </w:p>
    <w:p>
      <w:pPr>
        <w:ind w:left="1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an Award may be cancelled, forfeited, or surrendered;</w:t>
      </w:r>
    </w:p>
    <w:p>
      <w:pPr>
        <w:spacing w:after="0" w:line="139" w:lineRule="exact"/>
        <w:rPr>
          <w:rFonts w:ascii="Times New Roman" w:cs="Times New Roman" w:eastAsia="Times New Roman" w:hAnsi="Times New Roman"/>
          <w:sz w:val="20"/>
          <w:szCs w:val="20"/>
          <w:color w:val="auto"/>
        </w:rPr>
      </w:pPr>
    </w:p>
    <w:p>
      <w:pPr>
        <w:ind w:left="1920" w:hanging="636"/>
        <w:spacing w:after="0" w:line="269" w:lineRule="auto"/>
        <w:tabs>
          <w:tab w:leader="none" w:pos="19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 Participant and may vary for Participants within and outside of the United States;</w:t>
      </w:r>
    </w:p>
    <w:p>
      <w:pPr>
        <w:spacing w:after="0" w:line="105"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Allot and issue any Shares which are to be allotted and issued upon the vesting or exercise of any Award;</w:t>
      </w:r>
    </w:p>
    <w:p>
      <w:pPr>
        <w:spacing w:after="0" w:line="161"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161"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spacing w:after="0" w:line="120"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Construe and interpret the terms of, and any matter arising pursuant to, the Plan, or any Award Agreement;</w:t>
      </w:r>
    </w:p>
    <w:p>
      <w:pPr>
        <w:spacing w:after="0" w:line="161" w:lineRule="exact"/>
        <w:rPr>
          <w:rFonts w:ascii="Times New Roman" w:cs="Times New Roman" w:eastAsia="Times New Roman" w:hAnsi="Times New Roman"/>
          <w:sz w:val="20"/>
          <w:szCs w:val="20"/>
          <w:color w:val="auto"/>
        </w:rPr>
      </w:pPr>
    </w:p>
    <w:p>
      <w:pPr>
        <w:ind w:left="1920" w:hanging="636"/>
        <w:spacing w:after="0" w:line="269" w:lineRule="auto"/>
        <w:tabs>
          <w:tab w:leader="none" w:pos="19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or supply any omission or reconcile any inconsistency in the Plan in the manner and to the extent the Committee deems necessary or desirable; and</w:t>
      </w:r>
    </w:p>
    <w:p>
      <w:pPr>
        <w:spacing w:after="0" w:line="105"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07"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as the Committee deems necessary or advisable to administer the Plan.</w:t>
      </w:r>
    </w:p>
    <w:p>
      <w:pPr>
        <w:spacing w:after="0" w:line="10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Decisions Binding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decision of the Committee or its delegate pursuant to Section 4(a) or (b) hereof shall lie within its sole and absolute discretion and shall be final, conclusive and binding on all parties concerned (including, but not limited to, Participants and their beneficiaries or successors).</w:t>
      </w:r>
    </w:p>
    <w:p>
      <w:pPr>
        <w:spacing w:after="0" w:line="120" w:lineRule="exact"/>
        <w:rPr>
          <w:sz w:val="20"/>
          <w:szCs w:val="20"/>
          <w:color w:val="auto"/>
        </w:rPr>
      </w:pPr>
    </w:p>
    <w:p>
      <w:pPr>
        <w:ind w:left="1280" w:hanging="634"/>
        <w:spacing w:after="0"/>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on Reports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35"/>
        <w:spacing w:after="0" w:line="249" w:lineRule="auto"/>
        <w:rPr>
          <w:sz w:val="20"/>
          <w:szCs w:val="20"/>
          <w:color w:val="auto"/>
        </w:rPr>
      </w:pPr>
      <w:r>
        <w:rPr>
          <w:rFonts w:ascii="Times New Roman" w:cs="Times New Roman" w:eastAsia="Times New Roman" w:hAnsi="Times New Roman"/>
          <w:sz w:val="20"/>
          <w:szCs w:val="20"/>
          <w:color w:val="auto"/>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59" w:name="page60"/>
    <w:bookmarkEnd w:id="59"/>
    <w:p>
      <w:pPr>
        <w:ind w:left="1280" w:hanging="634"/>
        <w:spacing w:after="0"/>
        <w:tabs>
          <w:tab w:leader="none" w:pos="12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Limits for Employees and Consultants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35"/>
        <w:spacing w:after="0" w:line="246" w:lineRule="auto"/>
        <w:rPr>
          <w:sz w:val="20"/>
          <w:szCs w:val="20"/>
          <w:color w:val="auto"/>
        </w:rPr>
      </w:pPr>
      <w:r>
        <w:rPr>
          <w:rFonts w:ascii="Times New Roman" w:cs="Times New Roman" w:eastAsia="Times New Roman" w:hAnsi="Times New Roman"/>
          <w:sz w:val="20"/>
          <w:szCs w:val="20"/>
          <w:color w:val="auto"/>
        </w:rPr>
        <w:t>The maximum number of Shares that may be subject to Options or Share Appreciation Awards that are granted to any Employee or any Consultant during any calendar year shall not exceed 800,000 Shares, subject to adjustment as provided in Section 11 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spacing w:after="0" w:line="127"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and Conditions of Restricted Share Units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 Units</w:t>
      </w:r>
    </w:p>
    <w:p>
      <w:pPr>
        <w:spacing w:after="0" w:line="16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Committee is authorized to grant Restricted Share Units to Participants in such amounts and subject to such terms and conditions not inconsistent with the Plan, as the Committee shall determine.</w:t>
      </w:r>
    </w:p>
    <w:p>
      <w:pPr>
        <w:spacing w:after="0" w:line="105" w:lineRule="exact"/>
        <w:rPr>
          <w:sz w:val="20"/>
          <w:szCs w:val="20"/>
          <w:color w:val="auto"/>
        </w:rPr>
      </w:pPr>
    </w:p>
    <w:p>
      <w:pPr>
        <w:ind w:left="1280" w:hanging="634"/>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Restrictions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spacing w:after="0" w:line="120" w:lineRule="exact"/>
        <w:rPr>
          <w:sz w:val="20"/>
          <w:szCs w:val="20"/>
          <w:color w:val="auto"/>
        </w:rPr>
      </w:pPr>
    </w:p>
    <w:p>
      <w:pPr>
        <w:ind w:left="1280" w:hanging="634"/>
        <w:spacing w:after="0"/>
        <w:tabs>
          <w:tab w:leader="none" w:pos="1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Timing of Payment</w:t>
      </w:r>
    </w:p>
    <w:p>
      <w:pPr>
        <w:spacing w:after="0" w:line="16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Section 20 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Section 20 hereof). Until a Restricted Share Unit is settled, the number of Restricted Share Units shall be subject to adjustment pursuant to Section 11 hereof.</w:t>
      </w:r>
    </w:p>
    <w:p>
      <w:pPr>
        <w:spacing w:after="0" w:line="132" w:lineRule="exact"/>
        <w:rPr>
          <w:sz w:val="20"/>
          <w:szCs w:val="20"/>
          <w:color w:val="auto"/>
        </w:rPr>
      </w:pPr>
    </w:p>
    <w:p>
      <w:pPr>
        <w:ind w:left="1280" w:hanging="634"/>
        <w:spacing w:after="0"/>
        <w:tabs>
          <w:tab w:leader="none" w:pos="12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Except as otherwise determined by the Committee at the time of the grant of the Award or thereafter, any Restricted Share Units that are not vested as of the date of the Participant’s termination of Service shall be forfeited.</w:t>
      </w:r>
    </w:p>
    <w:p>
      <w:pPr>
        <w:spacing w:after="0" w:line="105" w:lineRule="exact"/>
        <w:rPr>
          <w:sz w:val="20"/>
          <w:szCs w:val="20"/>
          <w:color w:val="auto"/>
        </w:rPr>
      </w:pPr>
    </w:p>
    <w:p>
      <w:pPr>
        <w:ind w:left="1280" w:hanging="634"/>
        <w:spacing w:after="0"/>
        <w:tabs>
          <w:tab w:leader="none" w:pos="12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Creditors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0" w:name="page61"/>
    <w:bookmarkEnd w:id="60"/>
    <w:p>
      <w:pPr>
        <w:ind w:left="640" w:hanging="632"/>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and Conditions of Restricted Share Awards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Shares</w:t>
      </w:r>
    </w:p>
    <w:p>
      <w:pPr>
        <w:spacing w:after="0" w:line="162"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The Committee is authorized to grant Restricted Shares to Participants selected by the Committee in such amounts and subject to such terms and conditions not inconsistent with the Plan, as the Committee shall determine.</w:t>
      </w:r>
    </w:p>
    <w:p>
      <w:pPr>
        <w:spacing w:after="0" w:line="105" w:lineRule="exact"/>
        <w:rPr>
          <w:sz w:val="20"/>
          <w:szCs w:val="20"/>
          <w:color w:val="auto"/>
        </w:rPr>
      </w:pPr>
    </w:p>
    <w:p>
      <w:pPr>
        <w:ind w:left="1280" w:hanging="634"/>
        <w:spacing w:after="0"/>
        <w:tabs>
          <w:tab w:leader="none" w:pos="12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w:t>
      </w:r>
    </w:p>
    <w:p>
      <w:pPr>
        <w:spacing w:after="0" w:line="162"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At the time of the grant of Restricted Shares, the Committee shall determine the price, if any, to be paid by the Participant for each Share subject to the Award. The purchase price of Shares acquired pursuant to the Award shall be paid: (i) in cash at the time of purchase; or</w:t>
      </w:r>
    </w:p>
    <w:p>
      <w:pPr>
        <w:ind w:firstLine="8"/>
        <w:spacing w:after="0" w:line="246" w:lineRule="auto"/>
        <w:tabs>
          <w:tab w:leader="none" w:pos="29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form of legal consideration that may be acceptable to the Committee in its sole discretion and in compliance with Applicable Laws.</w:t>
      </w:r>
    </w:p>
    <w:p>
      <w:pPr>
        <w:spacing w:after="0" w:line="12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Restrictions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spacing w:after="0" w:line="131" w:lineRule="exact"/>
        <w:rPr>
          <w:sz w:val="20"/>
          <w:szCs w:val="20"/>
          <w:color w:val="auto"/>
        </w:rPr>
      </w:pPr>
    </w:p>
    <w:p>
      <w:pPr>
        <w:ind w:left="1280" w:hanging="634"/>
        <w:spacing w:after="0"/>
        <w:tabs>
          <w:tab w:leader="none" w:pos="1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Any dividends that are distributed with respect to Restricted Shares shall be paid in accordance with the applicable Award Agreement, subject to the provisions of Section 10(b)(ii) hereof.</w:t>
      </w:r>
    </w:p>
    <w:p>
      <w:pPr>
        <w:spacing w:after="0" w:line="105" w:lineRule="exact"/>
        <w:rPr>
          <w:sz w:val="20"/>
          <w:szCs w:val="20"/>
          <w:color w:val="auto"/>
        </w:rPr>
      </w:pPr>
    </w:p>
    <w:p>
      <w:pPr>
        <w:ind w:left="1280" w:hanging="634"/>
        <w:spacing w:after="0"/>
        <w:tabs>
          <w:tab w:leader="none" w:pos="1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Except as otherwise determined by the Committee at the time of the grant of the Award or thereafter, upon termination of Service during the applicable restriction period, Restricted Shares that are at that time subject to restrictions shall be forfeited.</w:t>
      </w:r>
    </w:p>
    <w:p>
      <w:pPr>
        <w:spacing w:after="0" w:line="105" w:lineRule="exact"/>
        <w:rPr>
          <w:sz w:val="20"/>
          <w:szCs w:val="20"/>
          <w:color w:val="auto"/>
        </w:rPr>
      </w:pPr>
    </w:p>
    <w:p>
      <w:pPr>
        <w:ind w:left="1280" w:hanging="634"/>
        <w:spacing w:after="0"/>
        <w:tabs>
          <w:tab w:leader="none" w:pos="12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Restricted Shares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Restricted Shares granted pursuant to the Plan may be evidenced in such manner as the Committee shall determine. If certificates representing Restricted Shares are registered in the name of the Participant, certificates 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spacing w:after="0" w:line="122"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and Conditions of Options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Type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spacing w:after="0" w:line="120" w:lineRule="exact"/>
        <w:rPr>
          <w:sz w:val="20"/>
          <w:szCs w:val="20"/>
          <w:color w:val="auto"/>
        </w:rPr>
      </w:pPr>
    </w:p>
    <w:p>
      <w:pPr>
        <w:ind w:left="1280" w:hanging="634"/>
        <w:spacing w:after="0"/>
        <w:tabs>
          <w:tab w:leader="none" w:pos="12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06" w:right="339" w:bottom="1440" w:gutter="0" w:footer="0" w:header="0"/>
        </w:sectPr>
      </w:pPr>
    </w:p>
    <w:bookmarkStart w:id="61" w:name="page62"/>
    <w:bookmarkEnd w:id="61"/>
    <w:p>
      <w:pPr>
        <w:ind w:firstLine="648"/>
        <w:spacing w:after="0" w:line="269" w:lineRule="auto"/>
        <w:rPr>
          <w:sz w:val="20"/>
          <w:szCs w:val="20"/>
          <w:color w:val="auto"/>
        </w:rPr>
      </w:pPr>
      <w:r>
        <w:rPr>
          <w:rFonts w:ascii="Times New Roman" w:cs="Times New Roman" w:eastAsia="Times New Roman" w:hAnsi="Times New Roman"/>
          <w:sz w:val="20"/>
          <w:szCs w:val="20"/>
          <w:color w:val="auto"/>
        </w:rPr>
        <w:t>The Option Price per Share shall be determined by the Committee, but shall not be less than the higher of (i) 100% of the Fair Market Value of a Share on the date an Option is granted (other than in the case of Substitute Awards) and (ii) the nominal value of a Share.</w:t>
      </w:r>
    </w:p>
    <w:p>
      <w:pPr>
        <w:spacing w:after="0" w:line="105" w:lineRule="exact"/>
        <w:rPr>
          <w:sz w:val="20"/>
          <w:szCs w:val="20"/>
          <w:color w:val="auto"/>
        </w:rPr>
      </w:pPr>
    </w:p>
    <w:p>
      <w:pPr>
        <w:ind w:left="1280" w:hanging="634"/>
        <w:spacing w:after="0"/>
        <w:tabs>
          <w:tab w:leader="none" w:pos="1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Exercisability</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31" w:lineRule="exact"/>
        <w:rPr>
          <w:sz w:val="20"/>
          <w:szCs w:val="20"/>
          <w:color w:val="auto"/>
        </w:rPr>
      </w:pPr>
    </w:p>
    <w:p>
      <w:pPr>
        <w:ind w:left="1280" w:hanging="634"/>
        <w:spacing w:after="0"/>
        <w:tabs>
          <w:tab w:leader="none" w:pos="12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Except as otherwise provided in the Plan or in an Award Agreement, an Option may be exercised for all, or from time to time any part, of the Shares for which it is then exercisable. For purposes of Section 7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spacing w:after="0" w:line="133" w:lineRule="exact"/>
        <w:rPr>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ISOs</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2" w:name="page63"/>
    <w:bookmarkEnd w:id="62"/>
    <w:p>
      <w:pPr>
        <w:ind w:left="1280" w:hanging="634"/>
        <w:spacing w:after="0"/>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with Respect to Shares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spacing w:after="0" w:line="122" w:lineRule="exact"/>
        <w:rPr>
          <w:sz w:val="20"/>
          <w:szCs w:val="20"/>
          <w:color w:val="auto"/>
        </w:rPr>
      </w:pPr>
    </w:p>
    <w:p>
      <w:pPr>
        <w:ind w:left="640" w:hanging="632"/>
        <w:spacing w:after="0"/>
        <w:tabs>
          <w:tab w:leader="none" w:pos="6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and Conditions of Share Appreciation Rights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covered by an Option (or such lesser number of Shares as the Committee may determine) and (C) shall be subject to the same terms and conditions as such Option except for such additional limitations as are contemplated by this Section 8 (or such additional limitations as may be included in an Award Agreement).</w:t>
      </w:r>
    </w:p>
    <w:p>
      <w:pPr>
        <w:spacing w:after="0" w:line="131" w:lineRule="exact"/>
        <w:rPr>
          <w:sz w:val="20"/>
          <w:szCs w:val="20"/>
          <w:color w:val="auto"/>
        </w:rPr>
      </w:pPr>
    </w:p>
    <w:p>
      <w:pPr>
        <w:ind w:left="1280" w:hanging="634"/>
        <w:spacing w:after="0"/>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w:t>
      </w:r>
    </w:p>
    <w:p>
      <w:pPr>
        <w:spacing w:after="0" w:line="16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Each Share Appreciation Right granted independent of an Option shall entitle a Participant, upon exercise, to a number of Shares equal to an amount that is (i) the excess of (A) the Fair Market Value of a Share on the exercise date over (B) the Strike Price, multiplied by</w:t>
      </w:r>
    </w:p>
    <w:p>
      <w:pPr>
        <w:spacing w:after="0" w:line="2" w:lineRule="exact"/>
        <w:rPr>
          <w:sz w:val="20"/>
          <w:szCs w:val="20"/>
          <w:color w:val="auto"/>
        </w:rPr>
      </w:pPr>
    </w:p>
    <w:p>
      <w:pPr>
        <w:jc w:val="both"/>
        <w:ind w:firstLine="8"/>
        <w:spacing w:after="0"/>
        <w:tabs>
          <w:tab w:leader="none" w:pos="31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34" w:lineRule="exact"/>
        <w:rPr>
          <w:sz w:val="20"/>
          <w:szCs w:val="20"/>
          <w:color w:val="auto"/>
        </w:rPr>
      </w:pPr>
    </w:p>
    <w:p>
      <w:pPr>
        <w:ind w:left="1280" w:hanging="634"/>
        <w:spacing w:after="0"/>
        <w:tabs>
          <w:tab w:leader="none" w:pos="1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Committee may impose, in its discretion, such conditions regarding the exercisability of Share Appreciation Rights as it may deem fit, but in no event shall a Share Appreciation Right be exercisable more than ten years after the date it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3" w:name="page64"/>
    <w:bookmarkEnd w:id="63"/>
    <w:p>
      <w:pPr>
        <w:ind w:left="640" w:hanging="632"/>
        <w:spacing w:after="0"/>
        <w:tabs>
          <w:tab w:leader="none" w:pos="6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Share-Based Awards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Grants of Other Share-Based Awards and Performance-Based Awards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Section 9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125" w:lineRule="exact"/>
        <w:rPr>
          <w:sz w:val="20"/>
          <w:szCs w:val="20"/>
          <w:color w:val="auto"/>
        </w:rPr>
      </w:pPr>
    </w:p>
    <w:p>
      <w:pPr>
        <w:ind w:left="1280" w:hanging="634"/>
        <w:spacing w:after="0"/>
        <w:tabs>
          <w:tab w:leader="none" w:pos="1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Payment</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Payments with respect to any Awards granted under Section 9 shall be made in cash or cash equivalent, in Shares or any combination of the foregoing, as determined by the Committee.</w:t>
      </w:r>
    </w:p>
    <w:p>
      <w:pPr>
        <w:spacing w:after="0" w:line="105" w:lineRule="exact"/>
        <w:rPr>
          <w:sz w:val="20"/>
          <w:szCs w:val="20"/>
          <w:color w:val="auto"/>
        </w:rPr>
      </w:pPr>
    </w:p>
    <w:p>
      <w:pPr>
        <w:ind w:left="1280" w:hanging="634"/>
        <w:spacing w:after="0"/>
        <w:tabs>
          <w:tab w:leader="none" w:pos="1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Conditions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Committee shall specify the date or dates on which the Awards granted pursuant to this Section 9 shall become fully vested and nonforfeitable, and may specify such conditions to vesting as it deems appropriate. The vesting conditions may be based on, among other vesting conditions, a Participant’s continued Service or the attainment of Performance Goals.</w:t>
      </w:r>
    </w:p>
    <w:p>
      <w:pPr>
        <w:spacing w:after="0" w:line="120" w:lineRule="exact"/>
        <w:rPr>
          <w:sz w:val="20"/>
          <w:szCs w:val="20"/>
          <w:color w:val="auto"/>
        </w:rPr>
      </w:pPr>
    </w:p>
    <w:p>
      <w:pPr>
        <w:ind w:left="1280" w:hanging="634"/>
        <w:spacing w:after="0"/>
        <w:tabs>
          <w:tab w:leader="none" w:pos="12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p>
    <w:p>
      <w:pPr>
        <w:spacing w:after="0" w:line="16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Except as otherwise provided herein, the term of any Award granted pursuant to this Section 9 shall be set by the Committee in its discretion; provided, that the term of any Award granted pursuant to this Section 9 shall not exceed 10 years.</w:t>
      </w:r>
    </w:p>
    <w:p>
      <w:pPr>
        <w:spacing w:after="0" w:line="101"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Provisions Applicable to All Awards</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126" w:lineRule="exact"/>
        <w:rPr>
          <w:sz w:val="20"/>
          <w:szCs w:val="20"/>
          <w:color w:val="auto"/>
        </w:rPr>
      </w:pPr>
    </w:p>
    <w:p>
      <w:pPr>
        <w:ind w:left="1280" w:hanging="634"/>
        <w:spacing w:after="0"/>
        <w:tabs>
          <w:tab w:leader="none" w:pos="12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 Rights</w:t>
      </w:r>
    </w:p>
    <w:p>
      <w:pPr>
        <w:spacing w:after="0" w:line="161"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1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spacing w:after="0" w:line="120"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1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Equivalent Rights provided in connection with an Award that is subject to vesting shall either (i) not be paid or credited or (ii) be accumulated and subject to vesting restrictions applicable to the underlying Award. For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06" w:right="339" w:bottom="1440" w:gutter="0" w:footer="0" w:header="0"/>
        </w:sectPr>
      </w:pPr>
    </w:p>
    <w:bookmarkStart w:id="64" w:name="page65"/>
    <w:bookmarkEnd w:id="64"/>
    <w:p>
      <w:pPr>
        <w:ind w:left="1920"/>
        <w:spacing w:after="0" w:line="269" w:lineRule="auto"/>
        <w:rPr>
          <w:sz w:val="20"/>
          <w:szCs w:val="20"/>
          <w:color w:val="auto"/>
        </w:rPr>
      </w:pPr>
      <w:r>
        <w:rPr>
          <w:rFonts w:ascii="Times New Roman" w:cs="Times New Roman" w:eastAsia="Times New Roman" w:hAnsi="Times New Roman"/>
          <w:sz w:val="20"/>
          <w:szCs w:val="20"/>
          <w:color w:val="auto"/>
        </w:rPr>
        <w:t>Shares subject to vesting, dividends shall be accumulated and subject to any restrictions and risk of forfeiture to which the underlying Restricted Share is subject.</w:t>
      </w:r>
    </w:p>
    <w:p>
      <w:pPr>
        <w:spacing w:after="0" w:line="105" w:lineRule="exact"/>
        <w:rPr>
          <w:sz w:val="20"/>
          <w:szCs w:val="20"/>
          <w:color w:val="auto"/>
        </w:rPr>
      </w:pPr>
    </w:p>
    <w:p>
      <w:pPr>
        <w:ind w:left="1280" w:hanging="634"/>
        <w:spacing w:after="0"/>
        <w:tabs>
          <w:tab w:leader="none" w:pos="12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Limits on Transfer</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31" w:lineRule="exact"/>
        <w:rPr>
          <w:sz w:val="20"/>
          <w:szCs w:val="20"/>
          <w:color w:val="auto"/>
        </w:rPr>
      </w:pPr>
    </w:p>
    <w:p>
      <w:pPr>
        <w:ind w:left="1280" w:hanging="634"/>
        <w:spacing w:after="0"/>
        <w:tabs>
          <w:tab w:leader="none" w:pos="12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Vesting</w:t>
      </w:r>
    </w:p>
    <w:p>
      <w:pPr>
        <w:spacing w:after="0" w:line="16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Section 11 hereof. Notwithstanding the foregoing, up to 5% of the aggregate number of Shares authorized for issuance under this Plan (as described in Section 3) may be issued pursuant to Awards subject to any or no vesting conditions (including with regard to such one-year vesting limitation described in the preceding sentence), as the Committee determines appropriate.</w:t>
      </w:r>
    </w:p>
    <w:p>
      <w:pPr>
        <w:spacing w:after="0" w:line="112" w:lineRule="exact"/>
        <w:rPr>
          <w:sz w:val="20"/>
          <w:szCs w:val="20"/>
          <w:color w:val="auto"/>
        </w:rPr>
      </w:pPr>
    </w:p>
    <w:p>
      <w:pPr>
        <w:ind w:left="1280" w:hanging="634"/>
        <w:spacing w:after="0"/>
        <w:tabs>
          <w:tab w:leader="none" w:pos="12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Paperless Administration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20" w:lineRule="exact"/>
        <w:rPr>
          <w:sz w:val="20"/>
          <w:szCs w:val="20"/>
          <w:color w:val="auto"/>
        </w:rPr>
      </w:pPr>
    </w:p>
    <w:p>
      <w:pPr>
        <w:ind w:left="1280" w:hanging="634"/>
        <w:spacing w:after="0"/>
        <w:tabs>
          <w:tab w:leader="none" w:pos="12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Nominal Value</w:t>
      </w:r>
    </w:p>
    <w:p>
      <w:pPr>
        <w:spacing w:after="0" w:line="16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 other provision in this Plan, no Share shall be allotted or issued pursuant to the exercise of vesting of an Award, or as an Award, unless it is fully paid-up to at least its nominal value.</w:t>
      </w:r>
    </w:p>
    <w:p>
      <w:pPr>
        <w:spacing w:after="0" w:line="105" w:lineRule="exact"/>
        <w:rPr>
          <w:sz w:val="20"/>
          <w:szCs w:val="20"/>
          <w:color w:val="auto"/>
        </w:rPr>
      </w:pPr>
    </w:p>
    <w:p>
      <w:pPr>
        <w:ind w:left="1280" w:hanging="634"/>
        <w:spacing w:after="0"/>
        <w:tabs>
          <w:tab w:leader="none" w:pos="12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Detrimental Activity</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5" w:name="page66"/>
    <w:bookmarkEnd w:id="65"/>
    <w:p>
      <w:pPr>
        <w:ind w:left="1280" w:hanging="634"/>
        <w:spacing w:after="0"/>
        <w:tabs>
          <w:tab w:leader="none" w:pos="12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p>
    <w:p>
      <w:pPr>
        <w:spacing w:after="0" w:line="162" w:lineRule="exact"/>
        <w:rPr>
          <w:sz w:val="20"/>
          <w:szCs w:val="20"/>
          <w:color w:val="auto"/>
        </w:rPr>
      </w:pPr>
    </w:p>
    <w:p>
      <w:pPr>
        <w:jc w:val="both"/>
        <w:ind w:firstLine="635"/>
        <w:spacing w:after="0" w:line="241" w:lineRule="auto"/>
        <w:rPr>
          <w:sz w:val="20"/>
          <w:szCs w:val="20"/>
          <w:color w:val="auto"/>
        </w:rPr>
      </w:pPr>
      <w:r>
        <w:rPr>
          <w:rFonts w:ascii="Times New Roman" w:cs="Times New Roman" w:eastAsia="Times New Roman" w:hAnsi="Times New Roman"/>
          <w:sz w:val="20"/>
          <w:szCs w:val="20"/>
          <w:color w:val="auto"/>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 (i) 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Times New Roman" w:cs="Times New Roman" w:eastAsia="Times New Roman" w:hAnsi="Times New Roman"/>
          <w:sz w:val="20"/>
          <w:szCs w:val="20"/>
          <w:u w:val="single" w:color="auto"/>
          <w:color w:val="auto"/>
        </w:rPr>
        <w:t>Governmental Entity</w:t>
      </w:r>
      <w:r>
        <w:rPr>
          <w:rFonts w:ascii="Times New Roman" w:cs="Times New Roman" w:eastAsia="Times New Roman" w:hAnsi="Times New Roman"/>
          <w:sz w:val="20"/>
          <w:szCs w:val="20"/>
          <w:color w:val="auto"/>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spacing w:after="0" w:line="142" w:lineRule="exact"/>
        <w:rPr>
          <w:sz w:val="20"/>
          <w:szCs w:val="20"/>
          <w:color w:val="auto"/>
        </w:rPr>
      </w:pPr>
    </w:p>
    <w:p>
      <w:pPr>
        <w:jc w:val="both"/>
        <w:ind w:firstLine="635"/>
        <w:spacing w:after="0" w:line="246" w:lineRule="auto"/>
        <w:rPr>
          <w:sz w:val="20"/>
          <w:szCs w:val="20"/>
          <w:color w:val="auto"/>
        </w:rPr>
      </w:pPr>
      <w:r>
        <w:rPr>
          <w:rFonts w:ascii="Times New Roman" w:cs="Times New Roman" w:eastAsia="Times New Roman" w:hAnsi="Times New Roman"/>
          <w:sz w:val="20"/>
          <w:szCs w:val="20"/>
          <w:color w:val="auto"/>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w:t>
      </w:r>
    </w:p>
    <w:p>
      <w:pPr>
        <w:spacing w:after="0" w:line="127" w:lineRule="exact"/>
        <w:rPr>
          <w:sz w:val="20"/>
          <w:szCs w:val="20"/>
          <w:color w:val="auto"/>
        </w:rPr>
      </w:pPr>
    </w:p>
    <w:p>
      <w:pPr>
        <w:ind w:left="620" w:hanging="612"/>
        <w:spacing w:after="0"/>
        <w:tabs>
          <w:tab w:leader="none" w:pos="6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Adjustments Upon Certain Events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any other provisions in the Plan to the contrary, the following provisions shall apply to all Awards granted under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40" w:lineRule="exact"/>
        <w:rPr>
          <w:sz w:val="20"/>
          <w:szCs w:val="20"/>
          <w:color w:val="auto"/>
        </w:rPr>
      </w:pPr>
    </w:p>
    <w:p>
      <w:pPr>
        <w:ind w:left="1280" w:hanging="634"/>
        <w:spacing w:after="0"/>
        <w:tabs>
          <w:tab w:leader="none" w:pos="12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spacing w:after="0" w:line="136" w:lineRule="exact"/>
        <w:rPr>
          <w:sz w:val="20"/>
          <w:szCs w:val="20"/>
          <w:color w:val="auto"/>
        </w:rPr>
      </w:pPr>
    </w:p>
    <w:p>
      <w:pPr>
        <w:ind w:left="1280" w:hanging="634"/>
        <w:spacing w:after="0"/>
        <w:tabs>
          <w:tab w:leader="none" w:pos="12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20"/>
          <w:szCs w:val="20"/>
          <w:color w:val="auto"/>
        </w:rPr>
        <w:t>Without limiting the foregoing, except as may otherwise be provided in an Award Agreement, in connection with any Change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 the Committee may, in its sole discretion, provide for any one or more of the following:</w:t>
      </w:r>
    </w:p>
    <w:p>
      <w:pPr>
        <w:spacing w:after="0" w:line="140" w:lineRule="exact"/>
        <w:rPr>
          <w:sz w:val="20"/>
          <w:szCs w:val="20"/>
          <w:color w:val="auto"/>
        </w:rPr>
      </w:pPr>
    </w:p>
    <w:p>
      <w:pPr>
        <w:jc w:val="both"/>
        <w:ind w:firstLine="656"/>
        <w:spacing w:after="0" w:line="254" w:lineRule="auto"/>
        <w:tabs>
          <w:tab w:leader="none" w:pos="90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spacing w:after="0" w:line="120" w:lineRule="exact"/>
        <w:rPr>
          <w:rFonts w:ascii="Times New Roman" w:cs="Times New Roman" w:eastAsia="Times New Roman" w:hAnsi="Times New Roman"/>
          <w:sz w:val="20"/>
          <w:szCs w:val="20"/>
          <w:color w:val="auto"/>
        </w:rPr>
      </w:pPr>
    </w:p>
    <w:p>
      <w:pPr>
        <w:jc w:val="both"/>
        <w:ind w:firstLine="656"/>
        <w:spacing w:after="0" w:line="242" w:lineRule="auto"/>
        <w:tabs>
          <w:tab w:leader="none" w:pos="96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spacing w:after="0" w:line="13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spacing w:after="0" w:line="126" w:lineRule="exact"/>
        <w:rPr>
          <w:sz w:val="20"/>
          <w:szCs w:val="20"/>
          <w:color w:val="auto"/>
        </w:rPr>
      </w:pPr>
    </w:p>
    <w:p>
      <w:pPr>
        <w:ind w:left="1280" w:hanging="634"/>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Requirements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Prior to any payment or adjustment contemplated under this Section 11,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spacing w:after="0" w:line="131" w:lineRule="exact"/>
        <w:rPr>
          <w:sz w:val="20"/>
          <w:szCs w:val="20"/>
          <w:color w:val="auto"/>
        </w:rPr>
      </w:pPr>
    </w:p>
    <w:p>
      <w:pPr>
        <w:ind w:left="1280" w:hanging="634"/>
        <w:spacing w:after="0"/>
        <w:tabs>
          <w:tab w:leader="none" w:pos="12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Any adjustment provided under this Section 11 may provide for the elimination of any fractional share that might otherwise become subject to an Award.</w:t>
      </w:r>
    </w:p>
    <w:p>
      <w:pPr>
        <w:spacing w:after="0" w:line="105" w:lineRule="exact"/>
        <w:rPr>
          <w:sz w:val="20"/>
          <w:szCs w:val="20"/>
          <w:color w:val="auto"/>
        </w:rPr>
      </w:pPr>
    </w:p>
    <w:p>
      <w:pPr>
        <w:ind w:left="1280" w:hanging="634"/>
        <w:spacing w:after="0"/>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Any adjustment, substitution, determination of value or other action taken by the Committee under this Section 11 shall be conclusive and binding for all purposes.</w:t>
      </w:r>
    </w:p>
    <w:p>
      <w:pPr>
        <w:spacing w:after="0" w:line="101"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Right to Employment or Awards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20"/>
          <w:szCs w:val="20"/>
          <w:color w:val="auto"/>
        </w:rPr>
        <w:t>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16" w:lineRule="exact"/>
        <w:rPr>
          <w:sz w:val="20"/>
          <w:szCs w:val="20"/>
          <w:color w:val="auto"/>
        </w:rPr>
      </w:pPr>
    </w:p>
    <w:p>
      <w:pPr>
        <w:ind w:left="640" w:hanging="632"/>
        <w:spacing w:after="0"/>
        <w:tabs>
          <w:tab w:leader="none" w:pos="6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 and Assigns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16" w:lineRule="exact"/>
        <w:rPr>
          <w:sz w:val="20"/>
          <w:szCs w:val="20"/>
          <w:color w:val="auto"/>
        </w:rPr>
      </w:pPr>
    </w:p>
    <w:p>
      <w:pPr>
        <w:ind w:left="640" w:hanging="632"/>
        <w:spacing w:after="0"/>
        <w:tabs>
          <w:tab w:leader="none" w:pos="6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Amendments or Termination</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 of the Plan</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Applicable Law, if (i) it would materially increase the number of securities which may be issued under the Plan or granted to any Participant (except for increases pursuant to Section 11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 Section 18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spacing w:after="0" w:line="138" w:lineRule="exact"/>
        <w:rPr>
          <w:sz w:val="20"/>
          <w:szCs w:val="20"/>
          <w:color w:val="auto"/>
        </w:rPr>
      </w:pPr>
    </w:p>
    <w:p>
      <w:pPr>
        <w:ind w:left="1280" w:hanging="634"/>
        <w:spacing w:after="0"/>
        <w:tabs>
          <w:tab w:leader="none" w:pos="12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 Agreements</w:t>
      </w:r>
    </w:p>
    <w:p>
      <w:pPr>
        <w:spacing w:after="0" w:line="1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Section 18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32" w:lineRule="exact"/>
        <w:rPr>
          <w:sz w:val="20"/>
          <w:szCs w:val="20"/>
          <w:color w:val="auto"/>
        </w:rPr>
      </w:pPr>
    </w:p>
    <w:p>
      <w:pPr>
        <w:ind w:left="1280" w:hanging="634"/>
        <w:spacing w:after="0"/>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Repricing of Awards</w:t>
      </w:r>
    </w:p>
    <w:p>
      <w:pPr>
        <w:spacing w:after="0" w:line="16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Subject to Section 11 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68" w:name="page69"/>
    <w:bookmarkEnd w:id="68"/>
    <w:p>
      <w:pPr>
        <w:ind w:left="640" w:hanging="632"/>
        <w:spacing w:after="0"/>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16"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p>
    <w:p>
      <w:pPr>
        <w:spacing w:after="0" w:line="16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If any provision of the Plan or the application of any provision hereof to any Person or circumstance is held 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98"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Effectiveness and Term of the Plan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Plan shall be effective on the Effective Date. The Plan shall terminate on the day before the tenth anniversary of the Effective Date and may be terminated on any earlier date pursuant to Section 14 of the Plan. The applicable provisions shall continue in effect with respect to an Award granted under the Plan for as long as such Award remains outstanding.</w:t>
      </w:r>
    </w:p>
    <w:p>
      <w:pPr>
        <w:spacing w:after="0" w:line="116" w:lineRule="exact"/>
        <w:rPr>
          <w:sz w:val="20"/>
          <w:szCs w:val="20"/>
          <w:color w:val="auto"/>
        </w:rPr>
      </w:pPr>
    </w:p>
    <w:p>
      <w:pPr>
        <w:ind w:left="640" w:hanging="632"/>
        <w:spacing w:after="0"/>
        <w:tabs>
          <w:tab w:leader="none" w:pos="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six-month period (or, if earlier, upon the Participant’s death). Each payment in a series of payments made under this Plan and any Awards granted hereunder shall be deemed to be a separate payment for purposes of Section 409A.</w:t>
      </w:r>
    </w:p>
    <w:p>
      <w:pPr>
        <w:spacing w:after="0" w:line="133"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20"/>
          <w:szCs w:val="20"/>
          <w:color w:val="auto"/>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06" w:right="339" w:bottom="1440"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20"/>
          <w:szCs w:val="20"/>
          <w:color w:val="auto"/>
        </w:rPr>
        <w:t>garnishment. Except as permitted under Section 409A, any deferred compensation payable to a Participant or for a Participant’s benefit under this Plan and grants hereunder may not be reduced by, or offset against, any amount owing by a Participant to any member of the Weatherford Group.</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spacing w:after="0" w:line="127" w:lineRule="exact"/>
        <w:rPr>
          <w:sz w:val="20"/>
          <w:szCs w:val="20"/>
          <w:color w:val="auto"/>
        </w:rPr>
      </w:pPr>
    </w:p>
    <w:p>
      <w:pPr>
        <w:ind w:left="640" w:hanging="632"/>
        <w:spacing w:after="0"/>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Clawback/Recoupment Policy</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32"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Tax-Related Items</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as applicable, to satisfy withholding obligations for the payment of Tax 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withholding Shares otherwise issuable under an Award (or allowing the return of Shares) sufficient, as determined by the Committee in its sole discretion, to satisfy such Tax-Related Items; or (d) delivery to the Company of previously owned and unencumbered Shares of the Company having a Fair Market Value equal to such Tax-Related Items. 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10" w:right="339" w:bottom="1440" w:gutter="0" w:footer="0" w:header="0"/>
        </w:sectPr>
      </w:pPr>
    </w:p>
    <w:bookmarkStart w:id="70" w:name="page71"/>
    <w:bookmarkEnd w:id="70"/>
    <w:p>
      <w:pPr>
        <w:ind w:left="640" w:hanging="632"/>
        <w:spacing w:after="0"/>
        <w:tabs>
          <w:tab w:leader="none" w:pos="6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Government and Other Regulations</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4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Section 21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spacing w:after="0" w:line="134" w:lineRule="exact"/>
        <w:rPr>
          <w:sz w:val="20"/>
          <w:szCs w:val="20"/>
          <w:color w:val="auto"/>
        </w:rPr>
      </w:pPr>
    </w:p>
    <w:p>
      <w:pPr>
        <w:ind w:left="640" w:hanging="632"/>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Shareholders Rights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Except as otherwise expressly provided herein or in any Award Agreement,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lapse of restrictions with respect to vesting of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06" w:right="339" w:bottom="1440" w:gutter="0" w:footer="0" w:header="0"/>
        </w:sectPr>
      </w:pPr>
    </w:p>
    <w:bookmarkStart w:id="71" w:name="page72"/>
    <w:bookmarkEnd w:id="71"/>
    <w:p>
      <w:pPr>
        <w:ind w:left="640" w:hanging="632"/>
        <w:spacing w:after="0"/>
        <w:tabs>
          <w:tab w:leader="none" w:pos="6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Unfunded Plan</w:t>
      </w:r>
    </w:p>
    <w:p>
      <w:pPr>
        <w:spacing w:after="0" w:line="166" w:lineRule="exact"/>
        <w:rPr>
          <w:sz w:val="20"/>
          <w:szCs w:val="20"/>
          <w:color w:val="auto"/>
        </w:rPr>
      </w:pPr>
    </w:p>
    <w:p>
      <w:pPr>
        <w:ind w:firstLine="635"/>
        <w:spacing w:after="0" w:line="269" w:lineRule="auto"/>
        <w:rPr>
          <w:sz w:val="20"/>
          <w:szCs w:val="20"/>
          <w:color w:val="auto"/>
        </w:rPr>
      </w:pPr>
      <w:r>
        <w:rPr>
          <w:rFonts w:ascii="Times New Roman" w:cs="Times New Roman" w:eastAsia="Times New Roman" w:hAnsi="Times New Roman"/>
          <w:sz w:val="20"/>
          <w:szCs w:val="20"/>
          <w:color w:val="auto"/>
        </w:rPr>
        <w:t>The Plan shall be unfunded. Neither the Company, the Board nor the Committee shall be required to establish any special or separate fund or to segregate any assets to assure the performance of its obligations under the Plan.</w:t>
      </w:r>
    </w:p>
    <w:p>
      <w:pPr>
        <w:spacing w:after="0" w:line="101"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Compensation Arrangements</w:t>
      </w:r>
    </w:p>
    <w:p>
      <w:pPr>
        <w:spacing w:after="0" w:line="166" w:lineRule="exact"/>
        <w:rPr>
          <w:sz w:val="20"/>
          <w:szCs w:val="20"/>
          <w:color w:val="auto"/>
        </w:rPr>
      </w:pPr>
    </w:p>
    <w:p>
      <w:pPr>
        <w:jc w:val="both"/>
        <w:ind w:right="20" w:firstLine="635"/>
        <w:spacing w:after="0" w:line="254" w:lineRule="auto"/>
        <w:rPr>
          <w:sz w:val="20"/>
          <w:szCs w:val="20"/>
          <w:color w:val="auto"/>
        </w:rPr>
      </w:pPr>
      <w:r>
        <w:rPr>
          <w:rFonts w:ascii="Times New Roman" w:cs="Times New Roman" w:eastAsia="Times New Roman" w:hAnsi="Times New Roman"/>
          <w:sz w:val="20"/>
          <w:szCs w:val="20"/>
          <w:color w:val="auto"/>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spacing w:after="0" w:line="116" w:lineRule="exact"/>
        <w:rPr>
          <w:sz w:val="20"/>
          <w:szCs w:val="20"/>
          <w:color w:val="auto"/>
        </w:rPr>
      </w:pPr>
    </w:p>
    <w:p>
      <w:pPr>
        <w:ind w:left="640" w:hanging="632"/>
        <w:spacing w:after="0"/>
        <w:tabs>
          <w:tab w:leader="none" w:pos="6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Relationship to Other Benefits</w:t>
      </w:r>
    </w:p>
    <w:p>
      <w:pPr>
        <w:spacing w:after="0" w:line="166"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20"/>
          <w:szCs w:val="20"/>
          <w:color w:val="auto"/>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spacing w:after="0" w:line="116" w:lineRule="exact"/>
        <w:rPr>
          <w:sz w:val="20"/>
          <w:szCs w:val="20"/>
          <w:color w:val="auto"/>
        </w:rPr>
      </w:pPr>
    </w:p>
    <w:p>
      <w:pPr>
        <w:ind w:left="640" w:hanging="632"/>
        <w:spacing w:after="0"/>
        <w:tabs>
          <w:tab w:leader="none" w:pos="6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Agreements</w:t>
      </w:r>
    </w:p>
    <w:p>
      <w:pPr>
        <w:spacing w:after="0" w:line="166" w:lineRule="exact"/>
        <w:rPr>
          <w:sz w:val="20"/>
          <w:szCs w:val="20"/>
          <w:color w:val="auto"/>
        </w:rPr>
      </w:pPr>
    </w:p>
    <w:p>
      <w:pPr>
        <w:ind w:firstLine="635"/>
        <w:spacing w:after="0" w:line="269" w:lineRule="auto"/>
        <w:rPr>
          <w:sz w:val="20"/>
          <w:szCs w:val="20"/>
          <w:color w:val="auto"/>
        </w:rPr>
      </w:pPr>
      <w:r>
        <w:rPr>
          <w:rFonts w:ascii="Times New Roman" w:cs="Times New Roman" w:eastAsia="Times New Roman" w:hAnsi="Times New Roman"/>
          <w:sz w:val="20"/>
          <w:szCs w:val="20"/>
          <w:color w:val="auto"/>
        </w:rPr>
        <w:t>The Committee may require, as a condition to the grant of and/or the receipt of Shares under an Award, that the Participant execute lock-up, shareholder or other agreements, as it may determine in its sole and absolute discretion.</w:t>
      </w:r>
    </w:p>
    <w:p>
      <w:pPr>
        <w:spacing w:after="0" w:line="101" w:lineRule="exact"/>
        <w:rPr>
          <w:sz w:val="20"/>
          <w:szCs w:val="20"/>
          <w:color w:val="auto"/>
        </w:rPr>
      </w:pPr>
    </w:p>
    <w:p>
      <w:pPr>
        <w:ind w:left="640" w:hanging="632"/>
        <w:spacing w:after="0"/>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Expenses; Gender; Titles and Headings</w:t>
      </w:r>
    </w:p>
    <w:p>
      <w:pPr>
        <w:spacing w:after="0" w:line="166"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20"/>
          <w:szCs w:val="20"/>
          <w:color w:val="auto"/>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adopted by the Board of Directors of the Company on October 30, 2020 and effective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102832</w:t>
      </w:r>
    </w:p>
    <w:p>
      <w:pPr>
        <w:sectPr>
          <w:pgSz w:w="11900" w:h="16838" w:orient="portrait"/>
          <w:cols w:equalWidth="0" w:num="1">
            <w:col w:w="11240"/>
          </w:cols>
          <w:pgMar w:left="320" w:top="1206"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60" w:lineRule="exact"/>
        <w:rPr>
          <w:sz w:val="20"/>
          <w:szCs w:val="20"/>
          <w:color w:val="auto"/>
        </w:rPr>
      </w:pPr>
    </w:p>
    <w:p>
      <w:pPr>
        <w:ind w:right="1340" w:firstLine="1331"/>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CERTIFICATION OF INTERIM CHIEF EXECUTIVE OFFICER AND PRINCIPAL FINANCIAL OFFICER </w:t>
      </w:r>
      <w:r>
        <w:rPr>
          <w:rFonts w:ascii="Times New Roman" w:cs="Times New Roman" w:eastAsia="Times New Roman" w:hAnsi="Times New Roman"/>
          <w:sz w:val="18"/>
          <w:szCs w:val="18"/>
          <w:color w:val="auto"/>
        </w:rPr>
        <w:t>I, Girish K. Saligram, certify that:</w:t>
      </w:r>
    </w:p>
    <w:p>
      <w:pPr>
        <w:spacing w:after="0" w:line="2"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67"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660" w:right="20" w:hanging="328"/>
        <w:spacing w:after="0" w:line="266" w:lineRule="auto"/>
        <w:tabs>
          <w:tab w:leader="none" w:pos="6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9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51435</wp:posOffset>
            </wp:positionV>
            <wp:extent cx="3514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 K. Saligram</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Keith Jennings, certify that:</w:t>
      </w:r>
    </w:p>
    <w:p>
      <w:pPr>
        <w:spacing w:after="0" w:line="117"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67"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660" w:right="20" w:hanging="328"/>
        <w:spacing w:after="0" w:line="266" w:lineRule="auto"/>
        <w:tabs>
          <w:tab w:leader="none" w:pos="64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9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51435</wp:posOffset>
            </wp:positionV>
            <wp:extent cx="3068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H. Keith Jennings</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September 30, 2020 as filed with the Securities and Exchange Commission on the date hereof (the "Report"), I, Girish K. Saligram,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2168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Girish K. Saligram</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00" w:lineRule="exact"/>
        <w:rPr>
          <w:sz w:val="20"/>
          <w:szCs w:val="20"/>
          <w:color w:val="auto"/>
        </w:rPr>
      </w:pPr>
    </w:p>
    <w:p>
      <w:pPr>
        <w:spacing w:after="0" w:line="3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September 30, 2020 as filed with the Securities and Exchange Commission on the date hereof (the "Report"), I, H. Keith Jennings,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1300" w:hanging="320"/>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51435</wp:posOffset>
            </wp:positionV>
            <wp:extent cx="2168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H. Keith Jennings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00" w:lineRule="exact"/>
        <w:rPr>
          <w:sz w:val="20"/>
          <w:szCs w:val="20"/>
          <w:color w:val="auto"/>
        </w:rPr>
      </w:pPr>
    </w:p>
    <w:p>
      <w:pPr>
        <w:spacing w:after="0" w:line="3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1)"/>
      <w:numFmt w:val="lowerLetter"/>
      <w:start w:val="1"/>
    </w:lvl>
  </w:abstractNum>
  <w:abstractNum w:abstractNumId="11">
    <w:nsid w:val="7E0C57B1"/>
    <w:multiLevelType w:val="hybridMultilevel"/>
    <w:lvl w:ilvl="0">
      <w:lvlJc w:val="left"/>
      <w:lvlText w:val="\endash "/>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1"/>
      <w:numFmt w:val="decimal"/>
      <w:start w:val="104"/>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1"/>
      <w:numFmt w:val="bullet"/>
      <w:start w:val="1"/>
    </w:lvl>
    <w:lvl w:ilvl="1">
      <w:lvlJc w:val="left"/>
      <w:lvlText w:val="(%2)"/>
      <w:numFmt w:val="lowerRoman"/>
      <w:start w:val="1"/>
    </w:lvl>
  </w:abstractNum>
  <w:abstractNum w:abstractNumId="21">
    <w:nsid w:val="1381823A"/>
    <w:multiLevelType w:val="hybridMultilevel"/>
    <w:lvl w:ilvl="0">
      <w:lvlJc w:val="left"/>
      <w:lvlText w:val="(%1)"/>
      <w:numFmt w:val="lowerRoman"/>
      <w:start w:val="2"/>
    </w:lvl>
  </w:abstractNum>
  <w:abstractNum w:abstractNumId="22">
    <w:nsid w:val="5DB70AE5"/>
    <w:multiLevelType w:val="hybridMultilevel"/>
    <w:lvl w:ilvl="0">
      <w:lvlJc w:val="left"/>
      <w:lvlText w:val="(%1)"/>
      <w:numFmt w:val="lowerRoman"/>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1."/>
      <w:numFmt w:val="decimal"/>
      <w:start w:val="2"/>
    </w:lvl>
  </w:abstractNum>
  <w:abstractNum w:abstractNumId="26">
    <w:nsid w:val="5F5E7FD0"/>
    <w:multiLevelType w:val="hybridMultilevel"/>
    <w:lvl w:ilvl="0">
      <w:lvlJc w:val="left"/>
      <w:lvlText w:val="(%1)"/>
      <w:numFmt w:val="lowerLetter"/>
      <w:start w:val="1"/>
    </w:lvl>
    <w:lvl w:ilvl="1">
      <w:lvlJc w:val="left"/>
      <w:lvlText w:val="(%2)"/>
      <w:numFmt w:val="lowerRoman"/>
      <w:start w:val="1"/>
    </w:lvl>
  </w:abstractNum>
  <w:abstractNum w:abstractNumId="27">
    <w:nsid w:val="98A3148"/>
    <w:multiLevelType w:val="hybridMultilevel"/>
    <w:lvl w:ilvl="0">
      <w:lvlJc w:val="left"/>
      <w:lvlText w:val="%1"/>
      <w:numFmt w:val="lowerLetter"/>
      <w:start w:val="1"/>
    </w:lvl>
    <w:lvl w:ilvl="1">
      <w:lvlJc w:val="left"/>
      <w:lvlText w:val="(%2)"/>
      <w:numFmt w:val="lowerRoman"/>
      <w:start w:val="4"/>
    </w:lvl>
  </w:abstractNum>
  <w:abstractNum w:abstractNumId="28">
    <w:nsid w:val="799D0247"/>
    <w:multiLevelType w:val="hybridMultilevel"/>
    <w:lvl w:ilvl="0">
      <w:lvlJc w:val="left"/>
      <w:lvlText w:val="(%1)"/>
      <w:numFmt w:val="lowerLetter"/>
      <w:start w:val="6"/>
    </w:lvl>
    <w:lvl w:ilvl="1">
      <w:lvlJc w:val="left"/>
      <w:lvlText w:val="%2"/>
      <w:numFmt w:val="lowerRoman"/>
      <w:start w:val="1"/>
    </w:lvl>
  </w:abstractNum>
  <w:abstractNum w:abstractNumId="29">
    <w:nsid w:val="6B94764"/>
    <w:multiLevelType w:val="hybridMultilevel"/>
    <w:lvl w:ilvl="0">
      <w:lvlJc w:val="left"/>
      <w:lvlText w:val="%1"/>
      <w:numFmt w:val="lowerRoman"/>
      <w:start w:val="1"/>
    </w:lvl>
    <w:lvl w:ilvl="1">
      <w:lvlJc w:val="left"/>
      <w:lvlText w:val="(%2)"/>
      <w:numFmt w:val="lowerRoman"/>
      <w:start w:val="1"/>
    </w:lvl>
  </w:abstractNum>
  <w:abstractNum w:abstractNumId="30">
    <w:nsid w:val="42C296BD"/>
    <w:multiLevelType w:val="hybridMultilevel"/>
    <w:lvl w:ilvl="0">
      <w:lvlJc w:val="left"/>
      <w:lvlText w:val="(%1)"/>
      <w:numFmt w:val="lowerRoman"/>
      <w:start w:val="3"/>
    </w:lvl>
    <w:lvl w:ilvl="1">
      <w:lvlJc w:val="left"/>
      <w:lvlText w:val="%2"/>
      <w:numFmt w:val="lowerRoman"/>
      <w:start w:val="1"/>
    </w:lvl>
  </w:abstractNum>
  <w:abstractNum w:abstractNumId="31">
    <w:nsid w:val="168E121F"/>
    <w:multiLevelType w:val="hybridMultilevel"/>
    <w:lvl w:ilvl="0">
      <w:lvlJc w:val="left"/>
      <w:lvlText w:val="(%1)"/>
      <w:numFmt w:val="lowerRoman"/>
      <w:start w:val="2"/>
    </w:lvl>
  </w:abstractNum>
  <w:abstractNum w:abstractNumId="32">
    <w:nsid w:val="1EBA5D23"/>
    <w:multiLevelType w:val="hybridMultilevel"/>
    <w:lvl w:ilvl="0">
      <w:lvlJc w:val="left"/>
      <w:lvlText w:val="(%1)"/>
      <w:numFmt w:val="lowerLetter"/>
      <w:start w:val="13"/>
    </w:lvl>
  </w:abstractNum>
  <w:abstractNum w:abstractNumId="33">
    <w:nsid w:val="661E3F1E"/>
    <w:multiLevelType w:val="hybridMultilevel"/>
    <w:lvl w:ilvl="0">
      <w:lvlJc w:val="left"/>
      <w:lvlText w:val="(%1)"/>
      <w:numFmt w:val="lowerLetter"/>
      <w:start w:val="22"/>
    </w:lvl>
  </w:abstractNum>
  <w:abstractNum w:abstractNumId="34">
    <w:nsid w:val="5DC79EA8"/>
    <w:multiLevelType w:val="hybridMultilevel"/>
    <w:lvl w:ilvl="0">
      <w:lvlJc w:val="left"/>
      <w:lvlText w:val="(%1)"/>
      <w:numFmt w:val="lowerLetter"/>
      <w:start w:val="27"/>
    </w:lvl>
  </w:abstractNum>
  <w:abstractNum w:abstractNumId="35">
    <w:nsid w:val="540A471C"/>
    <w:multiLevelType w:val="hybridMultilevel"/>
    <w:lvl w:ilvl="0">
      <w:lvlJc w:val="left"/>
      <w:lvlText w:val="%1"/>
      <w:numFmt w:val="lowerRoman"/>
      <w:start w:val="1"/>
    </w:lvl>
    <w:lvl w:ilvl="1">
      <w:lvlJc w:val="left"/>
      <w:lvlText w:val="(%2)"/>
      <w:numFmt w:val="lowerLetter"/>
      <w:start w:val="34"/>
    </w:lvl>
  </w:abstractNum>
  <w:abstractNum w:abstractNumId="36">
    <w:nsid w:val="7BD3EE7B"/>
    <w:multiLevelType w:val="hybridMultilevel"/>
    <w:lvl w:ilvl="0">
      <w:lvlJc w:val="left"/>
      <w:lvlText w:val="(%1)"/>
      <w:numFmt w:val="lowerRoman"/>
      <w:start w:val="21"/>
    </w:lvl>
    <w:lvl w:ilvl="1">
      <w:lvlJc w:val="left"/>
      <w:lvlText w:val="(%2)"/>
      <w:numFmt w:val="lowerLetter"/>
      <w:start w:val="35"/>
    </w:lvl>
  </w:abstractNum>
  <w:abstractNum w:abstractNumId="37">
    <w:nsid w:val="51D9C564"/>
    <w:multiLevelType w:val="hybridMultilevel"/>
    <w:lvl w:ilvl="0">
      <w:lvlJc w:val="left"/>
      <w:lvlText w:val="(%1)"/>
      <w:numFmt w:val="lowerLetter"/>
      <w:start w:val="41"/>
    </w:lvl>
  </w:abstractNum>
  <w:abstractNum w:abstractNumId="38">
    <w:nsid w:val="613EFDC5"/>
    <w:multiLevelType w:val="hybridMultilevel"/>
    <w:lvl w:ilvl="0">
      <w:lvlJc w:val="left"/>
      <w:lvlText w:val="(%1)"/>
      <w:numFmt w:val="lowerLetter"/>
      <w:start w:val="50"/>
    </w:lvl>
  </w:abstractNum>
  <w:abstractNum w:abstractNumId="39">
    <w:nsid w:val="BF72B14"/>
    <w:multiLevelType w:val="hybridMultilevel"/>
    <w:lvl w:ilvl="0">
      <w:lvlJc w:val="left"/>
      <w:lvlText w:val="%1"/>
      <w:numFmt w:val="decimal"/>
      <w:start w:val="1"/>
    </w:lvl>
    <w:lvl w:ilvl="1">
      <w:lvlJc w:val="left"/>
      <w:lvlText w:val="(%2)"/>
      <w:numFmt w:val="lowerLetter"/>
      <w:start w:val="53"/>
    </w:lvl>
  </w:abstractNum>
  <w:abstractNum w:abstractNumId="40">
    <w:nsid w:val="11447B73"/>
    <w:multiLevelType w:val="hybridMultilevel"/>
    <w:lvl w:ilvl="0">
      <w:lvlJc w:val="left"/>
      <w:lvlText w:val="%1."/>
      <w:numFmt w:val="decimal"/>
      <w:start w:val="3"/>
    </w:lvl>
    <w:lvl w:ilvl="1">
      <w:lvlJc w:val="left"/>
      <w:lvlText w:val="(%2)"/>
      <w:numFmt w:val="lowerLetter"/>
      <w:start w:val="1"/>
    </w:lvl>
  </w:abstractNum>
  <w:abstractNum w:abstractNumId="41">
    <w:nsid w:val="42963E5A"/>
    <w:multiLevelType w:val="hybridMultilevel"/>
    <w:lvl w:ilvl="0">
      <w:lvlJc w:val="left"/>
      <w:lvlText w:val="(%1)"/>
      <w:numFmt w:val="lowerLetter"/>
      <w:start w:val="2"/>
    </w:lvl>
  </w:abstractNum>
  <w:abstractNum w:abstractNumId="42">
    <w:nsid w:val="A0382C5"/>
    <w:multiLevelType w:val="hybridMultilevel"/>
    <w:lvl w:ilvl="0">
      <w:lvlJc w:val="left"/>
      <w:lvlText w:val="(%1)"/>
      <w:numFmt w:val="lowerLetter"/>
      <w:start w:val="3"/>
    </w:lvl>
  </w:abstractNum>
  <w:abstractNum w:abstractNumId="43">
    <w:nsid w:val="8F2B15E"/>
    <w:multiLevelType w:val="hybridMultilevel"/>
    <w:lvl w:ilvl="0">
      <w:lvlJc w:val="left"/>
      <w:lvlText w:val="(%1)"/>
      <w:numFmt w:val="lowerLetter"/>
      <w:start w:val="4"/>
    </w:lvl>
  </w:abstractNum>
  <w:abstractNum w:abstractNumId="44">
    <w:nsid w:val="1A32234B"/>
    <w:multiLevelType w:val="hybridMultilevel"/>
    <w:lvl w:ilvl="0">
      <w:lvlJc w:val="left"/>
      <w:lvlText w:val="%1."/>
      <w:numFmt w:val="decimal"/>
      <w:start w:val="4"/>
    </w:lvl>
    <w:lvl w:ilvl="1">
      <w:lvlJc w:val="left"/>
      <w:lvlText w:val="(%2)"/>
      <w:numFmt w:val="lowerLetter"/>
      <w:start w:val="1"/>
    </w:lvl>
  </w:abstractNum>
  <w:abstractNum w:abstractNumId="45">
    <w:nsid w:val="3B0FD379"/>
    <w:multiLevelType w:val="hybridMultilevel"/>
    <w:lvl w:ilvl="0">
      <w:lvlJc w:val="left"/>
      <w:lvlText w:val="(%1)"/>
      <w:numFmt w:val="lowerLetter"/>
      <w:start w:val="2"/>
    </w:lvl>
  </w:abstractNum>
  <w:abstractNum w:abstractNumId="46">
    <w:nsid w:val="68EB2F63"/>
    <w:multiLevelType w:val="hybridMultilevel"/>
    <w:lvl w:ilvl="0">
      <w:lvlJc w:val="left"/>
      <w:lvlText w:val="(%1)"/>
      <w:numFmt w:val="lowerRoman"/>
      <w:start w:val="1"/>
    </w:lvl>
  </w:abstractNum>
  <w:abstractNum w:abstractNumId="47">
    <w:nsid w:val="4962813B"/>
    <w:multiLevelType w:val="hybridMultilevel"/>
    <w:lvl w:ilvl="0">
      <w:lvlJc w:val="left"/>
      <w:lvlText w:val="%1"/>
      <w:numFmt w:val="lowerLetter"/>
      <w:start w:val="1"/>
    </w:lvl>
    <w:lvl w:ilvl="1">
      <w:lvlJc w:val="left"/>
      <w:lvlText w:val="(%2)"/>
      <w:numFmt w:val="lowerRoman"/>
      <w:start w:val="4"/>
    </w:lvl>
  </w:abstractNum>
  <w:abstractNum w:abstractNumId="48">
    <w:nsid w:val="60B6DF70"/>
    <w:multiLevelType w:val="hybridMultilevel"/>
    <w:lvl w:ilvl="0">
      <w:lvlJc w:val="left"/>
      <w:lvlText w:val="(%1)"/>
      <w:numFmt w:val="lowerLetter"/>
      <w:start w:val="3"/>
    </w:lvl>
    <w:lvl w:ilvl="1">
      <w:lvlJc w:val="left"/>
      <w:lvlText w:val="%2"/>
      <w:numFmt w:val="lowerRoman"/>
      <w:start w:val="1"/>
    </w:lvl>
  </w:abstractNum>
  <w:abstractNum w:abstractNumId="49">
    <w:nsid w:val="6A5EE64"/>
    <w:multiLevelType w:val="hybridMultilevel"/>
    <w:lvl w:ilvl="0">
      <w:lvlJc w:val="left"/>
      <w:lvlText w:val="(%1)"/>
      <w:numFmt w:val="lowerLetter"/>
      <w:start w:val="4"/>
    </w:lvl>
  </w:abstractNum>
  <w:abstractNum w:abstractNumId="50">
    <w:nsid w:val="14330624"/>
    <w:multiLevelType w:val="hybridMultilevel"/>
    <w:lvl w:ilvl="0">
      <w:lvlJc w:val="left"/>
      <w:lvlText w:val="(%1)"/>
      <w:numFmt w:val="lowerLetter"/>
      <w:start w:val="5"/>
    </w:lvl>
  </w:abstractNum>
  <w:abstractNum w:abstractNumId="51">
    <w:nsid w:val="7FFFCA11"/>
    <w:multiLevelType w:val="hybridMultilevel"/>
    <w:lvl w:ilvl="0">
      <w:lvlJc w:val="left"/>
      <w:lvlText w:val="%1."/>
      <w:numFmt w:val="decimal"/>
      <w:start w:val="5"/>
    </w:lvl>
    <w:lvl w:ilvl="1">
      <w:lvlJc w:val="left"/>
      <w:lvlText w:val="(%2)"/>
      <w:numFmt w:val="lowerLetter"/>
      <w:start w:val="1"/>
    </w:lvl>
  </w:abstractNum>
  <w:abstractNum w:abstractNumId="52">
    <w:nsid w:val="1A27709E"/>
    <w:multiLevelType w:val="hybridMultilevel"/>
    <w:lvl w:ilvl="0">
      <w:lvlJc w:val="left"/>
      <w:lvlText w:val="(%1)"/>
      <w:numFmt w:val="lowerLetter"/>
      <w:start w:val="2"/>
    </w:lvl>
  </w:abstractNum>
  <w:abstractNum w:abstractNumId="53">
    <w:nsid w:val="71EA1109"/>
    <w:multiLevelType w:val="hybridMultilevel"/>
    <w:lvl w:ilvl="0">
      <w:lvlJc w:val="left"/>
      <w:lvlText w:val="(%1)"/>
      <w:numFmt w:val="lowerLetter"/>
      <w:start w:val="3"/>
    </w:lvl>
  </w:abstractNum>
  <w:abstractNum w:abstractNumId="54">
    <w:nsid w:val="100F59DC"/>
    <w:multiLevelType w:val="hybridMultilevel"/>
    <w:lvl w:ilvl="0">
      <w:lvlJc w:val="left"/>
      <w:lvlText w:val="(%1)"/>
      <w:numFmt w:val="lowerLetter"/>
      <w:start w:val="4"/>
    </w:lvl>
  </w:abstractNum>
  <w:abstractNum w:abstractNumId="55">
    <w:nsid w:val="7FB7E0AA"/>
    <w:multiLevelType w:val="hybridMultilevel"/>
    <w:lvl w:ilvl="0">
      <w:lvlJc w:val="left"/>
      <w:lvlText w:val="(%1)"/>
      <w:numFmt w:val="lowerLetter"/>
      <w:start w:val="5"/>
    </w:lvl>
  </w:abstractNum>
  <w:abstractNum w:abstractNumId="56">
    <w:nsid w:val="6EB5BD4"/>
    <w:multiLevelType w:val="hybridMultilevel"/>
    <w:lvl w:ilvl="0">
      <w:lvlJc w:val="left"/>
      <w:lvlText w:val="%1."/>
      <w:numFmt w:val="decimal"/>
      <w:start w:val="6"/>
    </w:lvl>
    <w:lvl w:ilvl="1">
      <w:lvlJc w:val="left"/>
      <w:lvlText w:val="(%2)"/>
      <w:numFmt w:val="lowerLetter"/>
      <w:start w:val="1"/>
    </w:lvl>
  </w:abstractNum>
  <w:abstractNum w:abstractNumId="57">
    <w:nsid w:val="6F6DD9AC"/>
    <w:multiLevelType w:val="hybridMultilevel"/>
    <w:lvl w:ilvl="0">
      <w:lvlJc w:val="left"/>
      <w:lvlText w:val="(%1)"/>
      <w:numFmt w:val="lowerLetter"/>
      <w:start w:val="2"/>
    </w:lvl>
  </w:abstractNum>
  <w:abstractNum w:abstractNumId="58">
    <w:nsid w:val="94211F2"/>
    <w:multiLevelType w:val="hybridMultilevel"/>
    <w:lvl w:ilvl="0">
      <w:lvlJc w:val="left"/>
      <w:lvlText w:val="(%1)"/>
      <w:numFmt w:val="lowerLetter"/>
      <w:start w:val="35"/>
    </w:lvl>
    <w:lvl w:ilvl="1">
      <w:lvlJc w:val="left"/>
      <w:lvlText w:val="(%2)"/>
      <w:numFmt w:val="lowerLetter"/>
      <w:start w:val="3"/>
    </w:lvl>
  </w:abstractNum>
  <w:abstractNum w:abstractNumId="59">
    <w:nsid w:val="885E1B"/>
    <w:multiLevelType w:val="hybridMultilevel"/>
    <w:lvl w:ilvl="0">
      <w:lvlJc w:val="left"/>
      <w:lvlText w:val="(%1)"/>
      <w:numFmt w:val="lowerLetter"/>
      <w:start w:val="4"/>
    </w:lvl>
  </w:abstractNum>
  <w:abstractNum w:abstractNumId="60">
    <w:nsid w:val="76272110"/>
    <w:multiLevelType w:val="hybridMultilevel"/>
    <w:lvl w:ilvl="0">
      <w:lvlJc w:val="left"/>
      <w:lvlText w:val="(%1)"/>
      <w:numFmt w:val="lowerLetter"/>
      <w:start w:val="5"/>
    </w:lvl>
  </w:abstractNum>
  <w:abstractNum w:abstractNumId="61">
    <w:nsid w:val="4C04A8AF"/>
    <w:multiLevelType w:val="hybridMultilevel"/>
    <w:lvl w:ilvl="0">
      <w:lvlJc w:val="left"/>
      <w:lvlText w:val="(%1)"/>
      <w:numFmt w:val="lowerLetter"/>
      <w:start w:val="6"/>
    </w:lvl>
  </w:abstractNum>
  <w:abstractNum w:abstractNumId="62">
    <w:nsid w:val="1716703B"/>
    <w:multiLevelType w:val="hybridMultilevel"/>
    <w:lvl w:ilvl="0">
      <w:lvlJc w:val="left"/>
      <w:lvlText w:val="%1."/>
      <w:numFmt w:val="decimal"/>
      <w:start w:val="7"/>
    </w:lvl>
    <w:lvl w:ilvl="1">
      <w:lvlJc w:val="left"/>
      <w:lvlText w:val="(%2)"/>
      <w:numFmt w:val="lowerLetter"/>
      <w:start w:val="1"/>
    </w:lvl>
  </w:abstractNum>
  <w:abstractNum w:abstractNumId="63">
    <w:nsid w:val="14E17E33"/>
    <w:multiLevelType w:val="hybridMultilevel"/>
    <w:lvl w:ilvl="0">
      <w:lvlJc w:val="left"/>
      <w:lvlText w:val="(%1)"/>
      <w:numFmt w:val="lowerLetter"/>
      <w:start w:val="2"/>
    </w:lvl>
  </w:abstractNum>
  <w:abstractNum w:abstractNumId="64">
    <w:nsid w:val="3222E7CD"/>
    <w:multiLevelType w:val="hybridMultilevel"/>
    <w:lvl w:ilvl="0">
      <w:lvlJc w:val="left"/>
      <w:lvlText w:val="(%1)"/>
      <w:numFmt w:val="lowerLetter"/>
      <w:start w:val="3"/>
    </w:lvl>
  </w:abstractNum>
  <w:abstractNum w:abstractNumId="65">
    <w:nsid w:val="74DE0EE3"/>
    <w:multiLevelType w:val="hybridMultilevel"/>
    <w:lvl w:ilvl="0">
      <w:lvlJc w:val="left"/>
      <w:lvlText w:val="(%1)"/>
      <w:numFmt w:val="lowerLetter"/>
      <w:start w:val="4"/>
    </w:lvl>
  </w:abstractNum>
  <w:abstractNum w:abstractNumId="66">
    <w:nsid w:val="68EBC550"/>
    <w:multiLevelType w:val="hybridMultilevel"/>
    <w:lvl w:ilvl="0">
      <w:lvlJc w:val="left"/>
      <w:lvlText w:val="(%1)"/>
      <w:numFmt w:val="lowerLetter"/>
      <w:start w:val="5"/>
    </w:lvl>
  </w:abstractNum>
  <w:abstractNum w:abstractNumId="67">
    <w:nsid w:val="2DF6D648"/>
    <w:multiLevelType w:val="hybridMultilevel"/>
    <w:lvl w:ilvl="0">
      <w:lvlJc w:val="left"/>
      <w:lvlText w:val="(%1)"/>
      <w:numFmt w:val="lowerLetter"/>
      <w:start w:val="6"/>
    </w:lvl>
  </w:abstractNum>
  <w:abstractNum w:abstractNumId="68">
    <w:nsid w:val="46B7D447"/>
    <w:multiLevelType w:val="hybridMultilevel"/>
    <w:lvl w:ilvl="0">
      <w:lvlJc w:val="left"/>
      <w:lvlText w:val="%1."/>
      <w:numFmt w:val="decimal"/>
      <w:start w:val="8"/>
    </w:lvl>
    <w:lvl w:ilvl="1">
      <w:lvlJc w:val="left"/>
      <w:lvlText w:val="(%2)"/>
      <w:numFmt w:val="lowerLetter"/>
      <w:start w:val="1"/>
    </w:lvl>
  </w:abstractNum>
  <w:abstractNum w:abstractNumId="69">
    <w:nsid w:val="4A2AC315"/>
    <w:multiLevelType w:val="hybridMultilevel"/>
    <w:lvl w:ilvl="0">
      <w:lvlJc w:val="left"/>
      <w:lvlText w:val="(%1)"/>
      <w:numFmt w:val="lowerLetter"/>
      <w:start w:val="2"/>
    </w:lvl>
  </w:abstractNum>
  <w:abstractNum w:abstractNumId="70">
    <w:nsid w:val="39EE015C"/>
    <w:multiLevelType w:val="hybridMultilevel"/>
    <w:lvl w:ilvl="0">
      <w:lvlJc w:val="left"/>
      <w:lvlText w:val="(%1)"/>
      <w:numFmt w:val="lowerRoman"/>
      <w:start w:val="2"/>
    </w:lvl>
  </w:abstractNum>
  <w:abstractNum w:abstractNumId="71">
    <w:nsid w:val="57FC4FBB"/>
    <w:multiLevelType w:val="hybridMultilevel"/>
    <w:lvl w:ilvl="0">
      <w:lvlJc w:val="left"/>
      <w:lvlText w:val="(%1)"/>
      <w:numFmt w:val="lowerLetter"/>
      <w:start w:val="3"/>
    </w:lvl>
  </w:abstractNum>
  <w:abstractNum w:abstractNumId="72">
    <w:nsid w:val="CC1016F"/>
    <w:multiLevelType w:val="hybridMultilevel"/>
    <w:lvl w:ilvl="0">
      <w:lvlJc w:val="left"/>
      <w:lvlText w:val="%1."/>
      <w:numFmt w:val="decimal"/>
      <w:start w:val="9"/>
    </w:lvl>
    <w:lvl w:ilvl="1">
      <w:lvlJc w:val="left"/>
      <w:lvlText w:val="(%2)"/>
      <w:numFmt w:val="lowerLetter"/>
      <w:start w:val="1"/>
    </w:lvl>
  </w:abstractNum>
  <w:abstractNum w:abstractNumId="73">
    <w:nsid w:val="43F18422"/>
    <w:multiLevelType w:val="hybridMultilevel"/>
    <w:lvl w:ilvl="0">
      <w:lvlJc w:val="left"/>
      <w:lvlText w:val="(%1)"/>
      <w:numFmt w:val="lowerLetter"/>
      <w:start w:val="2"/>
    </w:lvl>
  </w:abstractNum>
  <w:abstractNum w:abstractNumId="74">
    <w:nsid w:val="60EF0119"/>
    <w:multiLevelType w:val="hybridMultilevel"/>
    <w:lvl w:ilvl="0">
      <w:lvlJc w:val="left"/>
      <w:lvlText w:val="(%1)"/>
      <w:numFmt w:val="lowerLetter"/>
      <w:start w:val="3"/>
    </w:lvl>
  </w:abstractNum>
  <w:abstractNum w:abstractNumId="75">
    <w:nsid w:val="26F324BA"/>
    <w:multiLevelType w:val="hybridMultilevel"/>
    <w:lvl w:ilvl="0">
      <w:lvlJc w:val="left"/>
      <w:lvlText w:val="(%1)"/>
      <w:numFmt w:val="lowerLetter"/>
      <w:start w:val="4"/>
    </w:lvl>
  </w:abstractNum>
  <w:abstractNum w:abstractNumId="76">
    <w:nsid w:val="7F01579B"/>
    <w:multiLevelType w:val="hybridMultilevel"/>
    <w:lvl w:ilvl="0">
      <w:lvlJc w:val="left"/>
      <w:lvlText w:val="%1."/>
      <w:numFmt w:val="decimal"/>
      <w:start w:val="10"/>
    </w:lvl>
    <w:lvl w:ilvl="1">
      <w:lvlJc w:val="left"/>
      <w:lvlText w:val="(%2)"/>
      <w:numFmt w:val="lowerLetter"/>
      <w:start w:val="1"/>
    </w:lvl>
  </w:abstractNum>
  <w:abstractNum w:abstractNumId="77">
    <w:nsid w:val="49DA307D"/>
    <w:multiLevelType w:val="hybridMultilevel"/>
    <w:lvl w:ilvl="0">
      <w:lvlJc w:val="left"/>
      <w:lvlText w:val="(%1)"/>
      <w:numFmt w:val="lowerLetter"/>
      <w:start w:val="2"/>
    </w:lvl>
    <w:lvl w:ilvl="1">
      <w:lvlJc w:val="left"/>
      <w:lvlText w:val="(%2)"/>
      <w:numFmt w:val="lowerRoman"/>
      <w:start w:val="1"/>
    </w:lvl>
  </w:abstractNum>
  <w:abstractNum w:abstractNumId="78">
    <w:nsid w:val="7055A5F5"/>
    <w:multiLevelType w:val="hybridMultilevel"/>
    <w:lvl w:ilvl="0">
      <w:lvlJc w:val="left"/>
      <w:lvlText w:val="(%1)"/>
      <w:numFmt w:val="lowerLetter"/>
      <w:start w:val="3"/>
    </w:lvl>
  </w:abstractNum>
  <w:abstractNum w:abstractNumId="79">
    <w:nsid w:val="5FB8370B"/>
    <w:multiLevelType w:val="hybridMultilevel"/>
    <w:lvl w:ilvl="0">
      <w:lvlJc w:val="left"/>
      <w:lvlText w:val="(%1)"/>
      <w:numFmt w:val="lowerLetter"/>
      <w:start w:val="4"/>
    </w:lvl>
  </w:abstractNum>
  <w:abstractNum w:abstractNumId="80">
    <w:nsid w:val="50801EE1"/>
    <w:multiLevelType w:val="hybridMultilevel"/>
    <w:lvl w:ilvl="0">
      <w:lvlJc w:val="left"/>
      <w:lvlText w:val="(%1)"/>
      <w:numFmt w:val="lowerLetter"/>
      <w:start w:val="5"/>
    </w:lvl>
  </w:abstractNum>
  <w:abstractNum w:abstractNumId="81">
    <w:nsid w:val="488AC1A"/>
    <w:multiLevelType w:val="hybridMultilevel"/>
    <w:lvl w:ilvl="0">
      <w:lvlJc w:val="left"/>
      <w:lvlText w:val="(%1)"/>
      <w:numFmt w:val="lowerLetter"/>
      <w:start w:val="6"/>
    </w:lvl>
  </w:abstractNum>
  <w:abstractNum w:abstractNumId="82">
    <w:nsid w:val="5FB8011C"/>
    <w:multiLevelType w:val="hybridMultilevel"/>
    <w:lvl w:ilvl="0">
      <w:lvlJc w:val="left"/>
      <w:lvlText w:val="(%1)"/>
      <w:numFmt w:val="lowerLetter"/>
      <w:start w:val="7"/>
    </w:lvl>
  </w:abstractNum>
  <w:abstractNum w:abstractNumId="83">
    <w:nsid w:val="6AA78F7F"/>
    <w:multiLevelType w:val="hybridMultilevel"/>
    <w:lvl w:ilvl="0">
      <w:lvlJc w:val="left"/>
      <w:lvlText w:val="(%1)"/>
      <w:numFmt w:val="lowerLetter"/>
      <w:start w:val="8"/>
    </w:lvl>
  </w:abstractNum>
  <w:abstractNum w:abstractNumId="84">
    <w:nsid w:val="7672BD23"/>
    <w:multiLevelType w:val="hybridMultilevel"/>
    <w:lvl w:ilvl="0">
      <w:lvlJc w:val="left"/>
      <w:lvlText w:val="%1."/>
      <w:numFmt w:val="decimal"/>
      <w:start w:val="1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2"/>
    </w:lvl>
  </w:abstractNum>
  <w:abstractNum w:abstractNumId="87">
    <w:nsid w:val="7D5E18F8"/>
    <w:multiLevelType w:val="hybridMultilevel"/>
    <w:lvl w:ilvl="0">
      <w:lvlJc w:val="left"/>
      <w:lvlText w:val="(%1)"/>
      <w:numFmt w:val="lowerRoman"/>
      <w:start w:val="1"/>
    </w:lvl>
  </w:abstractNum>
  <w:abstractNum w:abstractNumId="88">
    <w:nsid w:val="5F3534A4"/>
    <w:multiLevelType w:val="hybridMultilevel"/>
    <w:lvl w:ilvl="0">
      <w:lvlJc w:val="left"/>
      <w:lvlText w:val="(%1)"/>
      <w:numFmt w:val="lowerLetter"/>
      <w:start w:val="3"/>
    </w:lvl>
  </w:abstractNum>
  <w:abstractNum w:abstractNumId="89">
    <w:nsid w:val="73A1821B"/>
    <w:multiLevelType w:val="hybridMultilevel"/>
    <w:lvl w:ilvl="0">
      <w:lvlJc w:val="left"/>
      <w:lvlText w:val="(%1)"/>
      <w:numFmt w:val="lowerLetter"/>
      <w:start w:val="4"/>
    </w:lvl>
  </w:abstractNum>
  <w:abstractNum w:abstractNumId="90">
    <w:nsid w:val="7DE67713"/>
    <w:multiLevelType w:val="hybridMultilevel"/>
    <w:lvl w:ilvl="0">
      <w:lvlJc w:val="left"/>
      <w:lvlText w:val="(%1)"/>
      <w:numFmt w:val="lowerLetter"/>
      <w:start w:val="5"/>
    </w:lvl>
  </w:abstractNum>
  <w:abstractNum w:abstractNumId="91">
    <w:nsid w:val="555C55B5"/>
    <w:multiLevelType w:val="hybridMultilevel"/>
    <w:lvl w:ilvl="0">
      <w:lvlJc w:val="left"/>
      <w:lvlText w:val="%1."/>
      <w:numFmt w:val="decimal"/>
      <w:start w:val="12"/>
    </w:lvl>
  </w:abstractNum>
  <w:abstractNum w:abstractNumId="92">
    <w:nsid w:val="3FA62ACA"/>
    <w:multiLevelType w:val="hybridMultilevel"/>
    <w:lvl w:ilvl="0">
      <w:lvlJc w:val="left"/>
      <w:lvlText w:val="%1."/>
      <w:numFmt w:val="decimal"/>
      <w:start w:val="13"/>
    </w:lvl>
  </w:abstractNum>
  <w:abstractNum w:abstractNumId="93">
    <w:nsid w:val="14FCE74E"/>
    <w:multiLevelType w:val="hybridMultilevel"/>
    <w:lvl w:ilvl="0">
      <w:lvlJc w:val="left"/>
      <w:lvlText w:val="%1."/>
      <w:numFmt w:val="decimal"/>
      <w:start w:val="14"/>
    </w:lvl>
    <w:lvl w:ilvl="1">
      <w:lvlJc w:val="left"/>
      <w:lvlText w:val="(%2)"/>
      <w:numFmt w:val="lowerLetter"/>
      <w:start w:val="1"/>
    </w:lvl>
  </w:abstractNum>
  <w:abstractNum w:abstractNumId="94">
    <w:nsid w:val="6A3DD3E8"/>
    <w:multiLevelType w:val="hybridMultilevel"/>
    <w:lvl w:ilvl="0">
      <w:lvlJc w:val="left"/>
      <w:lvlText w:val="(%1)"/>
      <w:numFmt w:val="lowerLetter"/>
      <w:start w:val="2"/>
    </w:lvl>
  </w:abstractNum>
  <w:abstractNum w:abstractNumId="95">
    <w:nsid w:val="71C91298"/>
    <w:multiLevelType w:val="hybridMultilevel"/>
    <w:lvl w:ilvl="0">
      <w:lvlJc w:val="left"/>
      <w:lvlText w:val="(%1)"/>
      <w:numFmt w:val="lowerLetter"/>
      <w:start w:val="3"/>
    </w:lvl>
  </w:abstractNum>
  <w:abstractNum w:abstractNumId="96">
    <w:nsid w:val="9DAF632"/>
    <w:multiLevelType w:val="hybridMultilevel"/>
    <w:lvl w:ilvl="0">
      <w:lvlJc w:val="left"/>
      <w:lvlText w:val="%1."/>
      <w:numFmt w:val="decimal"/>
      <w:start w:val="15"/>
    </w:lvl>
  </w:abstractNum>
  <w:abstractNum w:abstractNumId="97">
    <w:nsid w:val="53299938"/>
    <w:multiLevelType w:val="hybridMultilevel"/>
    <w:lvl w:ilvl="0">
      <w:lvlJc w:val="left"/>
      <w:lvlText w:val="%1."/>
      <w:numFmt w:val="decimal"/>
      <w:start w:val="16"/>
    </w:lvl>
  </w:abstractNum>
  <w:abstractNum w:abstractNumId="98">
    <w:nsid w:val="1FBFE8E0"/>
    <w:multiLevelType w:val="hybridMultilevel"/>
    <w:lvl w:ilvl="0">
      <w:lvlJc w:val="left"/>
      <w:lvlText w:val="%1."/>
      <w:numFmt w:val="decimal"/>
      <w:start w:val="17"/>
    </w:lvl>
  </w:abstractNum>
  <w:abstractNum w:abstractNumId="99">
    <w:nsid w:val="5092CA79"/>
    <w:multiLevelType w:val="hybridMultilevel"/>
    <w:lvl w:ilvl="0">
      <w:lvlJc w:val="left"/>
      <w:lvlText w:val="%1."/>
      <w:numFmt w:val="decimal"/>
      <w:start w:val="18"/>
    </w:lvl>
  </w:abstractNum>
  <w:abstractNum w:abstractNumId="100">
    <w:nsid w:val="1D545C4D"/>
    <w:multiLevelType w:val="hybridMultilevel"/>
    <w:lvl w:ilvl="0">
      <w:lvlJc w:val="left"/>
      <w:lvlText w:val="%1."/>
      <w:numFmt w:val="decimal"/>
      <w:start w:val="19"/>
    </w:lvl>
  </w:abstractNum>
  <w:abstractNum w:abstractNumId="101">
    <w:nsid w:val="59ADEA3D"/>
    <w:multiLevelType w:val="hybridMultilevel"/>
    <w:lvl w:ilvl="0">
      <w:lvlJc w:val="left"/>
      <w:lvlText w:val="%1."/>
      <w:numFmt w:val="decimal"/>
      <w:start w:val="20"/>
    </w:lvl>
  </w:abstractNum>
  <w:abstractNum w:abstractNumId="102">
    <w:nsid w:val="288F1A34"/>
    <w:multiLevelType w:val="hybridMultilevel"/>
    <w:lvl w:ilvl="0">
      <w:lvlJc w:val="left"/>
      <w:lvlText w:val="%1."/>
      <w:numFmt w:val="decimal"/>
      <w:start w:val="21"/>
    </w:lvl>
  </w:abstractNum>
  <w:abstractNum w:abstractNumId="103">
    <w:nsid w:val="2A155DBC"/>
    <w:multiLevelType w:val="hybridMultilevel"/>
    <w:lvl w:ilvl="0">
      <w:lvlJc w:val="left"/>
      <w:lvlText w:val="%1."/>
      <w:numFmt w:val="decimal"/>
      <w:start w:val="22"/>
    </w:lvl>
  </w:abstractNum>
  <w:abstractNum w:abstractNumId="104">
    <w:nsid w:val="1D9F6E5F"/>
    <w:multiLevelType w:val="hybridMultilevel"/>
    <w:lvl w:ilvl="0">
      <w:lvlJc w:val="left"/>
      <w:lvlText w:val="%1."/>
      <w:numFmt w:val="decimal"/>
      <w:start w:val="23"/>
    </w:lvl>
  </w:abstractNum>
  <w:abstractNum w:abstractNumId="105">
    <w:nsid w:val="97E1B4E"/>
    <w:multiLevelType w:val="hybridMultilevel"/>
    <w:lvl w:ilvl="0">
      <w:lvlJc w:val="left"/>
      <w:lvlText w:val="%1."/>
      <w:numFmt w:val="decimal"/>
      <w:start w:val="24"/>
    </w:lvl>
  </w:abstractNum>
  <w:abstractNum w:abstractNumId="106">
    <w:nsid w:val="51088277"/>
    <w:multiLevelType w:val="hybridMultilevel"/>
    <w:lvl w:ilvl="0">
      <w:lvlJc w:val="left"/>
      <w:lvlText w:val="%1."/>
      <w:numFmt w:val="decimal"/>
      <w:start w:val="25"/>
    </w:lvl>
  </w:abstractNum>
  <w:abstractNum w:abstractNumId="107">
    <w:nsid w:val="1CA0C5FA"/>
    <w:multiLevelType w:val="hybridMultilevel"/>
    <w:lvl w:ilvl="0">
      <w:lvlJc w:val="left"/>
      <w:lvlText w:val="%1."/>
      <w:numFmt w:val="decimal"/>
      <w:start w:val="26"/>
    </w:lvl>
  </w:abstractNum>
  <w:abstractNum w:abstractNumId="108">
    <w:nsid w:val="53584BCB"/>
    <w:multiLevelType w:val="hybridMultilevel"/>
    <w:lvl w:ilvl="0">
      <w:lvlJc w:val="left"/>
      <w:lvlText w:val="%1."/>
      <w:numFmt w:val="decimal"/>
      <w:start w:val="27"/>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jpe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jpeg"/><Relationship Id="rId69" Type="http://schemas.openxmlformats.org/officeDocument/2006/relationships/image" Target="media/image58.jpeg"/><Relationship Id="rId70" Type="http://schemas.openxmlformats.org/officeDocument/2006/relationships/image" Target="media/image59.jpeg"/><Relationship Id="rId71" Type="http://schemas.openxmlformats.org/officeDocument/2006/relationships/image" Target="media/image60.png"/><Relationship Id="rId72" Type="http://schemas.openxmlformats.org/officeDocument/2006/relationships/image" Target="media/image61.jpeg"/><Relationship Id="rId73" Type="http://schemas.openxmlformats.org/officeDocument/2006/relationships/image" Target="media/image62.png"/><Relationship Id="rId74" Type="http://schemas.openxmlformats.org/officeDocument/2006/relationships/image" Target="media/image63.jpeg"/><Relationship Id="rId75" Type="http://schemas.openxmlformats.org/officeDocument/2006/relationships/image" Target="media/image64.png"/><Relationship Id="rId76" Type="http://schemas.openxmlformats.org/officeDocument/2006/relationships/image" Target="media/image65.jpe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55" Type="http://schemas.openxmlformats.org/officeDocument/2006/relationships/hyperlink" Target="http://www.sec.gov/Archives/edgar/data/1603923/000110465919073841/tm1925198d1_ex3-1.htm" TargetMode="External"/><Relationship Id="rId56" Type="http://schemas.openxmlformats.org/officeDocument/2006/relationships/hyperlink" Target="http://www.sec.gov/Archives/edgar/data/1603923/000095014220002112/eh2001109_ex0401.htm" TargetMode="External"/><Relationship Id="rId58" Type="http://schemas.openxmlformats.org/officeDocument/2006/relationships/hyperlink" Target="http://www.sec.gov/Archives/edgar/data/1603923/000095014220002112/eh2001109_ex1001.htm" TargetMode="External"/><Relationship Id="rId61" Type="http://schemas.openxmlformats.org/officeDocument/2006/relationships/hyperlink" Target="http://www.sec.gov/Archives/edgar/data/1603923/000095014220002112/eh2001109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2020-11-04T15:49:07Z</dcterms:created>
  <dcterms:modified xsi:type="dcterms:W3CDTF">2020-11-04T15:49:07Z</dcterms:modified>
</cp:coreProperties>
</file>