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17,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1" w:lineRule="auto"/>
        <w:rPr>
          <w:sz w:val="20"/>
          <w:szCs w:val="20"/>
          <w:color w:val="auto"/>
        </w:rPr>
      </w:pPr>
      <w:r>
        <w:rPr>
          <w:rFonts w:ascii="Arial" w:cs="Arial" w:eastAsia="Arial" w:hAnsi="Arial"/>
          <w:sz w:val="22"/>
          <w:szCs w:val="22"/>
          <w:b w:val="1"/>
          <w:bCs w:val="1"/>
          <w:color w:val="auto"/>
        </w:rPr>
        <w:t>FORM S-8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1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4060" w:type="dxa"/>
            <w:vAlign w:val="bottom"/>
          </w:tcPr>
          <w:p>
            <w:pPr>
              <w:jc w:val="center"/>
              <w:ind w:left="2726"/>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4940" w:type="dxa"/>
            <w:vAlign w:val="bottom"/>
          </w:tcPr>
          <w:p>
            <w:pPr>
              <w:jc w:val="center"/>
              <w:ind w:right="2703"/>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4060" w:type="dxa"/>
            <w:vAlign w:val="bottom"/>
          </w:tcPr>
          <w:p>
            <w:pPr>
              <w:jc w:val="center"/>
              <w:ind w:left="272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940" w:type="dxa"/>
            <w:vAlign w:val="bottom"/>
          </w:tcPr>
          <w:p>
            <w:pPr>
              <w:jc w:val="center"/>
              <w:ind w:right="2703"/>
              <w:spacing w:after="0"/>
              <w:rPr>
                <w:sz w:val="20"/>
                <w:szCs w:val="20"/>
                <w:color w:val="auto"/>
              </w:rPr>
            </w:pPr>
            <w:r>
              <w:rPr>
                <w:rFonts w:ascii="Arial" w:cs="Arial" w:eastAsia="Arial" w:hAnsi="Arial"/>
                <w:sz w:val="13"/>
                <w:szCs w:val="13"/>
                <w:b w:val="1"/>
                <w:bCs w:val="1"/>
                <w:color w:val="auto"/>
                <w:w w:val="88"/>
              </w:rPr>
              <w:t>incorporation or organization)</w:t>
            </w:r>
          </w:p>
        </w:tc>
        <w:tc>
          <w:tcPr>
            <w:tcW w:w="4060" w:type="dxa"/>
            <w:vAlign w:val="bottom"/>
          </w:tcPr>
          <w:p>
            <w:pPr>
              <w:jc w:val="center"/>
              <w:ind w:left="2726"/>
              <w:spacing w:after="0"/>
              <w:rPr>
                <w:sz w:val="20"/>
                <w:szCs w:val="20"/>
                <w:color w:val="auto"/>
              </w:rPr>
            </w:pPr>
            <w:r>
              <w:rPr>
                <w:rFonts w:ascii="Arial" w:cs="Arial" w:eastAsia="Arial" w:hAnsi="Arial"/>
                <w:sz w:val="13"/>
                <w:szCs w:val="13"/>
                <w:b w:val="1"/>
                <w:bCs w:val="1"/>
                <w:color w:val="auto"/>
                <w:w w:val="91"/>
              </w:rPr>
              <w:t>Identification Number)</w:t>
            </w:r>
          </w:p>
        </w:tc>
      </w:tr>
      <w:tr>
        <w:trPr>
          <w:trHeight w:val="457"/>
        </w:trPr>
        <w:tc>
          <w:tcPr>
            <w:tcW w:w="4940" w:type="dxa"/>
            <w:vAlign w:val="bottom"/>
          </w:tcPr>
          <w:p>
            <w:pPr>
              <w:jc w:val="center"/>
              <w:ind w:right="2703"/>
              <w:spacing w:after="0"/>
              <w:rPr>
                <w:sz w:val="20"/>
                <w:szCs w:val="20"/>
                <w:color w:val="auto"/>
              </w:rPr>
            </w:pPr>
            <w:r>
              <w:rPr>
                <w:rFonts w:ascii="Arial" w:cs="Arial" w:eastAsia="Arial" w:hAnsi="Arial"/>
                <w:sz w:val="18"/>
                <w:szCs w:val="18"/>
                <w:b w:val="1"/>
                <w:bCs w:val="1"/>
                <w:color w:val="auto"/>
                <w:w w:val="87"/>
              </w:rPr>
              <w:t>Bahnhofstrasse 1</w:t>
            </w:r>
          </w:p>
        </w:tc>
        <w:tc>
          <w:tcPr>
            <w:tcW w:w="4060" w:type="dxa"/>
            <w:vAlign w:val="bottom"/>
          </w:tcPr>
          <w:p>
            <w:pPr>
              <w:spacing w:after="0"/>
              <w:rPr>
                <w:sz w:val="24"/>
                <w:szCs w:val="24"/>
                <w:color w:val="auto"/>
              </w:rPr>
            </w:pPr>
          </w:p>
        </w:tc>
      </w:tr>
      <w:tr>
        <w:trPr>
          <w:trHeight w:val="216"/>
        </w:trPr>
        <w:tc>
          <w:tcPr>
            <w:tcW w:w="4940" w:type="dxa"/>
            <w:vAlign w:val="bottom"/>
          </w:tcPr>
          <w:p>
            <w:pPr>
              <w:jc w:val="center"/>
              <w:ind w:right="2703"/>
              <w:spacing w:after="0"/>
              <w:rPr>
                <w:sz w:val="20"/>
                <w:szCs w:val="20"/>
                <w:color w:val="auto"/>
              </w:rPr>
            </w:pPr>
            <w:r>
              <w:rPr>
                <w:rFonts w:ascii="Arial" w:cs="Arial" w:eastAsia="Arial" w:hAnsi="Arial"/>
                <w:sz w:val="18"/>
                <w:szCs w:val="18"/>
                <w:b w:val="1"/>
                <w:bCs w:val="1"/>
                <w:color w:val="auto"/>
                <w:w w:val="90"/>
              </w:rPr>
              <w:t>6340 Baar, Switzerland</w:t>
            </w:r>
          </w:p>
        </w:tc>
        <w:tc>
          <w:tcPr>
            <w:tcW w:w="4060" w:type="dxa"/>
            <w:vAlign w:val="bottom"/>
          </w:tcPr>
          <w:p>
            <w:pPr>
              <w:jc w:val="center"/>
              <w:ind w:left="2726"/>
              <w:spacing w:after="0"/>
              <w:rPr>
                <w:sz w:val="20"/>
                <w:szCs w:val="20"/>
                <w:color w:val="auto"/>
              </w:rPr>
            </w:pPr>
            <w:r>
              <w:rPr>
                <w:rFonts w:ascii="Arial" w:cs="Arial" w:eastAsia="Arial" w:hAnsi="Arial"/>
                <w:sz w:val="18"/>
                <w:szCs w:val="18"/>
                <w:b w:val="1"/>
                <w:bCs w:val="1"/>
                <w:color w:val="auto"/>
                <w:w w:val="96"/>
              </w:rPr>
              <w:t>N/A</w:t>
            </w:r>
          </w:p>
        </w:tc>
      </w:tr>
      <w:tr>
        <w:trPr>
          <w:trHeight w:val="164"/>
        </w:trPr>
        <w:tc>
          <w:tcPr>
            <w:tcW w:w="4940" w:type="dxa"/>
            <w:vAlign w:val="bottom"/>
          </w:tcPr>
          <w:p>
            <w:pPr>
              <w:jc w:val="center"/>
              <w:ind w:right="270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060" w:type="dxa"/>
            <w:vAlign w:val="bottom"/>
          </w:tcPr>
          <w:p>
            <w:pPr>
              <w:jc w:val="center"/>
              <w:ind w:left="2726"/>
              <w:spacing w:after="0"/>
              <w:rPr>
                <w:sz w:val="20"/>
                <w:szCs w:val="20"/>
                <w:color w:val="auto"/>
              </w:rPr>
            </w:pPr>
            <w:r>
              <w:rPr>
                <w:rFonts w:ascii="Arial" w:cs="Arial" w:eastAsia="Arial" w:hAnsi="Arial"/>
                <w:sz w:val="13"/>
                <w:szCs w:val="13"/>
                <w:b w:val="1"/>
                <w:bCs w:val="1"/>
                <w:color w:val="auto"/>
                <w:w w:val="90"/>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Inc. Foreign Executive Deferred Compensation Stock Plan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Alejandro Cestero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Co-General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with 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B. Newton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427-5000</w:t>
      </w:r>
    </w:p>
    <w:p>
      <w:pPr>
        <w:spacing w:after="0" w:line="9"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4" w:lineRule="exact"/>
        <w:rPr>
          <w:sz w:val="24"/>
          <w:szCs w:val="24"/>
          <w:color w:val="auto"/>
        </w:rPr>
      </w:pPr>
    </w:p>
    <w:tbl>
      <w:tblPr>
        <w:tblLayout w:type="fixed"/>
        <w:tblInd w:w="480" w:type="dxa"/>
        <w:tblCellMar>
          <w:top w:w="0" w:type="dxa"/>
          <w:left w:w="0" w:type="dxa"/>
          <w:bottom w:w="0" w:type="dxa"/>
          <w:right w:w="0" w:type="dxa"/>
        </w:tblCellMar>
      </w:tblPr>
      <w:tr>
        <w:trPr>
          <w:trHeight w:val="235"/>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360"/>
              <w:spacing w:after="0"/>
              <w:rPr>
                <w:sz w:val="20"/>
                <w:szCs w:val="20"/>
                <w:color w:val="auto"/>
              </w:rPr>
            </w:pPr>
            <w:r>
              <w:rPr>
                <w:rFonts w:ascii="Arial" w:cs="Arial" w:eastAsia="Arial" w:hAnsi="Arial"/>
                <w:sz w:val="18"/>
                <w:szCs w:val="18"/>
                <w:color w:val="auto"/>
              </w:rPr>
              <w:t>x</w:t>
            </w:r>
          </w:p>
        </w:tc>
        <w:tc>
          <w:tcPr>
            <w:tcW w:w="322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440"/>
              <w:spacing w:after="0"/>
              <w:rPr>
                <w:sz w:val="20"/>
                <w:szCs w:val="20"/>
                <w:color w:val="auto"/>
              </w:rPr>
            </w:pPr>
            <w:r>
              <w:rPr>
                <w:rFonts w:ascii="Arial" w:cs="Arial" w:eastAsia="Arial" w:hAnsi="Arial"/>
                <w:sz w:val="10"/>
                <w:szCs w:val="10"/>
                <w:color w:val="auto"/>
                <w:w w:val="71"/>
              </w:rPr>
              <w:t>o</w:t>
            </w:r>
          </w:p>
        </w:tc>
      </w:tr>
      <w:tr>
        <w:trPr>
          <w:trHeight w:val="45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36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8"/>
                <w:szCs w:val="18"/>
                <w:color w:val="auto"/>
              </w:rPr>
              <w:t>(Do not check if a smaller reporting company)</w:t>
            </w:r>
          </w:p>
        </w:tc>
        <w:tc>
          <w:tcPr>
            <w:tcW w:w="322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440"/>
              <w:spacing w:after="0"/>
              <w:rPr>
                <w:sz w:val="20"/>
                <w:szCs w:val="20"/>
                <w:color w:val="auto"/>
              </w:rPr>
            </w:pPr>
            <w:r>
              <w:rPr>
                <w:rFonts w:ascii="Arial" w:cs="Arial" w:eastAsia="Arial" w:hAnsi="Arial"/>
                <w:sz w:val="10"/>
                <w:szCs w:val="10"/>
                <w:color w:val="auto"/>
                <w:w w:val="71"/>
              </w:rPr>
              <w:t>o</w:t>
            </w:r>
          </w:p>
        </w:tc>
      </w:tr>
    </w:tbl>
    <w:p>
      <w:pPr>
        <w:sectPr>
          <w:pgSz w:w="11900" w:h="16838" w:orient="portrait"/>
          <w:cols w:equalWidth="0" w:num="1">
            <w:col w:w="11420"/>
          </w:cols>
          <w:pgMar w:left="240" w:top="68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This Post-Effective Amendment No. 3 to Registration Statement on Form S-8, Registration No. 333-13531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7"/>
          <w:szCs w:val="17"/>
          <w:color w:val="auto"/>
        </w:rPr>
        <w:t>‑</w:t>
      </w:r>
      <w:r>
        <w:rPr>
          <w:rFonts w:ascii="Arial" w:cs="Arial" w:eastAsia="Arial" w:hAnsi="Arial"/>
          <w:sz w:val="17"/>
          <w:szCs w:val="17"/>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the Weatherford International, Inc. Foreign Executive Deferred Compensation Stock Plan (the “Plan”). Consequently, ordinary shares of Weatherford Ireland will henceforth be issuable under the Plan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70" w:lineRule="exact"/>
        <w:rPr>
          <w:sz w:val="20"/>
          <w:szCs w:val="20"/>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Commission on February 25, 2014;</w:t>
      </w:r>
    </w:p>
    <w:p>
      <w:pPr>
        <w:spacing w:after="0" w:line="8"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Commission on April 16, 2014;</w:t>
      </w:r>
    </w:p>
    <w:p>
      <w:pPr>
        <w:spacing w:after="0" w:line="8"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Commission on April 29, 2014;</w:t>
      </w:r>
    </w:p>
    <w:p>
      <w:pPr>
        <w:spacing w:after="0" w:line="86"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9"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8" w:lineRule="exact"/>
        <w:rPr>
          <w:rFonts w:ascii="Arial" w:cs="Arial" w:eastAsia="Arial" w:hAnsi="Arial"/>
          <w:sz w:val="18"/>
          <w:szCs w:val="18"/>
          <w:color w:val="auto"/>
        </w:rPr>
      </w:pPr>
    </w:p>
    <w:p>
      <w:pPr>
        <w:ind w:left="66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Commission on June 17, 2014.</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 further post-effective amendment to this Registration Statement which indicates that all securities offered herby have been sold</w:t>
      </w:r>
    </w:p>
    <w:p>
      <w:pPr>
        <w:sectPr>
          <w:pgSz w:w="11900" w:h="16838" w:orient="portrait"/>
          <w:cols w:equalWidth="0" w:num="1">
            <w:col w:w="11420"/>
          </w:cols>
          <w:pgMar w:left="240" w:top="580"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or which deregisters all securities then remaining unsold, shall be deemed to be incorporated by reference in this Registration Statement and to be a part hereof from the date of filing of such documents.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Weatherford International, Inc. Foreign Executive Deferred Compensation Stock Plan (incorporated by reference to Exhibit 10.4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line="207" w:lineRule="exact"/>
              <w:rPr>
                <w:sz w:val="20"/>
                <w:szCs w:val="20"/>
                <w:color w:val="auto"/>
              </w:rPr>
            </w:pPr>
            <w:r>
              <w:rPr>
                <w:rFonts w:ascii="Arial" w:cs="Arial" w:eastAsia="Arial" w:hAnsi="Arial"/>
                <w:sz w:val="18"/>
                <w:szCs w:val="18"/>
                <w:color w:val="auto"/>
              </w:rPr>
              <w:t>Weatherford International plc’s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December 31, 2008).</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63" w:lineRule="exact"/>
        <w:rPr>
          <w:rFonts w:ascii="Arial" w:cs="Arial" w:eastAsia="Arial" w:hAnsi="Arial"/>
          <w:sz w:val="18"/>
          <w:szCs w:val="18"/>
          <w:color w:val="auto"/>
        </w:rPr>
      </w:pPr>
    </w:p>
    <w:p>
      <w:pPr>
        <w:jc w:val="both"/>
        <w:ind w:left="1960" w:hanging="331"/>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 w:lineRule="exact"/>
        <w:rPr>
          <w:rFonts w:ascii="Arial" w:cs="Arial" w:eastAsia="Arial" w:hAnsi="Arial"/>
          <w:sz w:val="16"/>
          <w:szCs w:val="16"/>
          <w:color w:val="auto"/>
        </w:rPr>
      </w:pPr>
    </w:p>
    <w:p>
      <w:pPr>
        <w:jc w:val="both"/>
        <w:ind w:left="1960" w:hanging="331"/>
        <w:spacing w:after="0" w:line="27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0" w:lineRule="exact"/>
        <w:rPr>
          <w:rFonts w:ascii="Arial" w:cs="Arial" w:eastAsia="Arial" w:hAnsi="Arial"/>
          <w:sz w:val="17"/>
          <w:szCs w:val="17"/>
          <w:color w:val="auto"/>
        </w:rPr>
      </w:pPr>
    </w:p>
    <w:p>
      <w:pPr>
        <w:jc w:val="both"/>
        <w:ind w:left="1300" w:hanging="320"/>
        <w:spacing w:after="0" w:line="221"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Arial" w:cs="Arial" w:eastAsia="Arial" w:hAnsi="Arial"/>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9"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304" w:lineRule="auto"/>
        <w:rPr>
          <w:sz w:val="20"/>
          <w:szCs w:val="20"/>
          <w:color w:val="auto"/>
        </w:rPr>
      </w:pPr>
      <w:r>
        <w:rPr>
          <w:rFonts w:ascii="Arial" w:cs="Arial" w:eastAsia="Arial" w:hAnsi="Arial"/>
          <w:sz w:val="18"/>
          <w:szCs w:val="18"/>
          <w:color w:val="auto"/>
        </w:rPr>
        <w:t>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60"/>
          </w:cols>
          <w:pgMar w:left="900"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Arial" w:cs="Arial" w:eastAsia="Arial" w:hAnsi="Arial"/>
          <w:sz w:val="18"/>
          <w:szCs w:val="18"/>
          <w:color w:val="auto"/>
        </w:rPr>
        <w:t>Effective Amendment No. 3 to the Registration Statement to be signed on its behalf by the undersigned, thereunto duly authorized, in the City of Houston, State of Texas on June 17, 2014.</w:t>
      </w:r>
    </w:p>
    <w:p>
      <w:pPr>
        <w:ind w:left="4000"/>
        <w:spacing w:after="0"/>
        <w:rPr>
          <w:sz w:val="20"/>
          <w:szCs w:val="20"/>
          <w:color w:val="auto"/>
        </w:rPr>
      </w:pPr>
      <w:r>
        <w:rPr>
          <w:rFonts w:ascii="Arial" w:cs="Arial" w:eastAsia="Arial" w:hAnsi="Arial"/>
          <w:sz w:val="18"/>
          <w:szCs w:val="18"/>
          <w:b w:val="1"/>
          <w:bCs w:val="1"/>
          <w:color w:val="auto"/>
        </w:rPr>
        <w:t>WEATHERFORD INTERNATIONAL PLC</w:t>
      </w:r>
    </w:p>
    <w:p>
      <w:pPr>
        <w:spacing w:after="0" w:line="1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3 to the Registration Statement on Form S-8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112"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34290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Arial" w:cs="Arial" w:eastAsia="Arial" w:hAnsi="Arial"/>
          <w:sz w:val="16"/>
          <w:szCs w:val="16"/>
          <w:u w:val="single" w:color="auto"/>
          <w:color w:val="auto"/>
        </w:rPr>
        <w:t>/s/Dr. Bernard J. Duroc-Danner</w:t>
      </w:r>
    </w:p>
    <w:p>
      <w:pPr>
        <w:spacing w:after="0" w:line="46"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Dr. Bernard J. Duroc-Danner</w:t>
      </w:r>
    </w:p>
    <w:p>
      <w:pPr>
        <w:spacing w:after="0" w:line="60"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/s/Krishna Shivram</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Krishna Shivram</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/s/Douglas M. Mills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Douglas M. Mills</w:t>
      </w:r>
    </w:p>
    <w:p>
      <w:pPr>
        <w:spacing w:after="0" w:line="49" w:lineRule="exact"/>
        <w:rPr>
          <w:sz w:val="20"/>
          <w:szCs w:val="20"/>
          <w:color w:val="auto"/>
        </w:rPr>
      </w:pPr>
    </w:p>
    <w:p>
      <w:pPr>
        <w:jc w:val="right"/>
        <w:ind w:right="800"/>
        <w:spacing w:after="0"/>
        <w:rPr>
          <w:sz w:val="20"/>
          <w:szCs w:val="20"/>
          <w:color w:val="auto"/>
        </w:rPr>
      </w:pPr>
      <w:r>
        <w:rPr>
          <w:rFonts w:ascii="Arial" w:cs="Arial" w:eastAsia="Arial" w:hAnsi="Arial"/>
          <w:sz w:val="18"/>
          <w:szCs w:val="18"/>
          <w:u w:val="single" w:color="auto"/>
          <w:color w:val="auto"/>
        </w:rPr>
        <w:t>/s/David J. Butters</w:t>
      </w:r>
    </w:p>
    <w:p>
      <w:pPr>
        <w:spacing w:after="0" w:line="2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David J. Butters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/s/John D. Gass</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D. Gass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/s/Francis S. Kalman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Francis S. Kalman</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/s/William E. Macaulay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William E. Macaulay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K. Moses, Jr.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K. Moses, Jr.</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/s/Dr. Guillermo Ortiz</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Dr. Guillermo Ortiz</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/s/Sir Emyr Jones Parry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Sir Emyr Jones Parry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A. Rayne</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A. Rayne</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/s/Alejandro Cestero</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President, Chief Executive Officer, Chairman of the Board and Director (Principal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760" w:space="720"/>
            <w:col w:w="6940"/>
          </w:cols>
          <w:pgMar w:left="240" w:top="580"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Weatherford International, Inc. Foreign Executive Deferred Compensation Stock Plan (incorporated by reference to Exhibit 10.4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line="207" w:lineRule="exact"/>
              <w:rPr>
                <w:sz w:val="20"/>
                <w:szCs w:val="20"/>
                <w:color w:val="auto"/>
              </w:rPr>
            </w:pPr>
            <w:r>
              <w:rPr>
                <w:rFonts w:ascii="Arial" w:cs="Arial" w:eastAsia="Arial" w:hAnsi="Arial"/>
                <w:sz w:val="18"/>
                <w:szCs w:val="18"/>
                <w:color w:val="auto"/>
              </w:rPr>
              <w:t>Weatherford International plc’s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December 31, 2008).</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ectPr>
          <w:pgSz w:w="11900" w:h="16838" w:orient="portrait"/>
          <w:cols w:equalWidth="0" w:num="1">
            <w:col w:w="11420"/>
          </w:cols>
          <w:pgMar w:left="240" w:top="74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17145</wp:posOffset>
            </wp:positionV>
            <wp:extent cx="3232785" cy="135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Weatherford International plc</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Alpenstrasse 15</w:t>
      </w:r>
    </w:p>
    <w:p>
      <w:pPr>
        <w:ind w:left="1120"/>
        <w:spacing w:after="0"/>
        <w:rPr>
          <w:sz w:val="20"/>
          <w:szCs w:val="20"/>
          <w:color w:val="auto"/>
        </w:rPr>
      </w:pPr>
      <w:r>
        <w:rPr>
          <w:rFonts w:ascii="Arial" w:cs="Arial" w:eastAsia="Arial" w:hAnsi="Arial"/>
          <w:sz w:val="20"/>
          <w:szCs w:val="20"/>
          <w:color w:val="auto"/>
        </w:rPr>
        <w:t>6300 Zug</w:t>
      </w:r>
    </w:p>
    <w:p>
      <w:pPr>
        <w:ind w:left="1120"/>
        <w:spacing w:after="0"/>
        <w:rPr>
          <w:sz w:val="20"/>
          <w:szCs w:val="20"/>
          <w:color w:val="auto"/>
        </w:rPr>
      </w:pPr>
      <w:r>
        <w:rPr>
          <w:rFonts w:ascii="Arial" w:cs="Arial" w:eastAsia="Arial" w:hAnsi="Arial"/>
          <w:sz w:val="20"/>
          <w:szCs w:val="20"/>
          <w:color w:val="auto"/>
        </w:rPr>
        <w:t>Switzerland</w:t>
      </w:r>
    </w:p>
    <w:p>
      <w:pPr>
        <w:spacing w:after="0" w:line="281" w:lineRule="exact"/>
        <w:rPr>
          <w:sz w:val="20"/>
          <w:szCs w:val="20"/>
          <w:color w:val="auto"/>
        </w:rPr>
      </w:pPr>
    </w:p>
    <w:p>
      <w:pPr>
        <w:ind w:left="1120" w:right="1120"/>
        <w:spacing w:after="0" w:line="278" w:lineRule="auto"/>
        <w:rPr>
          <w:sz w:val="20"/>
          <w:szCs w:val="20"/>
          <w:color w:val="auto"/>
        </w:rPr>
      </w:pPr>
      <w:r>
        <w:rPr>
          <w:rFonts w:ascii="Arial" w:cs="Arial" w:eastAsia="Arial" w:hAnsi="Arial"/>
          <w:sz w:val="20"/>
          <w:szCs w:val="20"/>
          <w:color w:val="auto"/>
        </w:rPr>
        <w:t>Our Ref Your Ref 17 June 2014 FBO 661725.4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64" w:lineRule="exact"/>
        <w:rPr>
          <w:sz w:val="20"/>
          <w:szCs w:val="20"/>
          <w:color w:val="auto"/>
        </w:rPr>
      </w:pPr>
    </w:p>
    <w:p>
      <w:pPr>
        <w:ind w:right="5200"/>
        <w:spacing w:after="0" w:line="293" w:lineRule="auto"/>
        <w:rPr>
          <w:sz w:val="20"/>
          <w:szCs w:val="20"/>
          <w:color w:val="auto"/>
        </w:rPr>
      </w:pPr>
      <w:r>
        <w:rPr>
          <w:rFonts w:ascii="Arial" w:cs="Arial" w:eastAsia="Arial" w:hAnsi="Arial"/>
          <w:sz w:val="19"/>
          <w:szCs w:val="19"/>
          <w:b w:val="1"/>
          <w:bCs w:val="1"/>
          <w:color w:val="auto"/>
        </w:rPr>
        <w:t>Weatherford International plc, an Irish public company limited by shares Post-Effective Amendment on Form S-8 (File No. 333-13531)</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have acted on behalf of Weatherford International plc, a public limited company incorporated under the laws of Ireland with company number 540406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post-effective amendment to the registration statement on Form S-8 (File No. 333-13531) (the “</w:t>
      </w:r>
      <w:r>
        <w:rPr>
          <w:rFonts w:ascii="Arial" w:cs="Arial" w:eastAsia="Arial" w:hAnsi="Arial"/>
          <w:sz w:val="19"/>
          <w:szCs w:val="19"/>
          <w:b w:val="1"/>
          <w:bCs w:val="1"/>
          <w:color w:val="auto"/>
        </w:rPr>
        <w:t>Post-Effective Amendment</w:t>
      </w:r>
      <w:r>
        <w:rPr>
          <w:rFonts w:ascii="Arial" w:cs="Arial" w:eastAsia="Arial" w:hAnsi="Arial"/>
          <w:sz w:val="19"/>
          <w:szCs w:val="19"/>
          <w:color w:val="auto"/>
        </w:rPr>
        <w:t>”) to be filed by the Company, pursuant to the Securities Act of 1933 of the United States of America,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with the Securities and Exchange Commission of the United States of America (the “</w:t>
      </w:r>
      <w:r>
        <w:rPr>
          <w:rFonts w:ascii="Arial" w:cs="Arial" w:eastAsia="Arial" w:hAnsi="Arial"/>
          <w:sz w:val="19"/>
          <w:szCs w:val="19"/>
          <w:b w:val="1"/>
          <w:bCs w:val="1"/>
          <w:color w:val="auto"/>
        </w:rPr>
        <w:t>SEC</w:t>
      </w:r>
      <w:r>
        <w:rPr>
          <w:rFonts w:ascii="Arial" w:cs="Arial" w:eastAsia="Arial" w:hAnsi="Arial"/>
          <w:sz w:val="19"/>
          <w:szCs w:val="19"/>
          <w:color w:val="auto"/>
        </w:rPr>
        <w:t>”) with respect to the Company’s ordinary shares (nominal value of US$0.001 per share) (the “</w:t>
      </w:r>
      <w:r>
        <w:rPr>
          <w:rFonts w:ascii="Arial" w:cs="Arial" w:eastAsia="Arial" w:hAnsi="Arial"/>
          <w:sz w:val="19"/>
          <w:szCs w:val="19"/>
          <w:b w:val="1"/>
          <w:bCs w:val="1"/>
          <w:color w:val="auto"/>
        </w:rPr>
        <w:t>Shares</w:t>
      </w:r>
      <w:r>
        <w:rPr>
          <w:rFonts w:ascii="Arial" w:cs="Arial" w:eastAsia="Arial" w:hAnsi="Arial"/>
          <w:sz w:val="19"/>
          <w:szCs w:val="19"/>
          <w:color w:val="auto"/>
        </w:rPr>
        <w:t>”) to be issued and delivered under the Weatherford International, Inc. Foreign Executive Deferred Compensation Stock Plan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73"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216" w:lineRule="exact"/>
        <w:rPr>
          <w:sz w:val="20"/>
          <w:szCs w:val="20"/>
          <w:color w:val="auto"/>
        </w:rPr>
      </w:pPr>
    </w:p>
    <w:p>
      <w:pPr>
        <w:ind w:left="1260" w:hanging="644"/>
        <w:spacing w:after="0"/>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final form of the Post-Effective Amendment to be filed by the Company with the SEC;</w:t>
      </w:r>
    </w:p>
    <w:p>
      <w:pPr>
        <w:spacing w:after="0" w:line="215"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copy of the memorandum and articles of association of the Company, certified by the secretary of the Company as being true, complete and up-to-date;</w:t>
      </w:r>
    </w:p>
    <w:p>
      <w:pPr>
        <w:spacing w:after="0" w:line="176" w:lineRule="exact"/>
        <w:rPr>
          <w:rFonts w:ascii="Arial" w:cs="Arial" w:eastAsia="Arial" w:hAnsi="Arial"/>
          <w:sz w:val="20"/>
          <w:szCs w:val="20"/>
          <w:color w:val="auto"/>
        </w:rPr>
      </w:pPr>
    </w:p>
    <w:p>
      <w:pPr>
        <w:ind w:left="1260" w:right="20" w:hanging="644"/>
        <w:spacing w:after="0" w:line="287" w:lineRule="auto"/>
        <w:tabs>
          <w:tab w:leader="none" w:pos="126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copy minutes of a meeting of the board of directors’ of the Company held on 3 March 2014 and 6 June 2014, certified by the secretary to be a true and complete copy of those board minutes which have not since been amended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544830</wp:posOffset>
            </wp:positionV>
            <wp:extent cx="5848985" cy="977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779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260" w:right="20" w:hanging="644"/>
        <w:spacing w:after="0" w:line="26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copy written resolutions of the shareholders of the Company dated 6 June 2014, certified by the secretary to be true and complete copies of those shareholders’ resolutions which have not since been amended or rescinded;</w:t>
      </w:r>
    </w:p>
    <w:p>
      <w:pPr>
        <w:spacing w:after="0" w:line="170" w:lineRule="exact"/>
        <w:rPr>
          <w:rFonts w:ascii="Arial" w:cs="Arial" w:eastAsia="Arial" w:hAnsi="Arial"/>
          <w:sz w:val="20"/>
          <w:szCs w:val="20"/>
          <w:color w:val="auto"/>
        </w:rPr>
      </w:pPr>
    </w:p>
    <w:p>
      <w:pPr>
        <w:ind w:left="1260" w:hanging="644"/>
        <w:spacing w:after="0"/>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certificate of the secretary of the Company (the “</w:t>
      </w:r>
      <w:r>
        <w:rPr>
          <w:rFonts w:ascii="Arial" w:cs="Arial" w:eastAsia="Arial" w:hAnsi="Arial"/>
          <w:sz w:val="20"/>
          <w:szCs w:val="20"/>
          <w:b w:val="1"/>
          <w:bCs w:val="1"/>
          <w:color w:val="auto"/>
        </w:rPr>
        <w:t>Certificate</w:t>
      </w:r>
      <w:r>
        <w:rPr>
          <w:rFonts w:ascii="Arial" w:cs="Arial" w:eastAsia="Arial" w:hAnsi="Arial"/>
          <w:sz w:val="20"/>
          <w:szCs w:val="20"/>
          <w:color w:val="auto"/>
        </w:rPr>
        <w:t>”); and</w:t>
      </w:r>
    </w:p>
    <w:p>
      <w:pPr>
        <w:spacing w:after="0" w:line="221" w:lineRule="exact"/>
        <w:rPr>
          <w:rFonts w:ascii="Arial" w:cs="Arial" w:eastAsia="Arial" w:hAnsi="Arial"/>
          <w:sz w:val="20"/>
          <w:szCs w:val="20"/>
          <w:color w:val="auto"/>
        </w:rPr>
      </w:pPr>
    </w:p>
    <w:p>
      <w:pPr>
        <w:jc w:val="both"/>
        <w:ind w:left="1260" w:hanging="644"/>
        <w:spacing w:after="0" w:line="25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20"/>
          <w:szCs w:val="20"/>
          <w:b w:val="1"/>
          <w:bCs w:val="1"/>
          <w:color w:val="auto"/>
        </w:rPr>
        <w:t>Searches</w:t>
      </w:r>
      <w:r>
        <w:rPr>
          <w:rFonts w:ascii="Arial" w:cs="Arial" w:eastAsia="Arial" w:hAnsi="Arial"/>
          <w:sz w:val="20"/>
          <w:szCs w:val="20"/>
          <w:color w:val="auto"/>
        </w:rPr>
        <w:t>”).</w:t>
      </w:r>
    </w:p>
    <w:p>
      <w:pPr>
        <w:spacing w:after="0" w:line="186"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15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9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86"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86"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210"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Assumptions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For the purpose of giving this opinion we have assumed:</w:t>
      </w:r>
    </w:p>
    <w:p>
      <w:pPr>
        <w:spacing w:after="0" w:line="215" w:lineRule="exact"/>
        <w:rPr>
          <w:rFonts w:ascii="Arial" w:cs="Arial" w:eastAsia="Arial" w:hAnsi="Arial"/>
          <w:sz w:val="20"/>
          <w:szCs w:val="20"/>
          <w:color w:val="auto"/>
        </w:rPr>
      </w:pPr>
    </w:p>
    <w:p>
      <w:pPr>
        <w:ind w:left="1260" w:hanging="644"/>
        <w:spacing w:after="0"/>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authenticity and completeness of all documents submitted to us as originals;</w:t>
      </w:r>
    </w:p>
    <w:p>
      <w:pPr>
        <w:spacing w:after="0" w:line="215" w:lineRule="exact"/>
        <w:rPr>
          <w:rFonts w:ascii="Arial" w:cs="Arial" w:eastAsia="Arial" w:hAnsi="Arial"/>
          <w:sz w:val="20"/>
          <w:szCs w:val="20"/>
          <w:color w:val="auto"/>
        </w:rPr>
      </w:pPr>
    </w:p>
    <w:p>
      <w:pPr>
        <w:ind w:left="1260" w:hanging="644"/>
        <w:spacing w:after="0" w:line="316"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30573046.1</w:t>
      </w:r>
    </w:p>
    <w:p>
      <w:pPr>
        <w:sectPr>
          <w:pgSz w:w="11900" w:h="16838" w:orient="portrait"/>
          <w:cols w:equalWidth="0" w:num="1">
            <w:col w:w="11420"/>
          </w:cols>
          <w:pgMar w:left="240" w:top="798" w:right="239" w:bottom="1440" w:gutter="0" w:footer="0" w:header="0"/>
        </w:sectPr>
      </w:pPr>
    </w:p>
    <w:bookmarkStart w:id="9" w:name="page10"/>
    <w:bookmarkEnd w:id="9"/>
    <w:p>
      <w:pPr>
        <w:ind w:left="1260" w:hanging="644"/>
        <w:spacing w:after="0"/>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the genuineness of the signatures and seals on all original and copy documents which we have examined;</w:t>
      </w:r>
    </w:p>
    <w:p>
      <w:pPr>
        <w:spacing w:after="0" w:line="215" w:lineRule="exact"/>
        <w:rPr>
          <w:rFonts w:ascii="Arial" w:cs="Arial" w:eastAsia="Arial" w:hAnsi="Arial"/>
          <w:sz w:val="20"/>
          <w:szCs w:val="20"/>
          <w:color w:val="auto"/>
        </w:rPr>
      </w:pPr>
    </w:p>
    <w:p>
      <w:pPr>
        <w:jc w:val="both"/>
        <w:ind w:left="1260" w:hanging="644"/>
        <w:spacing w:after="0" w:line="246"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191"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written resolutions of the shareholders referred to above were duly passed and adopted and have not since been amended or rescinded;</w:t>
      </w:r>
    </w:p>
    <w:p>
      <w:pPr>
        <w:spacing w:after="0" w:line="176" w:lineRule="exact"/>
        <w:rPr>
          <w:rFonts w:ascii="Arial" w:cs="Arial" w:eastAsia="Arial" w:hAnsi="Arial"/>
          <w:sz w:val="20"/>
          <w:szCs w:val="20"/>
          <w:color w:val="auto"/>
        </w:rPr>
      </w:pPr>
    </w:p>
    <w:p>
      <w:pPr>
        <w:jc w:val="both"/>
        <w:ind w:left="1260" w:hanging="644"/>
        <w:spacing w:after="0" w:line="257"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 in accordance with section 20 of the Companies (Amendment) Act 1983, as amended (the “</w:t>
      </w:r>
      <w:r>
        <w:rPr>
          <w:rFonts w:ascii="Arial" w:cs="Arial" w:eastAsia="Arial" w:hAnsi="Arial"/>
          <w:sz w:val="19"/>
          <w:szCs w:val="19"/>
          <w:b w:val="1"/>
          <w:bCs w:val="1"/>
          <w:color w:val="auto"/>
        </w:rPr>
        <w:t>1983 Act</w:t>
      </w:r>
      <w:r>
        <w:rPr>
          <w:rFonts w:ascii="Arial" w:cs="Arial" w:eastAsia="Arial" w:hAnsi="Arial"/>
          <w:sz w:val="19"/>
          <w:szCs w:val="19"/>
          <w:color w:val="auto"/>
        </w:rPr>
        <w:t>”),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181" w:lineRule="exact"/>
        <w:rPr>
          <w:rFonts w:ascii="Arial" w:cs="Arial" w:eastAsia="Arial" w:hAnsi="Arial"/>
          <w:sz w:val="19"/>
          <w:szCs w:val="19"/>
          <w:color w:val="auto"/>
        </w:rPr>
      </w:pPr>
    </w:p>
    <w:p>
      <w:pPr>
        <w:ind w:left="1260" w:hanging="644"/>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Post-Effective Amendment will be effective and continue to be effective;</w:t>
      </w:r>
    </w:p>
    <w:p>
      <w:pPr>
        <w:spacing w:after="0" w:line="238" w:lineRule="exact"/>
        <w:rPr>
          <w:rFonts w:ascii="Arial" w:cs="Arial" w:eastAsia="Arial" w:hAnsi="Arial"/>
          <w:sz w:val="18"/>
          <w:szCs w:val="18"/>
          <w:color w:val="auto"/>
        </w:rPr>
      </w:pPr>
    </w:p>
    <w:p>
      <w:pPr>
        <w:jc w:val="both"/>
        <w:ind w:left="1260" w:hanging="644"/>
        <w:spacing w:after="0" w:line="244"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194" w:lineRule="exact"/>
        <w:rPr>
          <w:rFonts w:ascii="Arial" w:cs="Arial" w:eastAsia="Arial" w:hAnsi="Arial"/>
          <w:sz w:val="20"/>
          <w:szCs w:val="20"/>
          <w:color w:val="auto"/>
        </w:rPr>
      </w:pPr>
    </w:p>
    <w:p>
      <w:pPr>
        <w:jc w:val="both"/>
        <w:ind w:left="1260" w:hanging="644"/>
        <w:spacing w:after="0" w:line="263"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76" w:lineRule="exact"/>
        <w:rPr>
          <w:rFonts w:ascii="Arial" w:cs="Arial" w:eastAsia="Arial" w:hAnsi="Arial"/>
          <w:sz w:val="19"/>
          <w:szCs w:val="19"/>
          <w:color w:val="auto"/>
        </w:rPr>
      </w:pPr>
    </w:p>
    <w:p>
      <w:pPr>
        <w:jc w:val="both"/>
        <w:ind w:left="1260" w:hanging="644"/>
        <w:spacing w:after="0" w:line="250"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86" w:lineRule="exact"/>
        <w:rPr>
          <w:rFonts w:ascii="Arial" w:cs="Arial" w:eastAsia="Arial" w:hAnsi="Arial"/>
          <w:sz w:val="20"/>
          <w:szCs w:val="20"/>
          <w:color w:val="auto"/>
        </w:rPr>
      </w:pPr>
    </w:p>
    <w:p>
      <w:pPr>
        <w:jc w:val="both"/>
        <w:ind w:left="1260" w:hanging="644"/>
        <w:spacing w:after="0" w:line="257"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30573046.1</w:t>
      </w:r>
    </w:p>
    <w:p>
      <w:pPr>
        <w:sectPr>
          <w:pgSz w:w="11900" w:h="16838" w:orient="portrait"/>
          <w:cols w:equalWidth="0" w:num="1">
            <w:col w:w="11420"/>
          </w:cols>
          <w:pgMar w:left="240" w:top="798" w:right="239" w:bottom="1440" w:gutter="0" w:footer="0" w:header="0"/>
        </w:sectPr>
      </w:pPr>
    </w:p>
    <w:bookmarkStart w:id="10" w:name="page11"/>
    <w:bookmarkEnd w:id="10"/>
    <w:p>
      <w:pPr>
        <w:jc w:val="both"/>
        <w:ind w:left="1260" w:hanging="644"/>
        <w:spacing w:after="0" w:line="246"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 subscription by any person of or for any Shares save as permitted by, or pursuant to an exemption to, the said section 60;</w:t>
      </w:r>
    </w:p>
    <w:p>
      <w:pPr>
        <w:spacing w:after="0" w:line="191"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accuracy and completeness as to factual matters of the representations and warranties of the Company contained in the Post-Effective Amendment and the accuracy of the Certificate;</w:t>
      </w:r>
    </w:p>
    <w:p>
      <w:pPr>
        <w:spacing w:after="0" w:line="176" w:lineRule="exact"/>
        <w:rPr>
          <w:rFonts w:ascii="Arial" w:cs="Arial" w:eastAsia="Arial" w:hAnsi="Arial"/>
          <w:sz w:val="20"/>
          <w:szCs w:val="20"/>
          <w:color w:val="auto"/>
        </w:rPr>
      </w:pPr>
    </w:p>
    <w:p>
      <w:pPr>
        <w:ind w:left="1260" w:right="20" w:hanging="644"/>
        <w:spacing w:after="0" w:line="316"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spacing w:after="0" w:line="130" w:lineRule="exact"/>
        <w:rPr>
          <w:rFonts w:ascii="Arial" w:cs="Arial" w:eastAsia="Arial" w:hAnsi="Arial"/>
          <w:sz w:val="18"/>
          <w:szCs w:val="18"/>
          <w:color w:val="auto"/>
        </w:rPr>
      </w:pPr>
    </w:p>
    <w:p>
      <w:pPr>
        <w:jc w:val="both"/>
        <w:ind w:left="1260" w:hanging="644"/>
        <w:spacing w:after="0" w:line="269"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70" w:lineRule="exact"/>
        <w:rPr>
          <w:rFonts w:ascii="Arial" w:cs="Arial" w:eastAsia="Arial" w:hAnsi="Arial"/>
          <w:sz w:val="19"/>
          <w:szCs w:val="19"/>
          <w:color w:val="auto"/>
        </w:rPr>
      </w:pPr>
    </w:p>
    <w:p>
      <w:pPr>
        <w:jc w:val="both"/>
        <w:ind w:left="1260" w:hanging="644"/>
        <w:spacing w:after="0" w:line="282"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61" w:lineRule="exact"/>
        <w:rPr>
          <w:rFonts w:ascii="Arial" w:cs="Arial" w:eastAsia="Arial" w:hAnsi="Arial"/>
          <w:sz w:val="18"/>
          <w:szCs w:val="18"/>
          <w:color w:val="auto"/>
        </w:rPr>
      </w:pPr>
    </w:p>
    <w:p>
      <w:pPr>
        <w:jc w:val="both"/>
        <w:ind w:left="1260" w:hanging="644"/>
        <w:spacing w:after="0" w:line="259"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78" w:lineRule="exact"/>
        <w:rPr>
          <w:rFonts w:ascii="Arial" w:cs="Arial" w:eastAsia="Arial" w:hAnsi="Arial"/>
          <w:sz w:val="19"/>
          <w:szCs w:val="19"/>
          <w:color w:val="auto"/>
        </w:rPr>
      </w:pPr>
    </w:p>
    <w:p>
      <w:pPr>
        <w:ind w:left="1260" w:hanging="644"/>
        <w:spacing w:after="0" w:line="260"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truth of all representations and information given to us in reply to any queries we have made which we have considered necessary for the purposes of giving this opinion.</w:t>
      </w:r>
    </w:p>
    <w:p>
      <w:pPr>
        <w:spacing w:after="0" w:line="171"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221" w:lineRule="exact"/>
        <w:rPr>
          <w:rFonts w:ascii="Arial" w:cs="Arial" w:eastAsia="Arial" w:hAnsi="Arial"/>
          <w:sz w:val="20"/>
          <w:szCs w:val="20"/>
          <w:color w:val="auto"/>
        </w:rPr>
      </w:pPr>
    </w:p>
    <w:p>
      <w:pPr>
        <w:jc w:val="both"/>
        <w:ind w:left="620"/>
        <w:spacing w:after="0" w:line="276"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30573046.1</w:t>
      </w:r>
    </w:p>
    <w:p>
      <w:pPr>
        <w:sectPr>
          <w:pgSz w:w="11900" w:h="16838" w:orient="portrait"/>
          <w:cols w:equalWidth="0" w:num="1">
            <w:col w:w="11420"/>
          </w:cols>
          <w:pgMar w:left="240" w:top="798" w:right="239" w:bottom="1440" w:gutter="0" w:footer="0" w:header="0"/>
        </w:sectPr>
      </w:pPr>
    </w:p>
    <w:bookmarkStart w:id="11" w:name="page12"/>
    <w:bookmarkEnd w:id="11"/>
    <w:p>
      <w:pPr>
        <w:ind w:left="620" w:hanging="612"/>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Qualifications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The opinions set forth in this opinion letter are given subject to the following qualifications:</w:t>
      </w:r>
    </w:p>
    <w:p>
      <w:pPr>
        <w:spacing w:after="0" w:line="215"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 search at the Companies Registration Office is not capable of revealing whether or not a winding up petition or a petition for the appointment of an examiner has been presented; and</w:t>
      </w:r>
    </w:p>
    <w:p>
      <w:pPr>
        <w:spacing w:after="0" w:line="176" w:lineRule="exact"/>
        <w:rPr>
          <w:rFonts w:ascii="Arial" w:cs="Arial" w:eastAsia="Arial" w:hAnsi="Arial"/>
          <w:sz w:val="20"/>
          <w:szCs w:val="20"/>
          <w:color w:val="auto"/>
        </w:rPr>
      </w:pPr>
    </w:p>
    <w:p>
      <w:pPr>
        <w:ind w:left="1540" w:hanging="911"/>
        <w:spacing w:after="0" w:line="247" w:lineRule="auto"/>
        <w:tabs>
          <w:tab w:leader="none" w:pos="154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 search at the Registry of Winding up Petitions at the Central Office of the High Court is not capable of revealing whether or not a receiver has been appointed.</w:t>
      </w:r>
    </w:p>
    <w:p>
      <w:pPr>
        <w:spacing w:after="0" w:line="2" w:lineRule="exact"/>
        <w:rPr>
          <w:sz w:val="20"/>
          <w:szCs w:val="20"/>
          <w:color w:val="auto"/>
        </w:rPr>
      </w:pPr>
    </w:p>
    <w:p>
      <w:pPr>
        <w:jc w:val="both"/>
        <w:ind w:left="620"/>
        <w:spacing w:after="0" w:line="282"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MATHESON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30573046.1</w:t>
      </w:r>
    </w:p>
    <w:p>
      <w:pPr>
        <w:sectPr>
          <w:pgSz w:w="11900" w:h="16838" w:orient="portrait"/>
          <w:cols w:equalWidth="0" w:num="1">
            <w:col w:w="11420"/>
          </w:cols>
          <w:pgMar w:left="240" w:top="792"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of Weatherford International plc, successor issuer to Weatherford International Ltd., relating to the Weatherford International, Inc. Foreign Executive Deferred Compensation Stock Plan,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2014</w:t>
      </w:r>
    </w:p>
    <w:p>
      <w:pPr>
        <w:sectPr>
          <w:pgSz w:w="11900" w:h="16838" w:orient="portrait"/>
          <w:cols w:equalWidth="0" w:num="1">
            <w:col w:w="11420"/>
          </w:cols>
          <w:pgMar w:left="24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the Registration Statement (Form S-8 No. 333-13531) pertaining to the Weatherford International, Inc. Foreign Executive Deferred Compensation Stock Plan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9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713"/>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4"/>
    </w:lvl>
  </w:abstractNum>
  <w:abstractNum w:abstractNumId="6">
    <w:nsid w:val="5BD062C2"/>
    <w:multiLevelType w:val="hybridMultilevel"/>
    <w:lvl w:ilvl="0">
      <w:lvlJc w:val="left"/>
      <w:lvlText w:val="2"/>
      <w:numFmt w:val="bullet"/>
      <w:start w:val="1"/>
    </w:lvl>
    <w:lvl w:ilvl="1">
      <w:lvlJc w:val="left"/>
      <w:lvlText w:val="(%2)"/>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2"/>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2019-12-08T11:00:17Z</dcterms:created>
  <dcterms:modified xsi:type="dcterms:W3CDTF">2019-12-08T11:00:17Z</dcterms:modified>
</cp:coreProperties>
</file>