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10, 2020</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Ireland</w:t>
            </w:r>
          </w:p>
        </w:tc>
        <w:tc>
          <w:tcPr>
            <w:tcW w:w="32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001-36504</w:t>
            </w:r>
          </w:p>
        </w:tc>
        <w:tc>
          <w:tcPr>
            <w:tcW w:w="37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42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2000 St. James Place,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Houston, Texas</w:t>
            </w:r>
          </w:p>
        </w:tc>
        <w:tc>
          <w:tcPr>
            <w:tcW w:w="3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77056</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713.836.4000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30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Trading Symbol(s)</w:t>
            </w:r>
            <w:r>
              <w:rPr>
                <w:rFonts w:ascii="Arial" w:cs="Arial" w:eastAsia="Arial" w:hAnsi="Arial"/>
                <w:sz w:val="29"/>
                <w:szCs w:val="29"/>
                <w:color w:val="auto"/>
                <w:w w:val="90"/>
                <w:vertAlign w:val="superscript"/>
              </w:rPr>
              <w:t>1</w:t>
            </w:r>
          </w:p>
        </w:tc>
        <w:tc>
          <w:tcPr>
            <w:tcW w:w="4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tcBorders>
              <w:bottom w:val="single" w:sz="8" w:color="auto"/>
              <w:right w:val="single" w:sz="8" w:color="auto"/>
            </w:tcBorders>
            <w:vMerge w:val="continue"/>
          </w:tcPr>
          <w:p>
            <w:pPr>
              <w:spacing w:after="0"/>
              <w:rPr>
                <w:sz w:val="20"/>
                <w:szCs w:val="20"/>
                <w:color w:val="auto"/>
              </w:rPr>
            </w:pP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10"/>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WFTLF</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4"/>
          <w:szCs w:val="24"/>
          <w:color w:val="auto"/>
        </w:rPr>
      </w:pPr>
    </w:p>
    <w:p>
      <w:pPr>
        <w:ind w:left="340" w:right="100" w:hanging="332"/>
        <w:spacing w:after="0" w:line="214"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On April 17, 2020, the New York Stock Exchange (the “NYSE”) filed a Form 25 (the “Form 25”) with the Securities and Exchange Commission delisting our ordinary shares from trading on the NYSE, which delisting became effective 10 days after the filing of the Form 25. In accordance with Rule 12d2-2 of the Securities Exchange Act of 1934, as amended (the “Exchange Act”), the de-registration of our ordinary shares under Section 12(b) of the Exchange Act will become effective 90 days from the date of the Form 25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Mr. Karl Blanchard as the Interim Chief Executive Officer and Compensation Arrangements of Mr. Blanchard</w:t>
      </w:r>
    </w:p>
    <w:p>
      <w:pPr>
        <w:spacing w:after="0" w:line="202" w:lineRule="exact"/>
        <w:rPr>
          <w:sz w:val="20"/>
          <w:szCs w:val="20"/>
          <w:color w:val="auto"/>
        </w:rPr>
      </w:pPr>
    </w:p>
    <w:p>
      <w:pPr>
        <w:ind w:right="80" w:firstLine="1296"/>
        <w:spacing w:after="0" w:line="311" w:lineRule="auto"/>
        <w:rPr>
          <w:sz w:val="20"/>
          <w:szCs w:val="20"/>
          <w:color w:val="auto"/>
        </w:rPr>
      </w:pPr>
      <w:r>
        <w:rPr>
          <w:rFonts w:ascii="Arial" w:cs="Arial" w:eastAsia="Arial" w:hAnsi="Arial"/>
          <w:sz w:val="16"/>
          <w:szCs w:val="16"/>
          <w:color w:val="auto"/>
        </w:rPr>
        <w:t>Karl Blanchard, Executive Vice President, Chief Operating Officer, and a member of the Office of the Chief Executive of Weatherford International plc (the “Company”), was appointed the interim Chief Executive Officer of the Company effective June 16, 2020, to lead the Company on an interim basis. In connection with such appointment, Mr. Blanchard will have additional responsibilities as determined by the Board of the Company.</w:t>
      </w:r>
    </w:p>
    <w:p>
      <w:pPr>
        <w:spacing w:after="0" w:line="108"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In consideration for his expanded responsibilities, effective June 10, 2020, Mr. Blanchard’s base salary has increased by $11,667 per month from his voluntary reduced salary rate. Mr. Blanchard is also eligible to receive monthly cash payments of $370,296, which are payable on the 15th day of each month from July 15, 2020 through February 15, 2021 (the “Additional Payments”). The gross amount of the Additional Payments are subject to repayment if his employment terminates for any reason other than by the Company without cause or for good reason prior to the earlier of (1) February 15, 2021 and (2) the 90th day following the commencement of a new Chief Executive Officer’s employment. Any severance benefits payable to Mr. Blanchard will be reduced by the amount of the Additional Payments actually paid to him as of the date of termination. In addition, the definition of “good reason” under Mr. Blanchard’s Change in Control Agreement and Cash LTI Award has been amended to include the following additional prong: “the occurrence of the earlier of (A) February 15, 2021 and (B) 90 days following the employment commencement date of a new Chief Executive Officer of the Company.”</w:t>
      </w:r>
    </w:p>
    <w:p>
      <w:pPr>
        <w:spacing w:after="0" w:line="125"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Additional information concerning Mr. Blanchard has been previously reported in the Company’s Annual Report on Form 10-K for the year ended December 31, 2019, the Company’s Form 8-K filed on November 14, 2019, the Company’s Form 8-K filed on June 8, 2020 and the Company’s definitive proxy statement filed on April 27, 2020 (the “Proxy Statement”), in each case, filed with the SEC.</w:t>
      </w:r>
    </w:p>
    <w:p>
      <w:pPr>
        <w:spacing w:after="0" w:line="157"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There are no arrangements or understandings between Mr. Blanchard and any other persons pursuant to which Mr. Blanchard was selected to act as the interim Chief Executive Officer of the Company. Mr. Blanchard does not have any family relationships subject to disclosure under Item 401(d) of Regulation S-K or any direct or indirect material interest in any transaction required to be disclosed pursuant to Item 404(a) of Regulation S-K. The compensation arrangements for Mr. Blanchard as disclosed above remain in effect as of this time, although changes may occur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Mr. Christian A. Garcia</w:t>
      </w:r>
    </w:p>
    <w:p>
      <w:pPr>
        <w:spacing w:after="0" w:line="189" w:lineRule="exact"/>
        <w:rPr>
          <w:sz w:val="20"/>
          <w:szCs w:val="20"/>
          <w:color w:val="auto"/>
        </w:rPr>
      </w:pPr>
    </w:p>
    <w:p>
      <w:pPr>
        <w:ind w:right="240" w:firstLine="1296"/>
        <w:spacing w:after="0" w:line="263" w:lineRule="auto"/>
        <w:rPr>
          <w:sz w:val="20"/>
          <w:szCs w:val="20"/>
          <w:color w:val="auto"/>
        </w:rPr>
      </w:pPr>
      <w:r>
        <w:rPr>
          <w:rFonts w:ascii="Arial" w:cs="Arial" w:eastAsia="Arial" w:hAnsi="Arial"/>
          <w:sz w:val="18"/>
          <w:szCs w:val="18"/>
          <w:color w:val="auto"/>
        </w:rPr>
        <w:t>Christian A. Garcia, Executive Vice President, Chief Financial Officer and a member of the Office of the Chief Executive of the Company, resigned from the Office of the Chief Executive effective as of June 16, 2020. Mr. Garcia also resigned as Executive Vice President and Chief Financial Officer of the Company effective on August 5,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Mr. Benjamin C. Duster IV as a Director</w:t>
      </w:r>
    </w:p>
    <w:p>
      <w:pPr>
        <w:spacing w:after="0" w:line="189"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On June 16, 2020, the Board of Directors of the Company (the “Board”) increased the size of its Board from three to four members and appointed Benjamin C. Duster IV to serve as a member of the Board of the Company, effective immediately.</w:t>
      </w:r>
    </w:p>
    <w:p>
      <w:pPr>
        <w:spacing w:after="0" w:line="130"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In connection with his appointment to the Board of the Company, Mr. Duster will receive the Company’s standard compensatory arrangements for non-employee directors, which will take into account the reduction in compensation that the current non-employee directors voluntarily implemented effective July 1, 2020. A description of the compensatory arrangements for non-employee directors is included in the Proxy Statement. Mr. Duster will also enter into standard director indemnification agreements with the Company and one of its primary subsidiaries, the forms of which has been previously filed with the SEC.</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both"/>
        <w:ind w:right="80" w:firstLine="1296"/>
        <w:spacing w:after="0" w:line="259" w:lineRule="auto"/>
        <w:rPr>
          <w:sz w:val="20"/>
          <w:szCs w:val="20"/>
          <w:color w:val="auto"/>
        </w:rPr>
      </w:pPr>
      <w:r>
        <w:rPr>
          <w:rFonts w:ascii="Arial" w:cs="Arial" w:eastAsia="Arial" w:hAnsi="Arial"/>
          <w:sz w:val="18"/>
          <w:szCs w:val="18"/>
          <w:color w:val="auto"/>
        </w:rPr>
        <w:t>There are no arrangements or understandings between Mr. Duster and any other persons pursuant to which Mr. Duster was selected as a director. Mr. Duster does not have any family relationship with any director or executive officer of the Company or any person nominated or chosen by the Company to become a director or executive officer. There are no transactions in which Mr. Duster has an interest requiring disclosure under Item 404(a) of Regulation S-K.</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89"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auto"/>
        </w:rPr>
        <w:t>The 2020 Annual General Meeting of Shareholders (the “Annual Meeting”) of the Company was held on June 12, 2020. At the Annual Meeting, 66,126,213 ordinary shares, or approximately 94.44%, of the 70,017,356 issued and outstanding ordinary shares entitled to vote at the Annual Meeting were present in person or by proxies.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Set forth below are the results of the matters voted upon by the shareholders at the Annual Meeting.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1"/>
              </w:rPr>
              <w:t>Votes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Votes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Agenda Item</w:t>
            </w: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Votes For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Against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Abstaining</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Non-Votes</w:t>
            </w:r>
          </w:p>
        </w:tc>
      </w:tr>
      <w:tr>
        <w:trPr>
          <w:trHeight w:val="209"/>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1.</w:t>
            </w:r>
          </w:p>
        </w:tc>
        <w:tc>
          <w:tcPr>
            <w:tcW w:w="5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Election of the following directors: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360"/>
              <w:spacing w:after="0"/>
              <w:rPr>
                <w:sz w:val="20"/>
                <w:szCs w:val="20"/>
                <w:color w:val="auto"/>
              </w:rPr>
            </w:pPr>
            <w:r>
              <w:rPr>
                <w:rFonts w:ascii="Arial" w:cs="Arial" w:eastAsia="Arial" w:hAnsi="Arial"/>
                <w:sz w:val="18"/>
                <w:szCs w:val="18"/>
                <w:color w:val="auto"/>
              </w:rPr>
              <w:t>Thomas R. Bates</w:t>
            </w:r>
          </w:p>
        </w:tc>
        <w:tc>
          <w:tcPr>
            <w:tcW w:w="12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29,819,236</w:t>
            </w:r>
          </w:p>
        </w:tc>
        <w:tc>
          <w:tcPr>
            <w:tcW w:w="124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34,041,541</w:t>
            </w:r>
          </w:p>
        </w:tc>
        <w:tc>
          <w:tcPr>
            <w:tcW w:w="12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507,950</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tcPr>
          <w:p>
            <w:pPr>
              <w:ind w:left="360"/>
              <w:spacing w:after="0"/>
              <w:rPr>
                <w:sz w:val="20"/>
                <w:szCs w:val="20"/>
                <w:color w:val="auto"/>
              </w:rPr>
            </w:pPr>
            <w:r>
              <w:rPr>
                <w:rFonts w:ascii="Arial" w:cs="Arial" w:eastAsia="Arial" w:hAnsi="Arial"/>
                <w:sz w:val="18"/>
                <w:szCs w:val="18"/>
                <w:color w:val="auto"/>
              </w:rPr>
              <w:t>John F. Glick</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19,025,120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43,631,386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1,712,221</w:t>
            </w:r>
          </w:p>
        </w:tc>
        <w:tc>
          <w:tcPr>
            <w:tcW w:w="1120" w:type="dxa"/>
            <w:vAlign w:val="bottom"/>
          </w:tcPr>
          <w:p>
            <w:pPr>
              <w:jc w:val="right"/>
              <w:spacing w:after="0"/>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360"/>
              <w:spacing w:after="0"/>
              <w:rPr>
                <w:sz w:val="20"/>
                <w:szCs w:val="20"/>
                <w:color w:val="auto"/>
              </w:rPr>
            </w:pPr>
            <w:r>
              <w:rPr>
                <w:rFonts w:ascii="Arial" w:cs="Arial" w:eastAsia="Arial" w:hAnsi="Arial"/>
                <w:sz w:val="18"/>
                <w:szCs w:val="18"/>
                <w:color w:val="auto"/>
              </w:rPr>
              <w:t>Neal P. Goldman</w:t>
            </w:r>
          </w:p>
        </w:tc>
        <w:tc>
          <w:tcPr>
            <w:tcW w:w="12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63,645,542</w:t>
            </w:r>
          </w:p>
        </w:tc>
        <w:tc>
          <w:tcPr>
            <w:tcW w:w="124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197,506</w:t>
            </w:r>
          </w:p>
        </w:tc>
        <w:tc>
          <w:tcPr>
            <w:tcW w:w="12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525,679</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tcPr>
          <w:p>
            <w:pPr>
              <w:ind w:left="360"/>
              <w:spacing w:after="0"/>
              <w:rPr>
                <w:sz w:val="20"/>
                <w:szCs w:val="20"/>
                <w:color w:val="auto"/>
              </w:rPr>
            </w:pPr>
            <w:r>
              <w:rPr>
                <w:rFonts w:ascii="Arial" w:cs="Arial" w:eastAsia="Arial" w:hAnsi="Arial"/>
                <w:sz w:val="18"/>
                <w:szCs w:val="18"/>
                <w:color w:val="auto"/>
              </w:rPr>
              <w:t>Gordon T. Hall</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19,024,193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44,836,486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508,048</w:t>
            </w:r>
          </w:p>
        </w:tc>
        <w:tc>
          <w:tcPr>
            <w:tcW w:w="1120" w:type="dxa"/>
            <w:vAlign w:val="bottom"/>
          </w:tcPr>
          <w:p>
            <w:pPr>
              <w:jc w:val="right"/>
              <w:spacing w:after="0"/>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360"/>
              <w:spacing w:after="0"/>
              <w:rPr>
                <w:sz w:val="20"/>
                <w:szCs w:val="20"/>
                <w:color w:val="auto"/>
              </w:rPr>
            </w:pPr>
            <w:r>
              <w:rPr>
                <w:rFonts w:ascii="Arial" w:cs="Arial" w:eastAsia="Arial" w:hAnsi="Arial"/>
                <w:sz w:val="18"/>
                <w:szCs w:val="18"/>
                <w:color w:val="auto"/>
              </w:rPr>
              <w:t>Jacqueline C. Mutschler</w:t>
            </w:r>
          </w:p>
        </w:tc>
        <w:tc>
          <w:tcPr>
            <w:tcW w:w="12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63,784,852</w:t>
            </w:r>
          </w:p>
        </w:tc>
        <w:tc>
          <w:tcPr>
            <w:tcW w:w="1240" w:type="dxa"/>
            <w:vAlign w:val="bottom"/>
            <w:gridSpan w:val="2"/>
            <w:shd w:val="clear" w:color="auto" w:fill="C6F4F9"/>
          </w:tcPr>
          <w:p>
            <w:pPr>
              <w:jc w:val="right"/>
              <w:ind w:right="120"/>
              <w:spacing w:after="0"/>
              <w:rPr>
                <w:sz w:val="20"/>
                <w:szCs w:val="20"/>
                <w:color w:val="auto"/>
              </w:rPr>
            </w:pPr>
            <w:r>
              <w:rPr>
                <w:rFonts w:ascii="Arial" w:cs="Arial" w:eastAsia="Arial" w:hAnsi="Arial"/>
                <w:sz w:val="18"/>
                <w:szCs w:val="18"/>
                <w:color w:val="auto"/>
              </w:rPr>
              <w:t>75,518</w:t>
            </w:r>
          </w:p>
        </w:tc>
        <w:tc>
          <w:tcPr>
            <w:tcW w:w="122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508,357</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300" w:type="dxa"/>
            <w:vAlign w:val="bottom"/>
            <w:gridSpan w:val="2"/>
          </w:tcPr>
          <w:p>
            <w:pPr>
              <w:ind w:left="360"/>
              <w:spacing w:after="0"/>
              <w:rPr>
                <w:sz w:val="20"/>
                <w:szCs w:val="20"/>
                <w:color w:val="auto"/>
              </w:rPr>
            </w:pPr>
            <w:r>
              <w:rPr>
                <w:rFonts w:ascii="Arial" w:cs="Arial" w:eastAsia="Arial" w:hAnsi="Arial"/>
                <w:sz w:val="18"/>
                <w:szCs w:val="18"/>
                <w:color w:val="auto"/>
              </w:rPr>
              <w:t>Charles M. Sledge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63,784,491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75,945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508,291</w:t>
            </w:r>
          </w:p>
        </w:tc>
        <w:tc>
          <w:tcPr>
            <w:tcW w:w="1120" w:type="dxa"/>
            <w:vAlign w:val="bottom"/>
          </w:tcPr>
          <w:p>
            <w:pPr>
              <w:jc w:val="right"/>
              <w:spacing w:after="0"/>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8"/>
                <w:szCs w:val="18"/>
                <w:color w:val="auto"/>
              </w:rPr>
            </w:pPr>
          </w:p>
        </w:tc>
      </w:tr>
      <w:tr>
        <w:trPr>
          <w:trHeight w:val="202"/>
        </w:trPr>
        <w:tc>
          <w:tcPr>
            <w:tcW w:w="1140" w:type="dxa"/>
            <w:vAlign w:val="bottom"/>
            <w:shd w:val="clear" w:color="auto" w:fill="C6F4F9"/>
          </w:tcPr>
          <w:p>
            <w:pPr>
              <w:spacing w:after="0" w:line="201" w:lineRule="exact"/>
              <w:rPr>
                <w:sz w:val="20"/>
                <w:szCs w:val="20"/>
                <w:color w:val="auto"/>
              </w:rPr>
            </w:pPr>
            <w:r>
              <w:rPr>
                <w:rFonts w:ascii="Arial" w:cs="Arial" w:eastAsia="Arial" w:hAnsi="Arial"/>
                <w:sz w:val="18"/>
                <w:szCs w:val="18"/>
                <w:color w:val="auto"/>
              </w:rPr>
              <w:t>Item 2.</w:t>
            </w:r>
          </w:p>
        </w:tc>
        <w:tc>
          <w:tcPr>
            <w:tcW w:w="5300" w:type="dxa"/>
            <w:vAlign w:val="bottom"/>
            <w:gridSpan w:val="2"/>
            <w:shd w:val="clear" w:color="auto" w:fill="C6F4F9"/>
          </w:tcPr>
          <w:p>
            <w:pPr>
              <w:ind w:left="120"/>
              <w:spacing w:after="0" w:line="201" w:lineRule="exact"/>
              <w:rPr>
                <w:sz w:val="20"/>
                <w:szCs w:val="20"/>
                <w:color w:val="auto"/>
              </w:rPr>
            </w:pPr>
            <w:r>
              <w:rPr>
                <w:rFonts w:ascii="Arial" w:cs="Arial" w:eastAsia="Arial" w:hAnsi="Arial"/>
                <w:sz w:val="18"/>
                <w:szCs w:val="18"/>
                <w:color w:val="auto"/>
                <w:w w:val="94"/>
              </w:rPr>
              <w:t>Ratify the appointment of KPMG LLP as the Company’s independent</w:t>
            </w:r>
          </w:p>
        </w:tc>
        <w:tc>
          <w:tcPr>
            <w:tcW w:w="1220" w:type="dxa"/>
            <w:vAlign w:val="bottom"/>
            <w:gridSpan w:val="2"/>
            <w:shd w:val="clear" w:color="auto" w:fill="C6F4F9"/>
          </w:tcPr>
          <w:p>
            <w:pPr>
              <w:jc w:val="right"/>
              <w:ind w:right="100"/>
              <w:spacing w:after="0" w:line="201" w:lineRule="exact"/>
              <w:rPr>
                <w:sz w:val="20"/>
                <w:szCs w:val="20"/>
                <w:color w:val="auto"/>
              </w:rPr>
            </w:pPr>
            <w:r>
              <w:rPr>
                <w:rFonts w:ascii="Arial" w:cs="Arial" w:eastAsia="Arial" w:hAnsi="Arial"/>
                <w:sz w:val="18"/>
                <w:szCs w:val="18"/>
                <w:color w:val="auto"/>
              </w:rPr>
              <w:t>65,595,785</w:t>
            </w:r>
          </w:p>
        </w:tc>
        <w:tc>
          <w:tcPr>
            <w:tcW w:w="1240" w:type="dxa"/>
            <w:vAlign w:val="bottom"/>
            <w:gridSpan w:val="2"/>
            <w:shd w:val="clear" w:color="auto" w:fill="C6F4F9"/>
          </w:tcPr>
          <w:p>
            <w:pPr>
              <w:jc w:val="right"/>
              <w:ind w:right="120"/>
              <w:spacing w:after="0" w:line="201" w:lineRule="exact"/>
              <w:rPr>
                <w:sz w:val="20"/>
                <w:szCs w:val="20"/>
                <w:color w:val="auto"/>
              </w:rPr>
            </w:pPr>
            <w:r>
              <w:rPr>
                <w:rFonts w:ascii="Arial" w:cs="Arial" w:eastAsia="Arial" w:hAnsi="Arial"/>
                <w:sz w:val="18"/>
                <w:szCs w:val="18"/>
                <w:color w:val="auto"/>
              </w:rPr>
              <w:t>24,548</w:t>
            </w:r>
          </w:p>
        </w:tc>
        <w:tc>
          <w:tcPr>
            <w:tcW w:w="1220" w:type="dxa"/>
            <w:vAlign w:val="bottom"/>
            <w:gridSpan w:val="2"/>
            <w:shd w:val="clear" w:color="auto" w:fill="C6F4F9"/>
          </w:tcPr>
          <w:p>
            <w:pPr>
              <w:jc w:val="right"/>
              <w:ind w:right="100"/>
              <w:spacing w:after="0" w:line="201" w:lineRule="exact"/>
              <w:rPr>
                <w:sz w:val="20"/>
                <w:szCs w:val="20"/>
                <w:color w:val="auto"/>
              </w:rPr>
            </w:pPr>
            <w:r>
              <w:rPr>
                <w:rFonts w:ascii="Arial" w:cs="Arial" w:eastAsia="Arial" w:hAnsi="Arial"/>
                <w:sz w:val="18"/>
                <w:szCs w:val="18"/>
                <w:color w:val="auto"/>
              </w:rPr>
              <w:t>505,880</w:t>
            </w:r>
          </w:p>
        </w:tc>
        <w:tc>
          <w:tcPr>
            <w:tcW w:w="1120" w:type="dxa"/>
            <w:vAlign w:val="bottom"/>
            <w:shd w:val="clear" w:color="auto" w:fill="C6F4F9"/>
          </w:tcPr>
          <w:p>
            <w:pPr>
              <w:jc w:val="center"/>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120"/>
              <w:spacing w:after="0"/>
              <w:rPr>
                <w:sz w:val="20"/>
                <w:szCs w:val="20"/>
                <w:color w:val="auto"/>
              </w:rPr>
            </w:pPr>
            <w:r>
              <w:rPr>
                <w:rFonts w:ascii="Arial" w:cs="Arial" w:eastAsia="Arial" w:hAnsi="Arial"/>
                <w:sz w:val="18"/>
                <w:szCs w:val="18"/>
                <w:color w:val="auto"/>
                <w:w w:val="98"/>
              </w:rPr>
              <w:t>registered public accounting firm and auditor for the financial year</w:t>
            </w: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120"/>
              <w:spacing w:after="0"/>
              <w:rPr>
                <w:sz w:val="20"/>
                <w:szCs w:val="20"/>
                <w:color w:val="auto"/>
              </w:rPr>
            </w:pPr>
            <w:r>
              <w:rPr>
                <w:rFonts w:ascii="Arial" w:cs="Arial" w:eastAsia="Arial" w:hAnsi="Arial"/>
                <w:sz w:val="18"/>
                <w:szCs w:val="18"/>
                <w:color w:val="auto"/>
              </w:rPr>
              <w:t>ending December 31, 2020 and KPMG Chartered Accountants,</w:t>
            </w: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120"/>
              <w:spacing w:after="0"/>
              <w:rPr>
                <w:sz w:val="20"/>
                <w:szCs w:val="20"/>
                <w:color w:val="auto"/>
              </w:rPr>
            </w:pPr>
            <w:r>
              <w:rPr>
                <w:rFonts w:ascii="Arial" w:cs="Arial" w:eastAsia="Arial" w:hAnsi="Arial"/>
                <w:sz w:val="18"/>
                <w:szCs w:val="18"/>
                <w:color w:val="auto"/>
              </w:rPr>
              <w:t>Dublin as the Company’s statutory auditor under Irish law to hold</w:t>
            </w: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120"/>
              <w:spacing w:after="0"/>
              <w:rPr>
                <w:sz w:val="20"/>
                <w:szCs w:val="20"/>
                <w:color w:val="auto"/>
              </w:rPr>
            </w:pPr>
            <w:r>
              <w:rPr>
                <w:rFonts w:ascii="Arial" w:cs="Arial" w:eastAsia="Arial" w:hAnsi="Arial"/>
                <w:sz w:val="18"/>
                <w:szCs w:val="18"/>
                <w:color w:val="auto"/>
                <w:w w:val="94"/>
              </w:rPr>
              <w:t>office until the close of the 2021 Annual Meeting and to authorize the</w:t>
            </w: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6F4F9"/>
          </w:tcPr>
          <w:p>
            <w:pPr>
              <w:spacing w:after="0"/>
              <w:rPr>
                <w:sz w:val="18"/>
                <w:szCs w:val="18"/>
                <w:color w:val="auto"/>
              </w:rPr>
            </w:pPr>
          </w:p>
        </w:tc>
        <w:tc>
          <w:tcPr>
            <w:tcW w:w="5300" w:type="dxa"/>
            <w:vAlign w:val="bottom"/>
            <w:gridSpan w:val="2"/>
            <w:shd w:val="clear" w:color="auto" w:fill="C6F4F9"/>
          </w:tcPr>
          <w:p>
            <w:pPr>
              <w:ind w:left="120"/>
              <w:spacing w:after="0"/>
              <w:rPr>
                <w:sz w:val="20"/>
                <w:szCs w:val="20"/>
                <w:color w:val="auto"/>
              </w:rPr>
            </w:pPr>
            <w:r>
              <w:rPr>
                <w:rFonts w:ascii="Arial" w:cs="Arial" w:eastAsia="Arial" w:hAnsi="Arial"/>
                <w:sz w:val="18"/>
                <w:szCs w:val="18"/>
                <w:color w:val="auto"/>
              </w:rPr>
              <w:t>board of directors of the Company, acting through the Audit</w:t>
            </w: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c>
          <w:tcPr>
            <w:tcW w:w="1120" w:type="dxa"/>
            <w:vAlign w:val="bottom"/>
            <w:shd w:val="clear" w:color="auto" w:fill="C6F4F9"/>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140" w:type="dxa"/>
            <w:vAlign w:val="bottom"/>
            <w:shd w:val="clear" w:color="auto" w:fill="C6F4F9"/>
          </w:tcPr>
          <w:p>
            <w:pPr>
              <w:spacing w:after="0"/>
              <w:rPr>
                <w:sz w:val="20"/>
                <w:szCs w:val="20"/>
                <w:color w:val="auto"/>
              </w:rPr>
            </w:pPr>
          </w:p>
        </w:tc>
        <w:tc>
          <w:tcPr>
            <w:tcW w:w="5300" w:type="dxa"/>
            <w:vAlign w:val="bottom"/>
            <w:gridSpan w:val="2"/>
            <w:shd w:val="clear" w:color="auto" w:fill="C6F4F9"/>
          </w:tcPr>
          <w:p>
            <w:pPr>
              <w:ind w:left="120"/>
              <w:spacing w:after="0"/>
              <w:rPr>
                <w:sz w:val="20"/>
                <w:szCs w:val="20"/>
                <w:color w:val="auto"/>
              </w:rPr>
            </w:pPr>
            <w:r>
              <w:rPr>
                <w:rFonts w:ascii="Arial" w:cs="Arial" w:eastAsia="Arial" w:hAnsi="Arial"/>
                <w:sz w:val="18"/>
                <w:szCs w:val="18"/>
                <w:color w:val="auto"/>
              </w:rPr>
              <w:t>Committee, to determine auditor’s remuneration.</w:t>
            </w:r>
          </w:p>
        </w:tc>
        <w:tc>
          <w:tcPr>
            <w:tcW w:w="1120" w:type="dxa"/>
            <w:vAlign w:val="bottom"/>
            <w:shd w:val="clear" w:color="auto" w:fill="C6F4F9"/>
          </w:tcPr>
          <w:p>
            <w:pPr>
              <w:spacing w:after="0"/>
              <w:rPr>
                <w:sz w:val="20"/>
                <w:szCs w:val="20"/>
                <w:color w:val="auto"/>
              </w:rPr>
            </w:pPr>
          </w:p>
        </w:tc>
        <w:tc>
          <w:tcPr>
            <w:tcW w:w="100" w:type="dxa"/>
            <w:vAlign w:val="bottom"/>
            <w:shd w:val="clear" w:color="auto" w:fill="C6F4F9"/>
          </w:tcPr>
          <w:p>
            <w:pPr>
              <w:spacing w:after="0"/>
              <w:rPr>
                <w:sz w:val="20"/>
                <w:szCs w:val="20"/>
                <w:color w:val="auto"/>
              </w:rPr>
            </w:pPr>
          </w:p>
        </w:tc>
        <w:tc>
          <w:tcPr>
            <w:tcW w:w="1120" w:type="dxa"/>
            <w:vAlign w:val="bottom"/>
            <w:shd w:val="clear" w:color="auto" w:fill="C6F4F9"/>
          </w:tcPr>
          <w:p>
            <w:pPr>
              <w:spacing w:after="0"/>
              <w:rPr>
                <w:sz w:val="20"/>
                <w:szCs w:val="20"/>
                <w:color w:val="auto"/>
              </w:rPr>
            </w:pPr>
          </w:p>
        </w:tc>
        <w:tc>
          <w:tcPr>
            <w:tcW w:w="120" w:type="dxa"/>
            <w:vAlign w:val="bottom"/>
            <w:shd w:val="clear" w:color="auto" w:fill="C6F4F9"/>
          </w:tcPr>
          <w:p>
            <w:pPr>
              <w:spacing w:after="0"/>
              <w:rPr>
                <w:sz w:val="20"/>
                <w:szCs w:val="20"/>
                <w:color w:val="auto"/>
              </w:rPr>
            </w:pPr>
          </w:p>
        </w:tc>
        <w:tc>
          <w:tcPr>
            <w:tcW w:w="1120" w:type="dxa"/>
            <w:vAlign w:val="bottom"/>
            <w:shd w:val="clear" w:color="auto" w:fill="C6F4F9"/>
          </w:tcPr>
          <w:p>
            <w:pPr>
              <w:spacing w:after="0"/>
              <w:rPr>
                <w:sz w:val="20"/>
                <w:szCs w:val="20"/>
                <w:color w:val="auto"/>
              </w:rPr>
            </w:pPr>
          </w:p>
        </w:tc>
        <w:tc>
          <w:tcPr>
            <w:tcW w:w="100" w:type="dxa"/>
            <w:vAlign w:val="bottom"/>
            <w:shd w:val="clear" w:color="auto" w:fill="C6F4F9"/>
          </w:tcPr>
          <w:p>
            <w:pPr>
              <w:spacing w:after="0"/>
              <w:rPr>
                <w:sz w:val="20"/>
                <w:szCs w:val="20"/>
                <w:color w:val="auto"/>
              </w:rPr>
            </w:pPr>
          </w:p>
        </w:tc>
        <w:tc>
          <w:tcPr>
            <w:tcW w:w="1120" w:type="dxa"/>
            <w:vAlign w:val="bottom"/>
            <w:shd w:val="clear" w:color="auto" w:fill="C6F4F9"/>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Item 3.</w:t>
            </w:r>
          </w:p>
        </w:tc>
        <w:tc>
          <w:tcPr>
            <w:tcW w:w="53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Adopt an advisory resolution approving compensation of the named</w:t>
            </w: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54,332,261</w:t>
            </w: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9,515,153</w:t>
            </w: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521,313</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1,757,486</w:t>
            </w:r>
          </w:p>
        </w:tc>
        <w:tc>
          <w:tcPr>
            <w:tcW w:w="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executive officers.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9"/>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1"/>
              </w:rPr>
              <w:t>Votes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Votes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Special</w:t>
            </w: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Votes For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Against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Abstaining</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Non-Votes</w:t>
            </w:r>
          </w:p>
        </w:tc>
      </w:tr>
      <w:tr>
        <w:trPr>
          <w:trHeight w:val="224"/>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4.</w:t>
            </w:r>
          </w:p>
        </w:tc>
        <w:tc>
          <w:tcPr>
            <w:tcW w:w="5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 xml:space="preserve">Adjournment, </w:t>
            </w:r>
            <w:r>
              <w:rPr>
                <w:rFonts w:ascii="Arial" w:cs="Arial" w:eastAsia="Arial" w:hAnsi="Arial"/>
                <w:sz w:val="18"/>
                <w:szCs w:val="18"/>
                <w:i w:val="1"/>
                <w:iCs w:val="1"/>
                <w:color w:val="auto"/>
              </w:rPr>
              <w:t>sine die</w:t>
            </w:r>
            <w:r>
              <w:rPr>
                <w:rFonts w:ascii="Arial" w:cs="Arial" w:eastAsia="Arial" w:hAnsi="Arial"/>
                <w:sz w:val="18"/>
                <w:szCs w:val="18"/>
                <w:color w:val="auto"/>
              </w:rPr>
              <w:t>, of the election of Mark A. McCollum.</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66,126,213</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593"/>
        </w:trPr>
        <w:tc>
          <w:tcPr>
            <w:tcW w:w="1140" w:type="dxa"/>
            <w:vAlign w:val="bottom"/>
          </w:tcPr>
          <w:p>
            <w:pPr>
              <w:spacing w:after="0"/>
              <w:rPr>
                <w:sz w:val="24"/>
                <w:szCs w:val="24"/>
                <w:color w:val="auto"/>
              </w:rPr>
            </w:pPr>
          </w:p>
        </w:tc>
        <w:tc>
          <w:tcPr>
            <w:tcW w:w="5180" w:type="dxa"/>
            <w:vAlign w:val="bottom"/>
          </w:tcPr>
          <w:p>
            <w:pPr>
              <w:ind w:left="44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40" w:type="dxa"/>
            <w:vAlign w:val="bottom"/>
            <w:tcBorders>
              <w:bottom w:val="single" w:sz="8" w:color="auto"/>
            </w:tcBorders>
          </w:tcPr>
          <w:p>
            <w:pPr>
              <w:spacing w:after="0"/>
              <w:rPr>
                <w:sz w:val="21"/>
                <w:szCs w:val="21"/>
                <w:color w:val="auto"/>
              </w:rPr>
            </w:pPr>
          </w:p>
        </w:tc>
        <w:tc>
          <w:tcPr>
            <w:tcW w:w="5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240"/>
          </w:cols>
          <w:pgMar w:left="320" w:top="652" w:right="3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events disclosed in Item 5.02, the Company issued a press release on June 17, 2020, a copy of which is attached as Exhibit 99.1 hereto and is incorporated by reference herein.</w:t>
      </w:r>
    </w:p>
    <w:p>
      <w:pPr>
        <w:spacing w:after="0" w:line="1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information contained in this Item 7.01, including in Exhibit 99.1,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or the Exchange Act, whether made before or after the date hereof and regardless of any general incorporation language in such filings, except to the extent expressly set forth by specific reference in such a filing. The filing of this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1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820" w:hanging="516"/>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9880" w:type="dxa"/>
            <w:vAlign w:val="bottom"/>
          </w:tcPr>
          <w:p>
            <w:pPr>
              <w:spacing w:after="0"/>
              <w:rPr>
                <w:sz w:val="18"/>
                <w:szCs w:val="18"/>
                <w:color w:val="auto"/>
              </w:rPr>
            </w:pPr>
          </w:p>
        </w:tc>
      </w:tr>
      <w:tr>
        <w:trPr>
          <w:trHeight w:val="234"/>
        </w:trPr>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9880" w:type="dxa"/>
            <w:vAlign w:val="bottom"/>
          </w:tcPr>
          <w:p>
            <w:pPr>
              <w:ind w:left="4180"/>
              <w:spacing w:after="0"/>
              <w:rPr>
                <w:sz w:val="20"/>
                <w:szCs w:val="20"/>
                <w:color w:val="auto"/>
              </w:rPr>
            </w:pPr>
            <w:r>
              <w:rPr>
                <w:rFonts w:ascii="Arial" w:cs="Arial" w:eastAsia="Arial" w:hAnsi="Arial"/>
                <w:sz w:val="18"/>
                <w:szCs w:val="18"/>
                <w:b w:val="1"/>
                <w:bCs w:val="1"/>
                <w:color w:val="auto"/>
              </w:rPr>
              <w:t>Exhibit Description</w:t>
            </w:r>
          </w:p>
        </w:tc>
      </w:tr>
      <w:tr>
        <w:trPr>
          <w:trHeight w:val="211"/>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18"/>
                <w:szCs w:val="18"/>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Press Release of Weatherford International plc, dated June 17, 2020.</w:t>
              </w:r>
            </w:hyperlink>
          </w:p>
        </w:tc>
      </w:tr>
    </w:tbl>
    <w:p>
      <w:pPr>
        <w:ind w:left="5600" w:right="1860" w:hanging="5160"/>
        <w:spacing w:after="0" w:line="759" w:lineRule="auto"/>
        <w:tabs>
          <w:tab w:leader="none" w:pos="1357" w:val="left"/>
        </w:tabs>
        <w:numPr>
          <w:ilvl w:val="0"/>
          <w:numId w:val="4"/>
        </w:numPr>
        <w:rPr>
          <w:rFonts w:ascii="Arial" w:cs="Arial" w:eastAsia="Arial" w:hAnsi="Arial"/>
          <w:sz w:val="18"/>
          <w:szCs w:val="18"/>
          <w:color w:val="auto"/>
        </w:rPr>
      </w:pPr>
      <w:r>
        <w:rPr>
          <w:rFonts w:ascii="Arial" w:cs="Arial" w:eastAsia="Arial" w:hAnsi="Arial"/>
          <w:sz w:val="18"/>
          <w:szCs w:val="18"/>
          <w:color w:val="212529"/>
        </w:rPr>
        <w:t xml:space="preserve">Cover Page Interactive Data File - the cover page XBRL tags are embedded within the Inline XBRL document. </w:t>
      </w:r>
      <w:r>
        <w:rPr>
          <w:rFonts w:ascii="Arial" w:cs="Arial" w:eastAsia="Arial" w:hAnsi="Arial"/>
          <w:sz w:val="18"/>
          <w:szCs w:val="18"/>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Karl Blanchard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Operating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28587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Announces Changes to Executive Leadership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Appoints New Director</w:t>
      </w:r>
    </w:p>
    <w:p>
      <w:pPr>
        <w:spacing w:after="0" w:line="200" w:lineRule="exact"/>
        <w:rPr>
          <w:sz w:val="20"/>
          <w:szCs w:val="20"/>
          <w:color w:val="auto"/>
        </w:rPr>
      </w:pPr>
    </w:p>
    <w:p>
      <w:pPr>
        <w:spacing w:after="0" w:line="263" w:lineRule="exact"/>
        <w:rPr>
          <w:sz w:val="20"/>
          <w:szCs w:val="20"/>
          <w:color w:val="auto"/>
        </w:rPr>
      </w:pPr>
    </w:p>
    <w:p>
      <w:pPr>
        <w:jc w:val="both"/>
        <w:spacing w:after="0" w:line="354" w:lineRule="auto"/>
        <w:rPr>
          <w:sz w:val="20"/>
          <w:szCs w:val="20"/>
          <w:color w:val="auto"/>
        </w:rPr>
      </w:pPr>
      <w:r>
        <w:rPr>
          <w:rFonts w:ascii="Arial" w:cs="Arial" w:eastAsia="Arial" w:hAnsi="Arial"/>
          <w:sz w:val="22"/>
          <w:szCs w:val="22"/>
          <w:b w:val="1"/>
          <w:bCs w:val="1"/>
          <w:color w:val="auto"/>
        </w:rPr>
        <w:t xml:space="preserve">HOUSTON, June 17, 2020 -- </w:t>
      </w:r>
      <w:r>
        <w:rPr>
          <w:rFonts w:ascii="Arial" w:cs="Arial" w:eastAsia="Arial" w:hAnsi="Arial"/>
          <w:sz w:val="22"/>
          <w:szCs w:val="22"/>
          <w:color w:val="auto"/>
        </w:rPr>
        <w:t>Weatherford International plc (OTC Pink: WFTLF) (“Weatherford” or “the Company”)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that Karl Blanchard, Executive Vice President and Chief Operating Officer, will assume the role of Interim Chief Executive Officer, reporting directly to the Board of Directors, until a permanent President and Chief Executive Officer has been appointed.</w:t>
      </w:r>
    </w:p>
    <w:p>
      <w:pPr>
        <w:spacing w:after="0" w:line="336"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In addition, Christian Garcia, Executive Vice President and Chief Financial Officer, has decided to leave the Company following the filing of the Company’s second quarter financial results on August 5, 2020. The Company will announce Mr. Garcia’s successor at a later date.</w:t>
      </w:r>
    </w:p>
    <w:p>
      <w:pPr>
        <w:spacing w:after="0" w:line="332" w:lineRule="exact"/>
        <w:rPr>
          <w:sz w:val="20"/>
          <w:szCs w:val="20"/>
          <w:color w:val="auto"/>
        </w:rPr>
      </w:pPr>
    </w:p>
    <w:p>
      <w:pPr>
        <w:jc w:val="both"/>
        <w:spacing w:after="0" w:line="352" w:lineRule="auto"/>
        <w:rPr>
          <w:sz w:val="20"/>
          <w:szCs w:val="20"/>
          <w:color w:val="auto"/>
        </w:rPr>
      </w:pPr>
      <w:r>
        <w:rPr>
          <w:rFonts w:ascii="Arial" w:cs="Arial" w:eastAsia="Arial" w:hAnsi="Arial"/>
          <w:sz w:val="22"/>
          <w:szCs w:val="22"/>
          <w:color w:val="auto"/>
        </w:rPr>
        <w:t>Charles M. Sledge, on behalf of the Board, commented, “The Board has full confidence in Karl’s ability to lead the Company until a permanent CEO is named. Karl is a well-respected leader in the industry and has been instrumental in transforming Weatherford’s global operations since joining the Company in 2017. We thank Christian for his service to the Company and wish him well in his future pursuits.”</w:t>
      </w:r>
    </w:p>
    <w:p>
      <w:pPr>
        <w:spacing w:after="0" w:line="338" w:lineRule="exact"/>
        <w:rPr>
          <w:sz w:val="20"/>
          <w:szCs w:val="20"/>
          <w:color w:val="auto"/>
        </w:rPr>
      </w:pPr>
    </w:p>
    <w:p>
      <w:pPr>
        <w:jc w:val="both"/>
        <w:spacing w:after="0" w:line="431" w:lineRule="auto"/>
        <w:rPr>
          <w:sz w:val="20"/>
          <w:szCs w:val="20"/>
          <w:color w:val="auto"/>
        </w:rPr>
      </w:pPr>
      <w:r>
        <w:rPr>
          <w:rFonts w:ascii="Arial" w:cs="Arial" w:eastAsia="Arial" w:hAnsi="Arial"/>
          <w:sz w:val="19"/>
          <w:szCs w:val="19"/>
          <w:color w:val="auto"/>
        </w:rPr>
        <w:t xml:space="preserve">Mr. Garcia commented, </w:t>
      </w:r>
      <w:r>
        <w:rPr>
          <w:rFonts w:ascii="Arial" w:cs="Arial" w:eastAsia="Arial" w:hAnsi="Arial"/>
          <w:sz w:val="19"/>
          <w:szCs w:val="19"/>
          <w:color w:val="0D0D0D"/>
        </w:rPr>
        <w:t>“Leaving Weatherford is a difficult personal decision. In my short tenure, I have seen the Company’s</w:t>
      </w:r>
      <w:r>
        <w:rPr>
          <w:rFonts w:ascii="Arial" w:cs="Arial" w:eastAsia="Arial" w:hAnsi="Arial"/>
          <w:sz w:val="19"/>
          <w:szCs w:val="19"/>
          <w:color w:val="auto"/>
        </w:rPr>
        <w:t xml:space="preserve"> </w:t>
      </w:r>
      <w:r>
        <w:rPr>
          <w:rFonts w:ascii="Arial" w:cs="Arial" w:eastAsia="Arial" w:hAnsi="Arial"/>
          <w:sz w:val="19"/>
          <w:szCs w:val="19"/>
          <w:color w:val="0D0D0D"/>
        </w:rPr>
        <w:t>potential for value creation and the strength of Weatherford’s leadership team and employees. Weatherford is taking aggressive actions to address the current challenging environment, and I wish the Company well as it moves forward.”</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0D0D0D"/>
        </w:rPr>
        <w:t>New Director Appointed</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The Company’s Board of Directors has appointed Benjamin C. Duster IV to serve as a Director. Mr. Sledge continued, “We are honored to welcome Ben to the Company’s Board of Directors. We look forward to leveraging his knowledge and expertise to drive sustainable value creation for all of Weatherford’s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About Benjamin C. Duster IV</w:t>
      </w:r>
    </w:p>
    <w:p>
      <w:pPr>
        <w:spacing w:after="0" w:line="104" w:lineRule="exact"/>
        <w:rPr>
          <w:sz w:val="20"/>
          <w:szCs w:val="20"/>
          <w:color w:val="auto"/>
        </w:rPr>
      </w:pPr>
    </w:p>
    <w:p>
      <w:pPr>
        <w:ind w:right="40"/>
        <w:spacing w:after="0" w:line="391" w:lineRule="auto"/>
        <w:rPr>
          <w:sz w:val="20"/>
          <w:szCs w:val="20"/>
          <w:color w:val="auto"/>
        </w:rPr>
      </w:pPr>
      <w:r>
        <w:rPr>
          <w:rFonts w:ascii="Arial" w:cs="Arial" w:eastAsia="Arial" w:hAnsi="Arial"/>
          <w:sz w:val="19"/>
          <w:szCs w:val="19"/>
          <w:color w:val="auto"/>
        </w:rPr>
        <w:t>Benjamin C. Duster IV, is Founder and CEO of Cormorant IV Corporation, LLC, a consulting firm specializing in operational turnarounds and organizational transformations. He is a 30-year veteran of Wall Street with extensive experience in M&amp;A and Strategic Advisory Services in both developed and emerging markets. He received a Bachelor of Arts in Economics, with honors, from Yale University, a Juris Doctorate from Harvard Law School and an MBA from Harvard Business School.</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Karl Blanchard</w:t>
      </w:r>
    </w:p>
    <w:p>
      <w:pPr>
        <w:spacing w:after="0" w:line="118" w:lineRule="exact"/>
        <w:rPr>
          <w:sz w:val="20"/>
          <w:szCs w:val="20"/>
          <w:color w:val="auto"/>
        </w:rPr>
      </w:pPr>
    </w:p>
    <w:p>
      <w:pPr>
        <w:ind w:right="40"/>
        <w:spacing w:after="0" w:line="367" w:lineRule="auto"/>
        <w:rPr>
          <w:sz w:val="20"/>
          <w:szCs w:val="20"/>
          <w:color w:val="auto"/>
        </w:rPr>
      </w:pPr>
      <w:r>
        <w:rPr>
          <w:rFonts w:ascii="Arial" w:cs="Arial" w:eastAsia="Arial" w:hAnsi="Arial"/>
          <w:sz w:val="21"/>
          <w:szCs w:val="21"/>
          <w:color w:val="auto"/>
        </w:rPr>
        <w:t>Karl Blanchard was named Executive Vice President and Chief Operating Officer in August 2017. Mr. Blanchard previously served as the Chief Operating Officer for Seventy Seven Energy where he was responsible for the drilling, hydraulic fracturing, and rental tool business units, as well as key support functions. Prior to Seventy Seven Energy, Mr. Blanchard spent more than 30 years at Halliburton where he was responsible for a significant portion of the company’s flagship product service lines, including production enhancement, cementing, and testing and subsea. He also served as Country Vice President of Halliburton Indonesia. Mr. Blanchard has a Bachelor of Science degree in engineering from Texas A&amp;M University and is a member of the Society of Petroleum Engineers.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Weatherford</w:t>
      </w:r>
    </w:p>
    <w:p>
      <w:pPr>
        <w:spacing w:after="0" w:line="118" w:lineRule="exact"/>
        <w:rPr>
          <w:sz w:val="20"/>
          <w:szCs w:val="20"/>
          <w:color w:val="auto"/>
        </w:rPr>
      </w:pPr>
    </w:p>
    <w:p>
      <w:pPr>
        <w:jc w:val="both"/>
        <w:ind w:right="40"/>
        <w:spacing w:after="0" w:line="373" w:lineRule="auto"/>
        <w:rPr>
          <w:sz w:val="20"/>
          <w:szCs w:val="20"/>
          <w:color w:val="auto"/>
        </w:rPr>
      </w:pPr>
      <w:r>
        <w:rPr>
          <w:rFonts w:ascii="Arial" w:cs="Arial" w:eastAsia="Arial" w:hAnsi="Arial"/>
          <w:sz w:val="21"/>
          <w:szCs w:val="21"/>
          <w:color w:val="auto"/>
        </w:rPr>
        <w:t xml:space="preserve">Weatherford is the leading wellbore and production solutions company. Operating in more than 80 countries, the Company answers the challenges of the energy industry with its global talent network of approximately 20,000 team members and 600 locations, which include service, research and development, training, and manufacturing facilities. Visit </w:t>
      </w:r>
      <w:r>
        <w:rPr>
          <w:rFonts w:ascii="Arial" w:cs="Arial" w:eastAsia="Arial" w:hAnsi="Arial"/>
          <w:sz w:val="21"/>
          <w:szCs w:val="21"/>
          <w:u w:val="single" w:color="auto"/>
          <w:color w:val="0000FF"/>
        </w:rPr>
        <w:t>weatherford.com</w:t>
      </w:r>
      <w:r>
        <w:rPr>
          <w:rFonts w:ascii="Arial" w:cs="Arial" w:eastAsia="Arial" w:hAnsi="Arial"/>
          <w:sz w:val="21"/>
          <w:szCs w:val="21"/>
          <w:color w:val="auto"/>
        </w:rPr>
        <w:t xml:space="preserve"> for more information or connect on </w:t>
      </w:r>
      <w:r>
        <w:rPr>
          <w:rFonts w:ascii="Arial" w:cs="Arial" w:eastAsia="Arial" w:hAnsi="Arial"/>
          <w:sz w:val="21"/>
          <w:szCs w:val="21"/>
          <w:u w:val="single" w:color="auto"/>
          <w:color w:val="0000FF"/>
        </w:rPr>
        <w:t>LinkedIn</w:t>
      </w:r>
      <w:r>
        <w:rPr>
          <w:rFonts w:ascii="Arial" w:cs="Arial" w:eastAsia="Arial" w:hAnsi="Arial"/>
          <w:sz w:val="21"/>
          <w:szCs w:val="21"/>
          <w:color w:val="auto"/>
        </w:rPr>
        <w:t xml:space="preserve">, </w:t>
      </w:r>
      <w:r>
        <w:rPr>
          <w:rFonts w:ascii="Arial" w:cs="Arial" w:eastAsia="Arial" w:hAnsi="Arial"/>
          <w:sz w:val="21"/>
          <w:szCs w:val="21"/>
          <w:u w:val="single" w:color="auto"/>
          <w:color w:val="0000FF"/>
        </w:rPr>
        <w:t>Facebook</w:t>
      </w:r>
      <w:r>
        <w:rPr>
          <w:rFonts w:ascii="Arial" w:cs="Arial" w:eastAsia="Arial" w:hAnsi="Arial"/>
          <w:sz w:val="21"/>
          <w:szCs w:val="21"/>
          <w:color w:val="auto"/>
        </w:rPr>
        <w:t xml:space="preserve">, </w:t>
      </w:r>
      <w:r>
        <w:rPr>
          <w:rFonts w:ascii="Arial" w:cs="Arial" w:eastAsia="Arial" w:hAnsi="Arial"/>
          <w:sz w:val="21"/>
          <w:szCs w:val="21"/>
          <w:u w:val="single" w:color="auto"/>
          <w:color w:val="0000FF"/>
        </w:rPr>
        <w:t>Twitter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Instagram</w:t>
      </w:r>
      <w:r>
        <w:rPr>
          <w:rFonts w:ascii="Arial" w:cs="Arial" w:eastAsia="Arial" w:hAnsi="Arial"/>
          <w:sz w:val="21"/>
          <w:szCs w:val="21"/>
          <w:color w:val="auto"/>
        </w:rPr>
        <w:t xml:space="preserve">, or </w:t>
      </w:r>
      <w:r>
        <w:rPr>
          <w:rFonts w:ascii="Arial" w:cs="Arial" w:eastAsia="Arial" w:hAnsi="Arial"/>
          <w:sz w:val="21"/>
          <w:szCs w:val="21"/>
          <w:u w:val="single" w:color="auto"/>
          <w:color w:val="0000FF"/>
        </w:rPr>
        <w:t>YouTube</w:t>
      </w:r>
      <w:r>
        <w:rPr>
          <w:rFonts w:ascii="Arial" w:cs="Arial" w:eastAsia="Arial" w:hAnsi="Arial"/>
          <w:sz w:val="21"/>
          <w:szCs w:val="2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This news release contains forward-looking statements concerning, among other things, the Company’s business strategy, plans, goals and objectives. These forward-looking statements are generally identified by the words “believe,” “project,” “expect,” “anticipate,” “estimate,” “outlook,” “budget,” “intend,”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 w:name="page8"/>
    <w:bookmarkEnd w:id="7"/>
    <w:p>
      <w:pPr>
        <w:jc w:val="both"/>
        <w:spacing w:after="0" w:line="399" w:lineRule="auto"/>
        <w:rPr>
          <w:sz w:val="20"/>
          <w:szCs w:val="20"/>
          <w:color w:val="auto"/>
        </w:rPr>
      </w:pPr>
      <w:r>
        <w:rPr>
          <w:rFonts w:ascii="Arial" w:cs="Arial" w:eastAsia="Arial" w:hAnsi="Arial"/>
          <w:sz w:val="19"/>
          <w:szCs w:val="19"/>
          <w:color w:val="auto"/>
        </w:rPr>
        <w:t>“strategy,”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extent or duration of business interruptions associated with COVID-19, the price and price volatility of oil and natural gas, the macroeconomic outlook for the oil and gas industry, the duration and severity of the impact of the COVID-19 pandemic on oil and gas demand and commodity prices, our ability to generate cash flow from operations to fund our operations, the outcome of any discussions with our bondholders regarding the terms of a potential restructuring of our indebtedness or a recapitalization of the Company, realization of additional cost savings and operational efficiencies and potential logistical issues and potential non-cash asset impairment charges for long-lived assets, intangible assets or other assets. Forward-looking statements are also affected by the risk factors described in the Company’s Annual Report on Form 10-K for the year ended December 31, 2019, the Company's Quarterly Report on Form 10-Q for the quarter ended March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Sebastian Pellizzer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Investor Relations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+1 713-836-6777</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investor.relations@weatherford.com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Chris Wailes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Director, Global Media Engagement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+1 713-836-6256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christopher.wailes@weatherford.com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2020-06-17T06:10:13Z</dcterms:created>
  <dcterms:modified xsi:type="dcterms:W3CDTF">2020-06-17T06:10:13Z</dcterms:modified>
</cp:coreProperties>
</file>