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596900</wp:posOffset>
            </wp:positionH>
            <wp:positionV relativeFrom="paragraph">
              <wp:posOffset>-224155</wp:posOffset>
            </wp:positionV>
            <wp:extent cx="6474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7446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September 24, 2014</w:t>
      </w:r>
    </w:p>
    <w:p>
      <w:pPr>
        <w:spacing w:after="0" w:line="35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u w:val="single" w:color="auto"/>
          <w:color w:val="auto"/>
        </w:rPr>
        <w:t>Weatherford International public limited company</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37"/>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36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34290</wp:posOffset>
            </wp:positionV>
            <wp:extent cx="63633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63335"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349250</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5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Weatherford’s Annual General Meeting of Shareholders was held on September 24, 2014 (the "Annual Meeting"). At the Annual Meeting, shareholders:</w:t>
      </w:r>
    </w:p>
    <w:p>
      <w:pPr>
        <w:spacing w:after="0" w:line="194" w:lineRule="exact"/>
        <w:rPr>
          <w:sz w:val="20"/>
          <w:szCs w:val="20"/>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1 – Elected all 9 director nominees;</w:t>
      </w:r>
    </w:p>
    <w:p>
      <w:pPr>
        <w:spacing w:after="0" w:line="171" w:lineRule="exact"/>
        <w:rPr>
          <w:rFonts w:ascii="Arial" w:cs="Arial" w:eastAsia="Arial" w:hAnsi="Arial"/>
          <w:sz w:val="18"/>
          <w:szCs w:val="18"/>
          <w:color w:val="auto"/>
        </w:rPr>
      </w:pPr>
    </w:p>
    <w:p>
      <w:pPr>
        <w:ind w:left="820" w:right="12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2 – Approved the appointment of KPMG LLP as the company’s independent registered public accounting firm and authorized the board of directors to approve auditors’ remuneration;</w:t>
      </w:r>
    </w:p>
    <w:p>
      <w:pPr>
        <w:spacing w:after="0" w:line="116"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3 – Approved, on an advisory basis, Weatherford’s executive compensation; and</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4 – Approved holding the 2015 annual general meeting of shareholders at a location outside of Ireland.</w:t>
      </w:r>
    </w:p>
    <w:p>
      <w:pPr>
        <w:spacing w:after="0" w:line="333" w:lineRule="exact"/>
        <w:rPr>
          <w:sz w:val="20"/>
          <w:szCs w:val="20"/>
          <w:color w:val="auto"/>
        </w:rPr>
      </w:pPr>
    </w:p>
    <w:p>
      <w:pPr>
        <w:ind w:right="40" w:firstLine="324"/>
        <w:spacing w:after="0" w:line="340" w:lineRule="auto"/>
        <w:rPr>
          <w:sz w:val="20"/>
          <w:szCs w:val="20"/>
          <w:color w:val="auto"/>
        </w:rPr>
      </w:pPr>
      <w:r>
        <w:rPr>
          <w:rFonts w:ascii="Arial" w:cs="Arial" w:eastAsia="Arial" w:hAnsi="Arial"/>
          <w:sz w:val="18"/>
          <w:szCs w:val="18"/>
          <w:color w:val="auto"/>
        </w:rPr>
        <w:t>The proposals are described in detail in Weatherford’s definitive proxy statement for the Annual General Meeting of Shareholders, which was filed with the Securities and Exchange Commission on August 13, 2014.</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results of the matters voted upon by the shareholders at the Annual Meeting: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ind w:left="40"/>
              <w:spacing w:after="0"/>
              <w:rPr>
                <w:sz w:val="20"/>
                <w:szCs w:val="20"/>
                <w:color w:val="auto"/>
              </w:rPr>
            </w:pPr>
            <w:r>
              <w:rPr>
                <w:rFonts w:ascii="Arial" w:cs="Arial" w:eastAsia="Arial" w:hAnsi="Arial"/>
                <w:sz w:val="18"/>
                <w:szCs w:val="18"/>
                <w:color w:val="auto"/>
                <w:w w:val="90"/>
              </w:rPr>
              <w:t>Agenda Item</w:t>
            </w:r>
          </w:p>
        </w:tc>
        <w:tc>
          <w:tcPr>
            <w:tcW w:w="3440" w:type="dxa"/>
            <w:vAlign w:val="bottom"/>
          </w:tcPr>
          <w:p>
            <w:pPr>
              <w:spacing w:after="0"/>
              <w:rPr>
                <w:sz w:val="20"/>
                <w:szCs w:val="20"/>
                <w:color w:val="auto"/>
              </w:rPr>
            </w:pPr>
          </w:p>
        </w:tc>
        <w:tc>
          <w:tcPr>
            <w:tcW w:w="1640" w:type="dxa"/>
            <w:vAlign w:val="bottom"/>
          </w:tcPr>
          <w:p>
            <w:pPr>
              <w:jc w:val="right"/>
              <w:ind w:right="510"/>
              <w:spacing w:after="0"/>
              <w:rPr>
                <w:sz w:val="20"/>
                <w:szCs w:val="20"/>
                <w:color w:val="auto"/>
              </w:rPr>
            </w:pPr>
            <w:r>
              <w:rPr>
                <w:rFonts w:ascii="Arial" w:cs="Arial" w:eastAsia="Arial" w:hAnsi="Arial"/>
                <w:sz w:val="18"/>
                <w:szCs w:val="18"/>
                <w:color w:val="auto"/>
              </w:rPr>
              <w:t>Votes For</w:t>
            </w: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Votes Against</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Votes Abstaining</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Broker Non-Votes</w:t>
            </w:r>
          </w:p>
        </w:tc>
      </w:tr>
      <w:tr>
        <w:trPr>
          <w:trHeight w:val="27"/>
        </w:trPr>
        <w:tc>
          <w:tcPr>
            <w:tcW w:w="9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Election of the following directors:</w:t>
            </w:r>
          </w:p>
        </w:tc>
        <w:tc>
          <w:tcPr>
            <w:tcW w:w="1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3440" w:type="dxa"/>
            <w:vAlign w:val="bottom"/>
          </w:tcPr>
          <w:p>
            <w:pPr>
              <w:ind w:left="140"/>
              <w:spacing w:after="0"/>
              <w:rPr>
                <w:sz w:val="20"/>
                <w:szCs w:val="20"/>
                <w:color w:val="auto"/>
              </w:rPr>
            </w:pPr>
            <w:r>
              <w:rPr>
                <w:rFonts w:ascii="Arial" w:cs="Arial" w:eastAsia="Arial" w:hAnsi="Arial"/>
                <w:sz w:val="18"/>
                <w:szCs w:val="18"/>
                <w:color w:val="auto"/>
              </w:rPr>
              <w:t>David J. Butters</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599,989,182</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15,497,603</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1,731,133</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56,583,198</w:t>
            </w:r>
          </w:p>
        </w:tc>
      </w:tr>
      <w:tr>
        <w:trPr>
          <w:trHeight w:val="27"/>
        </w:trPr>
        <w:tc>
          <w:tcPr>
            <w:tcW w:w="9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Dr. Bernard J. Duroc-Danner</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594,939,187</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18,879,730</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3,399,001</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56,583,198</w:t>
            </w:r>
          </w:p>
        </w:tc>
      </w:tr>
      <w:tr>
        <w:trPr>
          <w:trHeight w:val="243"/>
        </w:trPr>
        <w:tc>
          <w:tcPr>
            <w:tcW w:w="980" w:type="dxa"/>
            <w:vAlign w:val="bottom"/>
          </w:tcPr>
          <w:p>
            <w:pPr>
              <w:spacing w:after="0"/>
              <w:rPr>
                <w:sz w:val="21"/>
                <w:szCs w:val="21"/>
                <w:color w:val="auto"/>
              </w:rPr>
            </w:pPr>
          </w:p>
        </w:tc>
        <w:tc>
          <w:tcPr>
            <w:tcW w:w="3440" w:type="dxa"/>
            <w:vAlign w:val="bottom"/>
          </w:tcPr>
          <w:p>
            <w:pPr>
              <w:ind w:left="140"/>
              <w:spacing w:after="0"/>
              <w:rPr>
                <w:sz w:val="20"/>
                <w:szCs w:val="20"/>
                <w:color w:val="auto"/>
              </w:rPr>
            </w:pPr>
            <w:r>
              <w:rPr>
                <w:rFonts w:ascii="Arial" w:cs="Arial" w:eastAsia="Arial" w:hAnsi="Arial"/>
                <w:sz w:val="18"/>
                <w:szCs w:val="18"/>
                <w:color w:val="auto"/>
              </w:rPr>
              <w:t>John D. Gass</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608,072,939</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6,771,729</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2,373,250</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56,583,198</w:t>
            </w:r>
          </w:p>
        </w:tc>
      </w:tr>
      <w:tr>
        <w:trPr>
          <w:trHeight w:val="27"/>
        </w:trPr>
        <w:tc>
          <w:tcPr>
            <w:tcW w:w="9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Francis S. Kalman</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610,388,356</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4,452,721</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2,376,841</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56,583,198</w:t>
            </w:r>
          </w:p>
        </w:tc>
      </w:tr>
      <w:tr>
        <w:trPr>
          <w:trHeight w:val="243"/>
        </w:trPr>
        <w:tc>
          <w:tcPr>
            <w:tcW w:w="980" w:type="dxa"/>
            <w:vAlign w:val="bottom"/>
          </w:tcPr>
          <w:p>
            <w:pPr>
              <w:spacing w:after="0"/>
              <w:rPr>
                <w:sz w:val="21"/>
                <w:szCs w:val="21"/>
                <w:color w:val="auto"/>
              </w:rPr>
            </w:pPr>
          </w:p>
        </w:tc>
        <w:tc>
          <w:tcPr>
            <w:tcW w:w="3440" w:type="dxa"/>
            <w:vAlign w:val="bottom"/>
          </w:tcPr>
          <w:p>
            <w:pPr>
              <w:ind w:left="140"/>
              <w:spacing w:after="0"/>
              <w:rPr>
                <w:sz w:val="20"/>
                <w:szCs w:val="20"/>
                <w:color w:val="auto"/>
              </w:rPr>
            </w:pPr>
            <w:r>
              <w:rPr>
                <w:rFonts w:ascii="Arial" w:cs="Arial" w:eastAsia="Arial" w:hAnsi="Arial"/>
                <w:sz w:val="18"/>
                <w:szCs w:val="18"/>
                <w:color w:val="auto"/>
              </w:rPr>
              <w:t>William E. Macaulay</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549,942,927</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65,544,487</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1,730,504</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56,583,198</w:t>
            </w:r>
          </w:p>
        </w:tc>
      </w:tr>
      <w:tr>
        <w:trPr>
          <w:trHeight w:val="27"/>
        </w:trPr>
        <w:tc>
          <w:tcPr>
            <w:tcW w:w="9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Robert K. Moses, Jr.</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550,317,971</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65,175,499</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1,724,448</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56,583,198</w:t>
            </w:r>
          </w:p>
        </w:tc>
      </w:tr>
      <w:tr>
        <w:trPr>
          <w:trHeight w:val="243"/>
        </w:trPr>
        <w:tc>
          <w:tcPr>
            <w:tcW w:w="980" w:type="dxa"/>
            <w:vAlign w:val="bottom"/>
          </w:tcPr>
          <w:p>
            <w:pPr>
              <w:spacing w:after="0"/>
              <w:rPr>
                <w:sz w:val="21"/>
                <w:szCs w:val="21"/>
                <w:color w:val="auto"/>
              </w:rPr>
            </w:pPr>
          </w:p>
        </w:tc>
        <w:tc>
          <w:tcPr>
            <w:tcW w:w="3440" w:type="dxa"/>
            <w:vAlign w:val="bottom"/>
          </w:tcPr>
          <w:p>
            <w:pPr>
              <w:ind w:left="140"/>
              <w:spacing w:after="0"/>
              <w:rPr>
                <w:sz w:val="20"/>
                <w:szCs w:val="20"/>
                <w:color w:val="auto"/>
              </w:rPr>
            </w:pPr>
            <w:r>
              <w:rPr>
                <w:rFonts w:ascii="Arial" w:cs="Arial" w:eastAsia="Arial" w:hAnsi="Arial"/>
                <w:sz w:val="18"/>
                <w:szCs w:val="18"/>
                <w:color w:val="auto"/>
              </w:rPr>
              <w:t>Dr. Guillermo Ortiz</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530,041,105</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84,802,181</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2,374,632</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56,583,198</w:t>
            </w:r>
          </w:p>
        </w:tc>
      </w:tr>
      <w:tr>
        <w:trPr>
          <w:trHeight w:val="27"/>
        </w:trPr>
        <w:tc>
          <w:tcPr>
            <w:tcW w:w="9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Sir Emyr Jones Parry</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611,616,493</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3,553,115</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2,048,310</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56,583,198</w:t>
            </w:r>
          </w:p>
        </w:tc>
      </w:tr>
      <w:tr>
        <w:trPr>
          <w:trHeight w:val="243"/>
        </w:trPr>
        <w:tc>
          <w:tcPr>
            <w:tcW w:w="980" w:type="dxa"/>
            <w:vAlign w:val="bottom"/>
          </w:tcPr>
          <w:p>
            <w:pPr>
              <w:spacing w:after="0"/>
              <w:rPr>
                <w:sz w:val="21"/>
                <w:szCs w:val="21"/>
                <w:color w:val="auto"/>
              </w:rPr>
            </w:pPr>
          </w:p>
        </w:tc>
        <w:tc>
          <w:tcPr>
            <w:tcW w:w="3440" w:type="dxa"/>
            <w:vAlign w:val="bottom"/>
          </w:tcPr>
          <w:p>
            <w:pPr>
              <w:ind w:left="140"/>
              <w:spacing w:after="0"/>
              <w:rPr>
                <w:sz w:val="20"/>
                <w:szCs w:val="20"/>
                <w:color w:val="auto"/>
              </w:rPr>
            </w:pPr>
            <w:r>
              <w:rPr>
                <w:rFonts w:ascii="Arial" w:cs="Arial" w:eastAsia="Arial" w:hAnsi="Arial"/>
                <w:sz w:val="18"/>
                <w:szCs w:val="18"/>
                <w:color w:val="auto"/>
              </w:rPr>
              <w:t>Robert A. Rayne</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604,507,290</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10,975,326</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1,735,302</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56,583,198</w:t>
            </w:r>
          </w:p>
        </w:tc>
      </w:tr>
      <w:tr>
        <w:trPr>
          <w:trHeight w:val="351"/>
        </w:trPr>
        <w:tc>
          <w:tcPr>
            <w:tcW w:w="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29"/>
        </w:trPr>
        <w:tc>
          <w:tcPr>
            <w:tcW w:w="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2.</w:t>
            </w: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Ratify the appointment of KPMG LLP as</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671,910,215</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1,098,340</w:t>
            </w: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792,561</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shd w:val="clear" w:color="auto" w:fill="CCEEFF"/>
          </w:tcPr>
          <w:p>
            <w:pPr>
              <w:spacing w:after="0"/>
              <w:rPr>
                <w:sz w:val="18"/>
                <w:szCs w:val="18"/>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our independent registered public</w:t>
            </w:r>
          </w:p>
        </w:tc>
        <w:tc>
          <w:tcPr>
            <w:tcW w:w="16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firm and authorize the board to</w:t>
            </w:r>
          </w:p>
        </w:tc>
        <w:tc>
          <w:tcPr>
            <w:tcW w:w="16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7"/>
        </w:trPr>
        <w:tc>
          <w:tcPr>
            <w:tcW w:w="980" w:type="dxa"/>
            <w:vAlign w:val="bottom"/>
            <w:tcBorders>
              <w:bottom w:val="single" w:sz="8" w:color="CCEEFF"/>
            </w:tcBorders>
            <w:shd w:val="clear" w:color="auto" w:fill="CCEEFF"/>
          </w:tcPr>
          <w:p>
            <w:pPr>
              <w:spacing w:after="0"/>
              <w:rPr>
                <w:sz w:val="20"/>
                <w:szCs w:val="20"/>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determine auditors’ remuneration.</w:t>
            </w:r>
          </w:p>
        </w:tc>
        <w:tc>
          <w:tcPr>
            <w:tcW w:w="16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324"/>
        </w:trPr>
        <w:tc>
          <w:tcPr>
            <w:tcW w:w="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29"/>
        </w:trPr>
        <w:tc>
          <w:tcPr>
            <w:tcW w:w="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3.</w:t>
            </w: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Adopt an advisory resolution approving</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418,657,403</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196,622,510</w:t>
            </w: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1,938,005</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56,583,198</w:t>
            </w:r>
          </w:p>
        </w:tc>
      </w:tr>
      <w:tr>
        <w:trPr>
          <w:trHeight w:val="237"/>
        </w:trPr>
        <w:tc>
          <w:tcPr>
            <w:tcW w:w="980" w:type="dxa"/>
            <w:vAlign w:val="bottom"/>
            <w:tcBorders>
              <w:bottom w:val="single" w:sz="8" w:color="CCEEFF"/>
            </w:tcBorders>
            <w:shd w:val="clear" w:color="auto" w:fill="CCEEFF"/>
          </w:tcPr>
          <w:p>
            <w:pPr>
              <w:spacing w:after="0"/>
              <w:rPr>
                <w:sz w:val="20"/>
                <w:szCs w:val="20"/>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compensation.</w:t>
            </w:r>
          </w:p>
        </w:tc>
        <w:tc>
          <w:tcPr>
            <w:tcW w:w="16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324"/>
        </w:trPr>
        <w:tc>
          <w:tcPr>
            <w:tcW w:w="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29"/>
        </w:trPr>
        <w:tc>
          <w:tcPr>
            <w:tcW w:w="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4.</w:t>
            </w: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Authorize holding the 2015 annual general</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671,266,489</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1,241,428</w:t>
            </w: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1,293,199</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shd w:val="clear" w:color="auto" w:fill="CCEEFF"/>
          </w:tcPr>
          <w:p>
            <w:pPr>
              <w:spacing w:after="0"/>
              <w:rPr>
                <w:sz w:val="18"/>
                <w:szCs w:val="18"/>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meeting at a location outside of Ireland as</w:t>
            </w:r>
          </w:p>
        </w:tc>
        <w:tc>
          <w:tcPr>
            <w:tcW w:w="16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7"/>
        </w:trPr>
        <w:tc>
          <w:tcPr>
            <w:tcW w:w="980" w:type="dxa"/>
            <w:vAlign w:val="bottom"/>
            <w:tcBorders>
              <w:bottom w:val="single" w:sz="8" w:color="CCEEFF"/>
            </w:tcBorders>
            <w:shd w:val="clear" w:color="auto" w:fill="CCEEFF"/>
          </w:tcPr>
          <w:p>
            <w:pPr>
              <w:spacing w:after="0"/>
              <w:rPr>
                <w:sz w:val="20"/>
                <w:szCs w:val="20"/>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required under Irish law.</w:t>
            </w:r>
          </w:p>
        </w:tc>
        <w:tc>
          <w:tcPr>
            <w:tcW w:w="16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378"/>
        </w:trPr>
        <w:tc>
          <w:tcPr>
            <w:tcW w:w="980" w:type="dxa"/>
            <w:vAlign w:val="bottom"/>
          </w:tcPr>
          <w:p>
            <w:pPr>
              <w:ind w:left="40"/>
              <w:spacing w:after="0"/>
              <w:rPr>
                <w:sz w:val="20"/>
                <w:szCs w:val="20"/>
                <w:color w:val="auto"/>
              </w:rPr>
            </w:pPr>
            <w:r>
              <w:rPr>
                <w:rFonts w:ascii="Arial" w:cs="Arial" w:eastAsia="Arial" w:hAnsi="Arial"/>
                <w:sz w:val="18"/>
                <w:szCs w:val="18"/>
                <w:b w:val="1"/>
                <w:bCs w:val="1"/>
                <w:color w:val="auto"/>
              </w:rPr>
              <w:t>Item 8.01</w:t>
            </w:r>
          </w:p>
        </w:tc>
        <w:tc>
          <w:tcPr>
            <w:tcW w:w="3440" w:type="dxa"/>
            <w:vAlign w:val="bottom"/>
          </w:tcPr>
          <w:p>
            <w:pPr>
              <w:ind w:left="600"/>
              <w:spacing w:after="0"/>
              <w:rPr>
                <w:sz w:val="20"/>
                <w:szCs w:val="20"/>
                <w:color w:val="auto"/>
              </w:rPr>
            </w:pPr>
            <w:r>
              <w:rPr>
                <w:rFonts w:ascii="Arial" w:cs="Arial" w:eastAsia="Arial" w:hAnsi="Arial"/>
                <w:sz w:val="18"/>
                <w:szCs w:val="18"/>
                <w:b w:val="1"/>
                <w:bCs w:val="1"/>
                <w:color w:val="auto"/>
              </w:rPr>
              <w:t>Other Events.</w:t>
            </w: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94" w:lineRule="exact"/>
        <w:rPr>
          <w:sz w:val="20"/>
          <w:szCs w:val="20"/>
          <w:color w:val="auto"/>
        </w:rPr>
      </w:pPr>
    </w:p>
    <w:p>
      <w:pPr>
        <w:ind w:right="40" w:firstLine="504"/>
        <w:spacing w:after="0" w:line="277" w:lineRule="auto"/>
        <w:rPr>
          <w:sz w:val="20"/>
          <w:szCs w:val="20"/>
          <w:color w:val="auto"/>
        </w:rPr>
      </w:pPr>
      <w:r>
        <w:rPr>
          <w:rFonts w:ascii="Arial" w:cs="Arial" w:eastAsia="Arial" w:hAnsi="Arial"/>
          <w:sz w:val="18"/>
          <w:szCs w:val="18"/>
          <w:color w:val="auto"/>
        </w:rPr>
        <w:t>Effective as of September 24, 2014, Mr. Francis Kalman became the chair of Weatherford’s Audit Committee. Mr. Rayne, the former chair, continues to be a member of the Audit Committee.</w:t>
      </w:r>
    </w:p>
    <w:p>
      <w:pPr>
        <w:sectPr>
          <w:pgSz w:w="11900" w:h="16838" w:orient="portrait"/>
          <w:cols w:equalWidth="0" w:num="1">
            <w:col w:w="11320"/>
          </w:cols>
          <w:pgMar w:left="240" w:top="742"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24, 2014</w:t>
      </w:r>
    </w:p>
    <w:p>
      <w:pPr>
        <w:spacing w:after="0" w:line="63" w:lineRule="exact"/>
        <w:rPr>
          <w:sz w:val="20"/>
          <w:szCs w:val="20"/>
          <w:color w:val="auto"/>
        </w:rPr>
      </w:pPr>
    </w:p>
    <w:p>
      <w:pPr>
        <w:jc w:val="center"/>
        <w:ind w:left="392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31750</wp:posOffset>
            </wp:positionV>
            <wp:extent cx="3704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57" w:lineRule="exact"/>
        <w:rPr>
          <w:sz w:val="20"/>
          <w:szCs w:val="20"/>
          <w:color w:val="auto"/>
        </w:rPr>
      </w:pPr>
    </w:p>
    <w:p>
      <w:pPr>
        <w:jc w:val="center"/>
        <w:ind w:left="3920"/>
        <w:spacing w:after="0"/>
        <w:rPr>
          <w:sz w:val="20"/>
          <w:szCs w:val="20"/>
          <w:color w:val="auto"/>
        </w:rPr>
      </w:pPr>
      <w:r>
        <w:rPr>
          <w:rFonts w:ascii="Arial" w:cs="Arial" w:eastAsia="Arial" w:hAnsi="Arial"/>
          <w:sz w:val="18"/>
          <w:szCs w:val="18"/>
          <w:color w:val="auto"/>
        </w:rPr>
        <w:t>Krishna Shivram</w:t>
      </w:r>
    </w:p>
    <w:p>
      <w:pPr>
        <w:spacing w:after="0" w:line="279" w:lineRule="exact"/>
        <w:rPr>
          <w:sz w:val="20"/>
          <w:szCs w:val="20"/>
          <w:color w:val="auto"/>
        </w:rPr>
      </w:pPr>
    </w:p>
    <w:p>
      <w:pPr>
        <w:jc w:val="center"/>
        <w:ind w:left="39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39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240" w:top="5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2019-12-08T10:30:04Z</dcterms:created>
  <dcterms:modified xsi:type="dcterms:W3CDTF">2019-12-08T10:30:04Z</dcterms:modified>
</cp:coreProperties>
</file>