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671830</wp:posOffset>
            </wp:positionV>
            <wp:extent cx="7117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ind w:left="120"/>
        <w:spacing w:after="0"/>
        <w:tabs>
          <w:tab w:leader="none" w:pos="50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3"/>
          <w:szCs w:val="23"/>
          <w:b w:val="1"/>
          <w:bCs w:val="1"/>
          <w:color w:val="auto"/>
        </w:rPr>
        <w:t>Form 10-Q</w:t>
      </w:r>
    </w:p>
    <w:p>
      <w:pPr>
        <w:spacing w:after="0" w:line="226"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2018</w:t>
      </w:r>
    </w:p>
    <w:p>
      <w:pPr>
        <w:spacing w:after="0" w:line="1"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left="260"/>
        <w:spacing w:after="0"/>
        <w:rPr>
          <w:sz w:val="20"/>
          <w:szCs w:val="20"/>
          <w:color w:val="auto"/>
        </w:rPr>
      </w:pPr>
      <w:r>
        <w:rPr>
          <w:rFonts w:ascii="Arial" w:cs="Arial" w:eastAsia="Arial" w:hAnsi="Arial"/>
          <w:sz w:val="18"/>
          <w:szCs w:val="18"/>
          <w:color w:val="auto"/>
        </w:rPr>
        <w:t>Commission file number 001-36504</w:t>
      </w:r>
    </w:p>
    <w:p>
      <w:pPr>
        <w:spacing w:after="0" w:line="253"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Weatherford International public limited company</w:t>
      </w:r>
    </w:p>
    <w:p>
      <w:pPr>
        <w:spacing w:after="0" w:line="19"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Ireland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0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Non-accelerated filer (Do</w:t>
            </w:r>
          </w:p>
        </w:tc>
        <w:tc>
          <w:tcPr>
            <w:tcW w:w="2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o</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not check if a smaller</w:t>
            </w:r>
          </w:p>
        </w:tc>
        <w:tc>
          <w:tcPr>
            <w:tcW w:w="2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vMerge w:val="continue"/>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reporting company) o</w:t>
            </w:r>
          </w:p>
        </w:tc>
        <w:tc>
          <w:tcPr>
            <w:tcW w:w="2480" w:type="dxa"/>
            <w:vAlign w:val="bottom"/>
          </w:tcPr>
          <w:p>
            <w:pPr>
              <w:ind w:left="160"/>
              <w:spacing w:after="0"/>
              <w:rPr>
                <w:sz w:val="20"/>
                <w:szCs w:val="20"/>
                <w:color w:val="auto"/>
              </w:rPr>
            </w:pPr>
            <w:r>
              <w:rPr>
                <w:rFonts w:ascii="Arial" w:cs="Arial" w:eastAsia="Arial" w:hAnsi="Arial"/>
                <w:sz w:val="18"/>
                <w:szCs w:val="18"/>
                <w:color w:val="auto"/>
                <w:w w:val="99"/>
              </w:rPr>
              <w:t>Smaller reporting company o</w:t>
            </w:r>
          </w:p>
        </w:tc>
        <w:tc>
          <w:tcPr>
            <w:tcW w:w="2320" w:type="dxa"/>
            <w:vAlign w:val="bottom"/>
          </w:tcPr>
          <w:p>
            <w:pPr>
              <w:ind w:left="220"/>
              <w:spacing w:after="0"/>
              <w:rPr>
                <w:sz w:val="20"/>
                <w:szCs w:val="20"/>
                <w:color w:val="auto"/>
              </w:rPr>
            </w:pPr>
            <w:r>
              <w:rPr>
                <w:rFonts w:ascii="Arial" w:cs="Arial" w:eastAsia="Arial" w:hAnsi="Arial"/>
                <w:sz w:val="18"/>
                <w:szCs w:val="18"/>
                <w:color w:val="auto"/>
                <w:w w:val="90"/>
              </w:rPr>
              <w:t>Emerging growth company o</w:t>
            </w: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24, 2018, there were 996,749,190 Weatherford ordinary shares, $0.001 par value per share, outstanding.</w:t>
      </w:r>
    </w:p>
    <w:p>
      <w:pPr>
        <w:sectPr>
          <w:pgSz w:w="11900" w:h="16838" w:orient="portrait"/>
          <w:cols w:equalWidth="0" w:num="1">
            <w:col w:w="11420"/>
          </w:cols>
          <w:pgMar w:left="240" w:top="1071"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Three Months Ended March 31,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39</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20" w:type="dxa"/>
            <w:vAlign w:val="bottom"/>
          </w:tcPr>
          <w:p>
            <w:pPr>
              <w:spacing w:after="0"/>
              <w:rPr>
                <w:sz w:val="19"/>
                <w:szCs w:val="19"/>
                <w:color w:val="auto"/>
              </w:rPr>
            </w:pPr>
          </w:p>
        </w:tc>
        <w:tc>
          <w:tcPr>
            <w:tcW w:w="2400" w:type="dxa"/>
            <w:vAlign w:val="bottom"/>
            <w:gridSpan w:val="5"/>
          </w:tcPr>
          <w:p>
            <w:pPr>
              <w:ind w:left="40"/>
              <w:spacing w:after="0"/>
              <w:rPr>
                <w:sz w:val="20"/>
                <w:szCs w:val="20"/>
                <w:color w:val="auto"/>
              </w:rPr>
            </w:pPr>
            <w:r>
              <w:rPr>
                <w:rFonts w:ascii="Arial" w:cs="Arial" w:eastAsia="Arial" w:hAnsi="Arial"/>
                <w:sz w:val="17"/>
                <w:szCs w:val="17"/>
                <w:b w:val="1"/>
                <w:bCs w:val="1"/>
                <w:color w:val="auto"/>
                <w:w w:val="93"/>
              </w:rPr>
              <w:t>Three Months Ended March 31,</w:t>
            </w:r>
          </w:p>
        </w:tc>
        <w:tc>
          <w:tcPr>
            <w:tcW w:w="0" w:type="dxa"/>
            <w:vAlign w:val="bottom"/>
          </w:tcPr>
          <w:p>
            <w:pPr>
              <w:spacing w:after="0"/>
              <w:rPr>
                <w:sz w:val="1"/>
                <w:szCs w:val="1"/>
                <w:color w:val="auto"/>
              </w:rPr>
            </w:pPr>
          </w:p>
        </w:tc>
      </w:tr>
      <w:tr>
        <w:trPr>
          <w:trHeight w:val="31"/>
        </w:trPr>
        <w:tc>
          <w:tcPr>
            <w:tcW w:w="90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Products</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Services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219"/>
        </w:trPr>
        <w:tc>
          <w:tcPr>
            <w:tcW w:w="9020" w:type="dxa"/>
            <w:vAlign w:val="bottom"/>
          </w:tcPr>
          <w:p>
            <w:pPr>
              <w:ind w:left="40"/>
              <w:spacing w:after="0"/>
              <w:rPr>
                <w:sz w:val="20"/>
                <w:szCs w:val="20"/>
                <w:color w:val="auto"/>
              </w:rPr>
            </w:pPr>
            <w:r>
              <w:rPr>
                <w:rFonts w:ascii="Arial" w:cs="Arial" w:eastAsia="Arial" w:hAnsi="Arial"/>
                <w:sz w:val="17"/>
                <w:szCs w:val="17"/>
                <w:color w:val="auto"/>
              </w:rPr>
              <w:t>Total Revenues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1,386</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Products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Cost of Services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680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720</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Selling, General and Administrative Attributable to Segments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Corporate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Asset Write-Downs and Other</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Restructuring and Transformation Charges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9"/>
        </w:trPr>
        <w:tc>
          <w:tcPr>
            <w:tcW w:w="9020" w:type="dxa"/>
            <w:vAlign w:val="bottom"/>
          </w:tcPr>
          <w:p>
            <w:pPr>
              <w:ind w:left="40"/>
              <w:spacing w:after="0"/>
              <w:rPr>
                <w:sz w:val="20"/>
                <w:szCs w:val="20"/>
                <w:color w:val="auto"/>
              </w:rPr>
            </w:pPr>
            <w:r>
              <w:rPr>
                <w:rFonts w:ascii="Arial" w:cs="Arial" w:eastAsia="Arial" w:hAnsi="Arial"/>
                <w:sz w:val="17"/>
                <w:szCs w:val="17"/>
                <w:color w:val="auto"/>
              </w:rPr>
              <w:t>Total Costs and Expenses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1,462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1,600</w:t>
            </w:r>
          </w:p>
        </w:tc>
        <w:tc>
          <w:tcPr>
            <w:tcW w:w="0" w:type="dxa"/>
            <w:vAlign w:val="bottom"/>
          </w:tcPr>
          <w:p>
            <w:pPr>
              <w:spacing w:after="0"/>
              <w:rPr>
                <w:sz w:val="1"/>
                <w:szCs w:val="1"/>
                <w:color w:val="auto"/>
              </w:rPr>
            </w:pP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Operating Loss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Warrant Fair Value Adjustment</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Bond Tender and Call Premium</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318"/>
        </w:trPr>
        <w:tc>
          <w:tcPr>
            <w:tcW w:w="90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Income Tax Provision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26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1"/>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Basic &amp; Diluted</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9020" w:type="dxa"/>
            <w:vAlign w:val="bottom"/>
          </w:tcPr>
          <w:p>
            <w:pPr>
              <w:ind w:left="40"/>
              <w:spacing w:after="0"/>
              <w:rPr>
                <w:sz w:val="20"/>
                <w:szCs w:val="20"/>
                <w:color w:val="auto"/>
              </w:rPr>
            </w:pPr>
            <w:r>
              <w:rPr>
                <w:rFonts w:ascii="Arial" w:cs="Arial" w:eastAsia="Arial" w:hAnsi="Arial"/>
                <w:sz w:val="17"/>
                <w:szCs w:val="17"/>
                <w:color w:val="auto"/>
              </w:rPr>
              <w:t>Weighted Average Shares Outstanding:</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902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988</w:t>
            </w:r>
          </w:p>
        </w:tc>
        <w:tc>
          <w:tcPr>
            <w:tcW w:w="0" w:type="dxa"/>
            <w:vAlign w:val="bottom"/>
          </w:tcPr>
          <w:p>
            <w:pPr>
              <w:spacing w:after="0"/>
              <w:rPr>
                <w:sz w:val="1"/>
                <w:szCs w:val="1"/>
                <w:color w:val="auto"/>
              </w:rPr>
            </w:pPr>
          </w:p>
        </w:tc>
      </w:tr>
      <w:tr>
        <w:trPr>
          <w:trHeight w:val="31"/>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49"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49" w:right="239" w:bottom="1440" w:gutter="0" w:footer="0" w:header="0"/>
          <w:type w:val="continuous"/>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Three Months Ended March</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324"/>
        </w:trPr>
        <w:tc>
          <w:tcPr>
            <w:tcW w:w="9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2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8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$149 in 2018 and $156 in 2017</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$7,423 in 2018 and $7,462 in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$887 in 2018 and $870 in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9,747</w:t>
            </w:r>
          </w:p>
        </w:tc>
      </w:tr>
      <w:tr>
        <w:trPr>
          <w:trHeight w:val="28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7,541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10,318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1"/>
              </w:rPr>
              <w:t>Shares - Par Value $0.001; Authorized 1,356 shares, Issued and Outstanding 996 shares at March 31, 2018 and</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993 shares at December 31, 2017</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6,655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5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9,334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5"/>
          </w:tcPr>
          <w:p>
            <w:pPr>
              <w:jc w:val="right"/>
              <w:spacing w:after="0"/>
              <w:rPr>
                <w:sz w:val="20"/>
                <w:szCs w:val="20"/>
                <w:color w:val="auto"/>
              </w:rPr>
            </w:pPr>
            <w:r>
              <w:rPr>
                <w:rFonts w:ascii="Arial" w:cs="Arial" w:eastAsia="Arial" w:hAnsi="Arial"/>
                <w:sz w:val="18"/>
                <w:szCs w:val="18"/>
                <w:b w:val="1"/>
                <w:bCs w:val="1"/>
                <w:color w:val="auto"/>
                <w:w w:val="97"/>
              </w:rPr>
              <w:t>Three Months Ended March</w:t>
            </w:r>
          </w:p>
        </w:tc>
      </w:t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Inventory Write-off and Other Related Charges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Write-Downs and Other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and Call Premium</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 Provision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and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9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and Acquisition of Assets Held for Sale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(Payments) from Sale of Businesses, Net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183"/>
        </w:trPr>
        <w:tc>
          <w:tcPr>
            <w:tcW w:w="90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Borrowings of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Short-term Debt,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Premium</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9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r>
      <w:tr>
        <w:trPr>
          <w:trHeight w:val="176"/>
        </w:trPr>
        <w:tc>
          <w:tcPr>
            <w:tcW w:w="9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Taxes Paid, Net of Refunds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w:t>
            </w:r>
          </w:p>
        </w:tc>
      </w:tr>
    </w:tbl>
    <w:p>
      <w:pPr>
        <w:spacing w:after="0" w:line="200" w:lineRule="exact"/>
        <w:rPr>
          <w:sz w:val="20"/>
          <w:szCs w:val="20"/>
          <w:color w:val="auto"/>
        </w:rPr>
      </w:pPr>
    </w:p>
    <w:p>
      <w:pPr>
        <w:spacing w:after="0" w:line="32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9" w:right="239" w:bottom="127" w:gutter="0" w:footer="0" w:header="0"/>
        </w:sectPr>
      </w:pPr>
    </w:p>
    <w:bookmarkStart w:id="6" w:name="page7"/>
    <w:bookmarkEnd w:id="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or “Weatherford Ireland”) are prepared in accordance with generally accepted accounting principles in the United States of America (“U.S. GAAP”) and include all adjustments (consisting of normal recurring adjustments) which, in our opinion, are considered necessary to present fairly our Condensed Consolidated Balance Sheets at March 31, 2018 and Consolidated Financial Statements at December 31, 2017, and Condensed Consolidated Statements of Operations, Condensed Consolidated Statements of Comprehensive Loss and Condensed Consolidated Statements of Cash Flows for the three months ended March 31, 2018 and 2017. When referring to “Weatherford” and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206"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2017 included in our Annual Report on Form 10-K. The results of operations for the three months ended March 31, 2018 are not necessarily indicative of the results expected for the year ending December 31, 2018.</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of inventories, equity investments, derivative financial instruments, intangible assets and goodwill, property, plant and equipment (“PP&amp;E”), income taxes,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prior year income statement amounts have been reclassified to conform to the current year presentation related to the adoption of new accounting standards. Net income for 2017 and shareholders’ equity as of December 31, 2017 were not affected by these reclassifications. See “Note 2 – New Accounting Pronouncements” for additional details.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Condensed Consolidated Statements of Operations. In the first quarter of 2018, currency devaluation charges of $26 million reflected the impact of the devaluation of the Angolan kwanza of $24 million and the Venezuelan bolivar of $2 million. In the first quarter of 2017, we had no currency devaluation charges. The devaluation of the Angolan kwanza was due to a change in the central bank policy in January 2018.</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replaced most existing revenue recognition guidance in U.S. GAAP. We adopted the new guidance and all of the related amendments, collectively Topic 606, using the modified retrospective method applied to those contracts which were not completed as of January 1, 2018. We recognized the cumulative effect of initially applying the new guidance as an adjustment to the opening balance of retained earnings as of January 1, 2018. The comparative information has not been restated and continues to be reported under the accounting standards in effect for those periods. The impact of the adoption of the new guidance is immaterial to our consolidated net loss.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impact on adopting Topic 606 on our Condensed Consolidated Financial Statements is in our Well Construction product line, where we receive customer payments related to the demobilization of drilling equipment and crew. Under the adoption of Topic 606, we now recognize revenue on demobilization equally over the term of the contract, subject to any constraint as discussed in “Note 3 – Revenues” to our Condensed Consolidated Financial Statements. Prior to the adoption of Topic 606, we recognized demobilization revenue once the service was completed. These changes did not have any impact on our Condensed Consolidated Statements of Cash Flows.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cumulative effect of the changes made to our January 1, 2018 Condensed Consolidated Balance Sheet for the adoption of Topic 606,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Adjustments Due</w:t>
            </w:r>
          </w:p>
        </w:tc>
        <w:tc>
          <w:tcPr>
            <w:tcW w:w="14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44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7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to Topic 606</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44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 and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4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r>
      <w:tr>
        <w:trPr>
          <w:trHeight w:val="324"/>
        </w:trPr>
        <w:tc>
          <w:tcPr>
            <w:tcW w:w="4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2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(5,763)</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(5,755)</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adopting Topic 606 on the Company’s Condensed Consolidated Financial Statements for the quarter ended March 31, 2018 was less than $1 million.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Financial Accounting Standards Board (“FASB”) issued ASU 2017-07, </w:t>
      </w:r>
      <w:r>
        <w:rPr>
          <w:rFonts w:ascii="Arial" w:cs="Arial" w:eastAsia="Arial" w:hAnsi="Arial"/>
          <w:sz w:val="18"/>
          <w:szCs w:val="18"/>
          <w:i w:val="1"/>
          <w:iCs w:val="1"/>
          <w:color w:val="auto"/>
        </w:rPr>
        <w:t>Compensation - Retirement Benefits (Topic 715): Improving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Net Periodic Pension Cost and Net Periodic Postretirement Benefit Cost</w:t>
      </w:r>
      <w:r>
        <w:rPr>
          <w:rFonts w:ascii="Arial" w:cs="Arial" w:eastAsia="Arial" w:hAnsi="Arial"/>
          <w:sz w:val="18"/>
          <w:szCs w:val="18"/>
          <w:color w:val="auto"/>
        </w:rPr>
        <w:t>, which amends the presentation of net periodic pension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benefit costs (“net benefit cost”). The service cost component of net benefit cost will be bifurcated and presented with other employee compensation costs, while other components of net benefit costs will be presented separately outside of income from operations. We adopted ASU 2017-07 in the first quarter of 2018 on a retrospective basis which resulted in the reclassification $18 million of income from “Total Costs and Expenses” to “Other Income (Expense), net” on our Condensed Consolidated Statements of Operations.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We adopted ASU 2016-16 in the first quarter of 2018 on a modified retrospective basis. The impact that this new standard has on our Consolidated Financial Statements is a reversal of $105 million of prepaid taxes through retained earnings. Prospectively, any taxes accrued that result from the intra-entity transfers of non-inventory assets will be recognized in current tax expense.</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reduces diversity in practice as to how certain transactions are classified in the statement of cash flows. We adopted ASU 2016-15 in the first quarter of 2018 on a retrospective basis and the adoption of this ASU has no material impact on our Condensed Consolidated Statement of Cash Flows.</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2018, the FASB issued ASU 2018-02</w:t>
      </w:r>
      <w:r>
        <w:rPr>
          <w:rFonts w:ascii="Arial" w:cs="Arial" w:eastAsia="Arial" w:hAnsi="Arial"/>
          <w:sz w:val="18"/>
          <w:szCs w:val="18"/>
          <w:i w:val="1"/>
          <w:iCs w:val="1"/>
          <w:color w:val="auto"/>
        </w:rPr>
        <w:t>, 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permits a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stranded tax effects resulting from the Tax Cuts and Jobs Act. The standard is required to be applied in the period of adoption or on a retrospective basis to each period affected, and will be effective beginning in the first quarter of 2019, although early adoption is permitted.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lease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Under ASU 2016-02, and all the related amendments,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with the first quarter of 2019. We do not anticipate adopting ASU 2016-02 early, which is permitted under the standard. ASU 2016-02 requires lessees and lessors to recognize and measure leases at the beginning of the earliest period presented using a modified retrospective transition method but permits certain practical expedients to be applied, which may exclude certain leases that commenced before the effective date.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our revenue is derived from short term contracts. We account for revenue in accordance with Topic 606, which we adopted on January 1, 2018, using the modified retrospective method. We recognized the cumulative effect of initially applying the new guidance as an adjustment to the opening balance of retained earnings. The comparative information has not been restated and continues to be reported under the accounting standards in effect for those periods. See Note 2 – New Accounting Pronouncements for further discussion of the adoption, including the impact on our 2018 Condensed Consolidated Financial Statements.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the three months ended March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8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1"/>
              </w:rPr>
              <w:t>Three Months Ended March 31, 2018</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2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
        </w:trPr>
        <w:tc>
          <w:tcPr>
            <w:tcW w:w="2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Western</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Eastern</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Total Excluding</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29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Hemisphere</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Hemisphere</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Rental Revenues</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Rental Revenues</w:t>
            </w: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Total Revenues</w:t>
            </w:r>
          </w:p>
        </w:tc>
      </w:tr>
      <w:tr>
        <w:trPr>
          <w:trHeight w:val="27"/>
        </w:trPr>
        <w:tc>
          <w:tcPr>
            <w:tcW w:w="2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Lines: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24"/>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Completions</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294</w:t>
            </w:r>
          </w:p>
        </w:tc>
      </w:tr>
      <w:tr>
        <w:trPr>
          <w:trHeight w:val="27"/>
        </w:trPr>
        <w:tc>
          <w:tcPr>
            <w:tcW w:w="2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43"/>
        </w:trPr>
        <w:tc>
          <w:tcPr>
            <w:tcW w:w="2980" w:type="dxa"/>
            <w:vAlign w:val="bottom"/>
          </w:tcPr>
          <w:p>
            <w:pPr>
              <w:ind w:left="120"/>
              <w:spacing w:after="0"/>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2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r>
      <w:tr>
        <w:trPr>
          <w:trHeight w:val="20"/>
        </w:trPr>
        <w:tc>
          <w:tcPr>
            <w:tcW w:w="2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46"/>
        </w:trPr>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9" w:name="page10"/>
    <w:bookmarkEnd w:id="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tcPr>
          <w:p>
            <w:pPr>
              <w:spacing w:after="0"/>
              <w:rPr>
                <w:sz w:val="18"/>
                <w:szCs w:val="18"/>
                <w:color w:val="auto"/>
              </w:rPr>
            </w:pPr>
          </w:p>
        </w:tc>
        <w:tc>
          <w:tcPr>
            <w:tcW w:w="2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9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31, 2018</w:t>
            </w:r>
          </w:p>
        </w:tc>
      </w:tr>
      <w:tr>
        <w:trPr>
          <w:trHeight w:val="270"/>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Pr>
          <w:p>
            <w:pPr>
              <w:spacing w:after="0"/>
              <w:rPr>
                <w:sz w:val="23"/>
                <w:szCs w:val="23"/>
                <w:color w:val="auto"/>
              </w:rPr>
            </w:pPr>
          </w:p>
        </w:tc>
        <w:tc>
          <w:tcPr>
            <w:tcW w:w="19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(Unaudited)</w:t>
            </w:r>
          </w:p>
        </w:tc>
      </w:tr>
      <w:tr>
        <w:trPr>
          <w:trHeight w:val="27"/>
        </w:trPr>
        <w:tc>
          <w:tcPr>
            <w:tcW w:w="9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Areas:</w:t>
            </w: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97"/>
        </w:trPr>
        <w:tc>
          <w:tcPr>
            <w:tcW w:w="9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Latin America</w:t>
            </w:r>
          </w:p>
        </w:tc>
        <w:tc>
          <w:tcPr>
            <w:tcW w:w="4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9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4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37"/>
        </w:trPr>
        <w:tc>
          <w:tcPr>
            <w:tcW w:w="9020" w:type="dxa"/>
            <w:vAlign w:val="bottom"/>
          </w:tcPr>
          <w:p>
            <w:pPr>
              <w:ind w:left="120"/>
              <w:spacing w:after="0"/>
              <w:rPr>
                <w:sz w:val="20"/>
                <w:szCs w:val="20"/>
                <w:color w:val="auto"/>
              </w:rPr>
            </w:pPr>
            <w:r>
              <w:rPr>
                <w:rFonts w:ascii="Arial" w:cs="Arial" w:eastAsia="Arial" w:hAnsi="Arial"/>
                <w:sz w:val="18"/>
                <w:szCs w:val="18"/>
                <w:color w:val="auto"/>
              </w:rPr>
              <w:t>Western Hemisphere</w:t>
            </w:r>
          </w:p>
        </w:tc>
        <w:tc>
          <w:tcPr>
            <w:tcW w:w="4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91"/>
        </w:trPr>
        <w:tc>
          <w:tcPr>
            <w:tcW w:w="90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Middle East &amp; North Africa</w:t>
            </w:r>
          </w:p>
        </w:tc>
        <w:tc>
          <w:tcPr>
            <w:tcW w:w="4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9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Asia</w:t>
            </w:r>
          </w:p>
        </w:tc>
        <w:tc>
          <w:tcPr>
            <w:tcW w:w="4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9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4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91"/>
        </w:trPr>
        <w:tc>
          <w:tcPr>
            <w:tcW w:w="90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and Service Revenue before Rental Revenues</w:t>
            </w:r>
          </w:p>
        </w:tc>
        <w:tc>
          <w:tcPr>
            <w:tcW w:w="4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Rental Revenues</w:t>
            </w:r>
          </w:p>
        </w:tc>
        <w:tc>
          <w:tcPr>
            <w:tcW w:w="44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9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1,423</w:t>
            </w:r>
          </w:p>
        </w:tc>
      </w:tr>
      <w:tr>
        <w:trPr>
          <w:trHeight w:val="20"/>
        </w:trPr>
        <w:tc>
          <w:tcPr>
            <w:tcW w:w="9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classified as deferred revenues) on the Condensed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Receivables for products and services with customers, under Topic 606, are included in “Accounts Receivable, Net”, contract assets in “Other Current Assets” and contract liabilities in ”Other Current Liabilities” on our Condensed Consolidated Balance Sheets.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receivables for product and services included in “Accounts Receivable, Net” at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1, 2018,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94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March 31, 2018</w:t>
            </w:r>
          </w:p>
        </w:tc>
        <w:tc>
          <w:tcPr>
            <w:tcW w:w="1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6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for Product and Services in Accounts Receivable, Net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7"/>
        </w:trPr>
        <w:tc>
          <w:tcPr>
            <w:tcW w:w="66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but not billed in which the rights to consideration are conditional and would be classified as contract assets. These are primarily related to service contracts and are not material to our Condensed Consolidated Financial Statements. We may also have contract liabilities, and defer revenues for certain product sales that are not distinct from their installation.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did not recognize any revenues during the three months ended March 31, 2018 related to performance obligations satisfied prior to January 1, 2018.</w:t>
      </w:r>
    </w:p>
    <w:p>
      <w:pPr>
        <w:spacing w:after="0" w:line="200" w:lineRule="exact"/>
        <w:rPr>
          <w:sz w:val="20"/>
          <w:szCs w:val="20"/>
          <w:color w:val="auto"/>
        </w:rPr>
      </w:pPr>
    </w:p>
    <w:p>
      <w:pPr>
        <w:spacing w:after="0" w:line="29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5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Significant changes in the contract assets and liabilities balances during the period are as follows: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890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Revenue recognized that was included in the deferred revenue balance at the beginning of the period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Increase due to cash received, excluding amount recognized as revenue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Increase due to revenue recognized during the period but contingent on future performance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gridSpan w:val="3"/>
          </w:tcPr>
          <w:p>
            <w:pPr>
              <w:ind w:left="40"/>
              <w:spacing w:after="0"/>
              <w:rPr>
                <w:sz w:val="20"/>
                <w:szCs w:val="20"/>
                <w:color w:val="auto"/>
              </w:rPr>
            </w:pPr>
            <w:r>
              <w:rPr>
                <w:rFonts w:ascii="Arial" w:cs="Arial" w:eastAsia="Arial" w:hAnsi="Arial"/>
                <w:sz w:val="18"/>
                <w:szCs w:val="18"/>
                <w:b w:val="1"/>
                <w:bCs w:val="1"/>
                <w:color w:val="auto"/>
              </w:rPr>
              <w:t>Balance, as of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major product lines: Production, Completions, Drilling and Evaluation and Well Construction.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Services are billed and recognized as revenue at the amount to which we have the right to invoice for services performed. Our payment terms vary by the type and location of our customer and the products or services offered. The term between invoicing and when payment is due is not significant. For certain products or services and customer types, we require payment before the products or services are delivered to the customer. We defer revenue recognition on such payments when the products or services are delivered to the customer.</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Production product line), we estimate standalone selling prices using the adjusted market assessment approach.</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Up-front payments for preparation and mobilization of equipment and personnel in connection with new drilling contracts are deferred along with any related incremental costs incurred directly related to preparation and mobilization. The deferred revenue and costs are recognized over the contract term using the straight-line method. Costs of relocating equipment without contracts are expensed as incurred. Demobilization fees received are recognized over the contract period and may be constrained to the amount that it is probable a significant reversal in the fees will not occur. When determining if such variable consideration should be constrained, management considers whether there are factors outside the Company’s control that could result in a significant reversal of revenue as well as the likelihood and magnitude of such a potential reversal.</w:t>
      </w:r>
    </w:p>
    <w:p>
      <w:pPr>
        <w:spacing w:after="0" w:line="200" w:lineRule="exact"/>
        <w:rPr>
          <w:sz w:val="20"/>
          <w:szCs w:val="20"/>
          <w:color w:val="auto"/>
        </w:rPr>
      </w:pPr>
    </w:p>
    <w:p>
      <w:pPr>
        <w:spacing w:after="0" w:line="22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2"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Condensed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 assurance warranties.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March 31, 2018 relate to subsea services, an artificial lift contract, long-term early production facility construction contracts and rigs demobilization: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2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13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80</w:t>
            </w:r>
          </w:p>
        </w:tc>
        <w:tc>
          <w:tcPr>
            <w:tcW w:w="1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w:t>
            </w:r>
          </w:p>
        </w:tc>
        <w:tc>
          <w:tcPr>
            <w:tcW w:w="13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20</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2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consideration from contracts with customers is included in the amounts presented above.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expense sales commissions paid when incurred as a result of obtaining a contract because the amortization period would have been one year or less. These costs are recorded within “Selling, General and Administrative Attributable to Segments” on our Condensed Consolidated Statements of Operations.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26, 2018, we acquired the remaining 50% equity interest in our Qatar joint venture that we previously accounted for as an equity method investment. The joint venture was established in 2008 to provide energy related services required for the drilling and completion of oil and gas wells at onshore and offshore locations within the State of Qatar. The total consideration to purchase the remaining equity interest was $87 million, comprised of cash consideration of $72 million, of which $48 million was paid in accordance with closing terms through the joint venture, an additional payment of $24 million that will be made 2 years from closing and estimated contingent consideration of $15 million payable related to services the Qatar entity will render under new contracts. As a result of this step acquisition transaction with a change in control, we remeasured our previously held equity investment to fair value, recognizing a $12 million gain. The Level 3 fair value of the acquisition was determined using an income approach. The unobservable inputs to the income approach included the Qatar entity’s estimated future cash flows and estimates of discount rates commensurate with the entity’s risks. Upon acquisition, we recognized intangible assets of $26 million, PP&amp;E of $25 million, goodwill of $23 million, other current assets of $16 million, and other liabilities of $43 million as a result of the purchase accounting assessment. The Qatar entity is consolidated and its revenues and net income subsequent to acquisition during the quarter were immaterial.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2018, we completed the sale of our continuous sucker rod service business in Canada for a total amount of $25 million in cash and recognized a gain of $2 million. The carrying amounts of the major classes of assets sold are PP&amp;E of $14 million, allocated goodwill of $8 million and inventory of $1 million.</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fourth quarter of 2017, we committed to a plan to divest our land drilling rigs assets. As a result, we reclassified the carrying amounts of the assets we plan to divest as held for sale as of March 31, 2018 and December 31, 2017, which included $276 million of PP&amp;E and other assets and $64 million of inventory. As of March 31, 2018, we also classified $29 million of other PP&amp;E as held for sale, primarily real estate.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and Transformation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2018 and are expected to continue through 2019 (the “Transformation Plan”), included a workforce reduction, organization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$25 million in the first quarter of 2018, which include termination (severance) charges of $11 million and other restructuring charges of $14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2016-17 Plan, we recognized restructuring charges of $75 million in the first quarter of 2017, which include termination (severance) charges of $34 million, other restructuring charges of $29 million and restructuring related asset charges of $12 million. Other restructuring charges include contract termination costs, relocation and other associated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components of restructuring charges by segment for the first quarter of 2018 and 2017.</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2018</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Three Months Ended March 31, 2017</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2016-17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280" w:type="dxa"/>
            <w:vAlign w:val="bottom"/>
          </w:tcPr>
          <w:p>
            <w:pPr>
              <w:spacing w:after="0"/>
              <w:rPr>
                <w:sz w:val="23"/>
                <w:szCs w:val="23"/>
                <w:color w:val="auto"/>
              </w:rPr>
            </w:pPr>
          </w:p>
        </w:tc>
        <w:tc>
          <w:tcPr>
            <w:tcW w:w="16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12</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liabilities accrued as part of the 2016-17 and Prior Plans that will be paid pursuant to the respective arrangements and statutory requirements.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At March 31, 2018</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Transformation Plan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2016-17 and Prior Plans</w:t>
            </w: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Severance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Severance</w:t>
            </w:r>
          </w:p>
        </w:tc>
        <w:tc>
          <w:tcPr>
            <w:tcW w:w="220" w:type="dxa"/>
            <w:vAlign w:val="bottom"/>
          </w:tcPr>
          <w:p>
            <w:pPr>
              <w:spacing w:after="0"/>
              <w:rPr>
                <w:sz w:val="23"/>
                <w:szCs w:val="23"/>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220" w:type="dxa"/>
            <w:vAlign w:val="bottom"/>
          </w:tcPr>
          <w:p>
            <w:pPr>
              <w:spacing w:after="0"/>
              <w:rPr>
                <w:sz w:val="23"/>
                <w:szCs w:val="23"/>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42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first three months of 2018.</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Three Months Ended March 31, 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March 31, 2018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2016-17 and Prior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ind w:lef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2"/>
        </w:trPr>
        <w:tc>
          <w:tcPr>
            <w:tcW w:w="29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Accounts Receivable Factoring and Other Receivables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three months of 2018, we sold accounts receivable of $96 million and recognized a loss of approximately $0.6 million on these sales. We received cash proceeds totaling $93 million. In the first three months of 2017, we sold approximately $38 million and recognized a loss of $0.2 million. Our factoring transactions in the first three months of 2018 and 2017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7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7. Inventories, Net</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Inventories, net of reserves, by category were as follows: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81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37"/>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three months ended March 31,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Western Hemisphere</w:t>
            </w:r>
          </w:p>
        </w:tc>
        <w:tc>
          <w:tcPr>
            <w:tcW w:w="2260" w:type="dxa"/>
            <w:vAlign w:val="bottom"/>
            <w:gridSpan w:val="4"/>
          </w:tcPr>
          <w:p>
            <w:pPr>
              <w:ind w:left="280"/>
              <w:spacing w:after="0"/>
              <w:rPr>
                <w:sz w:val="20"/>
                <w:szCs w:val="20"/>
                <w:color w:val="auto"/>
              </w:rPr>
            </w:pPr>
            <w:r>
              <w:rPr>
                <w:rFonts w:ascii="Arial" w:cs="Arial" w:eastAsia="Arial" w:hAnsi="Arial"/>
                <w:sz w:val="18"/>
                <w:szCs w:val="18"/>
                <w:b w:val="1"/>
                <w:bCs w:val="1"/>
                <w:color w:val="auto"/>
              </w:rPr>
              <w:t>Eastern Hemisphere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Dispositions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640" w:type="dxa"/>
            <w:vAlign w:val="bottom"/>
          </w:tcPr>
          <w:p>
            <w:pPr>
              <w:ind w:left="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40" w:type="dxa"/>
            <w:vAlign w:val="bottom"/>
            <w:vMerge w:val="restart"/>
          </w:tcPr>
          <w:p>
            <w:pPr>
              <w:ind w:left="280"/>
              <w:spacing w:after="0"/>
              <w:rPr>
                <w:sz w:val="20"/>
                <w:szCs w:val="20"/>
                <w:color w:val="auto"/>
              </w:rPr>
            </w:pPr>
            <w:r>
              <w:rPr>
                <w:rFonts w:ascii="Arial" w:cs="Arial" w:eastAsia="Arial" w:hAnsi="Arial"/>
                <w:sz w:val="18"/>
                <w:szCs w:val="18"/>
                <w:b w:val="1"/>
                <w:bCs w:val="1"/>
                <w:color w:val="auto"/>
                <w:w w:val="94"/>
              </w:rPr>
              <w:t>9. Short-Term Borrowings and Other Debt Obligations</w:t>
            </w: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ind w:left="40"/>
              <w:spacing w:after="0"/>
              <w:rPr>
                <w:sz w:val="20"/>
                <w:szCs w:val="20"/>
                <w:color w:val="auto"/>
              </w:rPr>
            </w:pPr>
            <w:r>
              <w:rPr>
                <w:rFonts w:ascii="Arial" w:cs="Arial" w:eastAsia="Arial" w:hAnsi="Arial"/>
                <w:sz w:val="18"/>
                <w:szCs w:val="18"/>
                <w:b w:val="1"/>
                <w:bCs w:val="1"/>
                <w:color w:val="auto"/>
              </w:rPr>
              <w:t>March 31, 2018</w:t>
            </w:r>
          </w:p>
        </w:tc>
        <w:tc>
          <w:tcPr>
            <w:tcW w:w="162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Agreement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Other Short-term Loans</w:t>
            </w:r>
          </w:p>
        </w:tc>
        <w:tc>
          <w:tcPr>
            <w:tcW w:w="2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w w:val="93"/>
              </w:rPr>
              <w:t>Short-term Borrowings and Current Portion of Long-term Debt</w:t>
            </w:r>
          </w:p>
        </w:tc>
        <w:tc>
          <w:tcPr>
            <w:tcW w:w="2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 and Secured Term Loan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2018, we had total commitments under our revolving credit facility (the “Revolving Credit Agreement”) maturing in July of 2019 of $900 million and borrowings of $363 million under our secured term loan agreement (“the Term Loan Agreement and collectively with the Revolving Credit Agreement, the “Credit Agreements”) maturing in July of 2020. At March 31, 2018, we had $744 million available under the Credit Agreements and the following table summarizes our borrowing availability under these agreements:</w:t>
      </w:r>
    </w:p>
    <w:p>
      <w:pPr>
        <w:spacing w:after="0" w:line="129"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March 31, 2018</w:t>
            </w:r>
          </w:p>
        </w:tc>
      </w:tr>
      <w:tr>
        <w:trPr>
          <w:trHeight w:val="27"/>
        </w:trPr>
        <w:tc>
          <w:tcPr>
            <w:tcW w:w="5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Agreement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Secured Term Loan Principal Borrowing</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57"/>
        </w:trPr>
        <w:tc>
          <w:tcPr>
            <w:tcW w:w="5680" w:type="dxa"/>
            <w:vAlign w:val="bottom"/>
          </w:tcPr>
          <w:p>
            <w:pPr>
              <w:ind w:left="20"/>
              <w:spacing w:after="0"/>
              <w:rPr>
                <w:sz w:val="20"/>
                <w:szCs w:val="20"/>
                <w:color w:val="auto"/>
              </w:rPr>
            </w:pPr>
            <w:r>
              <w:rPr>
                <w:rFonts w:ascii="Arial" w:cs="Arial" w:eastAsia="Arial" w:hAnsi="Arial"/>
                <w:sz w:val="18"/>
                <w:szCs w:val="18"/>
                <w:color w:val="auto"/>
              </w:rPr>
              <w:t>Borrowing Availability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5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Loans under the Credit Agreements are subject to varying interest rates based on whether the loan is a Eurodollar or alternate base rate loan. We also incur a quarterly facility fee on the amount of the Revolving Credit Agreement. For the three months ended</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32" w:right="239" w:bottom="1440" w:gutter="0" w:footer="0" w:header="0"/>
        </w:sectPr>
      </w:pPr>
    </w:p>
    <w:bookmarkStart w:id="15" w:name="page16"/>
    <w:bookmarkEnd w:id="1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March 31, 2018, the interest rate for the Revolving Credit Agreement was LIBOR plus a margin rate of 2.80%. For the three months ended March 31, 2018, the interest rate for the Term Loan Agreement was LIBOR plus a margin rate of 2.30%.</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Credit Agreements contain customary events of default, including in the event of our failure to comply with our financial covenants. We must maintain a leverage ratio of no greater than 2.5 to 1, a leverage and letters of credit ratio of no greater than 3.5 to 1, and an asset coverage ratio of at least 4.0 to 1, in each case with the terms and definitions for the ratios as provided in the Credit Agreements. At March 31, 2018, we were in compliance with these financial covenants. For additional information on our credit agreement covenants, please see “Note 12 – Short-term Borrowings and Other Debt Obligations” to the Condensed Consolidated Financial Statements contained in our Annual Report on Form 10-K for the year ended December 31, 2017.</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and Tender Offers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we issued $600 million in aggregate principal amount of our 9.875% senior notes due 2025. We used part of the proceeds from our debt offering to repay in full our 6.00% senior notes due March 2018 and to fund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Borrowings and Debt Activity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March 31, 2018, we had $4 million in short-term borrowings under these arrangements. In addition, we had $356 million of letters of credit under various uncommitted facilities and $131 million of letters of credit under the Revolving Credit Agreement. At March 31, 2018, we have cash collateralized $89 million of our letters of credit, which is included “Cash and Cash Equivalents” in the accompanying Condensed Consolidated Balance Sheets. We have $15 million of surety bonds, primarily performance bonds, issued by financial sureties against an indemnification from us at March 31, 2018.</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11 – Derivative Instruments”, we had no other material assets or liabilities measured and recognized at fair value on a recurring basis at March 31, 2018 and December 31,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and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200" w:lineRule="exact"/>
        <w:rPr>
          <w:sz w:val="20"/>
          <w:szCs w:val="20"/>
          <w:color w:val="auto"/>
        </w:rPr>
      </w:pP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4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67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540" w:type="dxa"/>
            <w:vAlign w:val="bottom"/>
          </w:tcPr>
          <w:p>
            <w:pPr>
              <w:spacing w:after="0"/>
              <w:rPr>
                <w:sz w:val="24"/>
                <w:szCs w:val="24"/>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March 31, 2018</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6,376</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7,060</w:t>
            </w: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Carrying Value</w:t>
            </w:r>
          </w:p>
        </w:tc>
        <w:tc>
          <w:tcPr>
            <w:tcW w:w="15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7,319</w:t>
            </w:r>
          </w:p>
        </w:tc>
        <w:tc>
          <w:tcPr>
            <w:tcW w:w="6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7,218</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warrant fair value is considered a Level 3 valuation and is estimated using a combination of the Black Scholes option valuation model and Monte-Carlo simulation. Inputs to these models include Weatherford’s share price and volatility and the risk free interest rate. The valuation also considers the probabilities of future share issuances and anticipated issuance discounts, which are considered Level 3 inputs. The fair value of the warrant was $24 million on March 31, 2018 and $70 million on December 31, 2017, generating an unrealized gain of $46 million and unrealized loss of $62 million for the first quarter of 2018 and 2017, respectively. The change in fair value of the warrant during the first quarter of 2018 was principally due to a decrease in Weatherford’s stock price. The warrant valuation would be negatively affected due to an increase in the likelihood of a future stock issuance.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March 31, 2018, we did not have any fair value hedges designated.</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31, 2018, we had net unamortized premiums on fixed-rate debt of nil associated with fair value hedge terminations. These premiums were being amortized over the remaining term of the originally hedged debt as a reduction in interest expense included in “Interest Expense, Net” on the accompanying Condensed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March 31, 2018, we had net unamortized losses of $9 million associated with our cash flow hedge terminations. As of March 31, 2018, we did not have any cash flow hedges designated.</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2" w:right="239" w:bottom="1440" w:gutter="0" w:footer="0" w:header="0"/>
        </w:sectPr>
      </w:pPr>
    </w:p>
    <w:bookmarkStart w:id="17" w:name="page18"/>
    <w:bookmarkEnd w:id="1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Warrant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March 31, 2018 and December 31, 2017, we had outstanding foreign currency forward contracts with notional amounts aggregating to $734 million and $767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Income (Expense), Net” on the accompanying Condensed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fair values of our foreign currency forward contracts and warrant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2840" w:type="dxa"/>
            <w:vAlign w:val="bottom"/>
          </w:tcPr>
          <w:p>
            <w:pPr>
              <w:ind w:left="9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Non-Current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Condensed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Three Months Ended March</w:t>
            </w:r>
          </w:p>
        </w:tc>
        <w:tc>
          <w:tcPr>
            <w:tcW w:w="30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r>
      <w:tr>
        <w:trPr>
          <w:trHeight w:val="27"/>
        </w:trPr>
        <w:tc>
          <w:tcPr>
            <w:tcW w:w="59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37"/>
        </w:trPr>
        <w:tc>
          <w:tcPr>
            <w:tcW w:w="59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80" w:type="dxa"/>
            <w:vAlign w:val="bottom"/>
          </w:tcPr>
          <w:p>
            <w:pPr>
              <w:ind w:left="102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Other Income (Expense), Net</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7"/>
                <w:szCs w:val="17"/>
                <w:i w:val="1"/>
                <w:iCs w:val="1"/>
                <w:color w:val="auto"/>
              </w:rPr>
              <w:t>Warrant Fair Value Adjustment</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Beginning in first quarter of 2017 and continuing for the three months period ended March 31, 2018, we have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continue to use this method each quarter until the annual effective tax rate method is deemed appropriate. For the first quarter of 2018, we had a tax expense of $32 million on a loss before income taxes of $210 million. Results for the first quarter of 2018 include losses with no significant tax benefit. The tax expense for the quarter also includes withholding taxes and deemed profit taxes that do not directly correlate to ordinary income or loss.</w:t>
      </w:r>
    </w:p>
    <w:p>
      <w:pPr>
        <w:spacing w:after="0" w:line="182"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allows for a measurement period of up to one year after the enactment date of the legislation to finalize the recording of the related tax impacts. In the fourth quarter of 2017, the Company did not have all the necessary information to analyze all effects of this tax reform, as a result we recorded a provisional amount which we believe represents a reasonable estimate of the accounting</w:t>
      </w: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implications of this tax reform. In addition, the various impacts of the TCJA may materially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No adjustment to the provisional amount was recorded in the first quarter of 2018. We will continue to evaluate tax reform, and adjust the provisional amounts as additional information is obtained. Any adjustment to these provisional amounts will be reported in the reporting period in which any such adjustments are determined, which will be no later than the fourth quarter of 2018.</w:t>
      </w:r>
    </w:p>
    <w:p>
      <w:pPr>
        <w:spacing w:after="0" w:line="15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$19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first quarter of 2017, we had a tax expense of $33 million on a loss before income taxes of $410 million. Results for the first quarter of 2017 include losses with no significant tax benefit. The tax expense for the quarter also included withholding taxes and deemed profit taxes that do not directly correlate to ordinary income or loss.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first three months of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6,599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Adoption of Intra-Entity Transfers of Assets Other</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Than Inventory and Revenue from Contracts with</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first three months of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Defined benefit pension reclassifications relate to amortization of unrecognized net gains associated primarily with our supplemental executive retirement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and potentially dilutive shares. The following table presents our basic and diluted weighted average shares outstanding for the first quarter of 2018 and 2017:</w:t>
      </w:r>
    </w:p>
    <w:p>
      <w:pPr>
        <w:spacing w:after="0" w:line="129"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4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7"/>
        </w:trPr>
        <w:tc>
          <w:tcPr>
            <w:tcW w:w="58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7"/>
        </w:trPr>
        <w:tc>
          <w:tcPr>
            <w:tcW w:w="58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basic and diluted weighted average shares outstanding for the periods presented are equivalent due to the net loss attributable to shareholders. Diluted weighted average shares outstanding for the first quarter of 2018 and 2017 exclude potential shares for stock options, restricted shares, performance units, exchangeable notes, warrant outstanding and the Employee Stock Purchase Plan as we have net losses for those periods and their inclusion would be anti-dilutive. The following table discloses the number of anti-dilutive shares excluded for the first quarter of 2018 and 2017:</w:t>
      </w:r>
    </w:p>
    <w:p>
      <w:pPr>
        <w:spacing w:after="0" w:line="113"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22860</wp:posOffset>
            </wp:positionV>
            <wp:extent cx="12179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42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4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42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4280" w:type="dxa"/>
            <w:vAlign w:val="bottom"/>
          </w:tcPr>
          <w:p>
            <w:pPr>
              <w:jc w:val="right"/>
              <w:ind w:right="327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6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15. Share-Based Compensation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w w:val="92"/>
              </w:rPr>
              <w:t>We recognized the following employee share-based compensation expense during the first quarter of 2018 and 2017:</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31,</w:t>
            </w:r>
          </w:p>
        </w:tc>
        <w:tc>
          <w:tcPr>
            <w:tcW w:w="88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first quarter of 2018, we granted to certain employees 1.3 million performance share units that will vest with continued employment if the Company meets certain market-based goals. These performance share units have a weighted average grant date fair value of $5.41 per share based on the Monte Carlo simulation method. The assumptions used in the Monte Carlo simulation included a weighted average risk-free rate of 2.28%, volatility of 63% and a zero dividend yield. We also granted 1.3 million performance shares that will vest with continued employment if the Company meets a certain performance goal. These performance share units have a weighted average grant date fair value of $3.94. As of March 31, 2018, there was $16 million of unrecognized compensation expense related to our performance share units. This cost is expected to be recognized over a weighted average period of 2 years.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2018, we also granted 2.9 million restricted share units at a weighted average grant date fair value of $3.89 per share. As of March 31, 2018, there was $55 million of unrecognized compensation expense related to our unvested restricted share grants. This cost is expected to be recognized over a weighted average period of 2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Form 10-K.</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10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91"/>
              </w:rPr>
              <w:t>Three Months Ended March 31, 2018</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Income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Depreciation</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b w:val="1"/>
                <w:bCs w:val="1"/>
                <w:color w:val="auto"/>
                <w:w w:val="94"/>
              </w:rPr>
              <w:t>from</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Revenues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Operations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7"/>
        </w:trPr>
        <w:tc>
          <w:tcPr>
            <w:tcW w:w="5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4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(a)</w:t>
            </w: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1,423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asset write-downs and inventory charges, partially offset by gain on purchase of the remaining interest in a joint venture.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20</w:t>
      </w:r>
    </w:p>
    <w:p>
      <w:pPr>
        <w:sectPr>
          <w:pgSz w:w="11900" w:h="16838" w:orient="portrait"/>
          <w:cols w:equalWidth="0" w:num="1">
            <w:col w:w="11420"/>
          </w:cols>
          <w:pgMar w:left="240" w:top="432" w:right="239" w:bottom="144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6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92"/>
              </w:rPr>
              <w:t>Three Months Ended March 31, 2017</w:t>
            </w:r>
          </w:p>
        </w:tc>
        <w:tc>
          <w:tcPr>
            <w:tcW w:w="1480" w:type="dxa"/>
            <w:vAlign w:val="bottom"/>
          </w:tcPr>
          <w:p>
            <w:pPr>
              <w:spacing w:after="0"/>
              <w:rPr>
                <w:sz w:val="24"/>
                <w:szCs w:val="24"/>
                <w:color w:val="auto"/>
              </w:rPr>
            </w:pP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left="370"/>
              <w:spacing w:after="0"/>
              <w:rPr>
                <w:sz w:val="20"/>
                <w:szCs w:val="20"/>
                <w:color w:val="auto"/>
              </w:rPr>
            </w:pPr>
            <w:r>
              <w:rPr>
                <w:rFonts w:ascii="Arial" w:cs="Arial" w:eastAsia="Arial" w:hAnsi="Arial"/>
                <w:sz w:val="18"/>
                <w:szCs w:val="18"/>
                <w:b w:val="1"/>
                <w:bCs w:val="1"/>
                <w:color w:val="auto"/>
                <w:w w:val="85"/>
              </w:rPr>
              <w:t>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1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from</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51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Revenues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Operations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13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12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1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12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518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Asset Write-Downs and Other </w:t>
            </w:r>
            <w:r>
              <w:rPr>
                <w:rFonts w:ascii="Arial" w:cs="Arial" w:eastAsia="Arial" w:hAnsi="Arial"/>
                <w:sz w:val="25"/>
                <w:szCs w:val="25"/>
                <w:color w:val="auto"/>
                <w:vertAlign w:val="superscript"/>
              </w:rPr>
              <w:t>(b)</w:t>
            </w:r>
          </w:p>
        </w:tc>
        <w:tc>
          <w:tcPr>
            <w:tcW w:w="13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r>
      <w:tr>
        <w:trPr>
          <w:trHeight w:val="257"/>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1,386</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0"/>
        </w:trPr>
        <w:tc>
          <w:tcPr>
            <w:tcW w:w="1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asset write-downs and inventory charges.</w:t>
      </w:r>
    </w:p>
    <w:p>
      <w:pPr>
        <w:spacing w:after="0" w:line="239" w:lineRule="exact"/>
        <w:rPr>
          <w:rFonts w:ascii="Arial" w:cs="Arial" w:eastAsia="Arial" w:hAnsi="Arial"/>
          <w:sz w:val="16"/>
          <w:szCs w:val="16"/>
          <w:color w:val="auto"/>
        </w:rPr>
      </w:pPr>
    </w:p>
    <w:p>
      <w:pPr>
        <w:ind w:left="600" w:hanging="268"/>
        <w:spacing w:after="0"/>
        <w:tabs>
          <w:tab w:leader="none" w:pos="60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6"/>
          <w:szCs w:val="16"/>
          <w:i w:val="1"/>
          <w:iCs w:val="1"/>
          <w:color w:val="auto"/>
        </w:rPr>
        <w:t>Neff v. Brady, et al.</w:t>
      </w:r>
      <w:r>
        <w:rPr>
          <w:rFonts w:ascii="Arial" w:cs="Arial" w:eastAsia="Arial" w:hAnsi="Arial"/>
          <w:sz w:val="16"/>
          <w:szCs w:val="16"/>
          <w:color w:val="auto"/>
        </w:rPr>
        <w:t>, No. 2010040764 (collectively referred to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That case, captioned </w:t>
      </w:r>
      <w:r>
        <w:rPr>
          <w:rFonts w:ascii="Arial" w:cs="Arial" w:eastAsia="Arial" w:hAnsi="Arial"/>
          <w:sz w:val="16"/>
          <w:szCs w:val="16"/>
          <w:i w:val="1"/>
          <w:iCs w:val="1"/>
          <w:color w:val="auto"/>
        </w:rPr>
        <w:t xml:space="preserve">Erste-Sparinvest KAG v. Duroc-Danner, et al., </w:t>
      </w:r>
      <w:r>
        <w:rPr>
          <w:rFonts w:ascii="Arial" w:cs="Arial" w:eastAsia="Arial" w:hAnsi="Arial"/>
          <w:sz w:val="16"/>
          <w:szCs w:val="16"/>
          <w:color w:val="auto"/>
        </w:rPr>
        <w:t>No. 201420933 (Harris County, Texas) was consolidated into the</w:t>
      </w:r>
      <w:r>
        <w:rPr>
          <w:rFonts w:ascii="Arial" w:cs="Arial" w:eastAsia="Arial" w:hAnsi="Arial"/>
          <w:sz w:val="16"/>
          <w:szCs w:val="16"/>
          <w:i w:val="1"/>
          <w:iCs w:val="1"/>
          <w:color w:val="auto"/>
        </w:rPr>
        <w:t xml:space="preserve"> Neff Case </w:t>
      </w:r>
      <w:r>
        <w:rPr>
          <w:rFonts w:ascii="Arial" w:cs="Arial" w:eastAsia="Arial" w:hAnsi="Arial"/>
          <w:sz w:val="16"/>
          <w:szCs w:val="16"/>
          <w:color w:val="auto"/>
        </w:rPr>
        <w:t>in September 2014. A motion to dismiss was granted May 15,</w:t>
      </w:r>
      <w:r>
        <w:rPr>
          <w:rFonts w:ascii="Arial" w:cs="Arial" w:eastAsia="Arial" w:hAnsi="Arial"/>
          <w:sz w:val="16"/>
          <w:szCs w:val="16"/>
          <w:i w:val="1"/>
          <w:iCs w:val="1"/>
          <w:color w:val="auto"/>
        </w:rPr>
        <w:t xml:space="preserve"> </w:t>
      </w:r>
      <w:r>
        <w:rPr>
          <w:rFonts w:ascii="Arial" w:cs="Arial" w:eastAsia="Arial" w:hAnsi="Arial"/>
          <w:sz w:val="16"/>
          <w:szCs w:val="16"/>
          <w:color w:val="auto"/>
        </w:rPr>
        <w:t>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We cannot reliably predict the outcome of the remaining claims, including the amount of any possible loss.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SEC and the U.S. Department of Justice investigated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As disclosed in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(as amended, the “Securities Act”), and the anti-fraud, reporting, books and records, and internal controls provisions of the Securities Exchange Act of 1934 (as amended, the “Exchange Act”), and the rules promulgated thereunder. As part of the terms of the SEC settlement, the Company agreed to pay in installments a total civil monetary penalty of $140 million, beginning in the fourth quarter of 2016 and concluding in September 2017. In addition, certain reports and certifications regarding our tax internal controls were to be delivered to the SEC during the two years following the settlement. We completed and delivered the third and final report in April of 2018.</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32"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There is one more pending IPR relating to the ‘501 patent. Given the similarities among the four patents, the Company believes it will obtain a favorable outcome in the remaining IPR. RC has appealed the PTAB’s decisions.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one or more negative outcomes were to occur in either case, the impact to our financial position, results of operations, or cash flows could be material.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aware of various other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March 31, 2018 and December 31, 2017 were $47 million and $51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minimum purchase commitments related to supply contracts and maintain a liability at March 31, 2018 of $47 million for expected penalties to be paid, of which $22 million is recorded in “Other Current Liabilities,” $25 million is recorded in “Other Non-Current Liabilities” on our Condensed Consolidated Balance Sheets.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March 31, 2018 and December 31, 2017. At March 31, 2018, Weatherford Bermuda also guaranteed the 9.875% senior notes due 2025.</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Bermuda were guaranteed by Weatherford Delaware at March 31, 2018 and December 31, 2017: (1) Revolving Credit Agreement, (2) Term Loan Agreement, (3) 9.625% senior notes due 2019, which were</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repaid in full through early redemption of the bond in April 2018 (4) 6.50% senior notes due 2036, (5) 7.00% senior notes due 2038, (6) 9.875% senior notes due 2039, (7) 5.125% senior notes due 2020, (8) 6.75% senior notes due 2040, (9) 4.50% senior notes due 2021, (10) 5.95% senior notes due 2042, (11) 5.875% exchangeable senior notes due 2021, (12) 7.75% senior notes due 2021, (13) 8.25% senior notes due 2023 and (14) 9.875% senior notes due 2024. At December 31, 2017, Weatherford Delaware also guaranteed the 6.00% senior notes due 2018, which were repaid in full in March 2018.</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4" w:name="page25"/>
    <w:bookmarkEnd w:id="2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59"/>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March 31,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6,643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7,639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10,232</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7,760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13,184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(19,030)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14,316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Capital Expenditures for Assets Held for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Payment Related to Sale of Businesses,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March 31,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w w:val="97"/>
              </w:rPr>
              <w:t>Proceeds (Payments) from Sale of</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Businesses,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onshore and offshore. Our products and services include: (1) Production, (2) Completions, (3) Drilling and Evaluation and (4) Well Construction.</w:t>
      </w:r>
    </w:p>
    <w:p>
      <w:pPr>
        <w:spacing w:after="0" w:line="170" w:lineRule="exact"/>
        <w:rPr>
          <w:sz w:val="20"/>
          <w:szCs w:val="20"/>
          <w:color w:val="auto"/>
        </w:rPr>
      </w:pPr>
    </w:p>
    <w:p>
      <w:pPr>
        <w:ind w:left="840" w:right="20" w:hanging="332"/>
        <w:spacing w:after="0" w:line="277" w:lineRule="auto"/>
        <w:tabs>
          <w:tab w:leader="none" w:pos="8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to boost productivity and profitability featuring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artificial-lift portfolio, testing and flow-measurement solutions and optimization software.</w:t>
      </w:r>
    </w:p>
    <w:p>
      <w:pPr>
        <w:spacing w:after="0" w:line="170"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170" w:lineRule="exact"/>
        <w:rPr>
          <w:rFonts w:ascii="Arial" w:cs="Arial" w:eastAsia="Arial" w:hAnsi="Arial"/>
          <w:sz w:val="18"/>
          <w:szCs w:val="18"/>
          <w:color w:val="auto"/>
        </w:rPr>
      </w:pPr>
    </w:p>
    <w:p>
      <w:pPr>
        <w:jc w:val="both"/>
        <w:ind w:left="840" w:hanging="332"/>
        <w:spacing w:after="0" w:line="31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Drilling and Evaluation </w:t>
      </w:r>
      <w:r>
        <w:rPr>
          <w:rFonts w:ascii="Arial" w:cs="Arial" w:eastAsia="Arial" w:hAnsi="Arial"/>
          <w:sz w:val="16"/>
          <w:szCs w:val="16"/>
          <w:color w:val="auto"/>
        </w:rPr>
        <w:t>comprises a suite of services ranging from early well planning to reservoir management. The drilling services offer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146" w:lineRule="exact"/>
        <w:rPr>
          <w:rFonts w:ascii="Arial" w:cs="Arial" w:eastAsia="Arial" w:hAnsi="Arial"/>
          <w:sz w:val="16"/>
          <w:szCs w:val="16"/>
          <w:color w:val="auto"/>
        </w:rPr>
      </w:pPr>
    </w:p>
    <w:p>
      <w:pPr>
        <w:jc w:val="both"/>
        <w:ind w:left="840" w:hanging="332"/>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current and historical market conditions:</w:t>
      </w:r>
    </w:p>
    <w:p>
      <w:pPr>
        <w:spacing w:after="0" w:line="1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three months of 2018 oil prices ranged from a high of $66.14 per barrel in late January to a low of $59.19 per barrel in mid-February on the New York Mercantile Exchange. Natural gas ranged from a high of $3.63 MM/BTU in late January to a low of $2.55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2018, we expect growth in the Western Hemisphere to be driven by completion systems, artificial lift, and drilling services as rig count increases, pricing power improves and supplies tighten. North America growth is expected to be led by the Permian Basin, and we believe that apart from increasing activity in Argentina, South America and Mexico will remain relatively subdued. In the Eastern Hemisphere, we continue to anticipate growth in the North Sea and in the Gulf Cooperation Council countries as a result of market share gains and activity levels in Russia are also expected to increase while Africa, Asia and Europe are expected to remain stable. We believe certain deepwater markets in the Eastern Hemisphere have likely reached their bottom with no expected improvements in the near term.</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industry will remain within this ‘medium-for-longer’ price level paradigm for some time, until production growth is moderated. In the interim, we expect continuous short-term cyclical fluctuations. We will continue to push innovation, both from a technological and a business model perspective, and we will deliver operational excellence to bring the cost of production down to a point at which market participants can make a decent return. For us, this includes a significant transformation program which was started late in the fourth quarter of 2017 to generate cost savings through flattening our structure, driving process changes, improving the efficiency of our supply chain and sales organizations and continuing to rationalize our manufacturing footprint.</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current industry conditions, steadier oil prices and an increase in spending and activity, we continue to believe that over the longer term the outlook for our businesses is favorable. As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businesses over the longer term. However,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In the first quarter of 2018 we acquired the remaining interest in a Qatar joint venture that we now consolidate. We evaluate our disposition candidates based on the strategic fit within our business and/or our short and long-term objectives. It is also our intention to divest our remaining land drilling rigs business. Upon completion, the cash proceeds from any divestitures are expected to be used to for working capital or repay or repurchase debt. Any such debt reduction may include the repurchase of our outstanding senior notes prior to their maturity in the open market or through a privately negotiated transaction or otherwise.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industry offers many opportunities and challenges. The cyclicality of the energy industry impacts the demand for our products and services. Certain of our products and services, such as our drilling and evaluation services, well construction and well completion services, depend on the level of exploration and development activity and the completion phase of the well life cycle. Other products and services, such as our production optimization and artificial lift systems, are dependent on the number wells and the type of production systems used.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non-core assets, including our land drilling rigs business.</w:t>
      </w:r>
    </w:p>
    <w:p>
      <w:pPr>
        <w:spacing w:after="0" w:line="20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49" w:right="239" w:bottom="1440" w:gutter="0" w:footer="0" w:header="0"/>
        </w:sectPr>
      </w:pPr>
    </w:p>
    <w:bookmarkStart w:id="31" w:name="page32"/>
    <w:bookmarkEnd w:id="31"/>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first quarter of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62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7"/>
        </w:trPr>
        <w:tc>
          <w:tcPr>
            <w:tcW w:w="562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Corporate General and Administrative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Restructuring and Transformation Charges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5620" w:type="dxa"/>
            <w:vAlign w:val="bottom"/>
          </w:tcPr>
          <w:p>
            <w:pPr>
              <w:ind w:left="180"/>
              <w:spacing w:after="0"/>
              <w:rPr>
                <w:sz w:val="20"/>
                <w:szCs w:val="20"/>
                <w:color w:val="auto"/>
              </w:rPr>
            </w:pPr>
            <w:r>
              <w:rPr>
                <w:rFonts w:ascii="Arial" w:cs="Arial" w:eastAsia="Arial" w:hAnsi="Arial"/>
                <w:sz w:val="17"/>
                <w:szCs w:val="17"/>
                <w:color w:val="auto"/>
              </w:rPr>
              <w:t>Asset Write-Downs and 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97"/>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620" w:type="dxa"/>
            <w:vAlign w:val="bottom"/>
          </w:tcPr>
          <w:p>
            <w:pPr>
              <w:ind w:left="40"/>
              <w:spacing w:after="0"/>
              <w:rPr>
                <w:sz w:val="20"/>
                <w:szCs w:val="20"/>
                <w:color w:val="auto"/>
              </w:rPr>
            </w:pPr>
            <w:r>
              <w:rPr>
                <w:rFonts w:ascii="Arial" w:cs="Arial" w:eastAsia="Arial" w:hAnsi="Arial"/>
                <w:sz w:val="17"/>
                <w:szCs w:val="17"/>
                <w:color w:val="auto"/>
              </w:rPr>
              <w:t>Bond Tender and Call Premium</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Warrant Fair Value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r>
      <w:tr>
        <w:trPr>
          <w:trHeight w:val="243"/>
        </w:trPr>
        <w:tc>
          <w:tcPr>
            <w:tcW w:w="5620" w:type="dxa"/>
            <w:vAlign w:val="bottom"/>
          </w:tcPr>
          <w:p>
            <w:pPr>
              <w:ind w:left="40"/>
              <w:spacing w:after="0"/>
              <w:rPr>
                <w:sz w:val="20"/>
                <w:szCs w:val="20"/>
                <w:color w:val="auto"/>
              </w:rPr>
            </w:pPr>
            <w:r>
              <w:rPr>
                <w:rFonts w:ascii="Arial" w:cs="Arial" w:eastAsia="Arial" w:hAnsi="Arial"/>
                <w:sz w:val="17"/>
                <w:szCs w:val="17"/>
                <w:color w:val="auto"/>
              </w:rPr>
              <w:t>Currency Devaluation Charges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5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contains the consolidated revenues of our business groups for the first quarter of 2018 and 2017:</w:t>
      </w:r>
    </w:p>
    <w:p>
      <w:pPr>
        <w:spacing w:after="0" w:line="167"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Three Months Ended</w:t>
            </w:r>
          </w:p>
        </w:tc>
      </w:tr>
      <w:tr>
        <w:trPr>
          <w:trHeight w:val="270"/>
        </w:trPr>
        <w:tc>
          <w:tcPr>
            <w:tcW w:w="5760" w:type="dxa"/>
            <w:vAlign w:val="bottom"/>
          </w:tcPr>
          <w:p>
            <w:pPr>
              <w:spacing w:after="0"/>
              <w:rPr>
                <w:sz w:val="23"/>
                <w:szCs w:val="23"/>
                <w:color w:val="auto"/>
              </w:rPr>
            </w:pPr>
          </w:p>
        </w:tc>
        <w:tc>
          <w:tcPr>
            <w:tcW w:w="154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March 31,</w:t>
            </w:r>
          </w:p>
        </w:tc>
        <w:tc>
          <w:tcPr>
            <w:tcW w:w="740" w:type="dxa"/>
            <w:vAlign w:val="bottom"/>
          </w:tcPr>
          <w:p>
            <w:pPr>
              <w:spacing w:after="0"/>
              <w:rPr>
                <w:sz w:val="23"/>
                <w:szCs w:val="23"/>
                <w:color w:val="auto"/>
              </w:rPr>
            </w:pPr>
          </w:p>
        </w:tc>
      </w:tr>
      <w:tr>
        <w:trPr>
          <w:trHeight w:val="27"/>
        </w:trPr>
        <w:tc>
          <w:tcPr>
            <w:tcW w:w="5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7"/>
        </w:trPr>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27</w:t>
            </w:r>
          </w:p>
        </w:tc>
      </w:tr>
      <w:tr>
        <w:trPr>
          <w:trHeight w:val="27"/>
        </w:trPr>
        <w:tc>
          <w:tcPr>
            <w:tcW w:w="5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Consolidated revenues increased $37 million, or 3%, in the first quarter of 2018 compared to the first quarter of 2017, across all our segments as follows:</w:t>
      </w:r>
    </w:p>
    <w:p>
      <w:pPr>
        <w:spacing w:after="0" w:line="248" w:lineRule="exact"/>
        <w:rPr>
          <w:sz w:val="20"/>
          <w:szCs w:val="20"/>
          <w:color w:val="auto"/>
        </w:rPr>
      </w:pPr>
    </w:p>
    <w:p>
      <w:pPr>
        <w:jc w:val="both"/>
        <w:ind w:left="900" w:hanging="325"/>
        <w:spacing w:after="0" w:line="28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Western Hemisphere revenues increased $23 million, or 3%, due to higher adoption of Managed Pressure Drilling and improved utilization of Drilling Tools in the U.S., growing demand for Pressure Pumping services in Argentina and Integrated Services and Projects in Mexico, partially offset by lower revenues in Venezuela after the change in accounting for revenue to cash basis in the fourth quarter of 2017.</w:t>
      </w:r>
    </w:p>
    <w:p>
      <w:pPr>
        <w:spacing w:after="0" w:line="57" w:lineRule="exact"/>
        <w:rPr>
          <w:rFonts w:ascii="Arial" w:cs="Arial" w:eastAsia="Arial" w:hAnsi="Arial"/>
          <w:sz w:val="17"/>
          <w:szCs w:val="17"/>
          <w:color w:val="auto"/>
        </w:rPr>
      </w:pPr>
    </w:p>
    <w:p>
      <w:pPr>
        <w:jc w:val="both"/>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Eastern Hemisphere revenues increased $14 million, or 2%, primarily due to increases across the Middle East and Russia due to contract gains and increased rig activity. These gains were partially offset by lower activity levels in the North Sea, West Africa and Asia as offshore markets remain subdued.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results improved $175 million, or 82%, in the first quarter of 2018 compared to the first quarter of 2017, primarily due to the following:</w:t>
      </w:r>
    </w:p>
    <w:p>
      <w:pPr>
        <w:spacing w:after="0" w:line="170" w:lineRule="exact"/>
        <w:rPr>
          <w:sz w:val="20"/>
          <w:szCs w:val="20"/>
          <w:color w:val="auto"/>
        </w:rPr>
      </w:pPr>
    </w:p>
    <w:p>
      <w:pPr>
        <w:jc w:val="both"/>
        <w:ind w:left="90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Western Hemisphere segment operating loss improved $54 million, or 180% to operating income of $24 million, in the first quarter of 2018 compared to the first quarter of 2017. This improvement in operating income is due to increases primarily in the U.S. as result of revenue growth in Production and Well Construction, a decline in operating costs and lower depreciation, partially offset by lower revenues in Venezuela after our fourth quarter 2017 change in accounting for revenue to cash basis.</w:t>
      </w:r>
    </w:p>
    <w:p>
      <w:pPr>
        <w:spacing w:after="0" w:line="78" w:lineRule="exact"/>
        <w:rPr>
          <w:rFonts w:ascii="Arial" w:cs="Arial" w:eastAsia="Arial" w:hAnsi="Arial"/>
          <w:sz w:val="18"/>
          <w:szCs w:val="18"/>
          <w:color w:val="auto"/>
        </w:rPr>
      </w:pPr>
    </w:p>
    <w:p>
      <w:pPr>
        <w:jc w:val="both"/>
        <w:ind w:left="900" w:hanging="325"/>
        <w:spacing w:after="0" w:line="31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Eastern Hemisphere segment operating loss improved $75 million, or 127% to operating income of $16 million, in the first quarter of 2018 compared to the first quarter of 2017. This improvement in operating income is due to income increased in all product lines primarily in the Middle East and Russia due to higher activity levels, a reduced cost structure and improved service quality resulting in greater revenue efficiency.</w:t>
      </w:r>
    </w:p>
    <w:p>
      <w:pPr>
        <w:spacing w:after="0" w:line="38"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transformation charges decreased $50 million, or 67%, due to lower severance charges, facility exit costs and asset write-downs.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interest expense was $149 million for the first quarter of 2018 compared to $141 million for the first quarter of 2017. The increase in interest expense for the first quarter of 2018 is primarily from higher average borrowings and interest rates in 2018 compared to 2017.</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had a warrant fair value gain of $46 million and loss of $62 million for the first quarter of 2018 and 2017, respectively, related to the fair value adjustment to our warrant liability. The change in fair value of the warrant during 2018 and 2017 was principally due to a decrease and increase, respectively, in Weatherford’s stock price. The warrant valuation would be negatively affected due to an increase in the likelihood of a future stock issuance.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Currency devaluation charges are included in current earnings in “Currency Devaluation Charges” on the accompanying Condensed Consolidated Statements of Operations. In the first quarter of 2018, currency devaluation charges of $26 million reflected the impact of the devaluation of the Angolan kwanza of $24 million and the Venezuelan bolivar of $2 million. In the first quarter of 2017, we had no currency devaluation charges. The devaluation of the Angolan kwanza was due to a change in central bank policy in January 2018. For additional information see Cash Requirements of the Liquidity and Capital Resources section in Item 2. – Management’s Discussion and Analysis of Financial Condition and Results of Operations.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“Other Income (Expense), Net” on the accompanying Condensed Consolidated Statements of Operations are other net foreign currency losses of $3 million in the first quarter of 2018, compared to losses of $6 million in the first quarter of 2017. Net foreign currency gains and losses are primarily due to either the strengthening or weakening U.S. dollar compared to our foreign denominated operations and the changes in fair value of our foreign currency forward contracts and cross-currency swap contracts.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Beginning in first quarter of 2017 and continuing for the three months period ended March 31, 2018, we have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continue to use this method each quarter until the annual effective tax rate method is deemed appropriate. For the first quarter of 2018, we had a tax expense of $32 million on a loss before income taxes of $210 million. Results for the first quarter of 2018 include losses with no significant tax benefit. The tax expense for the quarter also includes withholding taxes and deemed profit taxes that do not directly correlate to ordinary income or loss.</w:t>
      </w:r>
    </w:p>
    <w:p>
      <w:pPr>
        <w:spacing w:after="0" w:line="182"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allows for a measurement period of up to one year after the enactment date of the legislation to finalize the recording of the related tax impacts. In the fourth quarter of 2017, the Company did not have all the necessary information to analyze all effects of this tax reform, as a result we recorded a provisional amount which we believe represents a reasonable estimate of the accounting implications of this tax reform. In addition, the various impacts of the TCJA may materially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No adjustment to the provisional amount was recorded in the first quarter of 2018. We will continue to evaluate tax reform, and adjust the provisional amounts as additional information is obtained. Any adjustment to these provisional amounts will be reported in the reporting period in which any such adjustments are determined, which will be no later than the fourth quarter of 2018.</w:t>
      </w:r>
    </w:p>
    <w:p>
      <w:pPr>
        <w:spacing w:after="0" w:line="18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$19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For the first quarter of 2017, we had a tax expense of $33 million on a loss before income taxes of $410 million. Results for the first quarter of 2017 include losses with no significant tax benefit. The tax expense for the quarter also included withholding taxes and deemed profit taxes that do not directly correlate to ordinary income or loss.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Transformation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ongoing lower than anticipated levels of exploration and production spending, we continue to reduce our overall cost structure and workforce to better align with current activity levels. The ongoing cost reduction plans, which began in 2018 and are expected to continue through 2019 (the “Transformation Plan”), included a workforce reduction, organizational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$25 million in the first quarter of 2018, which include termination (severance) charges of $11 million and other restructuring charges of $14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2016-17 Plan, we recognized restructuring charges of $75 million in the first quarter of 2017, which include termination (severance) charges of $34 million, other restructuring charges of $29 million and restructuring related asset charges of $12 million. Other restructuring charges include contract termination costs, relocation and other associated costs.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Please see “Note 5 – Restructuring Charges” to our Condensed Consolidated Financial Statements for additional details of our charges by segment.</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March 31, 2018, we had cash and cash equivalents of $459 million compared to $613 million at December 31, 2017. The following table summarizes cash flows provided by (used in) each type of activity for the three months of 2018 and 2017:</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7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7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7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2018, cash used in operating activities was $185 million compared to cash used of $179 million in the first quarter of 2017. Cash used in operating activities in 2018 was driven by cash payments for debt interest and cash severance and restructuring costs, partially offset by improved collections of accounts receivables.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investing activities was nil during the first quarter of 2018 compared to cash used of $279 million in the first quarter 2017. In the first quarter of 2018, the primary drivers of investing activities were capital expenditures of $38 million for property, plant and equipment and assets held for sale, which was offset by net proceeds from dispositions of $37 million.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for property, plant and equipment were $29 million and $40 million for the first quarter of 2018 and 2017, respectively. The amount we spend for capital expenditures varies each year and is based on the types of contracts into which we enter, our asset availability and our expectations with respect to industry activity levels in the following year. In addition, in the first quarter of 2018 we purchased assets held for sale of $9 million related to our land drilling rigs business, which were impaired in the same period. In the first quarter of 2017 we purchased assets held for sale of $240 million related to previously leased pressure pumping equipment.</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9" w:right="239" w:bottom="1440" w:gutter="0" w:footer="0" w:header="0"/>
        </w:sectPr>
      </w:pPr>
    </w:p>
    <w:bookmarkStart w:id="35" w:name="page36"/>
    <w:bookmarkEnd w:id="3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issued $600 million in aggregate principal amount of our 9.875% senior notes due 2025 for net proceeds of $588 million. We used part of the proceeds from our debt offering to repay in full our 6.00% senior notes due March 2018 and to fund a concurrent tender offer to purchase for cash any and all of our 9.625% senior notes due 2019.</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Net long- and short-term debt repayments, including the tender offer, in the first quarter of 2018 totaled $524 million.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 of which $30 million was a cash payment in the first three months of 2018.</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in the first quarter of 2017 primarily consisted long- and short-term debt repayments of $25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financing activities in the first quarter of 2018 and 2017 related primarily to non-controlling interest dividends paid.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by our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revolving credit facility (the “Revolving Credit Agreement”) maturing in July of 2019 and a secured term loan agreement maturing in July of 2020 (the “Term Loan Agreement” and collectively with the Revolving Credit Agreement, the “Credit Agreements”). Our Credit Agreements contain customary events of default, including our failure to comply with the financial covenants. As of March 31, 2018, we were in compliance with our financial covenants as defined in the Credit Agreements as well as under our indentures. Based on our current financial projections, we believe we will continue to remain in compliance with our covenants.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At March 31, 2018, we had total commitments under the Revolving Credit Agreement of $900 million and borrowings of $363 million under the Term Loan Agreement. At March 31, 2018, we had $744 million available under the Credit Agreements and the following table summarizes our borrowing availability under these agreements:</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63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31, 2018</w:t>
            </w:r>
          </w:p>
        </w:tc>
      </w:tr>
      <w:tr>
        <w:trPr>
          <w:trHeight w:val="27"/>
        </w:trPr>
        <w:tc>
          <w:tcPr>
            <w:tcW w:w="6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Secured Term Loan Principal Borrowing</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6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March 31, 2018, we had $4 million in short-term borrowings under these arrangements.</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three months of 2018, we sold accounts receivable of $96 million and recognized a loss of approximately $0.6 million on these sales. We received cash proceeds totaling $93 million. In the first three months of 2017, we sold approximately $38 million and recognized a loss of $0.2 million. Our factoring transactions in the first three months of 2018 and 2017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a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24, 2017, Standard &amp; Poor’s Global Ratings downgraded our senior unsecured notes to B- from B, with a negative outlook. Our Moody’s Investors Services credit rating on our senior unsecured notes is currently Caa1 and our short-term rating is SGL-3, both with a negative outlook. We continue to have access and expect we will continue to have access to most credit markets.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anticipate our remaining 2018 cash requirements will include payments for capital expenditures, repayment of debt, interest payments on our outstanding debt, transformation costs including severance payments and payments for short-term working capital needs. Our cash requirements may also include opportunistic debt repurchases, business acquisitions and other amounts to settle litigation related matters. We anticipate funding these requirements from cash and cash equivalent balances, cash generated by our operations, availability under our credit facilities, accounts receivable factoring, proceeds from disposals of businesses or capital assets. We anticipate that cash generated from operations will be augmented by working capital improvements, increased activity and improved margins.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Capital expenditures for 2018 are projected to range between $200 million to $250 million, excluding expenditures for our land drilling rigs business compared to capital expenditures of $225 million in 2017 (excluding the purchase of certain leased equipment utilized in our North America pressure pumping operations for a total amount of $244 million in 2017). These projections are due to anticipated activity in the oil and gas business related to stabilizing active rig counts. The amounts we ultimately spend will depend on a number of factors including the type of contracts we enter into, asset availability and our expectations with respect to industry activity levels in 2018. Expenditures are expected to be used primarily to supporting ongoing activities of our core businesses and our sources of liquidity are anticipated to be sufficient to meet our needs.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of $459 million at March 31, 2018, are held by subsidiaries outside of Switzerland, the Company’s taxing jurisdiction. Based on the nature of our structure, we are generally able to redeploy cash with no incremental tax.</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2018, $72 million of our cash and cash equivalents balance was denominated in Angolan kwanza. The National Bank of Angola supervises all kwanza exchange operations and has limited U.S. Dollar conversions. In January 2018, the Angolan National Bank announced a new currency exchange policy and the Angolan kwanza subsequently devalued approximately 19%. As a result, we recognized currency devaluation charges of $24 million reflecting the devaluation of the Angolan kwanza.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March 31, 2018 and December 31, 2017. At March 31, 2018, Weatherford Bermuda also guaranteed the 9.875% senior notes due 2025.</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obligations of Weatherford Bermuda were guaranteed by Weatherford Delaware at March 31, 2018 and December 31, 2017: (1) Revolving Credit Agreement, (2) Term Loan Agreement, (3) 9.625% senior notes due 2019, which were repaid in full through early redemption of the bond in April 2018 (4) 6.50% senior notes due 2036, (5) 7.00% senior notes due 2038, (6) 9.875% senior notes due 2039, (7) 5.125% senior notes due 2020, (8) 6.75% senior notes due 2040, (9) 4.50% senior notes due 2021, (10) 5.95% senior notes due 2042, (11) 5.875% exchangeable senior notes due 2021, (12) 7.75% senior notes due 2021, (13) 8.25% senior notes due 2023 and (14) 9.875% senior notes due 2024. At December 31, 2017, Weatherford Delaware also guaranteed the 6.00% senior notes due 2018, which were repaid in full in March 2018.</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“Note 18 – Condensed Consolidating Financial Statements” to our Condensed Consolidated Financial Statements for our guarantor financial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letters of credit and performance and bid bonds in the normal course of our business. As of March 31, 2018, we had $487 million of letters of credit and performance and bid bonds outstanding, consisting of $356 million outstanding under various uncommitted credit facilities (of which $89 million has been cash collateralized and included in “Cash and Cash Equivalents” in the accompanying Condensed Consolidated Balance Sheets) and $131 million of letters of credit outstanding under our Revolving Credit Agreement. We also have $15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11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49" w:right="239" w:bottom="1440" w:gutter="0" w:footer="0" w:header="0"/>
        </w:sectPr>
      </w:pPr>
    </w:p>
    <w:bookmarkStart w:id="38" w:name="page39"/>
    <w:bookmarkEnd w:id="3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221"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49" w:right="239" w:bottom="1440" w:gutter="0" w:footer="0" w:header="0"/>
        </w:sectPr>
      </w:pPr>
    </w:p>
    <w:bookmarkStart w:id="39" w:name="page40"/>
    <w:bookmarkEnd w:id="3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2017. Our exposure to market risk has not changed materially since December 31, 2017.</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Disclosure controls and procedures (as defined in Rules 13a-15(e) and 15d-15(e) under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March 31, 2018. Based on that evaluation, our CEO and CFO concluded that our disclosure controls and procedures were effective as of March 31, 2018.</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Beginning January 1, 2018, we implemented ASC 606, Revenue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(Topic 606). Although the impact of the adoption of the new guidance is immaterial to our consolidated net loss, we did implement changes to our processes related to revenue recognition and the control activities within them. These included the development of new policies based on the five-step model provided in the new revenue standard, new training, ongoing contract review requirements, and gathering of information provided for disclosures.</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other changes in our internal control over financial reporting that occurred during the three months ended March 31, 2018 that has materially affected, or is reasonably likely to materially affect, our internal control over financial reporting.</w:t>
      </w:r>
    </w:p>
    <w:p>
      <w:pPr>
        <w:spacing w:after="0" w:line="2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17 – Disputes, Litigation and Contingencies” to our Condensed Consolidated Financial Statements for details regarding our ongoing disputes and litigation.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As of March 31, 2018, there have been no material changes in our assessment of our risk factors from those set forth in our Annual Report on Form 10-K for the fiscal year ended December 31, 2017.</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exhibits are incorporated herein by reference to a prior filing as indicated, unless otherwise designated with an dagger (†), which are filed herewith, or double dagger (††) which are furnished herewith.</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jc w:val="both"/>
        <w:ind w:left="1180" w:right="160" w:hanging="766"/>
        <w:spacing w:after="0" w:line="277" w:lineRule="auto"/>
        <w:tabs>
          <w:tab w:leader="none" w:pos="1160" w:val="left"/>
        </w:tabs>
        <w:rPr>
          <w:rFonts w:ascii="Arial" w:cs="Arial" w:eastAsia="Arial" w:hAnsi="Arial"/>
          <w:sz w:val="18"/>
          <w:szCs w:val="18"/>
          <w:color w:val="0000FF"/>
        </w:rPr>
      </w:pPr>
      <w:hyperlink r:id="rId13">
        <w:r>
          <w:rPr>
            <w:rFonts w:ascii="Arial" w:cs="Arial" w:eastAsia="Arial" w:hAnsi="Arial"/>
            <w:sz w:val="18"/>
            <w:szCs w:val="18"/>
            <w:u w:val="single" w:color="auto"/>
            <w:color w:val="0000FF"/>
          </w:rPr>
          <w:t>3.1</w:t>
        </w:r>
      </w:hyperlink>
      <w:r>
        <w:rPr>
          <w:rFonts w:ascii="Arial" w:cs="Arial" w:eastAsia="Arial" w:hAnsi="Arial"/>
          <w:sz w:val="18"/>
          <w:szCs w:val="18"/>
          <w:color w:val="0000FF"/>
        </w:rPr>
        <w:tab/>
        <w:t>Memorandum and Articles of Association of Weatherford International public limited company (incorporated by reference as Exhibit 2.1 of the Company’s Form 8-K filed April 2, 2014, File No. 1-36504).</w:t>
      </w:r>
    </w:p>
    <w:p>
      <w:pPr>
        <w:spacing w:after="0" w:line="8" w:lineRule="exact"/>
        <w:rPr>
          <w:sz w:val="20"/>
          <w:szCs w:val="20"/>
          <w:color w:val="auto"/>
        </w:rPr>
      </w:pPr>
    </w:p>
    <w:p>
      <w:pPr>
        <w:jc w:val="both"/>
        <w:ind w:left="1180" w:right="180" w:hanging="766"/>
        <w:spacing w:after="0" w:line="264" w:lineRule="auto"/>
        <w:tabs>
          <w:tab w:leader="none" w:pos="1160" w:val="left"/>
        </w:tabs>
        <w:rPr>
          <w:rFonts w:ascii="Arial" w:cs="Arial" w:eastAsia="Arial" w:hAnsi="Arial"/>
          <w:sz w:val="18"/>
          <w:szCs w:val="18"/>
          <w:color w:val="0000FF"/>
        </w:rPr>
      </w:pPr>
      <w:hyperlink r:id="rId14">
        <w:r>
          <w:rPr>
            <w:rFonts w:ascii="Arial" w:cs="Arial" w:eastAsia="Arial" w:hAnsi="Arial"/>
            <w:sz w:val="18"/>
            <w:szCs w:val="18"/>
            <w:u w:val="single" w:color="auto"/>
            <w:color w:val="0000FF"/>
          </w:rPr>
          <w:t>4.1</w:t>
        </w:r>
      </w:hyperlink>
      <w:r>
        <w:rPr>
          <w:rFonts w:ascii="Arial" w:cs="Arial" w:eastAsia="Arial" w:hAnsi="Arial"/>
          <w:sz w:val="18"/>
          <w:szCs w:val="18"/>
          <w:color w:val="0000FF"/>
        </w:rPr>
        <w:tab/>
        <w:t>Sixth Supplemental Indenture, dated February 28, 2018, among Weatherford International, LLC, as issuer, Weatherford International plc, as guarantor, Weatherford International Ltd., as guarantor, and Deutsche Bank Trust Company Americas, as trustee (incorporated by reference as Exhibit 4.1 of the Company’s Form 8-K filed March 5, 2018, File No. 1-36504).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ind w:left="1180" w:right="60" w:hanging="766"/>
        <w:spacing w:after="0" w:line="264" w:lineRule="auto"/>
        <w:tabs>
          <w:tab w:leader="none" w:pos="1160" w:val="left"/>
        </w:tabs>
        <w:rPr>
          <w:rFonts w:ascii="Arial" w:cs="Arial" w:eastAsia="Arial" w:hAnsi="Arial"/>
          <w:sz w:val="18"/>
          <w:szCs w:val="18"/>
          <w:color w:val="0000FF"/>
        </w:rPr>
      </w:pPr>
      <w:hyperlink r:id="rId16">
        <w:r>
          <w:rPr>
            <w:rFonts w:ascii="Arial" w:cs="Arial" w:eastAsia="Arial" w:hAnsi="Arial"/>
            <w:sz w:val="18"/>
            <w:szCs w:val="18"/>
            <w:u w:val="single" w:color="auto"/>
            <w:color w:val="0000FF"/>
          </w:rPr>
          <w:t>4.2</w:t>
        </w:r>
      </w:hyperlink>
      <w:r>
        <w:rPr>
          <w:rFonts w:ascii="Arial" w:cs="Arial" w:eastAsia="Arial" w:hAnsi="Arial"/>
          <w:sz w:val="18"/>
          <w:szCs w:val="18"/>
          <w:color w:val="0000FF"/>
        </w:rPr>
        <w:tab/>
        <w:t>Registration Rights Agreement dated February 28, 2018 among Weatherford International plc, Weatherford International Ltd, Weatherford International, LLC and Deutsche Bank Securities Inc., as representative of the several initial purchasers (incorporated by reference as Exhibit 4.2 of the Company’s Form 8-K filed March 5, 2018, File No. 1-36504).</w:t>
      </w:r>
    </w:p>
    <w:p>
      <w:pPr>
        <w:spacing w:after="0" w:line="235" w:lineRule="exact"/>
        <w:rPr>
          <w:sz w:val="20"/>
          <w:szCs w:val="20"/>
          <w:color w:val="auto"/>
        </w:rPr>
      </w:pPr>
    </w:p>
    <w:p>
      <w:pPr>
        <w:ind w:left="1180" w:right="140" w:hanging="834"/>
        <w:spacing w:after="0" w:line="277" w:lineRule="auto"/>
        <w:tabs>
          <w:tab w:leader="none" w:pos="1160" w:val="left"/>
        </w:tabs>
        <w:rPr>
          <w:rFonts w:ascii="Arial" w:cs="Arial" w:eastAsia="Arial" w:hAnsi="Arial"/>
          <w:sz w:val="18"/>
          <w:szCs w:val="18"/>
          <w:color w:val="0000FF"/>
        </w:rPr>
      </w:pPr>
      <w:hyperlink r:id="rId17">
        <w:r>
          <w:rPr>
            <w:rFonts w:ascii="Arial" w:cs="Arial" w:eastAsia="Arial" w:hAnsi="Arial"/>
            <w:sz w:val="18"/>
            <w:szCs w:val="18"/>
            <w:u w:val="single" w:color="auto"/>
            <w:color w:val="0000FF"/>
          </w:rPr>
          <w:t>10.1</w:t>
        </w:r>
      </w:hyperlink>
      <w:r>
        <w:rPr>
          <w:rFonts w:ascii="Arial" w:cs="Arial" w:eastAsia="Arial" w:hAnsi="Arial"/>
          <w:sz w:val="18"/>
          <w:szCs w:val="18"/>
          <w:color w:val="0000FF"/>
        </w:rPr>
        <w:tab/>
        <w:t>Form of Deed of Indemnity of Weatherford International plc entered into by Angela Minas on March 12, 2018 (incorporated by reference to Exhibit 10.11 of the Company’s Current Report on Form 8-K12B filed June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180" w:right="60" w:hanging="811"/>
        <w:spacing w:after="0" w:line="277" w:lineRule="auto"/>
        <w:tabs>
          <w:tab w:leader="none" w:pos="1160" w:val="left"/>
        </w:tabs>
        <w:rPr>
          <w:rFonts w:ascii="Arial" w:cs="Arial" w:eastAsia="Arial" w:hAnsi="Arial"/>
          <w:sz w:val="18"/>
          <w:szCs w:val="18"/>
          <w:color w:val="0000FF"/>
        </w:rPr>
      </w:pPr>
      <w:hyperlink r:id="rId19">
        <w:r>
          <w:rPr>
            <w:rFonts w:ascii="Arial" w:cs="Arial" w:eastAsia="Arial" w:hAnsi="Arial"/>
            <w:sz w:val="18"/>
            <w:szCs w:val="18"/>
            <w:u w:val="single" w:color="auto"/>
            <w:color w:val="0000FF"/>
          </w:rPr>
          <w:t>10.2</w:t>
        </w:r>
      </w:hyperlink>
      <w:r>
        <w:rPr>
          <w:rFonts w:ascii="Arial" w:cs="Arial" w:eastAsia="Arial" w:hAnsi="Arial"/>
          <w:sz w:val="18"/>
          <w:szCs w:val="18"/>
          <w:color w:val="0000FF"/>
        </w:rPr>
        <w:tab/>
        <w:t>Form of Deed of Indemnity of Weatherford International Ltd. entered into by Angela Minas on March 12, 2018 (incorporated by reference to Exhibit 10.12 of the Company’s Current Report on Form 8-K12B filed June 17, 2014).</w:t>
      </w:r>
    </w:p>
    <w:p>
      <w:pPr>
        <w:spacing w:after="0" w:line="8"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6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63" w:lineRule="exact"/>
        <w:rPr>
          <w:sz w:val="20"/>
          <w:szCs w:val="20"/>
          <w:color w:val="auto"/>
        </w:rPr>
      </w:pPr>
    </w:p>
    <w:p>
      <w:pPr>
        <w:ind w:left="1180" w:right="80" w:hanging="879"/>
        <w:spacing w:after="0" w:line="258"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first quarter ended March 31, 2018, formatted in XBRL (eXtensible Business Reporting Language):</w:t>
      </w:r>
    </w:p>
    <w:p>
      <w:pPr>
        <w:spacing w:after="0" w:line="1" w:lineRule="exact"/>
        <w:rPr>
          <w:sz w:val="20"/>
          <w:szCs w:val="20"/>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40" w:hanging="100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May 2, 2018</w:t>
            </w:r>
          </w:p>
        </w:tc>
        <w:tc>
          <w:tcPr>
            <w:tcW w:w="6080" w:type="dxa"/>
            <w:vAlign w:val="bottom"/>
            <w:gridSpan w:val="2"/>
          </w:tcPr>
          <w:p>
            <w:pPr>
              <w:ind w:left="1740"/>
              <w:spacing w:after="0"/>
              <w:rPr>
                <w:sz w:val="20"/>
                <w:szCs w:val="20"/>
                <w:color w:val="auto"/>
              </w:rPr>
            </w:pPr>
            <w:r>
              <w:rPr>
                <w:rFonts w:ascii="Arial" w:cs="Arial" w:eastAsia="Arial" w:hAnsi="Arial"/>
                <w:sz w:val="18"/>
                <w:szCs w:val="18"/>
                <w:color w:val="auto"/>
              </w:rPr>
              <w:t>By: /s/ Christoph Bausch</w:t>
            </w:r>
          </w:p>
        </w:tc>
      </w:tr>
      <w:tr>
        <w:trPr>
          <w:trHeight w:val="27"/>
        </w:trPr>
        <w:tc>
          <w:tcPr>
            <w:tcW w:w="3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100" w:type="dxa"/>
            <w:vAlign w:val="bottom"/>
          </w:tcPr>
          <w:p>
            <w:pPr>
              <w:spacing w:after="0"/>
              <w:rPr>
                <w:sz w:val="20"/>
                <w:szCs w:val="20"/>
                <w:color w:val="auto"/>
              </w:rPr>
            </w:pPr>
            <w:r>
              <w:rPr>
                <w:rFonts w:ascii="Arial" w:cs="Arial" w:eastAsia="Arial" w:hAnsi="Arial"/>
                <w:sz w:val="18"/>
                <w:szCs w:val="18"/>
                <w:color w:val="auto"/>
              </w:rPr>
              <w:t>Date: May 2, 2018</w:t>
            </w:r>
          </w:p>
        </w:tc>
        <w:tc>
          <w:tcPr>
            <w:tcW w:w="6080" w:type="dxa"/>
            <w:vAlign w:val="bottom"/>
            <w:gridSpan w:val="2"/>
          </w:tcPr>
          <w:p>
            <w:pPr>
              <w:ind w:left="1740"/>
              <w:spacing w:after="0"/>
              <w:rPr>
                <w:sz w:val="20"/>
                <w:szCs w:val="20"/>
                <w:color w:val="auto"/>
              </w:rPr>
            </w:pPr>
            <w:r>
              <w:rPr>
                <w:rFonts w:ascii="Arial" w:cs="Arial" w:eastAsia="Arial" w:hAnsi="Arial"/>
                <w:sz w:val="18"/>
                <w:szCs w:val="18"/>
                <w:color w:val="auto"/>
              </w:rPr>
              <w:t>By: /s/ Stuart Fraser</w:t>
            </w:r>
          </w:p>
        </w:tc>
      </w:tr>
      <w:tr>
        <w:trPr>
          <w:trHeight w:val="27"/>
        </w:trPr>
        <w:tc>
          <w:tcPr>
            <w:tcW w:w="3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Stuart Fraser</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1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620"/>
          </w:cols>
          <w:pgMar w:left="240" w:top="449" w:right="10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May 2,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May 2,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2018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March 31, 2018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2,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lvl w:ilvl="1">
      <w:lvlJc w:val="left"/>
      <w:lvlText w:val="%2."/>
      <w:numFmt w:val="decimal"/>
      <w:start w:val="17"/>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3" Type="http://schemas.openxmlformats.org/officeDocument/2006/relationships/hyperlink" Target="http://www.sec.gov/Archives/edgar/data/1453090/000145309014000034/exhibit21mergeragreementir.htm" TargetMode="External"/><Relationship Id="rId14" Type="http://schemas.openxmlformats.org/officeDocument/2006/relationships/hyperlink" Target="http://www.sec.gov/Archives/edgar/data/1603923/000160392318000045/ex41sixthsupplementalinden.htm" TargetMode="External"/><Relationship Id="rId16" Type="http://schemas.openxmlformats.org/officeDocument/2006/relationships/hyperlink" Target="http://www.sec.gov/Archives/edgar/data/1603923/000160392318000045/ex42registrationrightsagre.htm" TargetMode="External"/><Relationship Id="rId17" Type="http://schemas.openxmlformats.org/officeDocument/2006/relationships/hyperlink" Target="http://www.sec.gov/Archives/edgar/data/1603923/000160392314000013/exhibit1011deedofindemnifi.htm" TargetMode="External"/><Relationship Id="rId19" Type="http://schemas.openxmlformats.org/officeDocument/2006/relationships/hyperlink" Target="http://www.sec.gov/Archives/edgar/data/1603923/000160392314000013/exhibit1012deedofindemnif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2019-12-08T10:34:54Z</dcterms:created>
  <dcterms:modified xsi:type="dcterms:W3CDTF">2019-12-08T10:34:54Z</dcterms:modified>
</cp:coreProperties>
</file>