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5000"/>
        <w:spacing w:after="0"/>
        <w:rPr>
          <w:sz w:val="20"/>
          <w:szCs w:val="20"/>
          <w:color w:val="auto"/>
        </w:rPr>
      </w:pPr>
      <w:r>
        <w:rPr>
          <w:rFonts w:ascii="Arial" w:cs="Arial" w:eastAsia="Arial" w:hAnsi="Arial"/>
          <w:sz w:val="22"/>
          <w:szCs w:val="22"/>
          <w:color w:val="auto"/>
        </w:rPr>
        <w:t>March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Invesco Ltd.</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98-0557567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Bermuda</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w w:val="87"/>
              </w:rPr>
              <w:t>87,539,042</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92,025,690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92,025,690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10.5%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HC,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line="182" w:lineRule="auto"/>
        <w:framePr w:w="680" w:h="193" w:wrap="auto" w:vAnchor="page" w:hAnchor="page" w:x="1660" w:y="9563"/>
        <w:rPr>
          <w:rFonts w:ascii="Arial" w:cs="Arial" w:eastAsia="Arial" w:hAnsi="Arial"/>
          <w:sz w:val="22"/>
          <w:szCs w:val="22"/>
          <w:color w:val="auto"/>
        </w:rPr>
      </w:pPr>
      <w:r>
        <w:rPr>
          <w:rFonts w:ascii="Arial" w:cs="Arial" w:eastAsia="Arial" w:hAnsi="Arial"/>
          <w:sz w:val="22"/>
          <w:szCs w:val="22"/>
          <w:color w:val="auto"/>
        </w:rPr>
        <w:t>(i)  [ ]</w:t>
      </w:r>
    </w:p>
    <w:p>
      <w:pPr>
        <w:spacing w:after="0" w:line="182" w:lineRule="auto"/>
        <w:framePr w:w="680" w:h="193" w:wrap="auto" w:vAnchor="page" w:hAnchor="page" w:x="1660" w:y="10063"/>
        <w:rPr>
          <w:rFonts w:ascii="Arial" w:cs="Arial" w:eastAsia="Arial" w:hAnsi="Arial"/>
          <w:sz w:val="22"/>
          <w:szCs w:val="22"/>
          <w:color w:val="auto"/>
        </w:rPr>
      </w:pPr>
      <w:r>
        <w:rPr>
          <w:rFonts w:ascii="Arial" w:cs="Arial" w:eastAsia="Arial" w:hAnsi="Arial"/>
          <w:sz w:val="22"/>
          <w:szCs w:val="22"/>
          <w:color w:val="auto"/>
        </w:rPr>
        <w:t>(j)  [ ]</w:t>
      </w:r>
    </w:p>
    <w:p>
      <w:pPr>
        <w:spacing w:after="0" w:line="182" w:lineRule="auto"/>
        <w:framePr w:w="680" w:h="193" w:wrap="auto" w:vAnchor="page" w:hAnchor="page" w:x="1660" w:y="7429"/>
        <w:rPr>
          <w:rFonts w:ascii="Arial" w:cs="Arial" w:eastAsia="Arial" w:hAnsi="Arial"/>
          <w:sz w:val="22"/>
          <w:szCs w:val="22"/>
          <w:color w:val="auto"/>
        </w:rPr>
      </w:pPr>
      <w:r>
        <w:rPr>
          <w:rFonts w:ascii="Arial" w:cs="Arial" w:eastAsia="Arial" w:hAnsi="Arial"/>
          <w:sz w:val="22"/>
          <w:szCs w:val="22"/>
          <w:color w:val="auto"/>
        </w:rPr>
        <w:t>(d)  [ ]</w:t>
      </w:r>
    </w:p>
    <w:p>
      <w:pPr>
        <w:spacing w:after="0" w:line="26"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Weatherford International PLC</w:t>
      </w:r>
    </w:p>
    <w:p>
      <w:pPr>
        <w:spacing w:after="0" w:line="101" w:lineRule="exact"/>
        <w:rPr>
          <w:rFonts w:ascii="Arial" w:cs="Arial" w:eastAsia="Arial" w:hAnsi="Arial"/>
          <w:sz w:val="22"/>
          <w:szCs w:val="22"/>
          <w:b w:val="1"/>
          <w:bCs w:val="1"/>
          <w:color w:val="auto"/>
        </w:rPr>
      </w:pPr>
    </w:p>
    <w:p>
      <w:pPr>
        <w:ind w:left="1780" w:right="5180" w:hanging="407"/>
        <w:spacing w:after="0" w:line="256"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Bahnofstrasse 1, CH 6340 Baar</w:t>
      </w:r>
    </w:p>
    <w:p>
      <w:pPr>
        <w:spacing w:after="0" w:line="82"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80" w:right="69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780" w:right="4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780" w:right="84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G48833100</w:t>
      </w:r>
    </w:p>
    <w:p>
      <w:pPr>
        <w:spacing w:after="0" w:line="11" w:lineRule="exact"/>
        <w:rPr>
          <w:rFonts w:ascii="Arial" w:cs="Arial" w:eastAsia="Arial" w:hAnsi="Arial"/>
          <w:sz w:val="22"/>
          <w:szCs w:val="22"/>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80a-8).</w:t>
      </w:r>
    </w:p>
    <w:p>
      <w:pPr>
        <w:spacing w:after="0" w:line="107"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60" w:lineRule="exact"/>
        <w:rPr>
          <w:rFonts w:ascii="Arial" w:cs="Arial" w:eastAsia="Arial" w:hAnsi="Arial"/>
          <w:sz w:val="22"/>
          <w:szCs w:val="22"/>
          <w:color w:val="auto"/>
        </w:rPr>
      </w:pPr>
    </w:p>
    <w:p>
      <w:pPr>
        <w:ind w:left="2240"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100"/>
        <w:spacing w:after="0" w:line="251" w:lineRule="auto"/>
        <w:rPr>
          <w:rFonts w:ascii="Arial" w:cs="Arial" w:eastAsia="Arial" w:hAnsi="Arial"/>
          <w:sz w:val="22"/>
          <w:szCs w:val="22"/>
          <w:color w:val="auto"/>
        </w:rPr>
      </w:pPr>
      <w:r>
        <w:rPr>
          <w:rFonts w:ascii="Arial" w:cs="Arial" w:eastAsia="Arial" w:hAnsi="Arial"/>
          <w:sz w:val="22"/>
          <w:szCs w:val="22"/>
          <w:color w:val="auto"/>
        </w:rPr>
        <w:t>Invesco Ltd. , in its capacity as investment adviser, may be deemed to beneficially own 92,025,690 shares of the Issuer which are held of record by clients of Invesco Ltd. ..</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10.5%</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87,539,042</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92,025,690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bl>
    <w:p>
      <w:pPr>
        <w:spacing w:after="0" w:line="98"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rFonts w:ascii="Arial" w:cs="Arial" w:eastAsia="Arial" w:hAnsi="Arial"/>
          <w:sz w:val="22"/>
          <w:szCs w:val="22"/>
          <w:color w:val="auto"/>
        </w:rPr>
      </w:pPr>
    </w:p>
    <w:p>
      <w:pPr>
        <w:ind w:left="1380" w:right="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rFonts w:ascii="Arial" w:cs="Arial" w:eastAsia="Arial" w:hAnsi="Arial"/>
          <w:sz w:val="22"/>
          <w:szCs w:val="22"/>
          <w:color w:val="auto"/>
        </w:rPr>
      </w:pPr>
    </w:p>
    <w:p>
      <w:pPr>
        <w:ind w:left="1380"/>
        <w:spacing w:after="0"/>
        <w:rPr>
          <w:sz w:val="20"/>
          <w:szCs w:val="20"/>
          <w:color w:val="auto"/>
        </w:rPr>
      </w:pPr>
      <w:r>
        <w:rPr>
          <w:rFonts w:ascii="Arial" w:cs="Arial" w:eastAsia="Arial" w:hAnsi="Arial"/>
          <w:sz w:val="19"/>
          <w:szCs w:val="19"/>
          <w:color w:val="auto"/>
        </w:rPr>
        <w:t>However, no one individual has greater than 5% economic ownership. The shareholders of the Fund have the</w:t>
      </w:r>
    </w:p>
    <w:p>
      <w:pPr>
        <w:sectPr>
          <w:pgSz w:w="11900" w:h="16865" w:orient="portrait"/>
          <w:cols w:equalWidth="0" w:num="1">
            <w:col w:w="11260"/>
          </w:cols>
          <w:pgMar w:left="320" w:top="423" w:right="319" w:bottom="0" w:gutter="0" w:footer="0" w:header="0"/>
        </w:sectPr>
      </w:pPr>
    </w:p>
    <w:bookmarkStart w:id="3" w:name="page4"/>
    <w:bookmarkEnd w:id="3"/>
    <w:p>
      <w:pPr>
        <w:ind w:left="1380" w:right="520"/>
        <w:spacing w:after="0" w:line="251" w:lineRule="auto"/>
        <w:rPr>
          <w:sz w:val="20"/>
          <w:szCs w:val="20"/>
          <w:color w:val="auto"/>
        </w:rPr>
      </w:pPr>
      <w:r>
        <w:rPr>
          <w:rFonts w:ascii="Arial" w:cs="Arial" w:eastAsia="Arial" w:hAnsi="Arial"/>
          <w:sz w:val="22"/>
          <w:szCs w:val="22"/>
          <w:color w:val="auto"/>
        </w:rPr>
        <w:t>right to receive or the power to direct the receipt of dividends and proceeds from the sale of securities listed above.</w:t>
      </w:r>
    </w:p>
    <w:p>
      <w:pPr>
        <w:spacing w:after="0" w:line="87" w:lineRule="exact"/>
        <w:rPr>
          <w:sz w:val="20"/>
          <w:szCs w:val="20"/>
          <w:color w:val="auto"/>
        </w:rPr>
      </w:pPr>
    </w:p>
    <w:p>
      <w:pPr>
        <w:ind w:left="1380" w:right="10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Invesco Advisers, Inc.</w:t>
      </w:r>
    </w:p>
    <w:p>
      <w:pPr>
        <w:ind w:left="1380"/>
        <w:spacing w:after="0" w:line="238" w:lineRule="auto"/>
        <w:rPr>
          <w:sz w:val="20"/>
          <w:szCs w:val="20"/>
          <w:color w:val="auto"/>
        </w:rPr>
      </w:pPr>
      <w:r>
        <w:rPr>
          <w:rFonts w:ascii="Arial" w:cs="Arial" w:eastAsia="Arial" w:hAnsi="Arial"/>
          <w:sz w:val="22"/>
          <w:szCs w:val="22"/>
          <w:color w:val="auto"/>
        </w:rPr>
        <w:t>Invesco Asset Management Japan Limited</w:t>
      </w:r>
    </w:p>
    <w:p>
      <w:pPr>
        <w:ind w:left="1380"/>
        <w:spacing w:after="0" w:line="230" w:lineRule="auto"/>
        <w:rPr>
          <w:sz w:val="20"/>
          <w:szCs w:val="20"/>
          <w:color w:val="auto"/>
        </w:rPr>
      </w:pPr>
      <w:r>
        <w:rPr>
          <w:rFonts w:ascii="Arial" w:cs="Arial" w:eastAsia="Arial" w:hAnsi="Arial"/>
          <w:sz w:val="22"/>
          <w:szCs w:val="22"/>
          <w:color w:val="auto"/>
        </w:rPr>
        <w:t>Invesco Canada Limited</w:t>
      </w:r>
    </w:p>
    <w:p>
      <w:pPr>
        <w:ind w:left="1380"/>
        <w:spacing w:after="0" w:line="231" w:lineRule="auto"/>
        <w:rPr>
          <w:sz w:val="20"/>
          <w:szCs w:val="20"/>
          <w:color w:val="auto"/>
        </w:rPr>
      </w:pPr>
      <w:r>
        <w:rPr>
          <w:rFonts w:ascii="Arial" w:cs="Arial" w:eastAsia="Arial" w:hAnsi="Arial"/>
          <w:sz w:val="22"/>
          <w:szCs w:val="22"/>
          <w:color w:val="auto"/>
        </w:rPr>
        <w:t>Invesco Investment Advisers, LLC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Invesco PowerShares Capital Management LLC</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8"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 April 11, 2016</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2019-12-09T01:20:01Z</dcterms:created>
  <dcterms:modified xsi:type="dcterms:W3CDTF">2019-12-09T01:20:01Z</dcterms:modified>
</cp:coreProperties>
</file>