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424(b)(5)</w:t>
      </w:r>
    </w:p>
    <w:p>
      <w:pPr>
        <w:jc w:val="right"/>
        <w:ind w:right="40"/>
        <w:spacing w:after="0"/>
        <w:rPr>
          <w:sz w:val="20"/>
          <w:szCs w:val="20"/>
          <w:color w:val="auto"/>
        </w:rPr>
      </w:pPr>
      <w:r>
        <w:rPr>
          <w:rFonts w:ascii="Arial" w:cs="Arial" w:eastAsia="Arial" w:hAnsi="Arial"/>
          <w:sz w:val="18"/>
          <w:szCs w:val="18"/>
          <w:color w:val="auto"/>
        </w:rPr>
        <w:t>Registration No. 333-194431</w:t>
      </w:r>
    </w:p>
    <w:p>
      <w:pPr>
        <w:spacing w:after="0" w:line="267"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CALCULATION OF REGISTRATION FEE</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30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06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33"/>
              <w:spacing w:after="0" w:line="113"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35"/>
              <w:spacing w:after="0" w:line="113"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0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3"/>
              <w:spacing w:after="0" w:line="149" w:lineRule="exact"/>
              <w:rPr>
                <w:sz w:val="20"/>
                <w:szCs w:val="20"/>
                <w:color w:val="auto"/>
              </w:rPr>
            </w:pPr>
            <w:r>
              <w:rPr>
                <w:rFonts w:ascii="Arial" w:cs="Arial" w:eastAsia="Arial" w:hAnsi="Arial"/>
                <w:sz w:val="14"/>
                <w:szCs w:val="14"/>
                <w:b w:val="1"/>
                <w:bCs w:val="1"/>
                <w:color w:val="auto"/>
                <w:w w:val="97"/>
              </w:rPr>
              <w:t>maximum</w:t>
            </w:r>
          </w:p>
        </w:tc>
        <w:tc>
          <w:tcPr>
            <w:tcW w:w="1600" w:type="dxa"/>
            <w:vAlign w:val="bottom"/>
            <w:tcBorders>
              <w:right w:val="single" w:sz="8" w:color="auto"/>
            </w:tcBorders>
          </w:tcPr>
          <w:p>
            <w:pPr>
              <w:jc w:val="center"/>
              <w:ind w:left="15"/>
              <w:spacing w:after="0" w:line="149" w:lineRule="exact"/>
              <w:rPr>
                <w:sz w:val="20"/>
                <w:szCs w:val="20"/>
                <w:color w:val="auto"/>
              </w:rPr>
            </w:pPr>
            <w:r>
              <w:rPr>
                <w:rFonts w:ascii="Arial" w:cs="Arial" w:eastAsia="Arial" w:hAnsi="Arial"/>
                <w:sz w:val="14"/>
                <w:szCs w:val="14"/>
                <w:b w:val="1"/>
                <w:bCs w:val="1"/>
                <w:color w:val="auto"/>
                <w:w w:val="97"/>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40" w:type="dxa"/>
            <w:vAlign w:val="bottom"/>
            <w:tcBorders>
              <w:right w:val="single" w:sz="8" w:color="auto"/>
            </w:tcBorders>
            <w:gridSpan w:val="2"/>
          </w:tcPr>
          <w:p>
            <w:pPr>
              <w:jc w:val="center"/>
              <w:spacing w:after="0" w:line="152" w:lineRule="exact"/>
              <w:rPr>
                <w:sz w:val="20"/>
                <w:szCs w:val="20"/>
                <w:color w:val="auto"/>
              </w:rPr>
            </w:pPr>
            <w:r>
              <w:rPr>
                <w:rFonts w:ascii="Arial" w:cs="Arial" w:eastAsia="Arial" w:hAnsi="Arial"/>
                <w:sz w:val="14"/>
                <w:szCs w:val="14"/>
                <w:b w:val="1"/>
                <w:bCs w:val="1"/>
                <w:color w:val="auto"/>
                <w:w w:val="95"/>
              </w:rPr>
              <w:t>Title of each class of</w:t>
            </w:r>
          </w:p>
        </w:tc>
        <w:tc>
          <w:tcPr>
            <w:tcW w:w="1600" w:type="dxa"/>
            <w:vAlign w:val="bottom"/>
            <w:tcBorders>
              <w:right w:val="single" w:sz="8" w:color="auto"/>
            </w:tcBorders>
          </w:tcPr>
          <w:p>
            <w:pPr>
              <w:jc w:val="center"/>
              <w:ind w:left="12"/>
              <w:spacing w:after="0" w:line="152" w:lineRule="exact"/>
              <w:rPr>
                <w:sz w:val="20"/>
                <w:szCs w:val="20"/>
                <w:color w:val="auto"/>
              </w:rPr>
            </w:pPr>
            <w:r>
              <w:rPr>
                <w:rFonts w:ascii="Arial" w:cs="Arial" w:eastAsia="Arial" w:hAnsi="Arial"/>
                <w:sz w:val="14"/>
                <w:szCs w:val="14"/>
                <w:b w:val="1"/>
                <w:bCs w:val="1"/>
                <w:color w:val="auto"/>
                <w:w w:val="97"/>
              </w:rPr>
              <w:t>Amount to be</w:t>
            </w:r>
          </w:p>
        </w:tc>
        <w:tc>
          <w:tcPr>
            <w:tcW w:w="1600" w:type="dxa"/>
            <w:vAlign w:val="bottom"/>
            <w:tcBorders>
              <w:right w:val="single" w:sz="8" w:color="auto"/>
            </w:tcBorders>
          </w:tcPr>
          <w:p>
            <w:pPr>
              <w:jc w:val="center"/>
              <w:ind w:left="33"/>
              <w:spacing w:after="0" w:line="152" w:lineRule="exact"/>
              <w:rPr>
                <w:sz w:val="20"/>
                <w:szCs w:val="20"/>
                <w:color w:val="auto"/>
              </w:rPr>
            </w:pPr>
            <w:r>
              <w:rPr>
                <w:rFonts w:ascii="Arial" w:cs="Arial" w:eastAsia="Arial" w:hAnsi="Arial"/>
                <w:sz w:val="14"/>
                <w:szCs w:val="14"/>
                <w:b w:val="1"/>
                <w:bCs w:val="1"/>
                <w:color w:val="auto"/>
                <w:w w:val="96"/>
              </w:rPr>
              <w:t>offering price</w:t>
            </w:r>
          </w:p>
        </w:tc>
        <w:tc>
          <w:tcPr>
            <w:tcW w:w="1600" w:type="dxa"/>
            <w:vAlign w:val="bottom"/>
            <w:tcBorders>
              <w:right w:val="single" w:sz="8" w:color="auto"/>
            </w:tcBorders>
          </w:tcPr>
          <w:p>
            <w:pPr>
              <w:jc w:val="center"/>
              <w:ind w:left="15"/>
              <w:spacing w:after="0" w:line="152" w:lineRule="exact"/>
              <w:rPr>
                <w:sz w:val="20"/>
                <w:szCs w:val="20"/>
                <w:color w:val="auto"/>
              </w:rPr>
            </w:pPr>
            <w:r>
              <w:rPr>
                <w:rFonts w:ascii="Arial" w:cs="Arial" w:eastAsia="Arial" w:hAnsi="Arial"/>
                <w:sz w:val="14"/>
                <w:szCs w:val="14"/>
                <w:b w:val="1"/>
                <w:bCs w:val="1"/>
                <w:color w:val="auto"/>
                <w:w w:val="95"/>
              </w:rPr>
              <w:t>aggregate</w:t>
            </w:r>
          </w:p>
        </w:tc>
        <w:tc>
          <w:tcPr>
            <w:tcW w:w="1560" w:type="dxa"/>
            <w:vAlign w:val="bottom"/>
          </w:tcPr>
          <w:p>
            <w:pPr>
              <w:jc w:val="center"/>
              <w:ind w:left="20"/>
              <w:spacing w:after="0" w:line="152" w:lineRule="exact"/>
              <w:rPr>
                <w:sz w:val="20"/>
                <w:szCs w:val="20"/>
                <w:color w:val="auto"/>
              </w:rPr>
            </w:pPr>
            <w:r>
              <w:rPr>
                <w:rFonts w:ascii="Arial" w:cs="Arial" w:eastAsia="Arial" w:hAnsi="Arial"/>
                <w:sz w:val="14"/>
                <w:szCs w:val="14"/>
                <w:b w:val="1"/>
                <w:bCs w:val="1"/>
                <w:color w:val="auto"/>
                <w:w w:val="97"/>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registered</w:t>
            </w:r>
          </w:p>
        </w:tc>
        <w:tc>
          <w:tcPr>
            <w:tcW w:w="160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7"/>
              </w:rPr>
              <w:t>per unit</w:t>
            </w:r>
          </w:p>
        </w:tc>
        <w:tc>
          <w:tcPr>
            <w:tcW w:w="160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96"/>
              </w:rPr>
              <w:t>offering price</w:t>
            </w:r>
          </w:p>
        </w:tc>
        <w:tc>
          <w:tcPr>
            <w:tcW w:w="1560" w:type="dxa"/>
            <w:vAlign w:val="bottom"/>
            <w:tcBorders>
              <w:bottom w:val="single" w:sz="8" w:color="auto"/>
            </w:tcBorders>
          </w:tcPr>
          <w:p>
            <w:pPr>
              <w:jc w:val="center"/>
              <w:ind w:left="20"/>
              <w:spacing w:after="0" w:line="176" w:lineRule="exact"/>
              <w:rPr>
                <w:sz w:val="20"/>
                <w:szCs w:val="20"/>
                <w:color w:val="auto"/>
              </w:rPr>
            </w:pPr>
            <w:r>
              <w:rPr>
                <w:rFonts w:ascii="Arial" w:cs="Arial" w:eastAsia="Arial" w:hAnsi="Arial"/>
                <w:sz w:val="13"/>
                <w:szCs w:val="13"/>
                <w:b w:val="1"/>
                <w:bCs w:val="1"/>
                <w:color w:val="auto"/>
              </w:rPr>
              <w:t xml:space="preserve">registration fee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6"/>
              </w:rPr>
              <w:t>Ordinary shares, par value $.001</w:t>
            </w:r>
          </w:p>
        </w:tc>
        <w:tc>
          <w:tcPr>
            <w:tcW w:w="3060" w:type="dxa"/>
            <w:vAlign w:val="bottom"/>
            <w:tcBorders>
              <w:bottom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USD per share, of Weatherford International plc</w:t>
            </w: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6"/>
              </w:rPr>
              <w:t>84,500,000</w:t>
            </w:r>
          </w:p>
        </w:tc>
        <w:tc>
          <w:tcPr>
            <w:tcW w:w="1600" w:type="dxa"/>
            <w:vAlign w:val="bottom"/>
            <w:tcBorders>
              <w:bottom w:val="single" w:sz="8" w:color="auto"/>
              <w:right w:val="single" w:sz="8" w:color="auto"/>
            </w:tcBorders>
          </w:tcPr>
          <w:p>
            <w:pPr>
              <w:jc w:val="center"/>
              <w:ind w:left="33"/>
              <w:spacing w:after="0" w:line="142" w:lineRule="exact"/>
              <w:rPr>
                <w:sz w:val="20"/>
                <w:szCs w:val="20"/>
                <w:color w:val="auto"/>
              </w:rPr>
            </w:pPr>
            <w:r>
              <w:rPr>
                <w:rFonts w:ascii="Arial" w:cs="Arial" w:eastAsia="Arial" w:hAnsi="Arial"/>
                <w:sz w:val="14"/>
                <w:szCs w:val="14"/>
                <w:color w:val="auto"/>
                <w:w w:val="96"/>
              </w:rPr>
              <w:t>$5.40</w:t>
            </w:r>
          </w:p>
        </w:tc>
        <w:tc>
          <w:tcPr>
            <w:tcW w:w="1600" w:type="dxa"/>
            <w:vAlign w:val="bottom"/>
            <w:tcBorders>
              <w:bottom w:val="single" w:sz="8" w:color="auto"/>
              <w:right w:val="single" w:sz="8" w:color="auto"/>
            </w:tcBorders>
          </w:tcPr>
          <w:p>
            <w:pPr>
              <w:jc w:val="center"/>
              <w:ind w:left="35"/>
              <w:spacing w:after="0" w:line="142" w:lineRule="exact"/>
              <w:rPr>
                <w:sz w:val="20"/>
                <w:szCs w:val="20"/>
                <w:color w:val="auto"/>
              </w:rPr>
            </w:pPr>
            <w:r>
              <w:rPr>
                <w:rFonts w:ascii="Arial" w:cs="Arial" w:eastAsia="Arial" w:hAnsi="Arial"/>
                <w:sz w:val="14"/>
                <w:szCs w:val="14"/>
                <w:color w:val="auto"/>
                <w:w w:val="95"/>
              </w:rPr>
              <w:t>$456,300,000</w:t>
            </w:r>
          </w:p>
        </w:tc>
        <w:tc>
          <w:tcPr>
            <w:tcW w:w="1560" w:type="dxa"/>
            <w:vAlign w:val="bottom"/>
            <w:tcBorders>
              <w:bottom w:val="single" w:sz="8" w:color="auto"/>
            </w:tcBorders>
          </w:tcPr>
          <w:p>
            <w:pPr>
              <w:jc w:val="center"/>
              <w:ind w:left="20"/>
              <w:spacing w:after="0" w:line="142" w:lineRule="exact"/>
              <w:rPr>
                <w:sz w:val="20"/>
                <w:szCs w:val="20"/>
                <w:color w:val="auto"/>
              </w:rPr>
            </w:pPr>
            <w:r>
              <w:rPr>
                <w:rFonts w:ascii="Arial" w:cs="Arial" w:eastAsia="Arial" w:hAnsi="Arial"/>
                <w:sz w:val="14"/>
                <w:szCs w:val="14"/>
                <w:color w:val="auto"/>
                <w:w w:val="94"/>
              </w:rPr>
              <w:t>$52,886</w:t>
            </w:r>
          </w:p>
        </w:tc>
        <w:tc>
          <w:tcPr>
            <w:tcW w:w="0" w:type="dxa"/>
            <w:vAlign w:val="bottom"/>
          </w:tcPr>
          <w:p>
            <w:pPr>
              <w:spacing w:after="0"/>
              <w:rPr>
                <w:sz w:val="1"/>
                <w:szCs w:val="1"/>
                <w:color w:val="auto"/>
              </w:rPr>
            </w:pPr>
          </w:p>
        </w:tc>
      </w:tr>
      <w:tr>
        <w:trPr>
          <w:trHeight w:val="141"/>
        </w:trPr>
        <w:tc>
          <w:tcPr>
            <w:tcW w:w="2000" w:type="dxa"/>
            <w:vAlign w:val="bottom"/>
            <w:gridSpan w:val="2"/>
          </w:tcPr>
          <w:p>
            <w:pPr>
              <w:spacing w:after="0" w:line="141" w:lineRule="exact"/>
              <w:rPr>
                <w:sz w:val="20"/>
                <w:szCs w:val="20"/>
                <w:color w:val="auto"/>
              </w:rPr>
            </w:pPr>
            <w:r>
              <w:rPr>
                <w:rFonts w:ascii="Arial" w:cs="Arial" w:eastAsia="Arial" w:hAnsi="Arial"/>
                <w:sz w:val="14"/>
                <w:szCs w:val="14"/>
                <w:color w:val="auto"/>
                <w:w w:val="97"/>
              </w:rPr>
              <w:t>Ordinary shares, par value $.001</w:t>
            </w:r>
          </w:p>
        </w:tc>
        <w:tc>
          <w:tcPr>
            <w:tcW w:w="30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rPr>
              <w:t>USD per share, of Weatherford International plc,</w:t>
            </w: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560" w:type="dxa"/>
            <w:vAlign w:val="bottom"/>
            <w:vMerge w:val="restart"/>
          </w:tcPr>
          <w:p>
            <w:pPr>
              <w:jc w:val="center"/>
              <w:ind w:left="40"/>
              <w:spacing w:after="0"/>
              <w:rPr>
                <w:sz w:val="20"/>
                <w:szCs w:val="20"/>
                <w:color w:val="auto"/>
              </w:rPr>
            </w:pPr>
            <w:r>
              <w:rPr>
                <w:rFonts w:ascii="Arial" w:cs="Arial" w:eastAsia="Arial" w:hAnsi="Arial"/>
                <w:sz w:val="14"/>
                <w:szCs w:val="14"/>
                <w:color w:val="auto"/>
                <w:w w:val="90"/>
              </w:rPr>
              <w:t>$62,973</w:t>
            </w:r>
            <w:r>
              <w:rPr>
                <w:rFonts w:ascii="Arial" w:cs="Arial" w:eastAsia="Arial" w:hAnsi="Arial"/>
                <w:sz w:val="22"/>
                <w:szCs w:val="22"/>
                <w:color w:val="auto"/>
                <w:w w:val="90"/>
                <w:vertAlign w:val="superscript"/>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bottom w:val="single" w:sz="8" w:color="auto"/>
              <w:right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to be issued upon exercise of a warrant</w:t>
            </w:r>
          </w:p>
        </w:tc>
        <w:tc>
          <w:tcPr>
            <w:tcW w:w="1600" w:type="dxa"/>
            <w:vAlign w:val="bottom"/>
            <w:tcBorders>
              <w:bottom w:val="single" w:sz="8" w:color="auto"/>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96"/>
              </w:rPr>
              <w:t>84,500,000</w:t>
            </w:r>
          </w:p>
        </w:tc>
        <w:tc>
          <w:tcPr>
            <w:tcW w:w="1600" w:type="dxa"/>
            <w:vAlign w:val="bottom"/>
            <w:tcBorders>
              <w:bottom w:val="single" w:sz="8" w:color="auto"/>
              <w:right w:val="single" w:sz="8" w:color="auto"/>
            </w:tcBorders>
          </w:tcPr>
          <w:p>
            <w:pPr>
              <w:jc w:val="center"/>
              <w:ind w:left="33"/>
              <w:spacing w:after="0" w:line="149" w:lineRule="exact"/>
              <w:rPr>
                <w:sz w:val="20"/>
                <w:szCs w:val="20"/>
                <w:color w:val="auto"/>
              </w:rPr>
            </w:pPr>
            <w:r>
              <w:rPr>
                <w:rFonts w:ascii="Arial" w:cs="Arial" w:eastAsia="Arial" w:hAnsi="Arial"/>
                <w:sz w:val="14"/>
                <w:szCs w:val="14"/>
                <w:color w:val="auto"/>
                <w:w w:val="96"/>
              </w:rPr>
              <w:t>$6.43</w:t>
            </w:r>
          </w:p>
        </w:tc>
        <w:tc>
          <w:tcPr>
            <w:tcW w:w="1600" w:type="dxa"/>
            <w:vAlign w:val="bottom"/>
            <w:tcBorders>
              <w:bottom w:val="single" w:sz="8" w:color="auto"/>
              <w:right w:val="single" w:sz="8" w:color="auto"/>
            </w:tcBorders>
          </w:tcPr>
          <w:p>
            <w:pPr>
              <w:jc w:val="center"/>
              <w:ind w:left="35"/>
              <w:spacing w:after="0" w:line="149" w:lineRule="exact"/>
              <w:rPr>
                <w:sz w:val="20"/>
                <w:szCs w:val="20"/>
                <w:color w:val="auto"/>
              </w:rPr>
            </w:pPr>
            <w:r>
              <w:rPr>
                <w:rFonts w:ascii="Arial" w:cs="Arial" w:eastAsia="Arial" w:hAnsi="Arial"/>
                <w:sz w:val="14"/>
                <w:szCs w:val="14"/>
                <w:color w:val="auto"/>
                <w:w w:val="95"/>
              </w:rPr>
              <w:t>$543,335,000</w:t>
            </w:r>
          </w:p>
        </w:tc>
        <w:tc>
          <w:tcPr>
            <w:tcW w:w="1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0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 to purchase ordinary shares of Weatherford International plc</w:t>
            </w: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rPr>
              <w:t>1</w:t>
            </w:r>
          </w:p>
        </w:tc>
        <w:tc>
          <w:tcPr>
            <w:tcW w:w="1600" w:type="dxa"/>
            <w:vAlign w:val="bottom"/>
            <w:tcBorders>
              <w:bottom w:val="single" w:sz="8" w:color="auto"/>
              <w:right w:val="single" w:sz="8" w:color="auto"/>
            </w:tcBorders>
          </w:tcPr>
          <w:p>
            <w:pPr>
              <w:jc w:val="center"/>
              <w:ind w:left="33"/>
              <w:spacing w:after="0" w:line="142" w:lineRule="exact"/>
              <w:rPr>
                <w:sz w:val="20"/>
                <w:szCs w:val="20"/>
                <w:color w:val="auto"/>
              </w:rPr>
            </w:pPr>
            <w:r>
              <w:rPr>
                <w:rFonts w:ascii="Arial" w:cs="Arial" w:eastAsia="Arial" w:hAnsi="Arial"/>
                <w:sz w:val="14"/>
                <w:szCs w:val="14"/>
                <w:color w:val="auto"/>
                <w:w w:val="94"/>
              </w:rPr>
              <w:t>N/A</w:t>
            </w:r>
          </w:p>
        </w:tc>
        <w:tc>
          <w:tcPr>
            <w:tcW w:w="1600" w:type="dxa"/>
            <w:vAlign w:val="bottom"/>
            <w:tcBorders>
              <w:bottom w:val="single" w:sz="8" w:color="auto"/>
              <w:right w:val="single" w:sz="8" w:color="auto"/>
            </w:tcBorders>
          </w:tcPr>
          <w:p>
            <w:pPr>
              <w:jc w:val="center"/>
              <w:ind w:left="35"/>
              <w:spacing w:after="0" w:line="142" w:lineRule="exact"/>
              <w:rPr>
                <w:sz w:val="20"/>
                <w:szCs w:val="20"/>
                <w:color w:val="auto"/>
              </w:rPr>
            </w:pPr>
            <w:r>
              <w:rPr>
                <w:rFonts w:ascii="Arial" w:cs="Arial" w:eastAsia="Arial" w:hAnsi="Arial"/>
                <w:sz w:val="14"/>
                <w:szCs w:val="14"/>
                <w:color w:val="auto"/>
                <w:w w:val="94"/>
              </w:rPr>
              <w:t>N/A</w:t>
            </w:r>
          </w:p>
        </w:tc>
        <w:tc>
          <w:tcPr>
            <w:tcW w:w="1560" w:type="dxa"/>
            <w:vAlign w:val="bottom"/>
            <w:tcBorders>
              <w:bottom w:val="single" w:sz="8" w:color="auto"/>
            </w:tcBorders>
          </w:tcPr>
          <w:p>
            <w:pPr>
              <w:jc w:val="center"/>
              <w:ind w:left="20"/>
              <w:spacing w:after="0" w:line="142"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142"/>
        </w:trPr>
        <w:tc>
          <w:tcPr>
            <w:tcW w:w="2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30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7"/>
              </w:rPr>
              <w:t>169,000,000</w:t>
            </w:r>
          </w:p>
        </w:tc>
        <w:tc>
          <w:tcPr>
            <w:tcW w:w="1600" w:type="dxa"/>
            <w:vAlign w:val="bottom"/>
            <w:tcBorders>
              <w:bottom w:val="single" w:sz="8" w:color="auto"/>
              <w:right w:val="single" w:sz="8" w:color="auto"/>
            </w:tcBorders>
          </w:tcPr>
          <w:p>
            <w:pPr>
              <w:ind w:left="740"/>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center"/>
              <w:ind w:left="15"/>
              <w:spacing w:after="0" w:line="142" w:lineRule="exact"/>
              <w:rPr>
                <w:sz w:val="20"/>
                <w:szCs w:val="20"/>
                <w:color w:val="auto"/>
              </w:rPr>
            </w:pPr>
            <w:r>
              <w:rPr>
                <w:rFonts w:ascii="Arial" w:cs="Arial" w:eastAsia="Arial" w:hAnsi="Arial"/>
                <w:sz w:val="11"/>
                <w:szCs w:val="11"/>
                <w:color w:val="auto"/>
              </w:rPr>
              <w:t>$999,635,000</w:t>
            </w:r>
            <w:r>
              <w:rPr>
                <w:rFonts w:ascii="Arial" w:cs="Arial" w:eastAsia="Arial" w:hAnsi="Arial"/>
                <w:sz w:val="16"/>
                <w:szCs w:val="16"/>
                <w:color w:val="auto"/>
                <w:vertAlign w:val="superscript"/>
              </w:rPr>
              <w:t>(4)</w:t>
            </w:r>
          </w:p>
        </w:tc>
        <w:tc>
          <w:tcPr>
            <w:tcW w:w="1560" w:type="dxa"/>
            <w:vAlign w:val="bottom"/>
            <w:tcBorders>
              <w:bottom w:val="single" w:sz="8" w:color="auto"/>
            </w:tcBorders>
          </w:tcPr>
          <w:p>
            <w:pPr>
              <w:jc w:val="center"/>
              <w:ind w:left="40"/>
              <w:spacing w:after="0" w:line="142" w:lineRule="exact"/>
              <w:rPr>
                <w:sz w:val="20"/>
                <w:szCs w:val="20"/>
                <w:color w:val="auto"/>
              </w:rPr>
            </w:pPr>
            <w:r>
              <w:rPr>
                <w:rFonts w:ascii="Arial" w:cs="Arial" w:eastAsia="Arial" w:hAnsi="Arial"/>
                <w:sz w:val="11"/>
                <w:szCs w:val="11"/>
                <w:color w:val="auto"/>
              </w:rPr>
              <w:t>$115,859</w:t>
            </w:r>
            <w:r>
              <w:rPr>
                <w:rFonts w:ascii="Arial" w:cs="Arial" w:eastAsia="Arial" w:hAnsi="Arial"/>
                <w:sz w:val="16"/>
                <w:szCs w:val="16"/>
                <w:color w:val="auto"/>
                <w:vertAlign w:val="superscript"/>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4"/>
          <w:szCs w:val="24"/>
          <w:color w:val="auto"/>
        </w:rPr>
      </w:pPr>
    </w:p>
    <w:p>
      <w:pPr>
        <w:ind w:left="460" w:right="100" w:hanging="452"/>
        <w:spacing w:after="0" w:line="23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filing fee is calculated in accordance with Rule 457(r) and relates to the Registration Statement on Form S-3 (File No. 333-194431) filed by Weatherford International plc on March 7, 2014, as amended.</w:t>
      </w:r>
    </w:p>
    <w:p>
      <w:pPr>
        <w:spacing w:after="0" w:line="1"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457(g) based on the subscription price of $6.43 per ordinary share to be issued upon exercise of the warrant.</w:t>
      </w:r>
    </w:p>
    <w:p>
      <w:pPr>
        <w:ind w:left="460" w:hanging="452"/>
        <w:spacing w:after="0" w:line="23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Issued as a component of the ordinary shares for no additional consideration in accordance with Rule 457(g).</w:t>
      </w:r>
    </w:p>
    <w:p>
      <w:pPr>
        <w:ind w:left="460" w:right="60" w:hanging="452"/>
        <w:spacing w:after="0" w:line="23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the Registrant is also registering hereunder an indeterminate number of additional ordinary shares, par value $.001 USD per share, issuable upon exercise of the warrant resulting from share splits, share dividends or similar transactions.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filing fee calculated pursuant to Rule 457(a)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November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569085"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Weatherford International plc</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84,500,000 ordinary shares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Warrant to purchase 84,500,000 ordinary shares</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and 84,500,000 ordinary shares issuable upon exercise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140970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offering directly to a selected institutional investor (i) 84,500,000 ordinary shares at a price of $5.40 per ordinary share, (ii) one warrant to purchase 84,500,000 ordinary shares on or prior to the date that is 30 months after the date such warrant is issued at an exercise price of $6.43 per ordinary share (the “Warrant”) and (iii) 84,500,000 ordinary shares issuable upon exercise of the Warrant at the public offering price per ordinary share set forth below. The ordinary shares, the Warrant, and the ordinary shares issuable upon the exercise of the Warrant are sometimes collectively referred to herein as the “securities.” See “Description of Our Ordinary Shares” and “Description of the Warrant” for a more complete description of the securities offered hereby, beginning on page S-15.</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ordinary shares are listed for trading on the New York Stock Exchange (“NYSE”) under the symbol “WFT.” On November 15, 2016, the last reported sale price of our ordinary shares on the NYSE was $5.14 per share. There is no established public trading market for the Warrant, and we do not expect one to develop. We do not intend to apply to list the Warrant on any securities exchange.</w:t>
      </w:r>
    </w:p>
    <w:p>
      <w:pPr>
        <w:spacing w:after="0" w:line="78" w:lineRule="exact"/>
        <w:rPr>
          <w:sz w:val="20"/>
          <w:szCs w:val="20"/>
          <w:color w:val="auto"/>
        </w:rPr>
      </w:pPr>
    </w:p>
    <w:p>
      <w:pPr>
        <w:ind w:right="42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risks. Before buying our ordinary shares, you should read the discussion of material risks described in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S-3 of this prospectus supplement for more information.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40" w:type="dxa"/>
            <w:vAlign w:val="bottom"/>
            <w:tcBorders>
              <w:top w:val="single" w:sz="8" w:color="auto"/>
            </w:tcBorders>
          </w:tcPr>
          <w:p>
            <w:pPr>
              <w:spacing w:after="0"/>
              <w:rPr>
                <w:sz w:val="18"/>
                <w:szCs w:val="18"/>
                <w:color w:val="auto"/>
              </w:rPr>
            </w:pPr>
          </w:p>
        </w:tc>
        <w:tc>
          <w:tcPr>
            <w:tcW w:w="4300" w:type="dxa"/>
            <w:vAlign w:val="bottom"/>
            <w:tcBorders>
              <w:top w:val="single" w:sz="8" w:color="auto"/>
            </w:tcBorders>
            <w:gridSpan w:val="2"/>
          </w:tcPr>
          <w:p>
            <w:pPr>
              <w:ind w:left="3000"/>
              <w:spacing w:after="0"/>
              <w:rPr>
                <w:sz w:val="20"/>
                <w:szCs w:val="20"/>
                <w:color w:val="auto"/>
              </w:rPr>
            </w:pPr>
            <w:r>
              <w:rPr>
                <w:rFonts w:ascii="Arial" w:cs="Arial" w:eastAsia="Arial" w:hAnsi="Arial"/>
                <w:sz w:val="18"/>
                <w:szCs w:val="18"/>
                <w:b w:val="1"/>
                <w:bCs w:val="1"/>
                <w:color w:val="auto"/>
              </w:rPr>
              <w:t>Per ordinary</w:t>
            </w: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5"/>
        </w:trPr>
        <w:tc>
          <w:tcPr>
            <w:tcW w:w="56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2"/>
          </w:tcPr>
          <w:p>
            <w:pPr>
              <w:ind w:left="3000"/>
              <w:spacing w:after="0"/>
              <w:rPr>
                <w:sz w:val="20"/>
                <w:szCs w:val="20"/>
                <w:color w:val="auto"/>
              </w:rPr>
            </w:pPr>
            <w:r>
              <w:rPr>
                <w:rFonts w:ascii="Arial" w:cs="Arial" w:eastAsia="Arial" w:hAnsi="Arial"/>
                <w:sz w:val="18"/>
                <w:szCs w:val="18"/>
                <w:b w:val="1"/>
                <w:bCs w:val="1"/>
                <w:color w:val="auto"/>
              </w:rPr>
              <w:t>share(1)</w:t>
            </w:r>
          </w:p>
        </w:tc>
        <w:tc>
          <w:tcPr>
            <w:tcW w:w="14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115"/>
        </w:trPr>
        <w:tc>
          <w:tcPr>
            <w:tcW w:w="56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300" w:type="dxa"/>
            <w:vAlign w:val="bottom"/>
            <w:shd w:val="clear" w:color="auto" w:fill="CCEEFF"/>
          </w:tcPr>
          <w:p>
            <w:pPr>
              <w:ind w:left="30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5.40</w:t>
            </w:r>
          </w:p>
        </w:tc>
        <w:tc>
          <w:tcPr>
            <w:tcW w:w="3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7"/>
              </w:rPr>
              <w:t>456,300,000</w:t>
            </w:r>
          </w:p>
        </w:tc>
      </w:tr>
      <w:tr>
        <w:trPr>
          <w:trHeight w:val="282"/>
        </w:trPr>
        <w:tc>
          <w:tcPr>
            <w:tcW w:w="5640" w:type="dxa"/>
            <w:vAlign w:val="bottom"/>
          </w:tcPr>
          <w:p>
            <w:pPr>
              <w:spacing w:after="0"/>
              <w:rPr>
                <w:sz w:val="20"/>
                <w:szCs w:val="20"/>
                <w:color w:val="auto"/>
              </w:rPr>
            </w:pPr>
            <w:r>
              <w:rPr>
                <w:rFonts w:ascii="Arial" w:cs="Arial" w:eastAsia="Arial" w:hAnsi="Arial"/>
                <w:sz w:val="18"/>
                <w:szCs w:val="18"/>
                <w:color w:val="auto"/>
              </w:rPr>
              <w:t>Placement agent fees(2)</w:t>
            </w:r>
          </w:p>
        </w:tc>
        <w:tc>
          <w:tcPr>
            <w:tcW w:w="3300" w:type="dxa"/>
            <w:vAlign w:val="bottom"/>
          </w:tcPr>
          <w:p>
            <w:pPr>
              <w:ind w:left="30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0.0999</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8,441,550</w:t>
            </w:r>
          </w:p>
        </w:tc>
      </w:tr>
      <w:tr>
        <w:trPr>
          <w:trHeight w:val="124"/>
        </w:trPr>
        <w:tc>
          <w:tcPr>
            <w:tcW w:w="56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03"/>
        </w:trPr>
        <w:tc>
          <w:tcPr>
            <w:tcW w:w="5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3300" w:type="dxa"/>
            <w:vAlign w:val="bottom"/>
            <w:tcBorders>
              <w:bottom w:val="single" w:sz="8" w:color="auto"/>
            </w:tcBorders>
            <w:shd w:val="clear" w:color="auto" w:fill="CCEEFF"/>
          </w:tcPr>
          <w:p>
            <w:pPr>
              <w:ind w:left="300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5.3001</w:t>
            </w:r>
          </w:p>
        </w:tc>
        <w:tc>
          <w:tcPr>
            <w:tcW w:w="38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7"/>
              </w:rPr>
              <w:t>447,858,450</w:t>
            </w:r>
          </w:p>
        </w:tc>
      </w:tr>
    </w:tbl>
    <w:p>
      <w:pPr>
        <w:spacing w:after="0" w:line="67" w:lineRule="exact"/>
        <w:rPr>
          <w:sz w:val="20"/>
          <w:szCs w:val="20"/>
          <w:color w:val="auto"/>
        </w:rPr>
      </w:pPr>
    </w:p>
    <w:p>
      <w:pPr>
        <w:ind w:left="340" w:right="140" w:hanging="332"/>
        <w:spacing w:after="0" w:line="23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Warrant is being offered to the institutional investor for no additional consideration. The above proceeds do not include ordinary shares that may be issued upon the exercise of the Warrant.</w:t>
      </w:r>
    </w:p>
    <w:p>
      <w:pPr>
        <w:spacing w:after="0" w:line="54" w:lineRule="exact"/>
        <w:rPr>
          <w:rFonts w:ascii="Arial" w:cs="Arial" w:eastAsia="Arial" w:hAnsi="Arial"/>
          <w:sz w:val="14"/>
          <w:szCs w:val="14"/>
          <w:color w:val="auto"/>
        </w:rPr>
      </w:pPr>
    </w:p>
    <w:p>
      <w:pPr>
        <w:ind w:left="340" w:hanging="332"/>
        <w:spacing w:after="0" w:line="228"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“Plan of Distribution (Conflicts of Interest)” beginning on page S-34 of this prospectus supplement for more information concerning placement agent compensation. We have retained J.P. Morgan Securities LLC as our exclusive placement agent to use its “best efforts” to solicit offers to purchase our securities in this offering. The placement agent has no obligation to buy any securities from us or to arrange for the purchase or sale of any specific number or dollar amount of securities.</w:t>
      </w:r>
    </w:p>
    <w:p>
      <w:pPr>
        <w:spacing w:after="0" w:line="77"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described herein or passed upon the adequacy or accuracy of this prospectus. Any representation to the contrary is a criminal offense.</w:t>
      </w:r>
    </w:p>
    <w:p>
      <w:pPr>
        <w:spacing w:after="0" w:line="10"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9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Delivery of the ordinary shares and the Warrant offered hereby will be made on or about November 21, 2016 through the book-entry facilities of The Depository Trust Company, subject to customary closing conditions.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-305435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 dated November 16, 2016</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1300"/>
        <w:spacing w:after="0" w:line="357" w:lineRule="auto"/>
        <w:rPr>
          <w:sz w:val="20"/>
          <w:szCs w:val="20"/>
          <w:color w:val="auto"/>
        </w:rPr>
      </w:pPr>
      <w:r>
        <w:rPr>
          <w:rFonts w:ascii="Arial" w:cs="Arial" w:eastAsia="Arial" w:hAnsi="Arial"/>
          <w:sz w:val="32"/>
          <w:szCs w:val="32"/>
          <w:b w:val="1"/>
          <w:bCs w:val="1"/>
          <w:color w:val="auto"/>
        </w:rPr>
        <w:t>Table of contents Prospectus supplement</w:t>
      </w:r>
    </w:p>
    <w:p>
      <w:pPr>
        <w:spacing w:after="0" w:line="147"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 supplement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Notice to investors</w:t>
        </w:r>
      </w:hyperlink>
    </w:p>
    <w:p>
      <w:pPr>
        <w:spacing w:after="0" w:line="63" w:lineRule="exact"/>
        <w:rPr>
          <w:sz w:val="20"/>
          <w:szCs w:val="20"/>
          <w:color w:val="auto"/>
        </w:rPr>
      </w:pPr>
    </w:p>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Cautionary statement regarding forward-looking statements</w:t>
        </w:r>
      </w:hyperlink>
    </w:p>
    <w:p>
      <w:pPr>
        <w:spacing w:after="0" w:line="86"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Prospectus supplement summary</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Use of proceeds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Dilution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Capitalization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Dividend policy</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Market price of our ordinary shares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our ordinary shares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Description of the warrant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Certain Irish tax considerations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Certain Swiss tax considerations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Plan of distribution (Conflicts of Interest)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matters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Experts</w:t>
        </w:r>
      </w:hyperlink>
    </w:p>
    <w:p>
      <w:pPr>
        <w:spacing w:after="0" w:line="63" w:lineRule="exact"/>
        <w:rPr>
          <w:sz w:val="20"/>
          <w:szCs w:val="20"/>
          <w:color w:val="auto"/>
        </w:rPr>
      </w:pPr>
    </w:p>
    <w:p>
      <w:pPr>
        <w:ind w:right="1740"/>
        <w:spacing w:after="0" w:line="313" w:lineRule="auto"/>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Where you can find additional information</w:t>
        </w:r>
      </w:hyperlink>
      <w:r>
        <w:rPr>
          <w:rFonts w:ascii="Arial" w:cs="Arial" w:eastAsia="Arial" w:hAnsi="Arial"/>
          <w:sz w:val="18"/>
          <w:szCs w:val="18"/>
          <w:u w:val="single" w:color="auto"/>
          <w:color w:val="0000EE"/>
        </w:rPr>
        <w:t xml:space="preserve"> </w:t>
      </w:r>
      <w:hyperlink w:anchor="page43">
        <w:r>
          <w:rPr>
            <w:rFonts w:ascii="Arial" w:cs="Arial" w:eastAsia="Arial" w:hAnsi="Arial"/>
            <w:sz w:val="18"/>
            <w:szCs w:val="18"/>
            <w:u w:val="single" w:color="auto"/>
            <w:color w:val="0000EE"/>
          </w:rPr>
          <w:t>Incorporation by reference</w:t>
        </w:r>
      </w:hyperlink>
    </w:p>
    <w:p>
      <w:pPr>
        <w:spacing w:after="0" w:line="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Prospectus</w:t>
      </w:r>
    </w:p>
    <w:p>
      <w:pPr>
        <w:spacing w:after="0" w:line="387"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About this prospectus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About us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more information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Forward-looking statements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Risk factors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Use of proceeds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Ratio of earnings to fixed charges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Description of securities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Selling securityholders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Plan of distribution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matters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Experts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-1257300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5" w:lineRule="exact"/>
        <w:rPr>
          <w:sz w:val="20"/>
          <w:szCs w:val="20"/>
          <w:color w:val="auto"/>
        </w:rPr>
      </w:pPr>
    </w:p>
    <w:p>
      <w:pPr>
        <w:jc w:val="center"/>
        <w:ind w:left="-5159"/>
        <w:spacing w:after="0"/>
        <w:rPr>
          <w:sz w:val="20"/>
          <w:szCs w:val="20"/>
          <w:color w:val="auto"/>
        </w:rPr>
      </w:pPr>
      <w:r>
        <w:rPr>
          <w:rFonts w:ascii="Arial" w:cs="Arial" w:eastAsia="Arial" w:hAnsi="Arial"/>
          <w:sz w:val="18"/>
          <w:szCs w:val="18"/>
          <w:color w:val="auto"/>
        </w:rPr>
        <w:t>iii</w:t>
      </w:r>
    </w:p>
    <w:p>
      <w:pPr>
        <w:spacing w:after="0" w:line="63" w:lineRule="exact"/>
        <w:rPr>
          <w:sz w:val="20"/>
          <w:szCs w:val="20"/>
          <w:color w:val="auto"/>
        </w:rPr>
      </w:pPr>
    </w:p>
    <w:p>
      <w:pPr>
        <w:jc w:val="center"/>
        <w:ind w:left="-5159"/>
        <w:spacing w:after="0"/>
        <w:rPr>
          <w:sz w:val="20"/>
          <w:szCs w:val="20"/>
          <w:color w:val="auto"/>
        </w:rPr>
      </w:pPr>
      <w:r>
        <w:rPr>
          <w:rFonts w:ascii="Arial" w:cs="Arial" w:eastAsia="Arial" w:hAnsi="Arial"/>
          <w:sz w:val="18"/>
          <w:szCs w:val="18"/>
          <w:color w:val="auto"/>
        </w:rPr>
        <w:t>iii</w:t>
      </w:r>
    </w:p>
    <w:p>
      <w:pPr>
        <w:spacing w:after="0" w:line="63" w:lineRule="exact"/>
        <w:rPr>
          <w:sz w:val="20"/>
          <w:szCs w:val="20"/>
          <w:color w:val="auto"/>
        </w:rPr>
      </w:pPr>
    </w:p>
    <w:p>
      <w:pPr>
        <w:jc w:val="center"/>
        <w:ind w:left="-5139"/>
        <w:spacing w:after="0"/>
        <w:rPr>
          <w:sz w:val="20"/>
          <w:szCs w:val="20"/>
          <w:color w:val="auto"/>
        </w:rPr>
      </w:pPr>
      <w:r>
        <w:rPr>
          <w:rFonts w:ascii="Arial" w:cs="Arial" w:eastAsia="Arial" w:hAnsi="Arial"/>
          <w:sz w:val="18"/>
          <w:szCs w:val="18"/>
          <w:color w:val="auto"/>
        </w:rPr>
        <w:t>iv</w:t>
      </w:r>
    </w:p>
    <w:p>
      <w:pPr>
        <w:spacing w:after="0" w:line="63" w:lineRule="exact"/>
        <w:rPr>
          <w:sz w:val="20"/>
          <w:szCs w:val="20"/>
          <w:color w:val="auto"/>
        </w:rPr>
      </w:pPr>
    </w:p>
    <w:p>
      <w:pPr>
        <w:jc w:val="center"/>
        <w:ind w:left="-4999"/>
        <w:spacing w:after="0"/>
        <w:rPr>
          <w:sz w:val="20"/>
          <w:szCs w:val="20"/>
          <w:color w:val="auto"/>
        </w:rPr>
      </w:pPr>
      <w:r>
        <w:rPr>
          <w:rFonts w:ascii="Arial" w:cs="Arial" w:eastAsia="Arial" w:hAnsi="Arial"/>
          <w:sz w:val="16"/>
          <w:szCs w:val="16"/>
          <w:color w:val="auto"/>
        </w:rPr>
        <w:t>S-1</w:t>
      </w:r>
    </w:p>
    <w:p>
      <w:pPr>
        <w:spacing w:after="0" w:line="86" w:lineRule="exact"/>
        <w:rPr>
          <w:sz w:val="20"/>
          <w:szCs w:val="20"/>
          <w:color w:val="auto"/>
        </w:rPr>
      </w:pPr>
    </w:p>
    <w:p>
      <w:pPr>
        <w:jc w:val="center"/>
        <w:ind w:left="-4999"/>
        <w:spacing w:after="0"/>
        <w:rPr>
          <w:sz w:val="20"/>
          <w:szCs w:val="20"/>
          <w:color w:val="auto"/>
        </w:rPr>
      </w:pPr>
      <w:r>
        <w:rPr>
          <w:rFonts w:ascii="Arial" w:cs="Arial" w:eastAsia="Arial" w:hAnsi="Arial"/>
          <w:sz w:val="16"/>
          <w:szCs w:val="16"/>
          <w:color w:val="auto"/>
        </w:rPr>
        <w:t>S-3</w:t>
      </w:r>
    </w:p>
    <w:p>
      <w:pPr>
        <w:spacing w:after="0" w:line="86" w:lineRule="exact"/>
        <w:rPr>
          <w:sz w:val="20"/>
          <w:szCs w:val="20"/>
          <w:color w:val="auto"/>
        </w:rPr>
      </w:pPr>
    </w:p>
    <w:p>
      <w:pPr>
        <w:jc w:val="center"/>
        <w:ind w:left="-4999"/>
        <w:spacing w:after="0"/>
        <w:rPr>
          <w:sz w:val="20"/>
          <w:szCs w:val="20"/>
          <w:color w:val="auto"/>
        </w:rPr>
      </w:pPr>
      <w:r>
        <w:rPr>
          <w:rFonts w:ascii="Arial" w:cs="Arial" w:eastAsia="Arial" w:hAnsi="Arial"/>
          <w:sz w:val="16"/>
          <w:szCs w:val="16"/>
          <w:color w:val="auto"/>
        </w:rPr>
        <w:t>S-9</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S-10</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S-11</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S-13</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S-13</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S-14</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S-27</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S-28</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S-30</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S-34</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S-36</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S-36</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S-36</w:t>
      </w:r>
    </w:p>
    <w:p>
      <w:pPr>
        <w:spacing w:after="0" w:line="8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w:t>
      </w:r>
    </w:p>
    <w:p>
      <w:pPr>
        <w:sectPr>
          <w:pgSz w:w="11900" w:h="16838" w:orient="portrait"/>
          <w:cols w:equalWidth="0" w:num="2">
            <w:col w:w="4980" w:space="720"/>
            <w:col w:w="56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265430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You should rely solely on the information contained in this prospectus supplement, the accompanying prospectus, or in any related free writing prospectus issued by us (which we refer to as an “Issuer free writing prospectus”) and the documents incorporated by reference in this prospectus supplement and the accompanying prospectus. We have not, and the placement agent has not, authorized any other person to provide you with different information. If anyone provides you with different or inconsistent information, you should not rely on it. We are not, and the placement agent is not, making an offer to sell these securities in any jurisdiction where the offer or sale is not permitted. You should assume that the information contained or incorporated by reference in this prospectus supplement, the accompanying prospectus, any related issuer free writing prospectus, or any document incorporated by reference is accurate only as of the date on the front cover of those documents. Our business, financial condition, results of operations and prospects may have changed since that date.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this prospectus supplement</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This document contains two parts. The first part consists of this prospectus supplement, which describes the specific terms of this offering. The second part, the accompanying prospectus, provides more general information, some of which may not apply to this offering. </w:t>
      </w:r>
      <w:r>
        <w:rPr>
          <w:rFonts w:ascii="Arial" w:cs="Arial" w:eastAsia="Arial" w:hAnsi="Arial"/>
          <w:sz w:val="18"/>
          <w:szCs w:val="18"/>
          <w:b w:val="1"/>
          <w:bCs w:val="1"/>
          <w:color w:val="auto"/>
        </w:rPr>
        <w:t>If the description of</w:t>
      </w:r>
      <w:r>
        <w:rPr>
          <w:rFonts w:ascii="Arial" w:cs="Arial" w:eastAsia="Arial" w:hAnsi="Arial"/>
          <w:sz w:val="18"/>
          <w:szCs w:val="18"/>
          <w:color w:val="auto"/>
        </w:rPr>
        <w:t xml:space="preserve"> </w:t>
      </w:r>
      <w:r>
        <w:rPr>
          <w:rFonts w:ascii="Arial" w:cs="Arial" w:eastAsia="Arial" w:hAnsi="Arial"/>
          <w:sz w:val="18"/>
          <w:szCs w:val="18"/>
          <w:b w:val="1"/>
          <w:bCs w:val="1"/>
          <w:color w:val="auto"/>
        </w:rPr>
        <w:t>the offering varies between this prospectus supplement and the accompanying prospectus, you should rely on the information in this prospectus supplement.</w:t>
      </w:r>
    </w:p>
    <w:p>
      <w:pPr>
        <w:spacing w:after="0" w:line="10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Before purchasing any securities, you should carefully read both this prospectus supplement and the accompanying prospectus, together with the additional information described under the heading “Where You Can Find Additional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Notice to investors</w:t>
      </w:r>
    </w:p>
    <w:p>
      <w:pPr>
        <w:spacing w:after="0" w:line="15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This document is not a prospectus within the meaning of the Irish Companies Act, the Prospectus (Directive 2003/71/EC) Regulations 2005 of Ireland (as amended) or the Prospectus Rules issued by the Central Bank of Ireland. No offer of shares to the public is made, or will be made, that requires the publication of a prospectus pursuant to Irish prospectus law (within the meaning of Part 23 of the Irish Companies Act) or the Prospectus Directive (2003/71/EC) (as amended). This document has not been approved or reviewed by or registered with the Central Bank of Ireland or any other competent authority or regulatory authority in the European Economic Area. This document does not constitute investment advice or the provision of investment services within the meaning of the European Communities (Markets in Financial Instruments) Regulations 2007 of Ireland (as amended) or the Markets in Financial Instruments Directive (2004/39/EC). Weatherford is not an authorized investment firm within the meaning of the European Communities (Markets in Financial Instruments) Regulations 2007 of Ireland (as amended) or the Markets in Financial Instruments Directive (2004/39/EC) and the recipients of this document should seek independent legal and financial advice in determining their actions in respect of or pursuant to this document.</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Cautionary statement regarding forward-looking statements</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information in this prospectus supplement and the accompanying prospectus, including in the documents incorporated by reference herein,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supplement and the accompanying prospectus and in our other disclosures. These risks and uncertainties include, but are not limited to, those described under “Risk Factors” in this prospectus supplement, the accompanying prospectus, our most recent Annual Report on Form 10-K (the “Form 10-K”) and the following:</w:t>
      </w:r>
    </w:p>
    <w:p>
      <w:pPr>
        <w:spacing w:after="0" w:line="93"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decline in the price of crude oil;</w:t>
      </w:r>
    </w:p>
    <w:p>
      <w:pPr>
        <w:spacing w:after="0" w:line="117"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17" w:lineRule="exact"/>
        <w:rPr>
          <w:rFonts w:ascii="Arial" w:cs="Arial" w:eastAsia="Arial" w:hAnsi="Arial"/>
          <w:sz w:val="18"/>
          <w:szCs w:val="18"/>
          <w:color w:val="auto"/>
        </w:rPr>
      </w:pPr>
    </w:p>
    <w:p>
      <w:pPr>
        <w:ind w:left="220" w:right="28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effective tax rate and cash tax payments;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expected benefits from our redomestication from Switzerland to Ireland and to maintain our Swiss tax residency;</w:t>
      </w:r>
    </w:p>
    <w:p>
      <w:pPr>
        <w:spacing w:after="0" w:line="117" w:lineRule="exact"/>
        <w:rPr>
          <w:rFonts w:ascii="Arial" w:cs="Arial" w:eastAsia="Arial" w:hAnsi="Arial"/>
          <w:sz w:val="18"/>
          <w:szCs w:val="18"/>
          <w:color w:val="auto"/>
        </w:rPr>
      </w:pPr>
    </w:p>
    <w:p>
      <w:pPr>
        <w:ind w:left="220" w:right="200" w:hanging="212"/>
        <w:spacing w:after="0" w:line="23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tax and accounting laws, rules and regulations;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Securities and Exchange Commission under the Securities Exchange Act of 1934, as amended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24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42417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Prospectus supplement summary</w:t>
      </w:r>
    </w:p>
    <w:p>
      <w:pPr>
        <w:spacing w:after="0" w:line="14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the accompanying prospectus. It does not contain all of the information that you should consider before making an investment decision. We urge you to read the entire prospectus supplement, the accompanying prospectus and the documents incorporated by reference in this prospectus supplement and the accompanying prospectus carefully, including the historical financial statements and notes to those financial statements incorporated by reference in this prospectus supplement and the accompanying prospectus. Please read “Risk Factors” and “Cautionary Statement Regarding Forward-Looking Statements” in this prospectus supplement and “Risk Factors” in our Annual Report on Form 10-K for the year ended December 31, 2015 and similar sections in any subsequent Exchange Act reports that we incorporate by reference in this prospectus supplement and the accompanying prospectus for more information about important risks that you should consider before investing in the ordinary shares.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Weatherford International plc, an Irish public limited company, together with its subsidiaries as the context requires (“Weatherford,” the “Company,” “we,” “us” and “our”), is a multinational oilfield service company and is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over 100 countries and have service and sales locations in nearly all of the oil and natural gas producing regions in the world.</w:t>
      </w:r>
    </w:p>
    <w:p>
      <w:pPr>
        <w:spacing w:after="0" w:line="103" w:lineRule="exact"/>
        <w:rPr>
          <w:sz w:val="20"/>
          <w:szCs w:val="20"/>
          <w:color w:val="auto"/>
        </w:rPr>
      </w:pPr>
    </w:p>
    <w:p>
      <w:pPr>
        <w:jc w:val="both"/>
        <w:ind w:left="200" w:right="240"/>
        <w:spacing w:after="0" w:line="238"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 +41.22.816.1500. We are incorporated in Ireland; however, we are a Swiss tax resident. Our internet address is www.weatherford.com. General information about us, including our corporate governance policies, code of business conduct and charters for the committees of our Board of Directors, can be found on our web site under the “Investor Relations” section. Except for information specifically incorporated by reference into this prospectus supplement that may be accessed from our website, the information on, or otherwise accessible through, our website or any other website does not constitute a part of this prospectus supplement.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Notes offering</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On November 15, 2016, we announced the private placement of $540 million in aggregate principal amount of 9.875% Senior Notes due 2024 (the “Notes”) pursuant to an offering conducted in accordance with Rule 144A and Regulation S of the Securities Act of 1933, as amended. We expect to receive net proceeds from the Notes offering of approximately $528 million after deducting the initial purchaser’s discount and estimated offering expenses payable by us. Any such sales of the Notes in the public market may affect the price of our ordinary shares. We expect to close the Notes offering on or about November 18, 2016. The completion of the Notes offering is not contingent on the completion of this offering and this offering is not contingent on the completion of the Notes offering.</w:t>
      </w: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49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5491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The offering</w:t>
      </w:r>
    </w:p>
    <w:p>
      <w:pPr>
        <w:sectPr>
          <w:pgSz w:w="11900" w:h="16838" w:orient="portrait"/>
          <w:cols w:equalWidth="0" w:num="1">
            <w:col w:w="11460"/>
          </w:cols>
          <w:pgMar w:left="240" w:top="459" w:right="199" w:bottom="1440" w:gutter="0" w:footer="0" w:header="0"/>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Issuer</w:t>
      </w:r>
    </w:p>
    <w:p>
      <w:pPr>
        <w:spacing w:after="0" w:line="131" w:lineRule="exact"/>
        <w:rPr>
          <w:sz w:val="20"/>
          <w:szCs w:val="20"/>
          <w:color w:val="auto"/>
        </w:rPr>
      </w:pPr>
    </w:p>
    <w:p>
      <w:pPr>
        <w:ind w:left="200"/>
        <w:spacing w:after="0" w:line="421" w:lineRule="auto"/>
        <w:rPr>
          <w:sz w:val="20"/>
          <w:szCs w:val="20"/>
          <w:color w:val="auto"/>
        </w:rPr>
      </w:pPr>
      <w:r>
        <w:rPr>
          <w:rFonts w:ascii="Arial" w:cs="Arial" w:eastAsia="Arial" w:hAnsi="Arial"/>
          <w:sz w:val="18"/>
          <w:szCs w:val="18"/>
          <w:b w:val="1"/>
          <w:bCs w:val="1"/>
          <w:color w:val="auto"/>
        </w:rPr>
        <w:t>Ordinary shares offered by us Warrant offered by us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84,500,000 ordinary shares.</w:t>
      </w:r>
    </w:p>
    <w:p>
      <w:pPr>
        <w:spacing w:after="0" w:line="131"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A Warrant to purchase 84,500,000 of our ordinary shares on or prior to the date that is 30 months after the date such warrant is issued at an initial exercise price of $6.43 per share. This prospectus supplement also relates to the offering of the ordinary shares issuable upon exercise of the Warrant.</w:t>
      </w:r>
    </w:p>
    <w:p>
      <w:pPr>
        <w:spacing w:after="0" w:line="61" w:lineRule="exact"/>
        <w:rPr>
          <w:sz w:val="20"/>
          <w:szCs w:val="20"/>
          <w:color w:val="auto"/>
        </w:rPr>
      </w:pPr>
    </w:p>
    <w:p>
      <w:pPr>
        <w:sectPr>
          <w:pgSz w:w="11900" w:h="16838" w:orient="portrait"/>
          <w:cols w:equalWidth="0" w:num="2">
            <w:col w:w="2700" w:space="480"/>
            <w:col w:w="8280"/>
          </w:cols>
          <w:pgMar w:left="240" w:top="459" w:right="199" w:bottom="1440" w:gutter="0" w:footer="0" w:header="0"/>
          <w:type w:val="continuous"/>
        </w:sectPr>
      </w:pPr>
    </w:p>
    <w:p>
      <w:pPr>
        <w:ind w:left="200"/>
        <w:spacing w:after="0"/>
        <w:tabs>
          <w:tab w:leader="none" w:pos="3160" w:val="left"/>
        </w:tabs>
        <w:rPr>
          <w:sz w:val="20"/>
          <w:szCs w:val="20"/>
          <w:color w:val="auto"/>
        </w:rPr>
      </w:pPr>
      <w:r>
        <w:rPr>
          <w:rFonts w:ascii="Arial" w:cs="Arial" w:eastAsia="Arial" w:hAnsi="Arial"/>
          <w:sz w:val="18"/>
          <w:szCs w:val="18"/>
          <w:b w:val="1"/>
          <w:bCs w:val="1"/>
          <w:color w:val="auto"/>
        </w:rPr>
        <w:t>Ordinary shares outstanding after</w:t>
      </w:r>
      <w:r>
        <w:rPr>
          <w:sz w:val="20"/>
          <w:szCs w:val="20"/>
          <w:color w:val="auto"/>
        </w:rPr>
        <w:tab/>
      </w:r>
      <w:r>
        <w:rPr>
          <w:rFonts w:ascii="Arial" w:cs="Arial" w:eastAsia="Arial" w:hAnsi="Arial"/>
          <w:sz w:val="16"/>
          <w:szCs w:val="16"/>
          <w:color w:val="auto"/>
        </w:rPr>
        <w:t>980,978,754 ordinary shares (up to 1,065,478,754 ordinary shares assuming the exercise of the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this offering</w:t>
            </w:r>
          </w:p>
        </w:tc>
        <w:tc>
          <w:tcPr>
            <w:tcW w:w="8940" w:type="dxa"/>
            <w:vAlign w:val="bottom"/>
          </w:tcPr>
          <w:p>
            <w:pPr>
              <w:ind w:left="660"/>
              <w:spacing w:after="0"/>
              <w:rPr>
                <w:sz w:val="20"/>
                <w:szCs w:val="20"/>
                <w:color w:val="auto"/>
              </w:rPr>
            </w:pPr>
            <w:r>
              <w:rPr>
                <w:rFonts w:ascii="Arial" w:cs="Arial" w:eastAsia="Arial" w:hAnsi="Arial"/>
                <w:sz w:val="18"/>
                <w:szCs w:val="18"/>
                <w:color w:val="auto"/>
              </w:rPr>
              <w:t>Warrant).</w:t>
            </w:r>
          </w:p>
        </w:tc>
      </w:tr>
      <w:tr>
        <w:trPr>
          <w:trHeight w:val="307"/>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940" w:type="dxa"/>
            <w:vAlign w:val="bottom"/>
          </w:tcPr>
          <w:p>
            <w:pPr>
              <w:ind w:left="660"/>
              <w:spacing w:after="0"/>
              <w:rPr>
                <w:sz w:val="20"/>
                <w:szCs w:val="20"/>
                <w:color w:val="auto"/>
              </w:rPr>
            </w:pPr>
            <w:r>
              <w:rPr>
                <w:rFonts w:ascii="Arial" w:cs="Arial" w:eastAsia="Arial" w:hAnsi="Arial"/>
                <w:sz w:val="18"/>
                <w:szCs w:val="18"/>
                <w:color w:val="auto"/>
              </w:rPr>
              <w:t>We estimate that the net proceeds from this offering of securities, after deducting the placement agent</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fees and estimated offering expenses, will be approximately $448 million (without giving effect to any</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exercise of the Warrant). We intend to use the net proceeds from this offering and the proceeds from</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any exercise of the Warrant for general corporate purposes, including the repayment of debt.</w:t>
            </w:r>
          </w:p>
        </w:tc>
      </w:tr>
      <w:tr>
        <w:trPr>
          <w:trHeight w:val="316"/>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Dividend policy</w:t>
            </w:r>
          </w:p>
        </w:tc>
        <w:tc>
          <w:tcPr>
            <w:tcW w:w="8940" w:type="dxa"/>
            <w:vAlign w:val="bottom"/>
          </w:tcPr>
          <w:p>
            <w:pPr>
              <w:ind w:left="660"/>
              <w:spacing w:after="0"/>
              <w:rPr>
                <w:sz w:val="20"/>
                <w:szCs w:val="20"/>
                <w:color w:val="auto"/>
              </w:rPr>
            </w:pPr>
            <w:r>
              <w:rPr>
                <w:rFonts w:ascii="Arial" w:cs="Arial" w:eastAsia="Arial" w:hAnsi="Arial"/>
                <w:sz w:val="18"/>
                <w:szCs w:val="18"/>
                <w:color w:val="auto"/>
              </w:rPr>
              <w:t>We do not currently pay, and do not anticipate paying in the future, any cash dividends on our ordinary</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shares. Please read “Dividend Policy” in this prospectus supplement.</w:t>
            </w:r>
          </w:p>
        </w:tc>
      </w:tr>
      <w:tr>
        <w:trPr>
          <w:trHeight w:val="316"/>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Risk factors</w:t>
            </w:r>
          </w:p>
        </w:tc>
        <w:tc>
          <w:tcPr>
            <w:tcW w:w="8940" w:type="dxa"/>
            <w:vAlign w:val="bottom"/>
          </w:tcPr>
          <w:p>
            <w:pPr>
              <w:ind w:left="660"/>
              <w:spacing w:after="0"/>
              <w:rPr>
                <w:sz w:val="20"/>
                <w:szCs w:val="20"/>
                <w:color w:val="auto"/>
              </w:rPr>
            </w:pPr>
            <w:r>
              <w:rPr>
                <w:rFonts w:ascii="Arial" w:cs="Arial" w:eastAsia="Arial" w:hAnsi="Arial"/>
                <w:sz w:val="18"/>
                <w:szCs w:val="18"/>
                <w:color w:val="auto"/>
              </w:rPr>
              <w:t>Investing in our securities involves risks. Before deciding to invest in our securities, you should carefully</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read and consider the information set forth in the “Risk Factors” and “Cautionary Statement Regarding</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Forward-Looking Statements” sections of this prospectus supplement and the “Risk Factors” section of</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our Annual Report on Form 10-K, and all other information set forth in, or incorporated by reference</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into, this prospectus supplement.</w:t>
            </w:r>
          </w:p>
        </w:tc>
      </w:tr>
      <w:tr>
        <w:trPr>
          <w:trHeight w:val="316"/>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Conflicts of Interest</w:t>
            </w:r>
          </w:p>
        </w:tc>
        <w:tc>
          <w:tcPr>
            <w:tcW w:w="8940" w:type="dxa"/>
            <w:vAlign w:val="bottom"/>
          </w:tcPr>
          <w:p>
            <w:pPr>
              <w:ind w:left="660"/>
              <w:spacing w:after="0"/>
              <w:rPr>
                <w:sz w:val="20"/>
                <w:szCs w:val="20"/>
                <w:color w:val="auto"/>
              </w:rPr>
            </w:pPr>
            <w:r>
              <w:rPr>
                <w:rFonts w:ascii="Arial" w:cs="Arial" w:eastAsia="Arial" w:hAnsi="Arial"/>
                <w:sz w:val="18"/>
                <w:szCs w:val="18"/>
                <w:color w:val="auto"/>
              </w:rPr>
              <w:t>We may use a portion of the net proceeds of this offering to repay indebtedness owed by us under our</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revolving credit agreement or term loan agreement. See “Use of Proceeds.” Because a repayment of</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the outstanding borrowings under our revolving credit agreement or term loan agreement could result in</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at least 5% of the net proceeds of this offering being paid to an affiliate of the placement agent that is a</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lender under our revolving credit agreement and term loan agreement, this offering is being made in</w:t>
            </w:r>
          </w:p>
        </w:tc>
      </w:tr>
      <w:tr>
        <w:trPr>
          <w:trHeight w:val="203"/>
        </w:trPr>
        <w:tc>
          <w:tcPr>
            <w:tcW w:w="2520" w:type="dxa"/>
            <w:vAlign w:val="bottom"/>
          </w:tcPr>
          <w:p>
            <w:pPr>
              <w:spacing w:after="0"/>
              <w:rPr>
                <w:sz w:val="17"/>
                <w:szCs w:val="17"/>
                <w:color w:val="auto"/>
              </w:rPr>
            </w:pPr>
          </w:p>
        </w:tc>
        <w:tc>
          <w:tcPr>
            <w:tcW w:w="8940" w:type="dxa"/>
            <w:vAlign w:val="bottom"/>
          </w:tcPr>
          <w:p>
            <w:pPr>
              <w:ind w:left="660"/>
              <w:spacing w:after="0" w:line="202" w:lineRule="exact"/>
              <w:rPr>
                <w:sz w:val="20"/>
                <w:szCs w:val="20"/>
                <w:color w:val="auto"/>
              </w:rPr>
            </w:pPr>
            <w:r>
              <w:rPr>
                <w:rFonts w:ascii="Arial" w:cs="Arial" w:eastAsia="Arial" w:hAnsi="Arial"/>
                <w:sz w:val="18"/>
                <w:szCs w:val="18"/>
                <w:color w:val="auto"/>
              </w:rPr>
              <w:t>compliance with the requirements of Rule 5121 of the Financial Industry Regulatory Authority, Inc., or</w:t>
            </w:r>
          </w:p>
        </w:tc>
      </w:tr>
      <w:tr>
        <w:trPr>
          <w:trHeight w:val="211"/>
        </w:trPr>
        <w:tc>
          <w:tcPr>
            <w:tcW w:w="2520" w:type="dxa"/>
            <w:vAlign w:val="bottom"/>
          </w:tcPr>
          <w:p>
            <w:pPr>
              <w:spacing w:after="0"/>
              <w:rPr>
                <w:sz w:val="18"/>
                <w:szCs w:val="18"/>
                <w:color w:val="auto"/>
              </w:rPr>
            </w:pPr>
          </w:p>
        </w:tc>
        <w:tc>
          <w:tcPr>
            <w:tcW w:w="8940" w:type="dxa"/>
            <w:vAlign w:val="bottom"/>
          </w:tcPr>
          <w:p>
            <w:pPr>
              <w:ind w:left="660"/>
              <w:spacing w:after="0"/>
              <w:rPr>
                <w:sz w:val="20"/>
                <w:szCs w:val="20"/>
                <w:color w:val="auto"/>
              </w:rPr>
            </w:pPr>
            <w:r>
              <w:rPr>
                <w:rFonts w:ascii="Arial" w:cs="Arial" w:eastAsia="Arial" w:hAnsi="Arial"/>
                <w:sz w:val="18"/>
                <w:szCs w:val="18"/>
                <w:color w:val="auto"/>
              </w:rPr>
              <w:t>FINRA. For more information, see “Plan of Distribution (Conflicts of Interest)—Conflicts of Interest.”</w:t>
            </w:r>
          </w:p>
        </w:tc>
      </w:tr>
      <w:tr>
        <w:trPr>
          <w:trHeight w:val="324"/>
        </w:trPr>
        <w:tc>
          <w:tcPr>
            <w:tcW w:w="2520" w:type="dxa"/>
            <w:vAlign w:val="bottom"/>
          </w:tcPr>
          <w:p>
            <w:pPr>
              <w:ind w:left="200"/>
              <w:spacing w:after="0"/>
              <w:rPr>
                <w:sz w:val="20"/>
                <w:szCs w:val="20"/>
                <w:color w:val="auto"/>
              </w:rPr>
            </w:pPr>
            <w:r>
              <w:rPr>
                <w:rFonts w:ascii="Arial" w:cs="Arial" w:eastAsia="Arial" w:hAnsi="Arial"/>
                <w:sz w:val="18"/>
                <w:szCs w:val="18"/>
                <w:b w:val="1"/>
                <w:bCs w:val="1"/>
                <w:color w:val="auto"/>
              </w:rPr>
              <w:t>Trading symbol</w:t>
            </w:r>
          </w:p>
        </w:tc>
        <w:tc>
          <w:tcPr>
            <w:tcW w:w="8940" w:type="dxa"/>
            <w:vAlign w:val="bottom"/>
          </w:tcPr>
          <w:p>
            <w:pPr>
              <w:ind w:left="660"/>
              <w:spacing w:after="0"/>
              <w:rPr>
                <w:sz w:val="20"/>
                <w:szCs w:val="20"/>
                <w:color w:val="auto"/>
              </w:rPr>
            </w:pPr>
            <w:r>
              <w:rPr>
                <w:rFonts w:ascii="Arial" w:cs="Arial" w:eastAsia="Arial" w:hAnsi="Arial"/>
                <w:sz w:val="18"/>
                <w:szCs w:val="18"/>
                <w:color w:val="auto"/>
              </w:rPr>
              <w:t>Our ordinary shares are listed on the NYSE under the symbol “WFT.”</w:t>
            </w:r>
          </w:p>
        </w:tc>
      </w:tr>
      <w:tr>
        <w:trPr>
          <w:trHeight w:val="161"/>
        </w:trPr>
        <w:tc>
          <w:tcPr>
            <w:tcW w:w="2520" w:type="dxa"/>
            <w:vAlign w:val="bottom"/>
            <w:tcBorders>
              <w:bottom w:val="single" w:sz="8" w:color="auto"/>
            </w:tcBorders>
          </w:tcPr>
          <w:p>
            <w:pPr>
              <w:spacing w:after="0"/>
              <w:rPr>
                <w:sz w:val="13"/>
                <w:szCs w:val="13"/>
                <w:color w:val="auto"/>
              </w:rPr>
            </w:pPr>
          </w:p>
        </w:tc>
        <w:tc>
          <w:tcPr>
            <w:tcW w:w="8940" w:type="dxa"/>
            <w:vAlign w:val="bottom"/>
            <w:tcBorders>
              <w:bottom w:val="single" w:sz="8" w:color="auto"/>
            </w:tcBorders>
          </w:tcPr>
          <w:p>
            <w:pPr>
              <w:spacing w:after="0"/>
              <w:rPr>
                <w:sz w:val="13"/>
                <w:szCs w:val="13"/>
                <w:color w:val="auto"/>
              </w:rPr>
            </w:pPr>
          </w:p>
        </w:tc>
      </w:tr>
      <w:tr>
        <w:trPr>
          <w:trHeight w:val="359"/>
        </w:trPr>
        <w:tc>
          <w:tcPr>
            <w:tcW w:w="2520" w:type="dxa"/>
            <w:vAlign w:val="bottom"/>
          </w:tcPr>
          <w:p>
            <w:pPr>
              <w:spacing w:after="0"/>
              <w:rPr>
                <w:sz w:val="24"/>
                <w:szCs w:val="24"/>
                <w:color w:val="auto"/>
              </w:rPr>
            </w:pPr>
          </w:p>
        </w:tc>
        <w:tc>
          <w:tcPr>
            <w:tcW w:w="8940" w:type="dxa"/>
            <w:vAlign w:val="bottom"/>
          </w:tcPr>
          <w:p>
            <w:pPr>
              <w:ind w:left="30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Investing in our ordinary shares involves a high degree of risk. Before deciding whether to purchase our ordinary shares, you should carefully consider the risks and uncertainties described below as well as those described under “Risk Factors” in our Form 10-K, together with all of the other information included in, or incorporated by reference into, this prospectus supplement.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ordinary shares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ordinary shares may be volatile.</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trading price of our ordinary shares has historically fluctuated significantly. For example, since the beginning of 2014, the high closing price per ordinary share on the NYSE was $24.06; in 2016, the low closing price per share was $3.73; and on November 15, 2016, the last reported sale price of our ordinary shares on the NYSE was $5.14 per share. The price of our ordinary shares could be subject to wide fluctuations in the future in response to many events or factors, including those discussed in this risk factors section, as well as:</w:t>
      </w:r>
    </w:p>
    <w:p>
      <w:pPr>
        <w:spacing w:after="0" w:line="11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or anticipated fluctuations in operating results;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market prices of oil and natural gas;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expectations as to future financial performance or buy/sell recommendations of securities analysts;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of our current stockholders, including sales of ordinary shares by our directors and executive officers;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investors’ general perception of us;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a competitor’s, announcement of new products, services or innovations;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04"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issuances of equity or equity-linked securities by us may cause the market price of ordinary shares to fall.</w:t>
      </w:r>
    </w:p>
    <w:p>
      <w:pPr>
        <w:spacing w:after="0" w:line="124"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As of November 11, 2016, we had 897,277,419 ordinary shares issued and outstanding. As of November 11, 2016, 1,388,400 ordinary shares were reserved for issuance upon exercise of stock options (of which none were exercisable), 14,150,156 ordinary shares were reserved for issuance upon the vesting of restricted stock units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80"/>
        <w:spacing w:after="0" w:line="236" w:lineRule="auto"/>
        <w:rPr>
          <w:sz w:val="20"/>
          <w:szCs w:val="20"/>
          <w:color w:val="auto"/>
        </w:rPr>
      </w:pPr>
      <w:r>
        <w:rPr>
          <w:rFonts w:ascii="Arial" w:cs="Arial" w:eastAsia="Arial" w:hAnsi="Arial"/>
          <w:sz w:val="18"/>
          <w:szCs w:val="18"/>
          <w:color w:val="auto"/>
        </w:rPr>
        <w:t>and 3,228,584 ordinary shares were authorized for issuance upon the vesting of performance share units. As of November 11, 2016, 163,394,484 were reserved for issuance upon the exchange of Weatherford International Ltd.’s, a Bermuda exempted company and our wholly owned, indirect subsidiary, 5.875% Exchangeable Senior Notes due 2021 for ordinary shares. The issuance of the ordinary shares offered hereby and the sale of additional shares that may become eligible for sale in the public market from time to time, could have the effect of depressing the market price for our ordinary shares.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holding company structure may impact our ability to service debt.</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 holding company with no material assets other than the capital stock of our subsidiaries. As a result, our ability to repay our indebtedness is dependent on the generation of cash flow by our subsidiaries and their ability to make such cash available to us, by dividend, loan, debt repayment or otherwise. Our subsidiaries do not have any obligation to make funds available to us to repay our indebtedness. Dividends from subsidiaries that are not wholly owned are shared with other equity owners. In addition, cash at our international operations is also subject to foreign withholding taxes upon repatriation.</w:t>
      </w:r>
    </w:p>
    <w:p>
      <w:pPr>
        <w:spacing w:after="0" w:line="10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addition, our subsidiaries may not be able to, or be permitted to, make distributions to enable us to repay our indebtedness.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ordinary shares.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in Ireland based on the civil liability provisions of the U.S. federal or state securities laws. In addition, there is some uncertainty as to whether the courts of Ireland would recognize or enforce judgments of U.S. courts obtained against Weatherford or its directors or officers based on the civil liabilities provisions of the U.S. federal or state securities laws or hear actions against Weatherford or those persons based on those laws. Weatherford has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01"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As an Irish company, Weatherford International plc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ordinary shares may have more difficulty protecting their interests than would holders of securities of a corporation incorporated in a jurisdiction of the United States.</w:t>
      </w:r>
    </w:p>
    <w:p>
      <w:pPr>
        <w:spacing w:after="0" w:line="5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Weatherford International plc has never declared or paid cash dividends on its share capital and it does not expect to pay any cash dividends in the near future.</w:t>
      </w:r>
    </w:p>
    <w:p>
      <w:pPr>
        <w:spacing w:after="0" w:line="81"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Weatherford International plc has never declared or paid cash dividends on its share capital and does not expect to pay any cash dividends in the near future. If Weatherford International plc proposes to pay dividends in the future, it must do so in accordance with Irish law, which provides that distributions including dividend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payments, share repurchases and redemptions be funded from “distributable reserves.” See “Description of Our Ordinary Shares—Dividends.” Any future determination as to the payment of dividends will, subject to Irish legal requirements, be at the sole discretion of Weatherford International plc’s board of directors and will depend on Weatherford International plc’s consolidated financial condition, results of operations, capital requirements, compliance with existing and future borrowing arrangements, and other factors Weatherford International plc’s board of directors deems relevant. Accordingly, holders of ordinary shares must rely on increases in the trading price of their shares for returns on their investment in the foreseeable future.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ordinary shares may be subject to Irish stamp duty.</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Weatherford International plc’s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ordinary shares may be subject to Swiss transfer stamp duty.</w:t>
      </w:r>
    </w:p>
    <w:p>
      <w:pPr>
        <w:spacing w:after="0" w:line="12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certain circumstances, the transfer of shares in an Irish incorporated, but Swiss tax resident company, will be subject to Swiss transfer stamp duty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 If a purchase or sale is not entered into through or with a Swiss bank or other Swiss securities dealer, as defined in the Swiss Federal Stamp Duty Act, then no Swiss transfer stamp duty will be due.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Weatherford International plc may be subject to Swiss dividend withholding tax.</w:t>
      </w:r>
    </w:p>
    <w:p>
      <w:pPr>
        <w:spacing w:after="0" w:line="12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certain circumstances, as a Swiss tax resident company, Weatherford International plc will be required to deduct Swiss dividend withholding tax (currently at the rate of 35%) from dividends (including deemed dividends) and similar distributions paid to Weatherford International plc’s shareholders. Such Swiss withholding tax is due regardless of the place of residency of the shareholder.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spacing w:after="0" w:line="299" w:lineRule="auto"/>
        <w:rPr>
          <w:sz w:val="20"/>
          <w:szCs w:val="20"/>
          <w:color w:val="auto"/>
        </w:rPr>
      </w:pPr>
      <w:r>
        <w:rPr>
          <w:rFonts w:ascii="Arial" w:cs="Arial" w:eastAsia="Arial" w:hAnsi="Arial"/>
          <w:sz w:val="16"/>
          <w:szCs w:val="16"/>
          <w:color w:val="auto"/>
        </w:rPr>
        <w:t>Shareholders that are resident in the United States, EU countries and other countries with which Switzerland has signed a tax treaty may be entitled to a partial or full refund of the Swiss withholding tax. Swiss withholding tax could adversely affect the price of ordinary shares.</w:t>
      </w:r>
    </w:p>
    <w:p>
      <w:pPr>
        <w:spacing w:after="0" w:line="3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Ownership, or deemed ownership, of 10% or more of Weatherford Ireland’s shares, or certain of its subsidiaries’ shares, by one or more U.S. persons could cause us to be subject to a substantial amount of additional U.S. federal income tax under the controlled foreign corporation (“CFC”) rules and may cause U.S. persons that own, or are deemed to own, 10% or more of our shares, or certain of our subsidiaries’ shares, to be subject to additional U.S. federal income taxation.</w:t>
      </w:r>
    </w:p>
    <w:p>
      <w:pPr>
        <w:spacing w:after="0" w:line="9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Currently, certain of our non-U.S. subsidiary corporations are not considered CFCs because they are less than 50% owned by our U.S. group of subsidiaries and other 10% or greater U.S. shareholders. However, there is a risk that if a U.S. shareholder holds 10% or more of the shares of Weatherford Ireland or one of these non-U.S. subsidiary corporations, directly, indirectly, constructively or by attribution, (such shareholder a “10% US Shareholder”) we or some of our subsidiaries could be classified as CFCs for U.S. federal income tax purposes. For purposes of determining CFC status, holders of options (including warrants and exchangeable debt) should, generally, be treated as owning the number of shares into which such options can be exchanged and such shares would be aggregated with other shares held by such holder directly, indirectly, constructively or by attribution for purposes of determining whether such holder was a 10% US Shareholder. If one or more of our subsidiaries is classified as a CFC, we (and any 10% US Shareholders) may be subject to U.S. income taxation at ordinary income tax rates on all or a portion of the CFC’s undistributed earnings and profits attributable to “subpart F income.” The amount of this additional tax could be substantial. The CFC rules, including the rules for determining direct, indirect or constructive ownership of our shares and our subsidiaries’ shares, are complex and U.S. persons, including individuals and entities, that hold, or are deemed to hold, our shares, warrants or exchangeable debt are urged to consult their tax advisors regarding the possible application of the CFC rules and income inclusion rules to them in their particular circumstances.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prohibited from fully using our U.S. net operating loss carryforwards, which could affect our financial performance.</w:t>
      </w:r>
    </w:p>
    <w:p>
      <w:pPr>
        <w:spacing w:after="0" w:line="1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a result of the recent losses we have incurred in the United States, we have not recorded a federal income tax provision and have recorded a valuation allowance against all future tax benefits of our U.S. net operating loss carryforwards. As of September 30, 2016, we had gross net operating loss (“NOL”) and research tax credit carryforwards of approximately $1.4 billion and $29 million, respectively for federal income tax purposes, expiring in varying amounts through the year 2036. Under Section 382 of the Internal Revenue Code of 1986, as amended, if a corporation undergoes an “ownership change,” generally defined as a greater than 50% change (by value) in its equity ownership over a three year period, the corporation’s ability to use its pre-change NOL carryforwards and other pre-change tax attributes (such as research tax credits) to offset its post-change income may be limited. As of September 30, 2016, we have not experienced an ownership change. Therefore our utilization of NOL carryforwards were not subject to an annual limitation. However, we may experience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this offering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trading market for the Warrant to purchase ordinary shares in this offering.</w:t>
      </w:r>
    </w:p>
    <w:p>
      <w:pPr>
        <w:spacing w:after="0" w:line="1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There is no established public trading market for the Warrant being sold in this offering, and we do not expect such a market to develop. This may negatively affect the market value of the Warrant and your ability to transfer or sell your shares. In addition, we do not intend to apply to list the Warrant on any securities exchange or other nationally recognized trading system. Without an active market, the liquidity of the Warrant will be limited.</w:t>
      </w:r>
    </w:p>
    <w:p>
      <w:pPr>
        <w:spacing w:after="0" w:line="8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The market price of our ordinary shares, which has been volatile and may continue to be volatile, may adversely affect the value of the Warrant sold in this offering and you may not be able to recover the value of your investment.</w:t>
      </w:r>
    </w:p>
    <w:p>
      <w:pPr>
        <w:spacing w:after="0" w:line="8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market price of our ordinary shares, which has been volatile and may continue to be volatile, will affect the value of the Warrant sold in this offering. The market price of our ordinary shares will likely fluctuate in response to a number of factors including our financial condition and operating results, as well as economic, financial and other factors, many of which are beyond our control. For more information regarding such factors, see “—Risk Factors Relating to Our Ordinary Shares—The price of our ordinary shares may be volatile.” In order for you to recover the value of your investment in the Warrant, the market price of our ordinary shares must increase from the price in effect on the date of this prospectus supplement. However, there can be no assurance that the market price of our ordinary shares will exceed the price required for you to achieve a positive return on your investment upon a warrant exercise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fully redeem the holder of the Warrant if we experience a Fundamental Transaction.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holder of our Warrant may require us to redeem the Warrant if we experience a “Fundamental Transaction” (as defined in the Warrant), which includes but is not limited to a change of control, business combination, merger or sale of substantially all of the assets. There can be no assurance that in the event of a change of control we will be able to sufficiently compensate the holder of the Warrant for the impact the change of control has on the price of our ordinary shares. In addition, the Fundamental Transaction terms may delay a potential change of control even if such change may be beneficial to some or all our shareholders. These restrictions may also adversely affect the market price of our ordinary shares.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holder of the Warrant will have no rights as ordinary shareholders until they acquire our ordinary shares.</w:t>
      </w:r>
    </w:p>
    <w:p>
      <w:pPr>
        <w:spacing w:after="0" w:line="12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Until you become a holder of record of our ordinary shares issued upon settlement of your Warrant, you will have no rights with respect to such ordinary shares, including rights to vote or rights to respond to tender offers. Upon exercise of your Warrant, you will be entitled to exercise the rights of a shareholder only as to matters for which the record date occurs on or after the date you become the holder of record of such ordinary shares.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Warrant included in this offering may not have any value.</w:t>
      </w:r>
    </w:p>
    <w:p>
      <w:pPr>
        <w:spacing w:after="0" w:line="124"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The Warrant has an exercise price of $6.43 per share. In the event the price of our ordinary shares does not exceed the exercise price of the Warrant on its exercise date, the Warrant may not have any value. If the Warrant is not exercised upon the expiration date, it will expire unexercised and you will not receive any of our ordinary shares.</w:t>
      </w:r>
    </w:p>
    <w:p>
      <w:pPr>
        <w:spacing w:after="0" w:line="8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Each purchaser in this offering will experience immediate and substantial dilution in the net tangible book value per ordinary share it purchases in this offering.</w:t>
      </w:r>
    </w:p>
    <w:p>
      <w:pPr>
        <w:spacing w:after="0" w:line="81"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Since the public offering price per ordinary share being offered is substantially higher than the net tangible book value per ordinary share outstanding prior to this offering, the purchasers in this offering will suffer</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substantial dilution in the net tangible book value of the ordinary shares they purchase in this offering. Based on the public offering price of $5.40 per ordinary share, the purchasers will suffer immediate and substantial dilution of $5.68 per ordinary share, representing the difference in the as adjusted net tangible book value per ordinary share as of September 30, 2016 after giving effect to this offering. See the section entitled “Dilution” below for a more detailed discussion of the dilution the purchasers will incur if they purchase our securities in this offering.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purchasers in this offering may experience future dilution.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to raise additional capital, we may in the future offer additional ordinary shares or other securities convertible into, or exchangeable for, our ordinary shares at prices that may not be the same as the price per ordinary share in this offering. We have an effective shelf registration statement from which additional ordinary shares and other securities can be offered. We cannot assure you that we will be able to sell ordinary shares or other securities in any other offering at a price per share that is equal to or greater than the price per ordinary share paid by investors in this offering. If the price per ordinary share at which we sell additional ordinary shares or related securities in future transactions is less than the price per ordinary share in this offering, investors who purchase our ordinary shares in this offering will suffer a dilution of their investment. You will incur dilution upon vesting of any outstanding restricted share awards, restricted share units or performance units or upon exercise of any outstanding stock options.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estimate that the net proceeds from this offering of securities, after deducting the placement agent fees and estimated offering expenses, will be approximately $448 million (without giving effect to any exercise of the Warrant). We intend to use the net proceeds from this offering and the proceeds from any exercise of the Warrant for general corporate purposes, including the repayment of debt.</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repayment of the outstanding borrowings under our revolving credit agreement or our term loan agreement may result in at least 5% of the net proceeds of this offering being paid to an affiliate of the placement agent that is a lender under our revolving credit agreement or our term loan agreement. Accordingly, this offering is being made in compliance with the requirements of FINRA Rule 5121. For more information, see “Plan of Distribution (Conflicts of Interest)—Conflicts of Interest.”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Dilution</w:t>
      </w:r>
    </w:p>
    <w:p>
      <w:pPr>
        <w:spacing w:after="0" w:line="15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Purchasers of our ordinary shares in this offering will suffer immediate and substantial dilution in net tangible book value per ordinary share. Net tangible book value per share represents our total tangible assets (which excludes goodwill and other intangible assets), less our total liabilities, divided by the aggregate number of ordinary shares outstanding. Our net tangible book value as of September 30, 2016 was approximately $(721) million, or approximately $(0.80) per outstanding ordinary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After giving effect to the sale of the maximum number of ordinary shares offered hereby as set forth on the cover page of this prospectus</w:t>
      </w:r>
    </w:p>
    <w:p>
      <w:pPr>
        <w:spacing w:after="0"/>
        <w:rPr>
          <w:sz w:val="20"/>
          <w:szCs w:val="20"/>
          <w:color w:val="auto"/>
        </w:rPr>
      </w:pPr>
      <w:r>
        <w:rPr>
          <w:rFonts w:ascii="Arial" w:cs="Arial" w:eastAsia="Arial" w:hAnsi="Arial"/>
          <w:sz w:val="16"/>
          <w:szCs w:val="16"/>
          <w:color w:val="auto"/>
        </w:rPr>
        <w:t>supplement (and excluding ordinary shares issued and any proceeds received upon exercise of the Warrant), and after deducting the placement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agent’s fees and the estimated offering expenses payable by us, our as adjusted net tangible book value as of September 30, 2016 would have</w:t>
      </w:r>
    </w:p>
    <w:p>
      <w:pPr>
        <w:spacing w:after="0" w:line="234" w:lineRule="auto"/>
        <w:rPr>
          <w:sz w:val="20"/>
          <w:szCs w:val="20"/>
          <w:color w:val="auto"/>
        </w:rPr>
      </w:pPr>
      <w:r>
        <w:rPr>
          <w:rFonts w:ascii="Arial" w:cs="Arial" w:eastAsia="Arial" w:hAnsi="Arial"/>
          <w:sz w:val="18"/>
          <w:szCs w:val="18"/>
          <w:color w:val="auto"/>
        </w:rPr>
        <w:t>been approximately $(273) million, or $(0.28) per ordinary share. This amount represents an immediate increase in net tangible book value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$0.52 per ordinary share as a result of this offering. The following table illustrates this increase in our net tangible book value per ordinary share: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Public offering price per ordinary share</w:t>
            </w:r>
          </w:p>
        </w:tc>
        <w:tc>
          <w:tcPr>
            <w:tcW w:w="20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$ 5.40</w:t>
            </w: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Net tangible book value per share as of September 30, 2016</w:t>
            </w:r>
          </w:p>
        </w:tc>
        <w:tc>
          <w:tcPr>
            <w:tcW w:w="2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(0.80)</w:t>
            </w: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2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0.52</w:t>
            </w: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Adjusted net tangible book value per share as of September 30, 2016 after giving effect to this offering</w:t>
            </w:r>
          </w:p>
        </w:tc>
        <w:tc>
          <w:tcPr>
            <w:tcW w:w="2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(0.28)</w:t>
            </w: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w:t>
            </w:r>
          </w:p>
        </w:tc>
        <w:tc>
          <w:tcPr>
            <w:tcW w:w="2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5.68</w:t>
            </w:r>
          </w:p>
        </w:tc>
      </w:tr>
      <w:tr>
        <w:trPr>
          <w:trHeight w:val="20"/>
        </w:trPr>
        <w:tc>
          <w:tcPr>
            <w:tcW w:w="9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Investors that acquire additional ordinary shares through the exercise of the Warrant offered hereby may experience additional dilution depending on our net tangible book value at the time of exercise.</w:t>
      </w:r>
    </w:p>
    <w:p>
      <w:pPr>
        <w:spacing w:after="0" w:line="101" w:lineRule="exact"/>
        <w:rPr>
          <w:sz w:val="20"/>
          <w:szCs w:val="20"/>
          <w:color w:val="auto"/>
        </w:rPr>
      </w:pPr>
    </w:p>
    <w:p>
      <w:pPr>
        <w:ind w:right="600"/>
        <w:spacing w:after="0" w:line="299" w:lineRule="auto"/>
        <w:rPr>
          <w:sz w:val="20"/>
          <w:szCs w:val="20"/>
          <w:color w:val="auto"/>
        </w:rPr>
      </w:pPr>
      <w:r>
        <w:rPr>
          <w:rFonts w:ascii="Arial" w:cs="Arial" w:eastAsia="Arial" w:hAnsi="Arial"/>
          <w:sz w:val="16"/>
          <w:szCs w:val="16"/>
          <w:color w:val="auto"/>
        </w:rPr>
        <w:t>The amounts above are based on 896,478,754 ordinary shares outstanding as of September 30, 2016. The information above excludes the aggregate of up to 84,500,000 ordinary shares issuable upon exercise of the Warrant, and it also excludes, as of that date, the following:</w:t>
      </w:r>
    </w:p>
    <w:p>
      <w:pPr>
        <w:spacing w:after="0" w:line="68" w:lineRule="exact"/>
        <w:rPr>
          <w:sz w:val="20"/>
          <w:szCs w:val="20"/>
          <w:color w:val="auto"/>
        </w:rPr>
      </w:pPr>
    </w:p>
    <w:p>
      <w:pPr>
        <w:ind w:left="220" w:hanging="212"/>
        <w:spacing w:after="0" w:line="239"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1,698,400 ordinary shares issuable upon the exercise of outstanding and vested stock options as of September 30, 2016, at a weighted average exercise price of $12.75 per ordinary share;</w:t>
      </w:r>
    </w:p>
    <w:p>
      <w:pPr>
        <w:spacing w:after="0" w:line="114"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15,181,843 ordinary shares subject to restricted share units outstanding as of September 30, 2016, at a weighted average grant date fair value of $9.38;</w:t>
      </w:r>
    </w:p>
    <w:p>
      <w:pPr>
        <w:spacing w:after="0" w:line="114" w:lineRule="exact"/>
        <w:rPr>
          <w:rFonts w:ascii="Arial" w:cs="Arial" w:eastAsia="Arial" w:hAnsi="Arial"/>
          <w:sz w:val="18"/>
          <w:szCs w:val="18"/>
          <w:color w:val="auto"/>
        </w:rPr>
      </w:pPr>
    </w:p>
    <w:p>
      <w:pPr>
        <w:ind w:left="220" w:right="260" w:hanging="212"/>
        <w:spacing w:after="0" w:line="239"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3,228,584 ordinary shares subject to performance units outstanding as of September 30, 2016, at a weighted average grant date fair value of $7.21;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21,724,150 ordinary shares reserved as of September 30, 2016 for future issuance under equity incentive plans.</w:t>
      </w:r>
    </w:p>
    <w:p>
      <w:pPr>
        <w:spacing w:after="0" w:line="10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To the extent that any of these options, restricted share awards, restricted share units or performance units are exercised or become vested, as applicable, these issuances will cause dilution to the investors purchasing ordinary shares in this offering.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Capitalization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2016:</w:t>
      </w:r>
    </w:p>
    <w:p>
      <w:pPr>
        <w:spacing w:after="0" w:line="117"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220" w:right="500" w:hanging="212"/>
        <w:spacing w:after="0" w:line="23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adjusted to give effect to the sale of $540 million of Weatherford Bermuda’s Senior Notes due 2024 that we expect to issue on or about November 18, 2016; and</w:t>
      </w:r>
    </w:p>
    <w:p>
      <w:pPr>
        <w:spacing w:after="0" w:line="114" w:lineRule="exact"/>
        <w:rPr>
          <w:rFonts w:ascii="Arial" w:cs="Arial" w:eastAsia="Arial" w:hAnsi="Arial"/>
          <w:sz w:val="18"/>
          <w:szCs w:val="18"/>
          <w:color w:val="auto"/>
        </w:rPr>
      </w:pPr>
    </w:p>
    <w:p>
      <w:pPr>
        <w:ind w:left="220" w:right="200" w:hanging="212"/>
        <w:spacing w:after="0" w:line="23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further adjusted to give effect to the issuance and sale of the securities offered hereby (but no exercise of the Warrant) after deducting fees payable to the placement agent and certain expenses payable in connection with this offering.</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amounts depicted on an as adjusted basis do not reflect net proceeds from future capital that may be received upon the exercise of the Warrant, as warrant exercises are not guaranteed events. If possible future capital is raised from warrant exercises and associated further ordinary share issuances were to be reflected, our capitalization would have been higher on an as adjusted basis at September 30, 2016 by the amounts of such net proceeds.</w:t>
      </w:r>
    </w:p>
    <w:p>
      <w:pPr>
        <w:spacing w:after="0" w:line="101"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This table should be read in conjunction with, and is qualified in its entirety by reference to, “Use of Proceeds” in this prospectus supplement and “Management’s Discussion and Analysis of Financial Condition and Results of Operations” and the financial statements and the related notes in our Form 10-K which are incorporated by reference in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 2016</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jc w:val="right"/>
              <w:ind w:right="512"/>
              <w:spacing w:after="0" w:line="177" w:lineRule="exact"/>
              <w:rPr>
                <w:sz w:val="20"/>
                <w:szCs w:val="20"/>
                <w:color w:val="auto"/>
              </w:rPr>
            </w:pPr>
            <w:r>
              <w:rPr>
                <w:rFonts w:ascii="Arial" w:cs="Arial" w:eastAsia="Arial" w:hAnsi="Arial"/>
                <w:sz w:val="18"/>
                <w:szCs w:val="18"/>
                <w:b w:val="1"/>
                <w:bCs w:val="1"/>
                <w:color w:val="auto"/>
              </w:rPr>
              <w:t>As</w:t>
            </w:r>
          </w:p>
        </w:tc>
        <w:tc>
          <w:tcPr>
            <w:tcW w:w="860" w:type="dxa"/>
            <w:vAlign w:val="bottom"/>
            <w:gridSpan w:val="2"/>
          </w:tcPr>
          <w:p>
            <w:pPr>
              <w:ind w:left="20"/>
              <w:spacing w:after="0" w:line="177" w:lineRule="exact"/>
              <w:rPr>
                <w:sz w:val="20"/>
                <w:szCs w:val="20"/>
                <w:color w:val="auto"/>
              </w:rPr>
            </w:pPr>
            <w:r>
              <w:rPr>
                <w:rFonts w:ascii="Arial" w:cs="Arial" w:eastAsia="Arial" w:hAnsi="Arial"/>
                <w:sz w:val="18"/>
                <w:szCs w:val="18"/>
                <w:b w:val="1"/>
                <w:bCs w:val="1"/>
                <w:color w:val="auto"/>
                <w:w w:val="95"/>
              </w:rPr>
              <w:t>As further</w:t>
            </w:r>
          </w:p>
        </w:tc>
        <w:tc>
          <w:tcPr>
            <w:tcW w:w="100" w:type="dxa"/>
            <w:vAlign w:val="bottom"/>
          </w:tcPr>
          <w:p>
            <w:pPr>
              <w:spacing w:after="0"/>
              <w:rPr>
                <w:sz w:val="15"/>
                <w:szCs w:val="15"/>
                <w:color w:val="auto"/>
              </w:rPr>
            </w:pPr>
          </w:p>
        </w:tc>
      </w:tr>
      <w:tr>
        <w:trPr>
          <w:trHeight w:val="221"/>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 except par value)</w:t>
            </w:r>
          </w:p>
        </w:tc>
        <w:tc>
          <w:tcPr>
            <w:tcW w:w="3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Actual</w:t>
            </w:r>
          </w:p>
        </w:tc>
        <w:tc>
          <w:tcPr>
            <w:tcW w:w="180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adjusted</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adjusted</w:t>
            </w:r>
          </w:p>
        </w:tc>
      </w:tr>
      <w:tr>
        <w:trPr>
          <w:trHeight w:val="196"/>
        </w:trPr>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380" w:type="dxa"/>
            <w:vAlign w:val="bottom"/>
            <w:gridSpan w:val="2"/>
            <w:shd w:val="clear" w:color="auto" w:fill="CCEEFF"/>
          </w:tcPr>
          <w:p>
            <w:pPr>
              <w:ind w:left="328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440</w:t>
            </w:r>
          </w:p>
        </w:tc>
        <w:tc>
          <w:tcPr>
            <w:tcW w:w="660" w:type="dxa"/>
            <w:vAlign w:val="bottom"/>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2"/>
              <w:spacing w:after="0" w:line="196" w:lineRule="exact"/>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7"/>
                <w:szCs w:val="17"/>
                <w:color w:val="auto"/>
              </w:rPr>
            </w:pPr>
          </w:p>
        </w:tc>
      </w:tr>
      <w:tr>
        <w:trPr>
          <w:trHeight w:val="270"/>
        </w:trPr>
        <w:tc>
          <w:tcPr>
            <w:tcW w:w="4680" w:type="dxa"/>
            <w:vAlign w:val="bottom"/>
            <w:gridSpan w:val="2"/>
          </w:tcPr>
          <w:p>
            <w:pPr>
              <w:spacing w:after="0"/>
              <w:rPr>
                <w:sz w:val="20"/>
                <w:szCs w:val="20"/>
                <w:color w:val="auto"/>
              </w:rPr>
            </w:pPr>
            <w:r>
              <w:rPr>
                <w:rFonts w:ascii="Arial" w:cs="Arial" w:eastAsia="Arial" w:hAnsi="Arial"/>
                <w:sz w:val="18"/>
                <w:szCs w:val="18"/>
                <w:color w:val="auto"/>
              </w:rPr>
              <w:t>Long-term debt, including current maturities:</w:t>
            </w:r>
          </w:p>
        </w:tc>
        <w:tc>
          <w:tcPr>
            <w:tcW w:w="3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facility(1)</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330</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Other short-term bank loans</w:t>
            </w:r>
          </w:p>
        </w:tc>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43</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2"/>
              <w:spacing w:after="0" w:line="202"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short-term borrowings</w:t>
            </w:r>
          </w:p>
        </w:tc>
        <w:tc>
          <w:tcPr>
            <w:tcW w:w="3380" w:type="dxa"/>
            <w:vAlign w:val="bottom"/>
            <w:gridSpan w:val="2"/>
            <w:shd w:val="clear" w:color="auto" w:fill="CCEEFF"/>
          </w:tcPr>
          <w:p>
            <w:pPr>
              <w:ind w:left="328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373</w:t>
            </w:r>
          </w:p>
        </w:tc>
        <w:tc>
          <w:tcPr>
            <w:tcW w:w="66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w:t>
            </w:r>
          </w:p>
        </w:tc>
      </w:tr>
      <w:tr>
        <w:trPr>
          <w:trHeight w:val="277"/>
        </w:trPr>
        <w:tc>
          <w:tcPr>
            <w:tcW w:w="46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6.35% Senior Notes due 2017</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89</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w:t>
            </w: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6.00% Senior Notes due 2018</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66</w:t>
            </w:r>
          </w:p>
        </w:tc>
        <w:tc>
          <w:tcPr>
            <w:tcW w:w="660" w:type="dxa"/>
            <w:vAlign w:val="bottom"/>
          </w:tcPr>
          <w:p>
            <w:pPr>
              <w:spacing w:after="0"/>
              <w:rPr>
                <w:sz w:val="17"/>
                <w:szCs w:val="17"/>
                <w:color w:val="auto"/>
              </w:rPr>
            </w:pPr>
          </w:p>
        </w:tc>
        <w:tc>
          <w:tcPr>
            <w:tcW w:w="114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66</w:t>
            </w:r>
          </w:p>
        </w:tc>
        <w:tc>
          <w:tcPr>
            <w:tcW w:w="1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w:t>
            </w: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9.625%</w:t>
            </w:r>
          </w:p>
        </w:tc>
        <w:tc>
          <w:tcPr>
            <w:tcW w:w="4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2019</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490</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7"/>
                <w:szCs w:val="17"/>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w w:val="98"/>
              </w:rPr>
              <w:t>5.125%</w:t>
            </w:r>
          </w:p>
        </w:tc>
        <w:tc>
          <w:tcPr>
            <w:tcW w:w="406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2020</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363</w:t>
            </w:r>
          </w:p>
        </w:tc>
        <w:tc>
          <w:tcPr>
            <w:tcW w:w="660" w:type="dxa"/>
            <w:vAlign w:val="bottom"/>
          </w:tcPr>
          <w:p>
            <w:pPr>
              <w:spacing w:after="0"/>
              <w:rPr>
                <w:sz w:val="17"/>
                <w:szCs w:val="17"/>
                <w:color w:val="auto"/>
              </w:rPr>
            </w:pPr>
          </w:p>
        </w:tc>
        <w:tc>
          <w:tcPr>
            <w:tcW w:w="114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363</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100" w:type="dxa"/>
            <w:vAlign w:val="bottom"/>
          </w:tcPr>
          <w:p>
            <w:pPr>
              <w:spacing w:after="0"/>
              <w:rPr>
                <w:sz w:val="17"/>
                <w:szCs w:val="17"/>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5.875%</w:t>
            </w:r>
          </w:p>
        </w:tc>
        <w:tc>
          <w:tcPr>
            <w:tcW w:w="4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Exchangeable Senior Notes due 2021(2)</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7"/>
              </w:rPr>
              <w:t>1,142</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1,142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7"/>
                <w:szCs w:val="17"/>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w w:val="98"/>
              </w:rPr>
              <w:t>7.750%</w:t>
            </w:r>
          </w:p>
        </w:tc>
        <w:tc>
          <w:tcPr>
            <w:tcW w:w="406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2021</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738</w:t>
            </w:r>
          </w:p>
        </w:tc>
        <w:tc>
          <w:tcPr>
            <w:tcW w:w="660" w:type="dxa"/>
            <w:vAlign w:val="bottom"/>
          </w:tcPr>
          <w:p>
            <w:pPr>
              <w:spacing w:after="0"/>
              <w:rPr>
                <w:sz w:val="17"/>
                <w:szCs w:val="17"/>
                <w:color w:val="auto"/>
              </w:rPr>
            </w:pPr>
          </w:p>
        </w:tc>
        <w:tc>
          <w:tcPr>
            <w:tcW w:w="114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738</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100" w:type="dxa"/>
            <w:vAlign w:val="bottom"/>
          </w:tcPr>
          <w:p>
            <w:pPr>
              <w:spacing w:after="0"/>
              <w:rPr>
                <w:sz w:val="17"/>
                <w:szCs w:val="17"/>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4.50% Senior Notes due 2022</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642</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7"/>
                <w:szCs w:val="17"/>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w w:val="98"/>
              </w:rPr>
              <w:t>8.250%</w:t>
            </w:r>
          </w:p>
        </w:tc>
        <w:tc>
          <w:tcPr>
            <w:tcW w:w="406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2023</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738</w:t>
            </w:r>
          </w:p>
        </w:tc>
        <w:tc>
          <w:tcPr>
            <w:tcW w:w="660" w:type="dxa"/>
            <w:vAlign w:val="bottom"/>
          </w:tcPr>
          <w:p>
            <w:pPr>
              <w:spacing w:after="0"/>
              <w:rPr>
                <w:sz w:val="17"/>
                <w:szCs w:val="17"/>
                <w:color w:val="auto"/>
              </w:rPr>
            </w:pPr>
          </w:p>
        </w:tc>
        <w:tc>
          <w:tcPr>
            <w:tcW w:w="114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738</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100" w:type="dxa"/>
            <w:vAlign w:val="bottom"/>
          </w:tcPr>
          <w:p>
            <w:pPr>
              <w:spacing w:after="0"/>
              <w:rPr>
                <w:sz w:val="17"/>
                <w:szCs w:val="17"/>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9.875%</w:t>
            </w:r>
          </w:p>
        </w:tc>
        <w:tc>
          <w:tcPr>
            <w:tcW w:w="4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2024</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6.50% Senior Notes due 2036</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446</w:t>
            </w:r>
          </w:p>
        </w:tc>
        <w:tc>
          <w:tcPr>
            <w:tcW w:w="660" w:type="dxa"/>
            <w:vAlign w:val="bottom"/>
          </w:tcPr>
          <w:p>
            <w:pPr>
              <w:spacing w:after="0"/>
              <w:rPr>
                <w:sz w:val="17"/>
                <w:szCs w:val="17"/>
                <w:color w:val="auto"/>
              </w:rPr>
            </w:pPr>
          </w:p>
        </w:tc>
        <w:tc>
          <w:tcPr>
            <w:tcW w:w="114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446</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100" w:type="dxa"/>
            <w:vAlign w:val="bottom"/>
          </w:tcPr>
          <w:p>
            <w:pPr>
              <w:spacing w:after="0"/>
              <w:rPr>
                <w:sz w:val="17"/>
                <w:szCs w:val="17"/>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6.80% Senior Notes due 2037</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255</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7.00% Senior Notes due 2038</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455</w:t>
            </w:r>
          </w:p>
        </w:tc>
        <w:tc>
          <w:tcPr>
            <w:tcW w:w="660" w:type="dxa"/>
            <w:vAlign w:val="bottom"/>
          </w:tcPr>
          <w:p>
            <w:pPr>
              <w:spacing w:after="0"/>
              <w:rPr>
                <w:sz w:val="17"/>
                <w:szCs w:val="17"/>
                <w:color w:val="auto"/>
              </w:rPr>
            </w:pPr>
          </w:p>
        </w:tc>
        <w:tc>
          <w:tcPr>
            <w:tcW w:w="114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455</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tcPr>
          <w:p>
            <w:pPr>
              <w:spacing w:after="0"/>
              <w:rPr>
                <w:sz w:val="17"/>
                <w:szCs w:val="17"/>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9.875%</w:t>
            </w:r>
          </w:p>
        </w:tc>
        <w:tc>
          <w:tcPr>
            <w:tcW w:w="4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2039</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245</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7"/>
                <w:szCs w:val="17"/>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6.75% Senior Notes due 2040</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456</w:t>
            </w:r>
          </w:p>
        </w:tc>
        <w:tc>
          <w:tcPr>
            <w:tcW w:w="660" w:type="dxa"/>
            <w:vAlign w:val="bottom"/>
          </w:tcPr>
          <w:p>
            <w:pPr>
              <w:spacing w:after="0"/>
              <w:rPr>
                <w:sz w:val="17"/>
                <w:szCs w:val="17"/>
                <w:color w:val="auto"/>
              </w:rPr>
            </w:pPr>
          </w:p>
        </w:tc>
        <w:tc>
          <w:tcPr>
            <w:tcW w:w="1140" w:type="dxa"/>
            <w:vAlign w:val="bottom"/>
          </w:tcPr>
          <w:p>
            <w:pPr>
              <w:jc w:val="right"/>
              <w:ind w:right="512"/>
              <w:spacing w:after="0" w:line="202" w:lineRule="exact"/>
              <w:rPr>
                <w:sz w:val="20"/>
                <w:szCs w:val="20"/>
                <w:color w:val="auto"/>
              </w:rPr>
            </w:pPr>
            <w:r>
              <w:rPr>
                <w:rFonts w:ascii="Arial" w:cs="Arial" w:eastAsia="Arial" w:hAnsi="Arial"/>
                <w:sz w:val="18"/>
                <w:szCs w:val="18"/>
                <w:color w:val="auto"/>
              </w:rPr>
              <w:t>456</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100" w:type="dxa"/>
            <w:vAlign w:val="bottom"/>
          </w:tcPr>
          <w:p>
            <w:pPr>
              <w:spacing w:after="0"/>
              <w:rPr>
                <w:sz w:val="17"/>
                <w:szCs w:val="17"/>
                <w:color w:val="auto"/>
              </w:rPr>
            </w:pPr>
          </w:p>
        </w:tc>
      </w:tr>
      <w:tr>
        <w:trPr>
          <w:trHeight w:val="203"/>
        </w:trPr>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5.95% Senior Notes due 2042</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368</w:t>
            </w: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7"/>
                <w:szCs w:val="17"/>
                <w:color w:val="auto"/>
              </w:rPr>
            </w:pPr>
          </w:p>
        </w:tc>
      </w:tr>
      <w:tr>
        <w:trPr>
          <w:trHeight w:val="215"/>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Secured Term Loan Agreement</w:t>
            </w:r>
          </w:p>
        </w:tc>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483</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r>
      <w:tr>
        <w:trPr>
          <w:trHeight w:val="357"/>
        </w:trPr>
        <w:tc>
          <w:tcPr>
            <w:tcW w:w="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80" w:type="dxa"/>
            <w:vAlign w:val="bottom"/>
            <w:gridSpan w:val="2"/>
          </w:tcPr>
          <w:p>
            <w:pPr>
              <w:ind w:left="840"/>
              <w:spacing w:after="0"/>
              <w:rPr>
                <w:sz w:val="20"/>
                <w:szCs w:val="20"/>
                <w:color w:val="auto"/>
              </w:rPr>
            </w:pPr>
            <w:r>
              <w:rPr>
                <w:rFonts w:ascii="Arial" w:cs="Arial" w:eastAsia="Arial" w:hAnsi="Arial"/>
                <w:sz w:val="18"/>
                <w:szCs w:val="18"/>
                <w:color w:val="auto"/>
              </w:rPr>
              <w:t>S-11</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80" w:type="dxa"/>
            <w:vAlign w:val="bottom"/>
            <w:gridSpan w:val="5"/>
          </w:tcPr>
          <w:p>
            <w:pPr>
              <w:ind w:left="20"/>
              <w:spacing w:after="0"/>
              <w:rPr>
                <w:sz w:val="20"/>
                <w:szCs w:val="20"/>
                <w:color w:val="auto"/>
              </w:rPr>
            </w:pPr>
            <w:r>
              <w:rPr>
                <w:rFonts w:ascii="Arial" w:cs="Arial" w:eastAsia="Arial" w:hAnsi="Arial"/>
                <w:sz w:val="18"/>
                <w:szCs w:val="18"/>
                <w:b w:val="1"/>
                <w:bCs w:val="1"/>
                <w:color w:val="auto"/>
              </w:rPr>
              <w:t>September 30, 2016</w:t>
            </w:r>
          </w:p>
        </w:tc>
      </w:tr>
      <w:tr>
        <w:trPr>
          <w:trHeight w:val="177"/>
        </w:trPr>
        <w:tc>
          <w:tcPr>
            <w:tcW w:w="82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72"/>
              <w:spacing w:after="0" w:line="177" w:lineRule="exact"/>
              <w:rPr>
                <w:sz w:val="20"/>
                <w:szCs w:val="20"/>
                <w:color w:val="auto"/>
              </w:rPr>
            </w:pPr>
            <w:r>
              <w:rPr>
                <w:rFonts w:ascii="Arial" w:cs="Arial" w:eastAsia="Arial" w:hAnsi="Arial"/>
                <w:sz w:val="18"/>
                <w:szCs w:val="18"/>
                <w:b w:val="1"/>
                <w:bCs w:val="1"/>
                <w:color w:val="auto"/>
              </w:rPr>
              <w:t>As</w:t>
            </w:r>
          </w:p>
        </w:tc>
        <w:tc>
          <w:tcPr>
            <w:tcW w:w="1040" w:type="dxa"/>
            <w:vAlign w:val="bottom"/>
            <w:tcBorders>
              <w:top w:val="single" w:sz="8" w:color="auto"/>
            </w:tcBorders>
            <w:gridSpan w:val="2"/>
          </w:tcPr>
          <w:p>
            <w:pPr>
              <w:ind w:left="200"/>
              <w:spacing w:after="0" w:line="177" w:lineRule="exact"/>
              <w:rPr>
                <w:sz w:val="20"/>
                <w:szCs w:val="20"/>
                <w:color w:val="auto"/>
              </w:rPr>
            </w:pPr>
            <w:r>
              <w:rPr>
                <w:rFonts w:ascii="Arial" w:cs="Arial" w:eastAsia="Arial" w:hAnsi="Arial"/>
                <w:sz w:val="18"/>
                <w:szCs w:val="18"/>
                <w:b w:val="1"/>
                <w:bCs w:val="1"/>
                <w:color w:val="auto"/>
                <w:w w:val="95"/>
              </w:rPr>
              <w:t>As further</w:t>
            </w:r>
          </w:p>
        </w:tc>
        <w:tc>
          <w:tcPr>
            <w:tcW w:w="100" w:type="dxa"/>
            <w:vAlign w:val="bottom"/>
          </w:tcPr>
          <w:p>
            <w:pPr>
              <w:spacing w:after="0"/>
              <w:rPr>
                <w:sz w:val="15"/>
                <w:szCs w:val="15"/>
                <w:color w:val="auto"/>
              </w:rPr>
            </w:pPr>
          </w:p>
        </w:tc>
      </w:tr>
      <w:tr>
        <w:trPr>
          <w:trHeight w:val="221"/>
        </w:trPr>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 except par 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Actual</w:t>
            </w:r>
          </w:p>
        </w:tc>
        <w:tc>
          <w:tcPr>
            <w:tcW w:w="13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adjusted</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7"/>
              </w:rPr>
              <w:t>adjusted</w:t>
            </w: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4.82% secured borrowing</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w:t>
            </w:r>
          </w:p>
        </w:tc>
      </w:tr>
      <w:tr>
        <w:trPr>
          <w:trHeight w:val="210"/>
        </w:trPr>
        <w:tc>
          <w:tcPr>
            <w:tcW w:w="8260" w:type="dxa"/>
            <w:vAlign w:val="bottom"/>
          </w:tcPr>
          <w:p>
            <w:pPr>
              <w:spacing w:after="0" w:line="202" w:lineRule="exact"/>
              <w:rPr>
                <w:sz w:val="20"/>
                <w:szCs w:val="20"/>
                <w:color w:val="auto"/>
              </w:rPr>
            </w:pPr>
            <w:r>
              <w:rPr>
                <w:rFonts w:ascii="Arial" w:cs="Arial" w:eastAsia="Arial" w:hAnsi="Arial"/>
                <w:sz w:val="18"/>
                <w:szCs w:val="18"/>
                <w:color w:val="auto"/>
              </w:rPr>
              <w:t>Other long-term debt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137</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7,119</w:t>
            </w:r>
          </w:p>
        </w:tc>
        <w:tc>
          <w:tcPr>
            <w:tcW w:w="5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7,647</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7,647</w:t>
            </w:r>
          </w:p>
        </w:tc>
        <w:tc>
          <w:tcPr>
            <w:tcW w:w="100" w:type="dxa"/>
            <w:vAlign w:val="bottom"/>
            <w:shd w:val="clear" w:color="auto" w:fill="CCEEFF"/>
          </w:tcPr>
          <w:p>
            <w:pPr>
              <w:spacing w:after="0"/>
              <w:rPr>
                <w:sz w:val="17"/>
                <w:szCs w:val="17"/>
                <w:color w:val="auto"/>
              </w:rPr>
            </w:pP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Total indebtedness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$ 7,492</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7,690</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00" w:type="dxa"/>
            <w:vAlign w:val="bottom"/>
          </w:tcPr>
          <w:p>
            <w:pPr>
              <w:spacing w:after="0"/>
              <w:rPr>
                <w:sz w:val="18"/>
                <w:szCs w:val="18"/>
                <w:color w:val="auto"/>
              </w:rPr>
            </w:pPr>
          </w:p>
        </w:tc>
      </w:tr>
      <w:tr>
        <w:trPr>
          <w:trHeight w:val="75"/>
        </w:trPr>
        <w:tc>
          <w:tcPr>
            <w:tcW w:w="8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260" w:type="dxa"/>
            <w:vAlign w:val="bottom"/>
          </w:tcPr>
          <w:p>
            <w:pPr>
              <w:spacing w:after="0" w:line="206" w:lineRule="exact"/>
              <w:rPr>
                <w:sz w:val="20"/>
                <w:szCs w:val="20"/>
                <w:color w:val="auto"/>
              </w:rPr>
            </w:pPr>
            <w:r>
              <w:rPr>
                <w:rFonts w:ascii="Arial" w:cs="Arial" w:eastAsia="Arial" w:hAnsi="Arial"/>
                <w:sz w:val="18"/>
                <w:szCs w:val="18"/>
                <w:color w:val="auto"/>
              </w:rPr>
              <w:t>Ordinary shares of Weatherford Ireland—$0.001 par value; authorized 1,356, issued and outstanding</w:t>
            </w: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260" w:type="dxa"/>
            <w:vAlign w:val="bottom"/>
          </w:tcPr>
          <w:p>
            <w:pPr>
              <w:ind w:left="220"/>
              <w:spacing w:after="0" w:line="200" w:lineRule="exact"/>
              <w:rPr>
                <w:sz w:val="20"/>
                <w:szCs w:val="20"/>
                <w:color w:val="auto"/>
              </w:rPr>
            </w:pPr>
            <w:r>
              <w:rPr>
                <w:rFonts w:ascii="Arial" w:cs="Arial" w:eastAsia="Arial" w:hAnsi="Arial"/>
                <w:sz w:val="18"/>
                <w:szCs w:val="18"/>
                <w:color w:val="auto"/>
              </w:rPr>
              <w:t>896, actual and as adjusted, 981 as further adjusted</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84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8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w:t>
            </w: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in excess of par value</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6,273</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6,273</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6,721</w:t>
            </w:r>
          </w:p>
        </w:tc>
        <w:tc>
          <w:tcPr>
            <w:tcW w:w="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line="202" w:lineRule="exact"/>
              <w:rPr>
                <w:sz w:val="20"/>
                <w:szCs w:val="20"/>
                <w:color w:val="auto"/>
              </w:rPr>
            </w:pPr>
            <w:r>
              <w:rPr>
                <w:rFonts w:ascii="Arial" w:cs="Arial" w:eastAsia="Arial" w:hAnsi="Arial"/>
                <w:sz w:val="18"/>
                <w:szCs w:val="18"/>
                <w:color w:val="auto"/>
              </w:rPr>
              <w:t>Retained deficit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(2,401)</w:t>
            </w:r>
          </w:p>
        </w:tc>
        <w:tc>
          <w:tcPr>
            <w:tcW w:w="50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(2,401)</w:t>
            </w:r>
          </w:p>
        </w:tc>
        <w:tc>
          <w:tcPr>
            <w:tcW w:w="30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(2,401)</w:t>
            </w: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(1,549)</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(1,549)</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(1,549)</w:t>
            </w: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Weatherford Ireland shareholders’ equity</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2,324</w:t>
            </w: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8"/>
                <w:szCs w:val="18"/>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w:t>
            </w:r>
          </w:p>
        </w:tc>
      </w:tr>
      <w:tr>
        <w:trPr>
          <w:trHeight w:val="217"/>
        </w:trPr>
        <w:tc>
          <w:tcPr>
            <w:tcW w:w="82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$ 2,383</w:t>
            </w:r>
          </w:p>
        </w:tc>
        <w:tc>
          <w:tcPr>
            <w:tcW w:w="5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2,383</w:t>
            </w:r>
          </w:p>
        </w:tc>
        <w:tc>
          <w:tcPr>
            <w:tcW w:w="3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18"/>
                <w:szCs w:val="18"/>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$ 9,875</w:t>
            </w:r>
          </w:p>
        </w:tc>
        <w:tc>
          <w:tcPr>
            <w:tcW w:w="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10,073</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10,521</w:t>
            </w: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20" w:hanging="332"/>
        <w:spacing w:after="0" w:line="22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At November 11, 2016, we had $600 million outstanding under our amended and restated credit agreement with, among others, JPMorgan Chase Bank, N.A., as administrative agent and lender (the “Revolving Credit Agreement”), and there were $61 million in outstanding letters of credit under the Revolving Credit Agreement. Our Revolving Credit Agreement can be used for a combination of borrowings, including letters of credit, and the indebtedness incurred thereunder is structurally senior to the notes to the extent the Revolving Credit Agreement is guaranteed by entities that will not guarantee the notes. Amounts borrowed under the Revolving Credit Agreement fluctuate during each quarter based on working capital requirements and typically are lower at the end of a quarter.</w:t>
      </w:r>
    </w:p>
    <w:p>
      <w:pPr>
        <w:spacing w:after="0" w:line="55" w:lineRule="exact"/>
        <w:rPr>
          <w:rFonts w:ascii="Arial" w:cs="Arial" w:eastAsia="Arial" w:hAnsi="Arial"/>
          <w:sz w:val="14"/>
          <w:szCs w:val="14"/>
          <w:color w:val="auto"/>
        </w:rPr>
      </w:pPr>
    </w:p>
    <w:p>
      <w:pPr>
        <w:ind w:left="340" w:right="60" w:hanging="332"/>
        <w:spacing w:after="0" w:line="226"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June 7, 2016, we closed the sale of our previously announced underwritten public offering of $1.265 billion aggregate principal amount of Exchangeable Notes. The amount shown in the table above for the Exchangeable Notes represents their principal amount. However, in accordance with ASC 470-20, we will separately account for the debt and equity components of the notes. Specifically, the initial carrying amount of the debt component will be valued using our cost of capital for a similar instrument that does not have an exchange feature, and the related debt discount will be credited to capital in excess of par value and amortized into interest expense over the term of the notes.</w:t>
      </w:r>
    </w:p>
    <w:p>
      <w:pPr>
        <w:spacing w:after="0" w:line="100"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This table should be read in conjunction with, and is qualified in its entirety by reference to, “Use of Proceeds” in this prospectus supplement and “Management’s Discussion and Analysis of Financial Condition and Results of Operations” and the financial statements and the related notes in our Reports on Form 10-K and Form 10-Q which are incorporated by reference in this prospectus supplement.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Dividend policy</w:t>
      </w:r>
    </w:p>
    <w:p>
      <w:pPr>
        <w:spacing w:after="0" w:line="158"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We have never declared or paid cash dividends on our shares. We intend to retain any future earnings and do not expect to pay any cash dividends in the near future.</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future dividend policy is within the discretion of our board of directors and will depend upon then existing conditions, including our results of operations, financial condition, capital requirements, investment opportunities, statutory restrictions on our ability to pay dividends and other factors our board of directors may deem relevant.</w:t>
      </w:r>
    </w:p>
    <w:p>
      <w:pPr>
        <w:spacing w:after="0" w:line="16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Market price of our ordinary shares</w:t>
      </w:r>
    </w:p>
    <w:p>
      <w:pPr>
        <w:spacing w:after="0" w:line="158"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Our shares are traded under the symbol “WFT” on the NYSE. As of November 15, 2016, there were 1,718 shareholders of record. The following table sets forth, for the periods indicated, the range of high and low sales prices per share for our ordinary shares as reported on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High</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7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jc w:val="right"/>
              <w:ind w:right="6252"/>
              <w:spacing w:after="0" w:line="202" w:lineRule="exact"/>
              <w:rPr>
                <w:sz w:val="20"/>
                <w:szCs w:val="20"/>
                <w:color w:val="auto"/>
              </w:rPr>
            </w:pPr>
            <w:r>
              <w:rPr>
                <w:rFonts w:ascii="Arial" w:cs="Arial" w:eastAsia="Arial" w:hAnsi="Arial"/>
                <w:sz w:val="18"/>
                <w:szCs w:val="18"/>
                <w:b w:val="1"/>
                <w:bCs w:val="1"/>
                <w:color w:val="auto"/>
                <w:w w:val="89"/>
              </w:rPr>
              <w:t>2016</w:t>
            </w:r>
          </w:p>
        </w:tc>
        <w:tc>
          <w:tcPr>
            <w:tcW w:w="3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First Quarter</w:t>
            </w:r>
          </w:p>
        </w:tc>
        <w:tc>
          <w:tcPr>
            <w:tcW w:w="3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8.80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Second Quarter</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Third Quarter</w:t>
            </w:r>
          </w:p>
        </w:tc>
        <w:tc>
          <w:tcPr>
            <w:tcW w:w="3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6.39</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Fourth Quarter (through November 15, 2016)</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0"/>
        </w:trPr>
        <w:tc>
          <w:tcPr>
            <w:tcW w:w="6740" w:type="dxa"/>
            <w:vAlign w:val="bottom"/>
            <w:gridSpan w:val="2"/>
          </w:tcPr>
          <w:p>
            <w:pPr>
              <w:jc w:val="right"/>
              <w:ind w:right="6252"/>
              <w:spacing w:after="0"/>
              <w:rPr>
                <w:sz w:val="20"/>
                <w:szCs w:val="20"/>
                <w:color w:val="auto"/>
              </w:rPr>
            </w:pPr>
            <w:r>
              <w:rPr>
                <w:rFonts w:ascii="Arial" w:cs="Arial" w:eastAsia="Arial" w:hAnsi="Arial"/>
                <w:sz w:val="18"/>
                <w:szCs w:val="18"/>
                <w:b w:val="1"/>
                <w:bCs w:val="1"/>
                <w:color w:val="auto"/>
                <w:w w:val="94"/>
              </w:rPr>
              <w:t>2015</w:t>
            </w:r>
          </w:p>
        </w:tc>
        <w:tc>
          <w:tcPr>
            <w:tcW w:w="3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First Quarter</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13.12</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Second Quarter</w:t>
            </w:r>
          </w:p>
        </w:tc>
        <w:tc>
          <w:tcPr>
            <w:tcW w:w="3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14.91</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Third Quarter</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12.35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w w:val="97"/>
              </w:rPr>
              <w:t>11.49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67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20" w:type="dxa"/>
            <w:vAlign w:val="bottom"/>
            <w:shd w:val="clear" w:color="auto" w:fill="CCEEFF"/>
          </w:tcPr>
          <w:p>
            <w:pPr>
              <w:jc w:val="right"/>
              <w:ind w:right="6252"/>
              <w:spacing w:after="0" w:line="202" w:lineRule="exact"/>
              <w:rPr>
                <w:sz w:val="20"/>
                <w:szCs w:val="20"/>
                <w:color w:val="auto"/>
              </w:rPr>
            </w:pPr>
            <w:r>
              <w:rPr>
                <w:rFonts w:ascii="Arial" w:cs="Arial" w:eastAsia="Arial" w:hAnsi="Arial"/>
                <w:sz w:val="18"/>
                <w:szCs w:val="18"/>
                <w:b w:val="1"/>
                <w:bCs w:val="1"/>
                <w:color w:val="auto"/>
                <w:w w:val="89"/>
              </w:rPr>
              <w:t>2014</w:t>
            </w:r>
          </w:p>
        </w:tc>
        <w:tc>
          <w:tcPr>
            <w:tcW w:w="3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First Quarter</w:t>
            </w:r>
          </w:p>
        </w:tc>
        <w:tc>
          <w:tcPr>
            <w:tcW w:w="3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17.53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13.07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Second Quarter</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23.25</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16.68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Third Quarter</w:t>
            </w:r>
          </w:p>
        </w:tc>
        <w:tc>
          <w:tcPr>
            <w:tcW w:w="3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24.88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Fourth Quarter</w:t>
            </w:r>
          </w:p>
        </w:tc>
        <w:tc>
          <w:tcPr>
            <w:tcW w:w="3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20.89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15, 2016, the closing price of our ordinary shares was $5.14 per share.</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our ordinary shares</w:t>
      </w:r>
    </w:p>
    <w:p>
      <w:pPr>
        <w:spacing w:after="0" w:line="158"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The following description is a summary of our share capital. This summary does not purport to be complete and the statements in this summary are qualified in their entirety by reference to, and are subject to, the detailed provisions of the Irish Companies Act and our memorandum and articles of association, which is incorporated herein by reference. We encourage you to read those laws and documents carefully.</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structure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November 11, 2016, our authorized share capital is €40,000 and $1,356,000 divided into 40,000 deferred ordinary shares 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8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7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1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of November 11, 2016, our issued share capital is $897,277, comprised of approximately 897,277,419 ordinary shares with a nominal value of $0.001 per share.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Preemption rights, share warrants and options</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115"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117" w:lineRule="exact"/>
        <w:rPr>
          <w:rFonts w:ascii="Arial" w:cs="Arial" w:eastAsia="Arial" w:hAnsi="Arial"/>
          <w:sz w:val="18"/>
          <w:szCs w:val="18"/>
          <w:color w:val="auto"/>
        </w:rPr>
      </w:pPr>
    </w:p>
    <w:p>
      <w:pPr>
        <w:ind w:left="220" w:right="580" w:hanging="212"/>
        <w:spacing w:after="0" w:line="239"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determination as to whether we have sufficient distributable profits to fund a dividend must be made by reference to our “relevant entity financial statements.” The “relevant entity financial statements” will be either the last set of unconsolidated annual audited financial statements or “initial” or “interim” financial statements properly prepared in accordance with the Irish Companies Act, which give a “true and fair view” of our unconsolidated financial position and accord with accepted accounting practice. The relevant entity financial statements are filed in the Companies Registration Office (the official public registry for companies in Ireland).</w:t>
      </w:r>
    </w:p>
    <w:p>
      <w:pPr>
        <w:spacing w:after="0" w:line="103"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directors may deduct from any dividend payable to any shareholder any amounts payable by such shareholder to us in relation to the ordinary shares.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repurchases, redemptions and conversions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4"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Our articles of association provide that, unless our directors determine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and redemptions</w:t>
      </w:r>
    </w:p>
    <w:p>
      <w:pPr>
        <w:spacing w:after="0" w:line="12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0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may also issue redeemable shares and redeem them out of distributable profits or the proceeds of a new issue of shares for that purpose.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given by its shareholders at a general meeting, which would take effect on the same terms and be subject to the same conditions as applicable to purchases by our subsidiaries.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by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Under Irish law, our subsidiaries may purchase our ordinary shares on-market on a recognized stock exchange such as NYSE or off-market.</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For one of our subsidiaries to make on-market purchases of ordinary shares, our shareholders must provide general authorization for such purchase by way of ordinary resolution. However, as long as this general authority 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7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Lien on shares, calls on shares and forfeiture of shares</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and will only be applicable to our shares that have not been fully paid-up.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Consolidation and division; subdivision</w:t>
      </w:r>
    </w:p>
    <w:p>
      <w:pPr>
        <w:spacing w:after="0" w:line="134"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Reduction of share capital</w:t>
      </w:r>
    </w:p>
    <w:p>
      <w:pPr>
        <w:spacing w:after="0" w:line="1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meetings of shareholders</w:t>
      </w:r>
    </w:p>
    <w:p>
      <w:pPr>
        <w:spacing w:after="0" w:line="13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Our articles of association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As provided under Irish law, notice of an annual or extraordinary general meeting must be given to all our shareholders and to our auditors.</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Extraordinary general meetings of shareholders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117"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our directors;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requisition of our shareholders holding not less than 10% of our paid-up share capital carrying voting rights;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requisition of our auditors; or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10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0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 for general meetings</w:t>
      </w:r>
    </w:p>
    <w:p>
      <w:pPr>
        <w:spacing w:after="0" w:line="13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0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At any of our general meetings, all resolutions will be decided on a show of hands unless a poll is demanded by:</w:t>
      </w:r>
    </w:p>
    <w:p>
      <w:pPr>
        <w:spacing w:after="0" w:line="117"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117" w:lineRule="exact"/>
        <w:rPr>
          <w:rFonts w:ascii="Arial" w:cs="Arial" w:eastAsia="Arial" w:hAnsi="Arial"/>
          <w:sz w:val="18"/>
          <w:szCs w:val="18"/>
          <w:color w:val="auto"/>
        </w:rPr>
      </w:pPr>
    </w:p>
    <w:p>
      <w:pPr>
        <w:ind w:left="220" w:right="38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114"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shareholder or shareholders holding shares in our capital conferring the right to vote at the meeting being shares on which an aggregate sum has been paid-up equal to not less than one tenth of the total sum paid-up on all the shares conferring that right.</w:t>
      </w:r>
    </w:p>
    <w:p>
      <w:pPr>
        <w:spacing w:after="0" w:line="101"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68"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amending our objects or memorandum of association;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amending our articles of association;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a change of our name;</w:t>
      </w:r>
    </w:p>
    <w:p>
      <w:pPr>
        <w:spacing w:after="0" w:line="117"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re-registration from a public limited company to a private company;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repurchase of our own shares off-market;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 of our issued share capital;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resolving that we be wound-up by the Irish courts;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Variation of rights attaching to a class or series of shares</w:t>
      </w:r>
    </w:p>
    <w:p>
      <w:pPr>
        <w:spacing w:after="0" w:line="1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Inspection of books and records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Irish law, shareholders have the right to:</w:t>
      </w:r>
    </w:p>
    <w:p>
      <w:pPr>
        <w:spacing w:after="0" w:line="117"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receive a copy of our memorandum and articles of association and any act of the Irish government that alters our memorandum of association;</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 and obtain copies of the minutes of our general meetings and resolutions;</w:t>
      </w:r>
    </w:p>
    <w:p>
      <w:pPr>
        <w:spacing w:after="0" w:line="117"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we maintain;</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114" w:lineRule="exact"/>
        <w:rPr>
          <w:rFonts w:ascii="Arial" w:cs="Arial" w:eastAsia="Arial" w:hAnsi="Arial"/>
          <w:sz w:val="18"/>
          <w:szCs w:val="18"/>
          <w:color w:val="auto"/>
        </w:rPr>
      </w:pPr>
    </w:p>
    <w:p>
      <w:pPr>
        <w:ind w:left="220" w:right="42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 balance sheets of any of our subsidiaries that have previously been sent to shareholders prior to an annual general meeting for the preceding 10 years.</w:t>
      </w:r>
    </w:p>
    <w:p>
      <w:pPr>
        <w:spacing w:after="0" w:line="10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auditors’ report must be circulated to the shareholders with our financial statements prepared in accordance with Irish law 21 days before the annual general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134"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EEA-regulated market (NYSE only), the relevant applicable percentage for us is 80%. Dissenting shareholders have the right to apply to the High Court of Ireland for relief.</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01" w:lineRule="exact"/>
        <w:rPr>
          <w:sz w:val="20"/>
          <w:szCs w:val="20"/>
          <w:color w:val="auto"/>
        </w:rPr>
      </w:pPr>
    </w:p>
    <w:p>
      <w:pPr>
        <w:jc w:val="both"/>
        <w:ind w:right="320"/>
        <w:spacing w:after="0" w:line="299"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Appraisal rights</w:t>
      </w:r>
    </w:p>
    <w:p>
      <w:pPr>
        <w:spacing w:after="0" w:line="13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0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1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0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of interests in shares</w:t>
      </w:r>
    </w:p>
    <w:p>
      <w:pPr>
        <w:spacing w:after="0" w:line="1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 including particulars of such person’s own past or present interests in the shares. Any information given in response to the notice is required to be given in writing within such reasonable time as we may specify in the notice.</w:t>
      </w:r>
    </w:p>
    <w:p>
      <w:pPr>
        <w:spacing w:after="0" w:line="10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114" w:lineRule="exact"/>
        <w:rPr>
          <w:sz w:val="20"/>
          <w:szCs w:val="20"/>
          <w:color w:val="auto"/>
        </w:rPr>
      </w:pPr>
    </w:p>
    <w:p>
      <w:pPr>
        <w:ind w:left="220" w:right="8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payment shall be made of any sums due from Weatherford on those shares, whether in respect of capital or otherwise.</w:t>
      </w:r>
    </w:p>
    <w:p>
      <w:pPr>
        <w:spacing w:after="0" w:line="10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measures</w:t>
      </w:r>
    </w:p>
    <w:p>
      <w:pPr>
        <w:spacing w:after="0" w:line="13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117" w:lineRule="exact"/>
        <w:rPr>
          <w:sz w:val="20"/>
          <w:szCs w:val="20"/>
          <w:color w:val="auto"/>
        </w:rPr>
      </w:pPr>
    </w:p>
    <w:p>
      <w:pPr>
        <w:ind w:left="220" w:right="8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114" w:lineRule="exact"/>
        <w:rPr>
          <w:rFonts w:ascii="Arial" w:cs="Arial" w:eastAsia="Arial" w:hAnsi="Arial"/>
          <w:sz w:val="18"/>
          <w:szCs w:val="18"/>
          <w:color w:val="auto"/>
        </w:rPr>
      </w:pPr>
    </w:p>
    <w:p>
      <w:pPr>
        <w:ind w:left="220" w:right="60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 the securities in the target company must have sufficient time and information to enable them to reach a properly informed decision on the offer; where it advises the holders of securities, the board of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140"/>
        <w:spacing w:after="0" w:line="239" w:lineRule="auto"/>
        <w:rPr>
          <w:sz w:val="20"/>
          <w:szCs w:val="20"/>
          <w:color w:val="auto"/>
        </w:rPr>
      </w:pPr>
      <w:r>
        <w:rPr>
          <w:rFonts w:ascii="Arial" w:cs="Arial" w:eastAsia="Arial" w:hAnsi="Arial"/>
          <w:sz w:val="18"/>
          <w:szCs w:val="18"/>
          <w:color w:val="auto"/>
        </w:rPr>
        <w:t>target company must give its views on the effects of implementation of the offer on employment, conditions of employment and the locations of the target company’s places of business;</w:t>
      </w:r>
    </w:p>
    <w:p>
      <w:pPr>
        <w:spacing w:after="0" w:line="114" w:lineRule="exact"/>
        <w:rPr>
          <w:sz w:val="20"/>
          <w:szCs w:val="20"/>
          <w:color w:val="auto"/>
        </w:rPr>
      </w:pPr>
    </w:p>
    <w:p>
      <w:pPr>
        <w:ind w:left="22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the target company must act in our interests as a whole and must not deny the holders of securities the opportunity to decide on the merits of the offer;</w:t>
      </w:r>
    </w:p>
    <w:p>
      <w:pPr>
        <w:spacing w:after="0" w:line="114" w:lineRule="exact"/>
        <w:rPr>
          <w:rFonts w:ascii="Arial" w:cs="Arial" w:eastAsia="Arial" w:hAnsi="Arial"/>
          <w:sz w:val="18"/>
          <w:szCs w:val="18"/>
          <w:color w:val="auto"/>
        </w:rPr>
      </w:pPr>
    </w:p>
    <w:p>
      <w:pPr>
        <w:ind w:left="220" w:right="18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14"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17"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0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34"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Our articles of association allocate authority over the day-to-day management of our affairs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name; formation; fiscal year; registered office</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 of directors</w:t>
      </w:r>
    </w:p>
    <w:p>
      <w:pPr>
        <w:spacing w:after="0" w:line="1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117"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the affirmative vote of two-thirds of our board of directors;</w:t>
      </w:r>
    </w:p>
    <w:p>
      <w:pPr>
        <w:spacing w:after="0" w:line="117" w:lineRule="exact"/>
        <w:rPr>
          <w:rFonts w:ascii="Arial" w:cs="Arial" w:eastAsia="Arial" w:hAnsi="Arial"/>
          <w:sz w:val="18"/>
          <w:szCs w:val="18"/>
          <w:color w:val="auto"/>
        </w:rPr>
      </w:pPr>
    </w:p>
    <w:p>
      <w:pPr>
        <w:jc w:val="both"/>
        <w:ind w:left="220" w:right="160" w:hanging="212"/>
        <w:spacing w:after="0" w:line="238"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election at an annual general meeting, by any shareholder who holds ordinary shares or other shares in our capital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113" w:lineRule="exact"/>
        <w:rPr>
          <w:rFonts w:ascii="Arial" w:cs="Arial" w:eastAsia="Arial" w:hAnsi="Arial"/>
          <w:sz w:val="18"/>
          <w:szCs w:val="18"/>
          <w:color w:val="auto"/>
        </w:rPr>
      </w:pPr>
    </w:p>
    <w:p>
      <w:pPr>
        <w:ind w:left="220" w:right="160" w:hanging="212"/>
        <w:spacing w:after="0" w:line="237"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our capital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Directors shall be appointed as follows:</w:t>
      </w:r>
    </w:p>
    <w:p>
      <w:pPr>
        <w:spacing w:after="0" w:line="117" w:lineRule="exact"/>
        <w:rPr>
          <w:sz w:val="20"/>
          <w:szCs w:val="20"/>
          <w:color w:val="auto"/>
        </w:rPr>
      </w:pPr>
    </w:p>
    <w:p>
      <w:pPr>
        <w:ind w:left="220" w:right="380" w:hanging="212"/>
        <w:spacing w:after="0" w:line="239"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our shareholders by ordinary resolution at the annual general meeting in each year or at any extraordinary general meeting called for the purpose;</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our board in accordance with our articles of association; and</w:t>
      </w:r>
    </w:p>
    <w:p>
      <w:pPr>
        <w:spacing w:after="0" w:line="117" w:lineRule="exact"/>
        <w:rPr>
          <w:rFonts w:ascii="Arial" w:cs="Arial" w:eastAsia="Arial" w:hAnsi="Arial"/>
          <w:sz w:val="18"/>
          <w:szCs w:val="18"/>
          <w:color w:val="auto"/>
        </w:rPr>
      </w:pPr>
    </w:p>
    <w:p>
      <w:pPr>
        <w:jc w:val="both"/>
        <w:ind w:left="220" w:hanging="212"/>
        <w:spacing w:after="0" w:line="237"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our articles of association, our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Removal of directors</w:t>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Duration; dissolution; rights upon liquidation</w:t>
      </w:r>
    </w:p>
    <w:p>
      <w:pPr>
        <w:spacing w:after="0" w:line="13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0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1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ordinary shares are listed on the NYSE under the symbol “WFT.” We do not intend to apply to list the Warrant on any securities exchange or to arrange for quotation of the Warrant on any automated dealer quotation system.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liability for further calls or assessments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shares issued in this offering will be duly and validly issued as fully paid-up.</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and registration of shares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 (ii) 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2014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07"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color w:val="auto"/>
        </w:rPr>
        <w:t>Our articles of association delegate to our secretary, any assistant secretary or a relevant authorized delegate the authority to execute an instrument of transfer on behalf of a transferor.</w:t>
      </w:r>
    </w:p>
    <w:p>
      <w:pPr>
        <w:spacing w:after="0" w:line="10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0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the warrant</w:t>
      </w:r>
    </w:p>
    <w:p>
      <w:pPr>
        <w:spacing w:after="0" w:line="158" w:lineRule="exact"/>
        <w:rPr>
          <w:sz w:val="20"/>
          <w:szCs w:val="20"/>
          <w:color w:val="auto"/>
        </w:rPr>
      </w:pPr>
    </w:p>
    <w:p>
      <w:pPr>
        <w:jc w:val="both"/>
        <w:ind w:right="60"/>
        <w:spacing w:after="0" w:line="299" w:lineRule="auto"/>
        <w:rPr>
          <w:sz w:val="20"/>
          <w:szCs w:val="20"/>
          <w:color w:val="auto"/>
        </w:rPr>
      </w:pPr>
      <w:r>
        <w:rPr>
          <w:rFonts w:ascii="Arial" w:cs="Arial" w:eastAsia="Arial" w:hAnsi="Arial"/>
          <w:sz w:val="16"/>
          <w:szCs w:val="16"/>
          <w:color w:val="auto"/>
        </w:rPr>
        <w:t>The following summary of certain terms and provisions of the Warrant is not complete and is subject to, and qualified in its entirety by reference to, the terms and provisions set forth in the form of Warrant to be filed as an exhibit to the registration statement of which this prospectus forms a part.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w:t>
      </w:r>
      <w:r>
        <w:rPr>
          <w:rFonts w:ascii="Arial" w:cs="Arial" w:eastAsia="Arial" w:hAnsi="Arial"/>
          <w:sz w:val="18"/>
          <w:szCs w:val="18"/>
          <w:color w:val="auto"/>
        </w:rPr>
        <w:t>. The Warrant will be issued and delivered through the facilities of DTC.</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b w:val="1"/>
          <w:bCs w:val="1"/>
          <w:i w:val="1"/>
          <w:iCs w:val="1"/>
          <w:color w:val="auto"/>
        </w:rPr>
        <w:t>Exercisability and duration</w:t>
      </w:r>
      <w:r>
        <w:rPr>
          <w:rFonts w:ascii="Arial" w:cs="Arial" w:eastAsia="Arial" w:hAnsi="Arial"/>
          <w:sz w:val="18"/>
          <w:szCs w:val="18"/>
          <w:color w:val="auto"/>
        </w:rPr>
        <w:t>. The Warrant is exercisable immediately and at any time prior to May 21, 2019 (30 months after its original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The Warrant will be exercisable, at the option of the holder, in whole or in part, by delivery of a written notice of the holder’s election to exercise the Warrant. Within one trading day following an exercise of the Warrant, the holder shall deliver payment of an amount equal to the exercise price in effect on the date of such exercise multiplied by the number of warrant shares as to which the Warrant was so exercised in cash or via wire transfer of immediately available funds. As an alternative to payment in immediately available funds, the holder may, only if at the time of exercise a registration statement is not effective (or the prospectus contained therein is not available for use), in its sole discretion, elect to exercise the Warrant through a net share exercise, in which case the holder would receive upon such exercise the net number of ordinary shares determined according to the formula set forth in the Warrant.</w:t>
      </w:r>
    </w:p>
    <w:p>
      <w:pPr>
        <w:spacing w:after="0" w:line="8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Fractional shares</w:t>
      </w:r>
      <w:r>
        <w:rPr>
          <w:rFonts w:ascii="Arial" w:cs="Arial" w:eastAsia="Arial" w:hAnsi="Arial"/>
          <w:sz w:val="18"/>
          <w:szCs w:val="18"/>
          <w:color w:val="auto"/>
        </w:rPr>
        <w:t>. No fractional ordinary shares are to be issued upon exercise of the Warrant, but rather the number of ordinary shares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shall be rounded to the nearest whole number.</w:t>
      </w:r>
    </w:p>
    <w:p>
      <w:pPr>
        <w:spacing w:after="0" w:line="61"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The exercise price per ordinary share purchasable upon the exercise of the Warrant is $6.43 per share. The exercise price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 is subject to appropriate adjustment in the event of certain share dividends, subdivisions or combinations affecting the ordinary shares. Under certain circumstances, including if the Company issues or sells, or in accordance with the Warrant is deemed to have issued or sold, any ordinary shares (or securities convertible into ordinary shares) for a consideration per share less than the Exercise Price in effect immediately prior to such issuance or sale or deemed issuance or sale, then immediately after such issuance, the Exercise Price then in effect shall be reduced to an amount equal to the price per share in such new issuance.</w:t>
      </w:r>
    </w:p>
    <w:p>
      <w:pPr>
        <w:spacing w:after="0" w:line="82"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b w:val="1"/>
          <w:bCs w:val="1"/>
          <w:i w:val="1"/>
          <w:iCs w:val="1"/>
          <w:color w:val="auto"/>
        </w:rPr>
        <w:t>Exercise Limitations</w:t>
      </w:r>
      <w:r>
        <w:rPr>
          <w:rFonts w:ascii="Arial" w:cs="Arial" w:eastAsia="Arial" w:hAnsi="Arial"/>
          <w:sz w:val="16"/>
          <w:szCs w:val="16"/>
          <w:color w:val="auto"/>
        </w:rPr>
        <w:t>. A holder will not have the right to exercise any portion of the Warrant if the holder (together with its affiliates)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beneficially own in excess of 9.99% of the total number of issued and outstanding ordinary shares immediately after giving effect to such exercise.</w:t>
      </w:r>
    </w:p>
    <w:p>
      <w:pPr>
        <w:spacing w:after="0" w:line="1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i w:val="1"/>
          <w:iCs w:val="1"/>
          <w:color w:val="auto"/>
        </w:rPr>
        <w:t>Exchange Listing</w:t>
      </w:r>
      <w:r>
        <w:rPr>
          <w:rFonts w:ascii="Arial" w:cs="Arial" w:eastAsia="Arial" w:hAnsi="Arial"/>
          <w:sz w:val="18"/>
          <w:szCs w:val="18"/>
          <w:color w:val="auto"/>
        </w:rPr>
        <w:t>. We do not plan to apply to list the Warrant on the NYSE or any other national securities exchange or automated quotation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w:t>
      </w:r>
    </w:p>
    <w:p>
      <w:pPr>
        <w:spacing w:after="0" w:line="61" w:lineRule="exact"/>
        <w:rPr>
          <w:sz w:val="20"/>
          <w:szCs w:val="20"/>
          <w:color w:val="auto"/>
        </w:rPr>
      </w:pPr>
    </w:p>
    <w:p>
      <w:pPr>
        <w:ind w:right="120"/>
        <w:spacing w:after="0"/>
        <w:rPr>
          <w:sz w:val="20"/>
          <w:szCs w:val="20"/>
          <w:color w:val="auto"/>
        </w:rPr>
      </w:pP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In the event of a Change of Control, as described in the Warrant, which generally includes a consolidation or merger,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assignment, transfer, conveyance or other disposal of all or substantially all of the properties or assets of the Company, the acquisition of more than 50% of the outstanding ordinary shares of the Company or other similar transactions, the holder of the Warrant shall have the right to require the Company to purchase the Warrant from the holder for the “Holder Black Scholes Value” (as defined in the Warrant) at the time of the redemption. Similarly, in the event of a Change of Control, the Company shall have the right to redeem the Warrant for the “Company Black Scholes Value” (as defined in the Warrant).</w:t>
      </w:r>
    </w:p>
    <w:p>
      <w:pPr>
        <w:spacing w:after="0" w:line="82"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Charges, taxes, and expenses</w:t>
      </w:r>
      <w:r>
        <w:rPr>
          <w:rFonts w:ascii="Arial" w:cs="Arial" w:eastAsia="Arial" w:hAnsi="Arial"/>
          <w:sz w:val="18"/>
          <w:szCs w:val="18"/>
          <w:color w:val="auto"/>
        </w:rPr>
        <w:t>. Issuance and delivery of ordinary shares upon exercise of the Warrant shall be made without charge to the 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any documentary, stamp, transfer or similar taxes. We will be responsible for any fees and expenses in respect of the issuance of ordinary shares upon exercise through the facilities of DTC.</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No Rights as a Shareholder</w:t>
      </w:r>
      <w:r>
        <w:rPr>
          <w:rFonts w:ascii="Arial" w:cs="Arial" w:eastAsia="Arial" w:hAnsi="Arial"/>
          <w:sz w:val="18"/>
          <w:szCs w:val="18"/>
          <w:color w:val="auto"/>
        </w:rPr>
        <w:t>. Except by virtue of such holder’s ownership of ordinary shares, the holder of a Warrant does not have the rights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privileges of a holder of the ordinary shares, including any voting rights, until the holder exercises the warrant.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Irish tax considerations</w:t>
      </w:r>
    </w:p>
    <w:p>
      <w:pPr>
        <w:spacing w:after="0" w:line="15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following is a summary of certain Irish tax consequences of the purchase, ownership and disposition of Weatherford International plc shares and the Warrant. The summary does not purport to be a comprehensive description of all of the tax considerations that may be relevant to a decision to purchase, own or dispose of the shares and the Warrant. The summary relates only to the position of persons who are the absolute beneficial owners of the shares and the Warrant and may not apply to certain other classes of persons such as dealers in securities or shares.</w:t>
      </w:r>
    </w:p>
    <w:p>
      <w:pPr>
        <w:spacing w:after="0" w:line="75"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shares and Warrant should consult their own advisors as to the Irish or other tax consequences of the purchase, beneficial ownership and disposition of the shares including, in particular, the effect of any state or local tax laws.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consequences to 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2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taxable disposition</w:t>
      </w:r>
    </w:p>
    <w:p>
      <w:pPr>
        <w:spacing w:after="0" w:line="10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Tax on chargeable gains</w:t>
      </w:r>
      <w:r>
        <w:rPr>
          <w:rFonts w:ascii="Arial" w:cs="Arial" w:eastAsia="Arial" w:hAnsi="Arial"/>
          <w:sz w:val="18"/>
          <w:szCs w:val="18"/>
          <w:color w:val="auto"/>
        </w:rPr>
        <w:t>. Weatherford International plc shareholders or holders of the Warrant that are not resident or ordinarily resident in</w:t>
      </w:r>
      <w:r>
        <w:rPr>
          <w:rFonts w:ascii="Arial" w:cs="Arial" w:eastAsia="Arial" w:hAnsi="Arial"/>
          <w:sz w:val="18"/>
          <w:szCs w:val="18"/>
          <w:i w:val="1"/>
          <w:iCs w:val="1"/>
          <w:color w:val="auto"/>
        </w:rPr>
        <w:t xml:space="preserve"> </w:t>
      </w:r>
      <w:r>
        <w:rPr>
          <w:rFonts w:ascii="Arial" w:cs="Arial" w:eastAsia="Arial" w:hAnsi="Arial"/>
          <w:sz w:val="18"/>
          <w:szCs w:val="18"/>
          <w:color w:val="auto"/>
        </w:rPr>
        <w:t>Ireland for Irish tax purposes and do not hold the shares or the Warrant in connection with a trade carried on by such shareholders or holders of the Warrant through an Irish branch or agency will not be liable for Irish tax on chargeable gains realized on a subsequent disposal of the shares or the Warrant. A shareholder of Weatherford International plc or holder of the Warrant who is an individual and who is temporarily not a resident in Ireland may, under Irish anti-avoidance legislation, still be liable to Irish tax on any chargeable gain realized upon subsequent disposal of the shares or the Warrant.</w:t>
      </w:r>
    </w:p>
    <w:p>
      <w:pPr>
        <w:spacing w:after="0" w:line="8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Stamp duty</w:t>
      </w:r>
      <w:r>
        <w:rPr>
          <w:rFonts w:ascii="Arial" w:cs="Arial" w:eastAsia="Arial" w:hAnsi="Arial"/>
          <w:sz w:val="18"/>
          <w:szCs w:val="18"/>
          <w:color w:val="auto"/>
        </w:rPr>
        <w:t>. There is no Irish stamp duty on the issuance of new shares of an Irish incorporated company. The rate of stamp duty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on 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DTC or not.</w:t>
      </w:r>
    </w:p>
    <w:p>
      <w:pPr>
        <w:spacing w:after="0" w:line="8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Shares held through DTC</w:t>
      </w:r>
      <w:r>
        <w:rPr>
          <w:rFonts w:ascii="Arial" w:cs="Arial" w:eastAsia="Arial" w:hAnsi="Arial"/>
          <w:sz w:val="18"/>
          <w:szCs w:val="18"/>
          <w:color w:val="auto"/>
        </w:rPr>
        <w:t>. A transfer of Weatherford International plc shares effected by means of the transfer of book-entry interests in DTC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subject to Irish stamp duty. On the basis that most shares in Weatherford International plc are expected to be held through DTC, it is anticipated that most transfers of shares will be exempt from Irish stamp duty.</w:t>
      </w:r>
    </w:p>
    <w:p>
      <w:pPr>
        <w:spacing w:after="0" w:line="7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i w:val="1"/>
          <w:iCs w:val="1"/>
          <w:color w:val="auto"/>
        </w:rPr>
        <w:t>Shares held outside of DTC or transferred into or out of DTC</w:t>
      </w:r>
      <w:r>
        <w:rPr>
          <w:rFonts w:ascii="Arial" w:cs="Arial" w:eastAsia="Arial" w:hAnsi="Arial"/>
          <w:sz w:val="18"/>
          <w:szCs w:val="18"/>
          <w:color w:val="auto"/>
        </w:rPr>
        <w:t>. A transfer of Weatherford International plc shares where any party to the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holds such shares outside of DTC may be subject to Irish stamp duty. Shareholders wishing to transfer their shares into (or out of) DTC may do so without giving rise to Irish stamp duty provided:</w:t>
      </w:r>
    </w:p>
    <w:p>
      <w:pPr>
        <w:spacing w:after="0" w:line="108"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17" w:lineRule="exact"/>
        <w:rPr>
          <w:rFonts w:ascii="Arial" w:cs="Arial" w:eastAsia="Arial" w:hAnsi="Arial"/>
          <w:sz w:val="18"/>
          <w:szCs w:val="18"/>
          <w:color w:val="auto"/>
        </w:rPr>
      </w:pPr>
    </w:p>
    <w:p>
      <w:pPr>
        <w:jc w:val="center"/>
        <w:ind w:left="5520" w:right="500" w:hanging="5512"/>
        <w:spacing w:after="0" w:line="411" w:lineRule="auto"/>
        <w:tabs>
          <w:tab w:leader="none" w:pos="2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transfer into (or out of) DTC is not effected in contemplation of a subsequent sale of such shares by a beneficial owner to a third party. S-28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0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2014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0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rate of stamp duty on the grant or transfer of the Warrant is 1% of the price paid or the market value of the Warrant, whichever is greater, and is payable by the transferee.</w:t>
      </w:r>
    </w:p>
    <w:p>
      <w:pPr>
        <w:spacing w:after="0" w:line="8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Capital acquisitions tax</w:t>
      </w:r>
      <w:r>
        <w:rPr>
          <w:rFonts w:ascii="Arial" w:cs="Arial" w:eastAsia="Arial" w:hAnsi="Arial"/>
          <w:sz w:val="18"/>
          <w:szCs w:val="18"/>
          <w:color w:val="auto"/>
        </w:rPr>
        <w:t>. Irish capital acquisitions tax (“CAT”) comprises principally gift tax and inheritance tax. CAT could apply to a gift or</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of Weatherford International plc shares or the Warrant irrespective of the place of residence, ordinary residence or domicile of the parties. This is because Weatherford International plc shares and the Warrant are regarded as property situated in Ireland as the share register of Weatherford International plc must be held in Ireland. The person who receives the gift or inheritance has primary liability for CAT.</w:t>
      </w:r>
    </w:p>
    <w:p>
      <w:pPr>
        <w:spacing w:after="0" w:line="9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€310,000 in respect of taxable gifts or inheritances received from their parents. Weatherford International plc shareholders should consult their own tax advisors as to whether CAT is creditable or deductible in computing any domestic tax liabilities.</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Swiss tax considerations</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following is a summary of certain Swiss tax consequences of the (i) purchase, ownership and disposition of Weatherford International plc shares and (ii) the issuance, ownership, exercise or other disposition of the Warrant for non-Swiss holders. The summary does not purport to be a comprehensive description of all of the Swiss tax considerations that may be relevant to a decision to purchase, own and dispose of the shares respectively to acquire, own and exercise or dispose of the Warrant.</w:t>
      </w:r>
    </w:p>
    <w:p>
      <w:pPr>
        <w:spacing w:after="0" w:line="10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potential investor in the shares and the Warrant should consult their own advisors as to the Swiss or other tax consequences of the purchase, beneficial ownership and disposition of the shares and the Warrant including, in particular, the effect of any federal or cantonal/communal tax laws.</w:t>
      </w:r>
    </w:p>
    <w:p>
      <w:pPr>
        <w:spacing w:after="0" w:line="10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Swiss tax consequences to potential Swiss holders (Swiss tax residents or non-Swiss holders with any other taxable presence in Switzerland) of Weatherford International plc shares and the Warrant are not covered in this summary. It is recommended that any Swiss holders consult their own advisors as to the Swiss or other tax consequences of the purchase, beneficial ownership and disposition of the shares respectively the acquisition, beneficial ownership, exercise or disposition of the Warrant.</w:t>
      </w:r>
    </w:p>
    <w:p>
      <w:pPr>
        <w:spacing w:after="0" w:line="10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Swiss tax consequences discussed below are not a complete analysis or listing of all the possible Swiss tax consequences that may be relevant to non-Swiss holder. You should consult your own tax advisor in respect of the Swiss tax consequences related to the receipt, ownership, purchase, sale, exercise or other disposition of Weatherford International plc shares and the Warrant as well as the procedures for claiming a refund of Swiss withholding tax on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 ownership and disposition of Weatherford International plc shares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income tax on dividends and similar distributions</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Weatherford International plc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wealth tax</w:t>
      </w:r>
    </w:p>
    <w:p>
      <w:pPr>
        <w:spacing w:after="0" w:line="1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non-Swiss holder will not be subject to Swiss wealth taxes (net wealth tax or annual capital tax) unless the holder’s Weatherford International plc shares are attributable to a permanent establishment, a fixed place of business maintained in Switzerland or another taxable presence in Switzerland of such non-Swiss 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income tax on capital gains upon disposal, exchange or other disposition of Weatherford International plc shares</w:t>
      </w:r>
    </w:p>
    <w:p>
      <w:pPr>
        <w:spacing w:after="0" w:line="12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shares unless the holder’s shares are attributable to a permanent establishment, a fixed place of business maintained in Switzerland or another taxable presence in Switzerland of such non-Swiss holder.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withholding tax on distributions to shareholders</w:t>
      </w:r>
    </w:p>
    <w:p>
      <w:pPr>
        <w:spacing w:after="0" w:line="12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A Swiss withholding tax of 35% is due on dividends and similar distributions to the shareholders of Weatherford International plc regardless of the place of residency of such shareholders (subject to the exceptions discussed under “—Exemption from Swiss Withholding Tax on Distributions to Shareholders” below). Weatherford International plc, as a Swiss tax resident company, will be required to withhold at such rate and remit on a net basis any payments made to a holder of Weatherford International plc shares and pay such withheld amounts to the Swiss federal tax authorities. Please see “—Refund of Swiss Withholding Tax on Dividends and Other Distributions.”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Exemption from Swiss withholding tax on distributions to shareholders</w:t>
      </w:r>
    </w:p>
    <w:p>
      <w:pPr>
        <w:spacing w:after="0" w:line="124" w:lineRule="exact"/>
        <w:rPr>
          <w:sz w:val="20"/>
          <w:szCs w:val="20"/>
          <w:color w:val="auto"/>
        </w:rPr>
      </w:pPr>
    </w:p>
    <w:p>
      <w:pPr>
        <w:ind w:right="520"/>
        <w:spacing w:after="0" w:line="238" w:lineRule="auto"/>
        <w:rPr>
          <w:sz w:val="20"/>
          <w:szCs w:val="20"/>
          <w:color w:val="auto"/>
        </w:rPr>
      </w:pPr>
      <w:r>
        <w:rPr>
          <w:rFonts w:ascii="Arial" w:cs="Arial" w:eastAsia="Arial" w:hAnsi="Arial"/>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w:t>
      </w:r>
    </w:p>
    <w:p>
      <w:pPr>
        <w:spacing w:after="0" w:line="12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101" w:lineRule="exact"/>
        <w:rPr>
          <w:sz w:val="20"/>
          <w:szCs w:val="20"/>
          <w:color w:val="auto"/>
        </w:rPr>
      </w:pPr>
    </w:p>
    <w:p>
      <w:pPr>
        <w:ind w:right="780"/>
        <w:spacing w:after="0" w:line="239" w:lineRule="auto"/>
        <w:rPr>
          <w:sz w:val="20"/>
          <w:szCs w:val="20"/>
          <w:color w:val="auto"/>
        </w:rPr>
      </w:pPr>
      <w:r>
        <w:rPr>
          <w:rFonts w:ascii="Arial" w:cs="Arial" w:eastAsia="Arial" w:hAnsi="Arial"/>
          <w:sz w:val="18"/>
          <w:szCs w:val="18"/>
          <w:color w:val="auto"/>
        </w:rPr>
        <w:t>Weatherford International plc is required to remit on a net basis the purchase price with the Swiss withholding tax deducted to a holder of Weatherford International plc shares and pay the withholding tax to the Swiss federal tax authorities.</w:t>
      </w:r>
    </w:p>
    <w:p>
      <w:pPr>
        <w:spacing w:after="0" w:line="10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With respect to the refund of Swiss withholding tax from the repurchase of shares, see “—Refund of Swiss Withholding Tax on Dividends and Other Distributions” below.</w:t>
      </w:r>
    </w:p>
    <w:p>
      <w:pPr>
        <w:spacing w:after="0" w:line="10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repurchase of shares for purposes other than capital reduction, such as to retain such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Refund of Swiss withholding tax on dividends and other distributions</w:t>
      </w:r>
    </w:p>
    <w:p>
      <w:pPr>
        <w:spacing w:after="0" w:line="106"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Non-Swiss holders</w:t>
      </w:r>
      <w:r>
        <w:rPr>
          <w:rFonts w:ascii="Arial" w:cs="Arial" w:eastAsia="Arial" w:hAnsi="Arial"/>
          <w:sz w:val="16"/>
          <w:szCs w:val="16"/>
          <w:color w:val="auto"/>
        </w:rPr>
        <w:t>. If the shareholder that receives a distribution from Weatherford International plc is not a Swiss tax resident, does not hold the</w:t>
      </w:r>
      <w:r>
        <w:rPr>
          <w:rFonts w:ascii="Arial" w:cs="Arial" w:eastAsia="Arial" w:hAnsi="Arial"/>
          <w:sz w:val="16"/>
          <w:szCs w:val="16"/>
          <w:i w:val="1"/>
          <w:iCs w:val="1"/>
          <w:color w:val="auto"/>
        </w:rPr>
        <w:t xml:space="preserve"> </w:t>
      </w:r>
      <w:r>
        <w:rPr>
          <w:rFonts w:ascii="Arial" w:cs="Arial" w:eastAsia="Arial" w:hAnsi="Arial"/>
          <w:sz w:val="16"/>
          <w:szCs w:val="16"/>
          <w:color w:val="auto"/>
        </w:rPr>
        <w:t>Weatherford International plc shares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7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i w:val="1"/>
          <w:iCs w:val="1"/>
          <w:color w:val="auto"/>
        </w:rPr>
        <w:t>U.S. holders</w:t>
      </w:r>
      <w:r>
        <w:rPr>
          <w:rFonts w:ascii="Arial" w:cs="Arial" w:eastAsia="Arial" w:hAnsi="Arial"/>
          <w:sz w:val="18"/>
          <w:szCs w:val="18"/>
          <w:color w:val="auto"/>
        </w:rPr>
        <w:t>. The Swiss-U.S. tax treaty provides that U.S. residents eligible for benefits under the treaty can seek a refund of the Swiss</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tax on dividends for the portion exceeding 15% (leading to a refund of 20%) or a 100% refund in the case of qualified pension funds. For sake of completeness, it shall be mentioned that a 5% treaty rate would apply for a U.S. corporate shareholder being treated for U.S. tax purposes as separate legal entity and holding a qualifying investment of at least 10% in Weatherford International plc.</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As a general rule, the refund will be granted under the treaty if the U.S. resident can show evidence of:</w:t>
      </w:r>
    </w:p>
    <w:p>
      <w:pPr>
        <w:spacing w:after="0" w:line="113"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beneficial ownership;</w:t>
      </w:r>
    </w:p>
    <w:p>
      <w:pPr>
        <w:ind w:left="220" w:hanging="212"/>
        <w:spacing w:after="0" w:line="234"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residency; and</w:t>
      </w: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meeting the U.S.-Swiss tax treaty’s limitation on benefits requirements.</w:t>
      </w:r>
    </w:p>
    <w:p>
      <w:pPr>
        <w:spacing w:after="0" w:line="10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stamp duties</w:t>
      </w:r>
    </w:p>
    <w:p>
      <w:pPr>
        <w:spacing w:after="0" w:line="10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Swiss transfer stamp duty in relation to the transfer of Weatherford International plc shares</w:t>
      </w:r>
      <w:r>
        <w:rPr>
          <w:rFonts w:ascii="Arial" w:cs="Arial" w:eastAsia="Arial" w:hAnsi="Arial"/>
          <w:sz w:val="18"/>
          <w:szCs w:val="18"/>
          <w:color w:val="auto"/>
        </w:rPr>
        <w:t>. The purchase or sale of Weatherford International plc</w:t>
      </w:r>
      <w:r>
        <w:rPr>
          <w:rFonts w:ascii="Arial" w:cs="Arial" w:eastAsia="Arial" w:hAnsi="Arial"/>
          <w:sz w:val="18"/>
          <w:szCs w:val="18"/>
          <w:i w:val="1"/>
          <w:iCs w:val="1"/>
          <w:color w:val="auto"/>
        </w:rPr>
        <w:t xml:space="preserve"> </w:t>
      </w:r>
      <w:r>
        <w:rPr>
          <w:rFonts w:ascii="Arial" w:cs="Arial" w:eastAsia="Arial" w:hAnsi="Arial"/>
          <w:sz w:val="18"/>
          <w:szCs w:val="18"/>
          <w:color w:val="auto"/>
        </w:rPr>
        <w:t>shares may be subject to Swiss transfer stamp duty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83" w:lineRule="exact"/>
        <w:rPr>
          <w:sz w:val="20"/>
          <w:szCs w:val="20"/>
          <w:color w:val="auto"/>
        </w:rPr>
      </w:pPr>
    </w:p>
    <w:p>
      <w:pPr>
        <w:jc w:val="both"/>
        <w:ind w:right="320"/>
        <w:spacing w:after="0" w:line="247" w:lineRule="auto"/>
        <w:rPr>
          <w:sz w:val="20"/>
          <w:szCs w:val="20"/>
          <w:color w:val="auto"/>
        </w:rPr>
      </w:pPr>
      <w:r>
        <w:rPr>
          <w:rFonts w:ascii="Arial" w:cs="Arial" w:eastAsia="Arial" w:hAnsi="Arial"/>
          <w:sz w:val="18"/>
          <w:szCs w:val="18"/>
          <w:i w:val="1"/>
          <w:iCs w:val="1"/>
          <w:color w:val="auto"/>
        </w:rPr>
        <w:t>Swiss issuance stamp duty on the issuance of Weatherford International plc shares</w:t>
      </w:r>
      <w:r>
        <w:rPr>
          <w:rFonts w:ascii="Arial" w:cs="Arial" w:eastAsia="Arial" w:hAnsi="Arial"/>
          <w:sz w:val="18"/>
          <w:szCs w:val="18"/>
          <w:color w:val="auto"/>
        </w:rPr>
        <w:t>. For sake of completeness, it shall be mentioned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paid to Weatherford International plc for the issuance of new shares, to the extent no exemption applies, is subject to issuance stamp duty levied at 1%. Weatherford International plc will be liable to Swiss issuance stamp duty.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exercise or disposition of the Warrant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income tax</w:t>
      </w:r>
    </w:p>
    <w:p>
      <w:pPr>
        <w:spacing w:after="0" w:line="12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 non-Swiss holder will not be subject to Swiss income tax neither during the holding period nor on capital gains realized upon disposal, exchange or other disposition of the Warrant unless the holder’s Warrant is attributable to a permanent establishment, a fixed place of business maintained in Switzerland or another taxable presence in Switzerland of such non-Swiss holder.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wealth tax</w:t>
      </w:r>
    </w:p>
    <w:p>
      <w:pPr>
        <w:spacing w:after="0" w:line="12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 non-Swiss holder will not be subject to Swiss wealth taxes unless the holder’s Warrant is attributable to a permanent establishment, a fixed place of business maintained in Switzerland or another taxable presence in Switzerland of such non-Swiss holder.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withholding tax</w:t>
      </w:r>
    </w:p>
    <w:p>
      <w:pPr>
        <w:spacing w:after="0" w:line="124"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While a conversion of the Warrants into ordinary shares by way of a cash exercise does not trigger Swiss withholding tax consequences, a conversion by way of a cashless exercise might trigger Swiss withholding tax consequences.</w:t>
      </w:r>
    </w:p>
    <w:p>
      <w:pPr>
        <w:spacing w:after="0" w:line="10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Further, any payments from Weatherford International plc to the holders of Warrants to compensate them for distributions made to shareholders in Weatherford International plc might also be subject to Swiss withholding tax.</w:t>
      </w:r>
    </w:p>
    <w:p>
      <w:pPr>
        <w:spacing w:after="0" w:line="10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Non-Swiss tax resident holders of the Warrant that do not hold the Warrant in connection with a permanent establishment or a fixed place of business maintained in Switzerland, might be entitled for full or partial refund of Swiss withholding tax described above, if they reside in a country that has concluded a treaty for the avoidance of double taxation with Switzerland for which the conditions for the application and protection of and by the treaty are met. The procedures for claiming treaty refunds (and the time frame required for obtaining a refund) may differ from country to country.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stamp duties</w:t>
      </w:r>
    </w:p>
    <w:p>
      <w:pPr>
        <w:spacing w:after="0" w:line="10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Swiss issuance stamp duty in relation to the issuance of the warrant</w:t>
      </w:r>
      <w:r>
        <w:rPr>
          <w:rFonts w:ascii="Arial" w:cs="Arial" w:eastAsia="Arial" w:hAnsi="Arial"/>
          <w:sz w:val="18"/>
          <w:szCs w:val="18"/>
          <w:color w:val="auto"/>
        </w:rPr>
        <w:t>. Straight derivatives for tax purposes such as the Warrant in the case at</w:t>
      </w:r>
      <w:r>
        <w:rPr>
          <w:rFonts w:ascii="Arial" w:cs="Arial" w:eastAsia="Arial" w:hAnsi="Arial"/>
          <w:sz w:val="18"/>
          <w:szCs w:val="18"/>
          <w:i w:val="1"/>
          <w:iCs w:val="1"/>
          <w:color w:val="auto"/>
        </w:rPr>
        <w:t xml:space="preserve"> </w:t>
      </w:r>
      <w:r>
        <w:rPr>
          <w:rFonts w:ascii="Arial" w:cs="Arial" w:eastAsia="Arial" w:hAnsi="Arial"/>
          <w:sz w:val="18"/>
          <w:szCs w:val="18"/>
          <w:color w:val="auto"/>
        </w:rPr>
        <w:t>hand do not qualify as taxable security in the meaning of the Swiss Federal Stamp Duty Act and are therefore not subject to Swiss issuance stamp duty.</w:t>
      </w:r>
    </w:p>
    <w:p>
      <w:pPr>
        <w:spacing w:after="0" w:line="77"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i w:val="1"/>
          <w:iCs w:val="1"/>
          <w:color w:val="auto"/>
        </w:rPr>
        <w:t>Swiss transfer stamp duty in relation to the exercise or disposition of the warrant</w:t>
      </w:r>
      <w:r>
        <w:rPr>
          <w:rFonts w:ascii="Arial" w:cs="Arial" w:eastAsia="Arial" w:hAnsi="Arial"/>
          <w:sz w:val="18"/>
          <w:szCs w:val="18"/>
          <w:color w:val="auto"/>
        </w:rPr>
        <w:t>. Straight derivatives for tax purposes such as the Warrant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at hand do not qualify as taxable security in the meaning of the Swiss Federal Stamp Duty Act and are therefore not subject to Swiss transfer stamp duty.</w:t>
      </w:r>
    </w:p>
    <w:p>
      <w:pPr>
        <w:spacing w:after="0" w:line="77"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Swiss issuance stamp duty on the issuance of Weatherford International plc shares</w:t>
      </w:r>
      <w:r>
        <w:rPr>
          <w:rFonts w:ascii="Arial" w:cs="Arial" w:eastAsia="Arial" w:hAnsi="Arial"/>
          <w:sz w:val="18"/>
          <w:szCs w:val="18"/>
          <w:color w:val="auto"/>
        </w:rPr>
        <w:t>. For sake of completeness, it shall be mentioned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paid to Weatherford International plc for the issuance of new shares as a result of the exercise of the Warrant, to the extent no exemption applies, is subject to issuance stamp duty levied at 1%. Weatherford International plc will be liable for Swiss issuance stamp duty.</w:t>
      </w:r>
    </w:p>
    <w:p>
      <w:pPr>
        <w:spacing w:after="0" w:line="9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Plan of distribution (Conflicts of Interest)</w:t>
      </w:r>
    </w:p>
    <w:p>
      <w:pPr>
        <w:spacing w:after="0" w:line="15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J.P. Morgan Securities LLC, referred to as the placement agent, has entered into a placement agency agreement with us in which it has agreed to act as placement agent in connection with the offering. Subject to the terms and conditions contained in the placement agency agreement, the placement agent is using its best efforts to introduce us to certain potential investors who will purchase the ordinary shares and the Warrant. The placement agent has no obligation to buy any of the ordinary shares and the Warrant from us nor is the placement agent required to arrange the purchase or sale of any specific number or dollar amount of the ordinary shares and the Warrant, but has agreed to use its best efforts to arrange for the sale of all of the ordinary shares and the Warrant.</w:t>
      </w:r>
    </w:p>
    <w:p>
      <w:pPr>
        <w:spacing w:after="0" w:line="102"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We have agreed to indemnify the placement agent and certain other persons against certain liabilities under the Securities Act. The placement agent has informed us that it will not engage in overallotment, stabilizing transactions or syndicate covering transactions in connection with this offering.</w:t>
      </w:r>
    </w:p>
    <w:p>
      <w:pPr>
        <w:spacing w:after="0" w:line="100"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We have agreed to pay the placement agent a fee equal to 1.85% of the proceeds of this offering and to reimburse the placement agent for reasonable expenses that it incurs in connection with the offering.</w:t>
      </w:r>
    </w:p>
    <w:p>
      <w:pPr>
        <w:spacing w:after="0" w:line="101"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following table shows the per ordinary share and Warrant and total fees we will pay to the placement agent assuming the sale of all of the ordinary shares and the Warrant offered pursuant to this prospectus supplement: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 ordinary share and Warrant</w:t>
            </w:r>
          </w:p>
        </w:tc>
        <w:tc>
          <w:tcPr>
            <w:tcW w:w="4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0.0999</w:t>
            </w:r>
          </w:p>
        </w:tc>
      </w:tr>
      <w:tr>
        <w:trPr>
          <w:trHeight w:val="203"/>
        </w:trPr>
        <w:tc>
          <w:tcPr>
            <w:tcW w:w="6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Total</w:t>
            </w:r>
          </w:p>
        </w:tc>
        <w:tc>
          <w:tcPr>
            <w:tcW w:w="4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w w:val="97"/>
              </w:rPr>
              <w:t>8,441,550</w:t>
            </w:r>
          </w:p>
        </w:tc>
      </w:tr>
    </w:tbl>
    <w:p>
      <w:pPr>
        <w:spacing w:after="0" w:line="11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and our officers and directors have agreed to a 60-day “lock-up” with respect to the ordinary shares and other of our securities that they beneficially own. This means that, subject to certain exceptions, for a period of 60 days following the closing of this offering, we and such persons may not offer, sell, pledge or otherwise dispose of these securities without the prior written consent of the placement agent.</w:t>
      </w:r>
    </w:p>
    <w:p>
      <w:pPr>
        <w:spacing w:after="0" w:line="100"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This is a brief summary of certain provisions of the placement agency agreement that we have entered into and does not purport to be a complete statement of its terms and conditions. A copy of the placement agency agreement will be filed with the SEC and incorporated by reference into the registration statement of which this prospectus supplement forms a part. See “Where You Can Find More Information” on page S-37.</w:t>
      </w:r>
    </w:p>
    <w:p>
      <w:pPr>
        <w:spacing w:after="0" w:line="7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placement agent and certain of its affiliates have provided in the past, and may provide from time to time in the future, certain commercial banking, financial advisory, investment banking and other services for us and our affiliates in the ordinary course of their business, for which they have received and may continue to receive customary fees and commissions. In addition, from time to time, the placement agent and certain of its affiliates may effect transactions for their own account or the account of customers, and hold on behalf of themselves or their customers, long or short positions in our debt or equity securities or loans, and may do so in the future.</w:t>
      </w:r>
    </w:p>
    <w:p>
      <w:pPr>
        <w:spacing w:after="0" w:line="103"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 transfer agent for our ordinary shares to be issued in this offering is DTC. We currently anticipate that the closing of the securities will take place on or about November 21, 2016. At the closing, DTC will credit the ordinary shares and the Warrant to the respective accounts of the investors.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an affiliate of the placement agent is a lender under our revolving credit agreement and our term loan agreement and may receive 5% or more of the net proceeds of this offering if we repay amounts outstanding under our revolving credit agreement or our term loan agreement using the net proceeds from this offering, it is deemed to have a “conflict of interest” under FINRA Rule 5121. Accordingly, this offering is being made in compliance with the requirements of Rule 5121. The appointment of a “qualified independent underwriter” is not required in connection with this offering as a “bona fide public market,” as defined in Rule 5121, exists for our common stock. In accordance with Rule 5121, the placement agent will not confirm sales to any account over which it exercises discretionary authority without the specific written approval of the transaction from the account holder. Please read “Use of Proceeds.”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validity of the ordinary shares and the Warrant being offered by this prospectus supplement and the accompanying prospectus with respect to the laws of Ireland will be passed upon for us by Matheson, and certain other legal matters will be passed upon for us by Latham &amp; Watkins LLP. Certain legal matters will be passed upon for the placement agent by Morrison &amp; Foerster LLP, New York, New York.</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consolidated financial statements and schedule of Weatherford International plc as of December 31, 2015 and December 31,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5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We are subject to the informational requirements of the Exchange Act and, in accordance therewith, file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Our SEC filings also are available to the public from commercial document retrieval services and at the website maintained by the SEC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w:t>
      </w:r>
    </w:p>
    <w:p>
      <w:pPr>
        <w:spacing w:after="0" w:line="1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ordinary shares are listed on the NYSE under the symbol “WFT.” Our reports and other information filed with the SEC can also be inspected at the offices of the NYSE, 20 Broad Street, New York, New York 10005.</w:t>
      </w:r>
    </w:p>
    <w:p>
      <w:pPr>
        <w:spacing w:after="0" w:line="8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 xml:space="preserve">We also make available free of charge on our Internet website at </w:t>
      </w:r>
      <w:r>
        <w:rPr>
          <w:rFonts w:ascii="Arial" w:cs="Arial" w:eastAsia="Arial" w:hAnsi="Arial"/>
          <w:sz w:val="18"/>
          <w:szCs w:val="18"/>
          <w:i w:val="1"/>
          <w:iCs w:val="1"/>
          <w:u w:val="single" w:color="auto"/>
          <w:color w:val="auto"/>
        </w:rPr>
        <w:t>www.weatherford.com</w:t>
      </w:r>
      <w:r>
        <w:rPr>
          <w:rFonts w:ascii="Arial" w:cs="Arial" w:eastAsia="Arial" w:hAnsi="Arial"/>
          <w:sz w:val="18"/>
          <w:szCs w:val="18"/>
          <w:color w:val="auto"/>
        </w:rPr>
        <w:t xml:space="preserve"> all of the documents that we file with the SEC as soon as reasonably practicable after we electronically file those documents with the SEC. Information contained on our website is not incorporated by reference into this prospectus supplement, and you should not consider information contained on our website as part of this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Incorporation by reference</w:t>
      </w:r>
    </w:p>
    <w:p>
      <w:pPr>
        <w:spacing w:after="0" w:line="15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Except to the extent that therein information is deemed furnished and not filed pursuant to securities laws and regulations, this prospectus supplement incorporates by reference the documents set forth below that we previously filed with the SEC. You should not assume that the information in this prospectus supplement is current as of the date other than the date on the cover page of this prospectus supplement. These documents contain important information about us. Information that we file later with the SEC will automatically update and supersede this information.</w:t>
      </w:r>
    </w:p>
    <w:p>
      <w:pPr>
        <w:spacing w:after="0" w:line="115" w:lineRule="exact"/>
        <w:rPr>
          <w:sz w:val="20"/>
          <w:szCs w:val="20"/>
          <w:color w:val="auto"/>
        </w:rPr>
      </w:pPr>
    </w:p>
    <w:p>
      <w:pPr>
        <w:ind w:left="5520" w:right="2020" w:hanging="5512"/>
        <w:spacing w:after="0" w:line="411" w:lineRule="auto"/>
        <w:tabs>
          <w:tab w:leader="none" w:pos="2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 as filed with the SEC on February 16, 2016; S-36</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160" w:hanging="212"/>
        <w:spacing w:after="0" w:line="239"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Report on Form 10-Q for the quarters ended March 31, 2016, June 30, 2016 and September 30, 2016, as filed with the SEC on May 5, 2016, July 29, 2016 and October 28, 2016, respectively;</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April 26, 2016; and</w:t>
      </w:r>
    </w:p>
    <w:p>
      <w:pPr>
        <w:spacing w:after="0" w:line="112"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Reports on Form 8-K or Form 8-K/A, as filed with the SEC on February 4, 2016, March 3, 2016, May 10, 2016, May 27,</w:t>
      </w:r>
    </w:p>
    <w:p>
      <w:pPr>
        <w:ind w:left="220"/>
        <w:spacing w:after="0" w:line="238" w:lineRule="auto"/>
        <w:rPr>
          <w:rFonts w:ascii="Arial" w:cs="Arial" w:eastAsia="Arial" w:hAnsi="Arial"/>
          <w:sz w:val="18"/>
          <w:szCs w:val="18"/>
          <w:color w:val="auto"/>
        </w:rPr>
      </w:pPr>
      <w:r>
        <w:rPr>
          <w:rFonts w:ascii="Arial" w:cs="Arial" w:eastAsia="Arial" w:hAnsi="Arial"/>
          <w:sz w:val="18"/>
          <w:szCs w:val="18"/>
          <w:color w:val="auto"/>
        </w:rPr>
        <w:t>2016, June 7, 2016, June 8, 2016, June 10, 2016, June 15, 2016, June 16, 2016, June 17, 2016, June 21, 2016 (as amended on Form 8-K/A filed on July 8, 2016), July 22, 2016 and September 27, 2016 and November 9, 2016 (in each case, excluding any information furnished pursuant to Item 2.02 or Item 7.01 of any such Current Report on Form 8-K).</w:t>
      </w:r>
    </w:p>
    <w:p>
      <w:pPr>
        <w:spacing w:after="0" w:line="10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You may request a copy of any document incorporated by reference in this prospectus supplement and any exhibit specifically incorporated by reference in those documents, at no cost, by writing or telephoning us at the following address or phone number:</w:t>
      </w: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Weatherford International plc</w:t>
      </w:r>
    </w:p>
    <w:p>
      <w:pPr>
        <w:jc w:val="center"/>
        <w:ind w:right="-279"/>
        <w:spacing w:after="0" w:line="234" w:lineRule="auto"/>
        <w:rPr>
          <w:sz w:val="20"/>
          <w:szCs w:val="20"/>
          <w:color w:val="auto"/>
        </w:rPr>
      </w:pPr>
      <w:r>
        <w:rPr>
          <w:rFonts w:ascii="Arial" w:cs="Arial" w:eastAsia="Arial" w:hAnsi="Arial"/>
          <w:sz w:val="18"/>
          <w:szCs w:val="18"/>
          <w:color w:val="auto"/>
        </w:rPr>
        <w:t>Attention: Investor Relations</w:t>
      </w:r>
    </w:p>
    <w:p>
      <w:pPr>
        <w:jc w:val="center"/>
        <w:ind w:right="-279"/>
        <w:spacing w:after="0" w:line="235" w:lineRule="auto"/>
        <w:rPr>
          <w:sz w:val="20"/>
          <w:szCs w:val="20"/>
          <w:color w:val="auto"/>
        </w:rPr>
      </w:pPr>
      <w:r>
        <w:rPr>
          <w:rFonts w:ascii="Arial" w:cs="Arial" w:eastAsia="Arial" w:hAnsi="Arial"/>
          <w:sz w:val="18"/>
          <w:szCs w:val="18"/>
          <w:color w:val="auto"/>
        </w:rPr>
        <w:t>2000 St. James Place</w:t>
      </w:r>
    </w:p>
    <w:p>
      <w:pPr>
        <w:jc w:val="center"/>
        <w:ind w:right="-279"/>
        <w:spacing w:after="0" w:line="235" w:lineRule="auto"/>
        <w:rPr>
          <w:sz w:val="20"/>
          <w:szCs w:val="20"/>
          <w:color w:val="auto"/>
        </w:rPr>
      </w:pPr>
      <w:r>
        <w:rPr>
          <w:rFonts w:ascii="Arial" w:cs="Arial" w:eastAsia="Arial" w:hAnsi="Arial"/>
          <w:sz w:val="18"/>
          <w:szCs w:val="18"/>
          <w:color w:val="auto"/>
        </w:rPr>
        <w:t>Houston, Texas 77056</w:t>
      </w:r>
    </w:p>
    <w:p>
      <w:pPr>
        <w:spacing w:after="0" w:line="1" w:lineRule="exact"/>
        <w:rPr>
          <w:sz w:val="20"/>
          <w:szCs w:val="20"/>
          <w:color w:val="auto"/>
        </w:rPr>
      </w:pPr>
    </w:p>
    <w:p>
      <w:pPr>
        <w:ind w:left="5520" w:right="4840" w:hanging="406"/>
        <w:spacing w:after="0" w:line="493" w:lineRule="auto"/>
        <w:tabs>
          <w:tab w:leader="none" w:pos="55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836-4000 S-37</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172085</wp:posOffset>
            </wp:positionV>
            <wp:extent cx="875030" cy="386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 Irish public limited company)</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Guarantees of Debt Securities</w:t>
      </w:r>
    </w:p>
    <w:p>
      <w:pPr>
        <w:spacing w:after="0" w:line="216" w:lineRule="exact"/>
        <w:rPr>
          <w:sz w:val="20"/>
          <w:szCs w:val="20"/>
          <w:color w:val="auto"/>
        </w:rPr>
      </w:pPr>
    </w:p>
    <w:tbl>
      <w:tblPr>
        <w:tblLayout w:type="fixed"/>
        <w:tblInd w:w="860" w:type="dxa"/>
        <w:tblCellMar>
          <w:top w:w="0" w:type="dxa"/>
          <w:left w:w="0" w:type="dxa"/>
          <w:bottom w:w="0" w:type="dxa"/>
          <w:right w:w="0" w:type="dxa"/>
        </w:tblCellMar>
      </w:tblPr>
      <w:tr>
        <w:trPr>
          <w:trHeight w:val="351"/>
        </w:trPr>
        <w:tc>
          <w:tcPr>
            <w:tcW w:w="4840" w:type="dxa"/>
            <w:vAlign w:val="bottom"/>
          </w:tcPr>
          <w:p>
            <w:pPr>
              <w:jc w:val="center"/>
              <w:ind w:right="838"/>
              <w:spacing w:after="0"/>
              <w:rPr>
                <w:sz w:val="20"/>
                <w:szCs w:val="20"/>
                <w:color w:val="auto"/>
              </w:rPr>
            </w:pPr>
            <w:r>
              <w:rPr>
                <w:rFonts w:ascii="Arial" w:cs="Arial" w:eastAsia="Arial" w:hAnsi="Arial"/>
                <w:sz w:val="29"/>
                <w:szCs w:val="29"/>
                <w:b w:val="1"/>
                <w:bCs w:val="1"/>
                <w:color w:val="auto"/>
                <w:w w:val="93"/>
              </w:rPr>
              <w:t>Weatherford International Ltd.</w:t>
            </w:r>
          </w:p>
        </w:tc>
        <w:tc>
          <w:tcPr>
            <w:tcW w:w="5000" w:type="dxa"/>
            <w:vAlign w:val="bottom"/>
          </w:tcPr>
          <w:p>
            <w:pPr>
              <w:jc w:val="center"/>
              <w:ind w:left="858"/>
              <w:spacing w:after="0"/>
              <w:rPr>
                <w:sz w:val="20"/>
                <w:szCs w:val="20"/>
                <w:color w:val="auto"/>
              </w:rPr>
            </w:pPr>
            <w:r>
              <w:rPr>
                <w:rFonts w:ascii="Arial" w:cs="Arial" w:eastAsia="Arial" w:hAnsi="Arial"/>
                <w:sz w:val="29"/>
                <w:szCs w:val="29"/>
                <w:b w:val="1"/>
                <w:bCs w:val="1"/>
                <w:color w:val="auto"/>
                <w:w w:val="94"/>
              </w:rPr>
              <w:t>Weatherford International, LLC</w:t>
            </w:r>
          </w:p>
        </w:tc>
      </w:tr>
      <w:tr>
        <w:trPr>
          <w:trHeight w:val="234"/>
        </w:trPr>
        <w:tc>
          <w:tcPr>
            <w:tcW w:w="4840" w:type="dxa"/>
            <w:vAlign w:val="bottom"/>
          </w:tcPr>
          <w:p>
            <w:pPr>
              <w:jc w:val="center"/>
              <w:ind w:right="838"/>
              <w:spacing w:after="0"/>
              <w:rPr>
                <w:sz w:val="20"/>
                <w:szCs w:val="20"/>
                <w:color w:val="auto"/>
              </w:rPr>
            </w:pPr>
            <w:r>
              <w:rPr>
                <w:rFonts w:ascii="Arial" w:cs="Arial" w:eastAsia="Arial" w:hAnsi="Arial"/>
                <w:sz w:val="18"/>
                <w:szCs w:val="18"/>
                <w:b w:val="1"/>
                <w:bCs w:val="1"/>
                <w:color w:val="auto"/>
                <w:w w:val="90"/>
              </w:rPr>
              <w:t>(a Bermuda exempted company )</w:t>
            </w:r>
          </w:p>
        </w:tc>
        <w:tc>
          <w:tcPr>
            <w:tcW w:w="5000" w:type="dxa"/>
            <w:vAlign w:val="bottom"/>
          </w:tcPr>
          <w:p>
            <w:pPr>
              <w:jc w:val="center"/>
              <w:ind w:left="858"/>
              <w:spacing w:after="0"/>
              <w:rPr>
                <w:sz w:val="20"/>
                <w:szCs w:val="20"/>
                <w:color w:val="auto"/>
              </w:rPr>
            </w:pPr>
            <w:r>
              <w:rPr>
                <w:rFonts w:ascii="Arial" w:cs="Arial" w:eastAsia="Arial" w:hAnsi="Arial"/>
                <w:sz w:val="18"/>
                <w:szCs w:val="18"/>
                <w:b w:val="1"/>
                <w:bCs w:val="1"/>
                <w:color w:val="auto"/>
                <w:w w:val="91"/>
              </w:rPr>
              <w:t>(a Delaware limited liability company)</w:t>
            </w:r>
          </w:p>
        </w:tc>
      </w:tr>
      <w:tr>
        <w:trPr>
          <w:trHeight w:val="396"/>
        </w:trPr>
        <w:tc>
          <w:tcPr>
            <w:tcW w:w="4840" w:type="dxa"/>
            <w:vAlign w:val="bottom"/>
          </w:tcPr>
          <w:p>
            <w:pPr>
              <w:jc w:val="center"/>
              <w:ind w:right="838"/>
              <w:spacing w:after="0"/>
              <w:rPr>
                <w:sz w:val="20"/>
                <w:szCs w:val="20"/>
                <w:color w:val="auto"/>
              </w:rPr>
            </w:pPr>
            <w:r>
              <w:rPr>
                <w:rFonts w:ascii="Arial" w:cs="Arial" w:eastAsia="Arial" w:hAnsi="Arial"/>
                <w:sz w:val="25"/>
                <w:szCs w:val="25"/>
                <w:b w:val="1"/>
                <w:bCs w:val="1"/>
                <w:color w:val="auto"/>
                <w:w w:val="90"/>
              </w:rPr>
              <w:t>Debt Securities</w:t>
            </w:r>
          </w:p>
        </w:tc>
        <w:tc>
          <w:tcPr>
            <w:tcW w:w="5000" w:type="dxa"/>
            <w:vAlign w:val="bottom"/>
          </w:tcPr>
          <w:p>
            <w:pPr>
              <w:jc w:val="center"/>
              <w:ind w:left="858"/>
              <w:spacing w:after="0"/>
              <w:rPr>
                <w:sz w:val="20"/>
                <w:szCs w:val="20"/>
                <w:color w:val="auto"/>
              </w:rPr>
            </w:pPr>
            <w:r>
              <w:rPr>
                <w:rFonts w:ascii="Arial" w:cs="Arial" w:eastAsia="Arial" w:hAnsi="Arial"/>
                <w:sz w:val="25"/>
                <w:szCs w:val="25"/>
                <w:b w:val="1"/>
                <w:bCs w:val="1"/>
                <w:color w:val="auto"/>
                <w:w w:val="88"/>
              </w:rPr>
              <w:t>Debt Securities</w:t>
            </w:r>
          </w:p>
        </w:tc>
      </w:tr>
      <w:tr>
        <w:trPr>
          <w:trHeight w:val="329"/>
        </w:trPr>
        <w:tc>
          <w:tcPr>
            <w:tcW w:w="4840" w:type="dxa"/>
            <w:vAlign w:val="bottom"/>
          </w:tcPr>
          <w:p>
            <w:pPr>
              <w:jc w:val="center"/>
              <w:ind w:right="838"/>
              <w:spacing w:after="0"/>
              <w:rPr>
                <w:sz w:val="20"/>
                <w:szCs w:val="20"/>
                <w:color w:val="auto"/>
              </w:rPr>
            </w:pPr>
            <w:r>
              <w:rPr>
                <w:rFonts w:ascii="Arial" w:cs="Arial" w:eastAsia="Arial" w:hAnsi="Arial"/>
                <w:sz w:val="25"/>
                <w:szCs w:val="25"/>
                <w:b w:val="1"/>
                <w:bCs w:val="1"/>
                <w:color w:val="auto"/>
                <w:w w:val="89"/>
              </w:rPr>
              <w:t>Guarantees of Debt Securities</w:t>
            </w:r>
          </w:p>
        </w:tc>
        <w:tc>
          <w:tcPr>
            <w:tcW w:w="5000" w:type="dxa"/>
            <w:vAlign w:val="bottom"/>
          </w:tcPr>
          <w:p>
            <w:pPr>
              <w:jc w:val="center"/>
              <w:ind w:left="858"/>
              <w:spacing w:after="0"/>
              <w:rPr>
                <w:sz w:val="20"/>
                <w:szCs w:val="20"/>
                <w:color w:val="auto"/>
              </w:rPr>
            </w:pPr>
            <w:r>
              <w:rPr>
                <w:rFonts w:ascii="Arial" w:cs="Arial" w:eastAsia="Arial" w:hAnsi="Arial"/>
                <w:sz w:val="25"/>
                <w:szCs w:val="25"/>
                <w:b w:val="1"/>
                <w:bCs w:val="1"/>
                <w:color w:val="auto"/>
                <w:w w:val="90"/>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140" w:firstLine="456"/>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4 and “</w:t>
      </w:r>
      <w:hyperlink w:anchor="page52">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6 herein and in the applicable prospectus supplement and any related free writing prospectus and under similar headings in the other documents incorporated by reference into this prospectus and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November 16, 2016.</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80" w:type="dxa"/>
            <w:vAlign w:val="bottom"/>
          </w:tcPr>
          <w:p>
            <w:pPr>
              <w:jc w:val="right"/>
              <w:ind w:right="483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240" w:type="dxa"/>
            <w:vAlign w:val="bottom"/>
            <w:tcBorders>
              <w:bottom w:val="single" w:sz="8" w:color="0000EE"/>
            </w:tcBorders>
            <w:gridSpan w:val="7"/>
          </w:tcPr>
          <w:p>
            <w:pPr>
              <w:spacing w:after="0" w:line="190" w:lineRule="exact"/>
              <w:rPr>
                <w:rFonts w:ascii="Arial" w:cs="Arial" w:eastAsia="Arial" w:hAnsi="Arial"/>
                <w:sz w:val="18"/>
                <w:szCs w:val="18"/>
                <w:color w:val="0000EE"/>
                <w:w w:val="93"/>
              </w:rPr>
            </w:pPr>
            <w:hyperlink w:anchor="page47">
              <w:r>
                <w:rPr>
                  <w:rFonts w:ascii="Arial" w:cs="Arial" w:eastAsia="Arial" w:hAnsi="Arial"/>
                  <w:sz w:val="18"/>
                  <w:szCs w:val="18"/>
                  <w:color w:val="0000EE"/>
                  <w:w w:val="93"/>
                </w:rPr>
                <w:t>ABOUT THIS PROSPECTUS</w:t>
              </w:r>
            </w:hyperlink>
          </w:p>
        </w:tc>
        <w:tc>
          <w:tcPr>
            <w:tcW w:w="2200" w:type="dxa"/>
            <w:vAlign w:val="bottom"/>
            <w:gridSpan w:val="6"/>
          </w:tcPr>
          <w:p>
            <w:pPr>
              <w:spacing w:after="0"/>
              <w:rPr>
                <w:sz w:val="16"/>
                <w:szCs w:val="16"/>
                <w:color w:val="auto"/>
              </w:rPr>
            </w:pPr>
          </w:p>
        </w:tc>
        <w:tc>
          <w:tcPr>
            <w:tcW w:w="68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ABOUT US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FORWARD-LOOKING STATEMENTS</w:t>
              </w:r>
            </w:hyperlink>
          </w:p>
        </w:tc>
        <w:tc>
          <w:tcPr>
            <w:tcW w:w="880" w:type="dxa"/>
            <w:vAlign w:val="bottom"/>
            <w:tcBorders>
              <w:top w:val="single" w:sz="8" w:color="0000EE"/>
            </w:tcBorders>
            <w:gridSpan w:val="2"/>
          </w:tcPr>
          <w:p>
            <w:pPr>
              <w:spacing w:after="0"/>
              <w:rPr>
                <w:sz w:val="17"/>
                <w:szCs w:val="17"/>
                <w:color w:val="auto"/>
              </w:rPr>
            </w:pPr>
          </w:p>
        </w:tc>
        <w:tc>
          <w:tcPr>
            <w:tcW w:w="620" w:type="dxa"/>
            <w:vAlign w:val="bottom"/>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RISK FACTORS</w:t>
              </w:r>
            </w:hyperlink>
          </w:p>
        </w:tc>
        <w:tc>
          <w:tcPr>
            <w:tcW w:w="3180" w:type="dxa"/>
            <w:vAlign w:val="bottom"/>
            <w:gridSpan w:val="10"/>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RATIO OF EARNINGS TO FIXED CHARGES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DESCRIPTION OF SECURITIES</w:t>
              </w:r>
            </w:hyperlink>
          </w:p>
        </w:tc>
        <w:tc>
          <w:tcPr>
            <w:tcW w:w="960" w:type="dxa"/>
            <w:vAlign w:val="bottom"/>
            <w:tcBorders>
              <w:top w:val="single" w:sz="8" w:color="0000EE"/>
            </w:tcBorders>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52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SELLING SECURITYHOLDERS</w:t>
              </w:r>
            </w:hyperlink>
          </w:p>
        </w:tc>
        <w:tc>
          <w:tcPr>
            <w:tcW w:w="1920" w:type="dxa"/>
            <w:vAlign w:val="bottom"/>
            <w:gridSpan w:val="5"/>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PLAN OF DISTRIBUTION</w:t>
              </w:r>
            </w:hyperlink>
          </w:p>
        </w:tc>
        <w:tc>
          <w:tcPr>
            <w:tcW w:w="2380" w:type="dxa"/>
            <w:vAlign w:val="bottom"/>
            <w:gridSpan w:val="7"/>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2980" w:type="dxa"/>
            <w:vAlign w:val="bottom"/>
            <w:gridSpan w:val="9"/>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bl>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7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166"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Bahnhofstrasse 1, 6340 Baar, Switzerland and our telephone number at that location is +41.22.816.1500.</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9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fiscal year ended December 31, 2015, as filed with the SEC on February 16, 2016;</w:t>
      </w:r>
    </w:p>
    <w:p>
      <w:pPr>
        <w:spacing w:after="0" w:line="153" w:lineRule="exact"/>
        <w:rPr>
          <w:rFonts w:ascii="Arial" w:cs="Arial" w:eastAsia="Arial" w:hAnsi="Arial"/>
          <w:sz w:val="16"/>
          <w:szCs w:val="16"/>
          <w:color w:val="auto"/>
        </w:rPr>
      </w:pPr>
    </w:p>
    <w:p>
      <w:pPr>
        <w:ind w:left="900" w:right="66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Weatherford Ireland’s Current Reports on Form 8-K or Form 8-K/A, as filed with the SEC on February 4, 2016, March 3, 2016, May 10, 2016, May 27, 2016, June 7, 2016, June 8, 2016, June 10, 2016, June 15, 2016, June 16, 2016, June 17, 2016, June 21, 2016, July 8, 2016, July 22, 2016, September 27, 2016 and November 9, 2016; and</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836-4000</w:t>
      </w:r>
    </w:p>
    <w:p>
      <w:pPr>
        <w:spacing w:after="0" w:line="1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8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decline in the price of crude oil;</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high level of indebtedness and our ability to service our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our effective tax rate and cash tax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limited access to capital, significantly higher cost of capital, or difficulty raising additional funds in the equity or debt capital markets.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39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300" w:type="dxa"/>
            <w:vAlign w:val="bottom"/>
            <w:gridSpan w:val="2"/>
          </w:tcPr>
          <w:p>
            <w:pPr>
              <w:jc w:val="center"/>
              <w:ind w:right="343"/>
              <w:spacing w:after="0"/>
              <w:rPr>
                <w:sz w:val="20"/>
                <w:szCs w:val="20"/>
                <w:color w:val="auto"/>
              </w:rPr>
            </w:pPr>
            <w:r>
              <w:rPr>
                <w:rFonts w:ascii="Arial" w:cs="Arial" w:eastAsia="Arial" w:hAnsi="Arial"/>
                <w:sz w:val="14"/>
                <w:szCs w:val="14"/>
                <w:b w:val="1"/>
                <w:bCs w:val="1"/>
                <w:color w:val="auto"/>
                <w:w w:val="95"/>
              </w:rPr>
              <w:t>Nine Months</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30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30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87"/>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the nine months ended September 30, 2016 and for the years ended December 31, 2015, 2014, 2013 and 2012, earnings before fixed charges were inadequate to cover fixed charges by $2.3 billion, $2.1 billion, $266 million, $211 million and $349 million, respectively.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the ordinary shares, warrants, debt securities and guarantees that may be offered under this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herein by reference.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Certain U.S. legal matters in connection with the securities will be passed upon for us by Latham &amp; Watkins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The consolidated financial statements and schedule of Weatherford International plc as of December 31, 2015 and December 31,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43"/>
          <w:szCs w:val="43"/>
          <w:b w:val="1"/>
          <w:bCs w:val="1"/>
          <w:color w:val="auto"/>
        </w:rPr>
        <w:t>Weatherford International plc</w:t>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i w:val="1"/>
          <w:iCs w:val="1"/>
          <w:color w:val="auto"/>
        </w:rPr>
        <w:t>84,500,000 ordinary shares</w:t>
      </w:r>
    </w:p>
    <w:p>
      <w:pPr>
        <w:spacing w:after="0" w:line="50"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i w:val="1"/>
          <w:iCs w:val="1"/>
          <w:color w:val="auto"/>
        </w:rPr>
        <w:t>Warrant to purchase 84,500,000 ordinary shares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i w:val="1"/>
          <w:iCs w:val="1"/>
          <w:color w:val="auto"/>
        </w:rPr>
        <w:t>and 84,500,000 ordinary shares issuable upon exercise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990600</wp:posOffset>
            </wp:positionV>
            <wp:extent cx="1569085" cy="7029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690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260"/>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2016</w:t>
      </w:r>
    </w:p>
    <w:sectPr>
      <w:pgSz w:w="11900" w:h="16838" w:orient="portrait"/>
      <w:cols w:equalWidth="0" w:num="1">
        <w:col w:w="11060"/>
      </w:cols>
      <w:pgMar w:left="240" w:top="45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713"/>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713"/>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2019-12-09T01:08:33Z</dcterms:created>
  <dcterms:modified xsi:type="dcterms:W3CDTF">2019-12-09T01:08:33Z</dcterms:modified>
</cp:coreProperties>
</file>