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2014</w:t>
      </w:r>
    </w:p>
    <w:p>
      <w:pPr>
        <w:spacing w:after="0" w:line="1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333-112378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191770</wp:posOffset>
            </wp:positionV>
            <wp:extent cx="7143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105410</wp:posOffset>
            </wp:positionV>
            <wp:extent cx="7143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2</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REGISTRATION STATEMENT UNDER THE SECURITIES ACT OF 1933</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Weatherford International public limited company</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940" w:type="dxa"/>
        <w:tblCellMar>
          <w:top w:w="0" w:type="dxa"/>
          <w:left w:w="0" w:type="dxa"/>
          <w:bottom w:w="0" w:type="dxa"/>
          <w:right w:w="0" w:type="dxa"/>
        </w:tblCellMar>
      </w:tblPr>
      <w:tr>
        <w:trPr>
          <w:trHeight w:val="218"/>
        </w:trPr>
        <w:tc>
          <w:tcPr>
            <w:tcW w:w="49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060" w:type="dxa"/>
            <w:vAlign w:val="bottom"/>
          </w:tcPr>
          <w:p>
            <w:pPr>
              <w:jc w:val="center"/>
              <w:ind w:left="2726"/>
              <w:spacing w:after="0"/>
              <w:rPr>
                <w:sz w:val="20"/>
                <w:szCs w:val="20"/>
                <w:color w:val="auto"/>
              </w:rPr>
            </w:pPr>
            <w:r>
              <w:rPr>
                <w:rFonts w:ascii="Times New Roman" w:cs="Times New Roman" w:eastAsia="Times New Roman" w:hAnsi="Times New Roman"/>
                <w:sz w:val="18"/>
                <w:szCs w:val="18"/>
                <w:b w:val="1"/>
                <w:bCs w:val="1"/>
                <w:color w:val="auto"/>
                <w:w w:val="98"/>
              </w:rPr>
              <w:t>98-0606750</w:t>
            </w:r>
          </w:p>
        </w:tc>
      </w:tr>
      <w:tr>
        <w:trPr>
          <w:trHeight w:val="135"/>
        </w:trPr>
        <w:tc>
          <w:tcPr>
            <w:tcW w:w="4940" w:type="dxa"/>
            <w:vAlign w:val="bottom"/>
          </w:tcPr>
          <w:p>
            <w:pPr>
              <w:jc w:val="center"/>
              <w:ind w:right="2703"/>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4060" w:type="dxa"/>
            <w:vAlign w:val="bottom"/>
          </w:tcPr>
          <w:p>
            <w:pPr>
              <w:jc w:val="center"/>
              <w:ind w:left="272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940" w:type="dxa"/>
            <w:vAlign w:val="bottom"/>
          </w:tcPr>
          <w:p>
            <w:pPr>
              <w:jc w:val="center"/>
              <w:ind w:right="270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060" w:type="dxa"/>
            <w:vAlign w:val="bottom"/>
          </w:tcPr>
          <w:p>
            <w:pPr>
              <w:jc w:val="center"/>
              <w:ind w:left="2726"/>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r>
        <w:trPr>
          <w:trHeight w:val="237"/>
        </w:trPr>
        <w:tc>
          <w:tcPr>
            <w:tcW w:w="4940" w:type="dxa"/>
            <w:vAlign w:val="bottom"/>
          </w:tcPr>
          <w:p>
            <w:pPr>
              <w:jc w:val="center"/>
              <w:ind w:right="2703"/>
              <w:spacing w:after="0"/>
              <w:rPr>
                <w:sz w:val="20"/>
                <w:szCs w:val="20"/>
                <w:color w:val="auto"/>
              </w:rPr>
            </w:pPr>
            <w:r>
              <w:rPr>
                <w:rFonts w:ascii="Times New Roman" w:cs="Times New Roman" w:eastAsia="Times New Roman" w:hAnsi="Times New Roman"/>
                <w:sz w:val="18"/>
                <w:szCs w:val="18"/>
                <w:b w:val="1"/>
                <w:bCs w:val="1"/>
                <w:color w:val="auto"/>
              </w:rPr>
              <w:t>Bahnhofstrasse 1</w:t>
            </w:r>
          </w:p>
        </w:tc>
        <w:tc>
          <w:tcPr>
            <w:tcW w:w="4060" w:type="dxa"/>
            <w:vAlign w:val="bottom"/>
          </w:tcPr>
          <w:p>
            <w:pPr>
              <w:spacing w:after="0"/>
              <w:rPr>
                <w:sz w:val="20"/>
                <w:szCs w:val="20"/>
                <w:color w:val="auto"/>
              </w:rPr>
            </w:pPr>
          </w:p>
        </w:tc>
      </w:tr>
      <w:tr>
        <w:trPr>
          <w:trHeight w:val="218"/>
        </w:trPr>
        <w:tc>
          <w:tcPr>
            <w:tcW w:w="4940" w:type="dxa"/>
            <w:vAlign w:val="bottom"/>
          </w:tcPr>
          <w:p>
            <w:pPr>
              <w:jc w:val="center"/>
              <w:ind w:right="2703"/>
              <w:spacing w:after="0"/>
              <w:rPr>
                <w:sz w:val="20"/>
                <w:szCs w:val="20"/>
                <w:color w:val="auto"/>
              </w:rPr>
            </w:pPr>
            <w:r>
              <w:rPr>
                <w:rFonts w:ascii="Times New Roman" w:cs="Times New Roman" w:eastAsia="Times New Roman" w:hAnsi="Times New Roman"/>
                <w:sz w:val="18"/>
                <w:szCs w:val="18"/>
                <w:b w:val="1"/>
                <w:bCs w:val="1"/>
                <w:color w:val="auto"/>
                <w:w w:val="98"/>
              </w:rPr>
              <w:t>6340 Baar, Switzerland</w:t>
            </w:r>
          </w:p>
        </w:tc>
        <w:tc>
          <w:tcPr>
            <w:tcW w:w="4060" w:type="dxa"/>
            <w:vAlign w:val="bottom"/>
          </w:tcPr>
          <w:p>
            <w:pPr>
              <w:jc w:val="center"/>
              <w:ind w:left="2726"/>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66"/>
        </w:trPr>
        <w:tc>
          <w:tcPr>
            <w:tcW w:w="4940" w:type="dxa"/>
            <w:vAlign w:val="bottom"/>
          </w:tcPr>
          <w:p>
            <w:pPr>
              <w:jc w:val="center"/>
              <w:ind w:right="2703"/>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4060" w:type="dxa"/>
            <w:vAlign w:val="bottom"/>
          </w:tcPr>
          <w:p>
            <w:pPr>
              <w:jc w:val="center"/>
              <w:ind w:left="272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10" w:lineRule="exact"/>
        <w:rPr>
          <w:sz w:val="24"/>
          <w:szCs w:val="24"/>
          <w:color w:val="auto"/>
        </w:rPr>
      </w:pPr>
    </w:p>
    <w:p>
      <w:pPr>
        <w:jc w:val="center"/>
        <w:ind w:left="260" w:right="2240"/>
        <w:spacing w:after="0" w:line="269" w:lineRule="auto"/>
        <w:rPr>
          <w:sz w:val="20"/>
          <w:szCs w:val="20"/>
          <w:color w:val="auto"/>
        </w:rPr>
      </w:pPr>
      <w:r>
        <w:rPr>
          <w:rFonts w:ascii="Times New Roman" w:cs="Times New Roman" w:eastAsia="Times New Roman" w:hAnsi="Times New Roman"/>
          <w:sz w:val="18"/>
          <w:szCs w:val="18"/>
          <w:b w:val="1"/>
          <w:bCs w:val="1"/>
          <w:color w:val="auto"/>
        </w:rPr>
        <w:t>Weatherford International, Inc. Foreign Executive Deferred Compensation Stock Plan; Weatherford International, LLC 401(k) Savings Plan; Weatherford International Ltd. Deferred Compensation Plan for Non-Employee Directors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(Full title of the plan)</w:t>
      </w:r>
    </w:p>
    <w:p>
      <w:pPr>
        <w:spacing w:after="0" w:line="1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Alejandro Cestero</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Vice President, Co-General Counsel and Corporate Secretary</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 St. James Place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836-4000</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1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copy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B. Newton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427-5000</w:t>
      </w:r>
    </w:p>
    <w:p>
      <w:pPr>
        <w:spacing w:after="0" w:line="9" w:lineRule="exact"/>
        <w:rPr>
          <w:rFonts w:ascii="Times New Roman" w:cs="Times New Roman" w:eastAsia="Times New Roman" w:hAnsi="Times New Roman"/>
          <w:sz w:val="18"/>
          <w:szCs w:val="18"/>
          <w:b w:val="1"/>
          <w:bCs w:val="1"/>
          <w:color w:val="auto"/>
        </w:rPr>
      </w:pPr>
    </w:p>
    <w:p>
      <w:pPr>
        <w:ind w:left="3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20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84" w:right="23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22" w:lineRule="exact"/>
        <w:rPr>
          <w:sz w:val="24"/>
          <w:szCs w:val="24"/>
          <w:color w:val="auto"/>
        </w:rPr>
      </w:pPr>
    </w:p>
    <w:p>
      <w:pPr>
        <w:sectPr>
          <w:pgSz w:w="11900" w:h="16838" w:orient="portrait"/>
          <w:cols w:equalWidth="0" w:num="4">
            <w:col w:w="2300" w:space="720"/>
            <w:col w:w="4300" w:space="720"/>
            <w:col w:w="2400" w:space="720"/>
            <w:col w:w="260"/>
          </w:cols>
          <w:pgMar w:left="240" w:top="684" w:right="239"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ectPr>
          <w:pgSz w:w="11900" w:h="16838" w:orient="portrait"/>
          <w:cols w:equalWidth="0" w:num="4">
            <w:col w:w="2300" w:space="720"/>
            <w:col w:w="4300" w:space="720"/>
            <w:col w:w="2400" w:space="720"/>
            <w:col w:w="260"/>
          </w:cols>
          <w:pgMar w:left="240" w:top="684"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1"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This Post-Effective Amendment No. 2 to Registration Statement on Form S-8,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112378 (as amended, this “Registration Statement”) is being filed pursuant to Rule 414 under the Securities Act of 1933, as amended (the “Securities Act”), by Weatherford International plc, a public limited company organized under the laws of Ireland (“Weatherford Ireland”), as the successor issuer to Weatherford International Ltd., a Swiss joint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In connection with the Merger, Weatherford Ireland assumed Weatherford Switzerland’s obligation to deliver shares under the Weatherford International, Inc. Foreign Executive Deferred Compensation Stock Plan, the Weatherford International, LLC 401(k) Savings Plan and the Weatherford International Ltd. Deferred Compensation Plan for Non-Employee Directors (the “Plans”). Consequently, ordinary shares of Weatherford Ireland will henceforth be issuable under the Plans in lieu of the registered shares of Weatherford Switzerland. Weatherford Ireland hereby expressly adopts the Registration Statement as its own registration statement for all purposes of the Securities Act and the Securities Exchange Act of 1934, as amended (the “Exchange Act”).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which Weatherford Switzerland or Weatherford Ireland has filed with the Commission pursuant to the Exchange Act, are incorporated in this Registration Statement by reference and shall be deemed to be a part hereof:</w:t>
      </w:r>
    </w:p>
    <w:p>
      <w:pPr>
        <w:spacing w:after="0" w:line="162" w:lineRule="exact"/>
        <w:rPr>
          <w:sz w:val="20"/>
          <w:szCs w:val="20"/>
          <w:color w:val="auto"/>
        </w:rPr>
      </w:pPr>
    </w:p>
    <w:p>
      <w:pPr>
        <w:ind w:left="660" w:right="20" w:hanging="260"/>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Switzerland’s Annual Report on Form 10-K for the fiscal year ended December 31, 2013, as filed with the Commission on February 25, 2014;</w:t>
      </w:r>
    </w:p>
    <w:p>
      <w:pPr>
        <w:spacing w:after="0" w:line="1" w:lineRule="exact"/>
        <w:rPr>
          <w:rFonts w:ascii="Times New Roman" w:cs="Times New Roman" w:eastAsia="Times New Roman" w:hAnsi="Times New Roman"/>
          <w:sz w:val="18"/>
          <w:szCs w:val="18"/>
          <w:color w:val="auto"/>
        </w:rPr>
      </w:pPr>
    </w:p>
    <w:p>
      <w:pPr>
        <w:ind w:left="660" w:right="20" w:hanging="260"/>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Switzerland’s Amendment No. 1 to its Annual Report on Form 10-K for the fiscal year ended December 31, 2013, as filed with the Commission on April 16, 2014;</w:t>
      </w:r>
    </w:p>
    <w:p>
      <w:pPr>
        <w:spacing w:after="0" w:line="1" w:lineRule="exact"/>
        <w:rPr>
          <w:rFonts w:ascii="Times New Roman" w:cs="Times New Roman" w:eastAsia="Times New Roman" w:hAnsi="Times New Roman"/>
          <w:sz w:val="18"/>
          <w:szCs w:val="18"/>
          <w:color w:val="auto"/>
        </w:rPr>
      </w:pPr>
    </w:p>
    <w:p>
      <w:pPr>
        <w:ind w:left="660" w:hanging="26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Switzerland’s Quarterly Report on Form 10-Q for the quarter ended March 31, 2014, as filed with the Commission on April 29, 2014;</w:t>
      </w:r>
    </w:p>
    <w:p>
      <w:pPr>
        <w:spacing w:after="0" w:line="63" w:lineRule="exact"/>
        <w:rPr>
          <w:rFonts w:ascii="Times New Roman" w:cs="Times New Roman" w:eastAsia="Times New Roman" w:hAnsi="Times New Roman"/>
          <w:sz w:val="18"/>
          <w:szCs w:val="18"/>
          <w:color w:val="auto"/>
        </w:rPr>
      </w:pPr>
    </w:p>
    <w:p>
      <w:pPr>
        <w:jc w:val="both"/>
        <w:ind w:left="660" w:hanging="260"/>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Switzerland’s Current Reports on Form 8-K (other than information furnished rather than filed and corresponding information furnished under Item 9.01 or included as an exhibit thereto) filed with the Commission on February 3, 2014, February 25, 2014, March 4, 2014, April 2, 2014, April 10, 2014, April 24, 2014 and June 17, 2014;</w:t>
      </w:r>
    </w:p>
    <w:p>
      <w:pPr>
        <w:spacing w:after="0" w:line="14" w:lineRule="exact"/>
        <w:rPr>
          <w:rFonts w:ascii="Times New Roman" w:cs="Times New Roman" w:eastAsia="Times New Roman" w:hAnsi="Times New Roman"/>
          <w:sz w:val="18"/>
          <w:szCs w:val="18"/>
          <w:color w:val="auto"/>
        </w:rPr>
      </w:pPr>
    </w:p>
    <w:p>
      <w:pPr>
        <w:ind w:left="660" w:right="20" w:hanging="260"/>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Ireland’s Current Report on Form 8-K, as filed with the Commission (other than information furnished rather than filed and corresponding information furnished under Item 9.01 or included as an exhibit thereto) on June 17, 2014; and</w:t>
      </w:r>
    </w:p>
    <w:p>
      <w:pPr>
        <w:spacing w:after="0" w:line="1" w:lineRule="exact"/>
        <w:rPr>
          <w:rFonts w:ascii="Times New Roman" w:cs="Times New Roman" w:eastAsia="Times New Roman" w:hAnsi="Times New Roman"/>
          <w:sz w:val="18"/>
          <w:szCs w:val="18"/>
          <w:color w:val="auto"/>
        </w:rPr>
      </w:pPr>
    </w:p>
    <w:p>
      <w:pPr>
        <w:ind w:left="660" w:hanging="260"/>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Weatherford Ireland’s Ordinary Shares contained in Item 8.01 of Weatherford Ireland’s Current Report on Form 8-K, as filed with the Commission on June 17, 2014.</w:t>
      </w:r>
    </w:p>
    <w:p>
      <w:pPr>
        <w:spacing w:after="0" w:line="2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document filed by Weatherford Ireland with the Commission pursuant to Sections 13(a), 13(c), 14 and 15(d) of the Exchange Act (other than information furnished rather than filed and corresponding information furnished under Item 9.01 of Form 8-K or included as an exhibit thereto), subsequent to the date of this Registration Statement and prior to the filing of any</w:t>
      </w:r>
    </w:p>
    <w:p>
      <w:pPr>
        <w:sectPr>
          <w:pgSz w:w="11900" w:h="16838" w:orient="portrait"/>
          <w:cols w:equalWidth="0" w:num="1">
            <w:col w:w="11420"/>
          </w:cols>
          <w:pgMar w:left="240" w:top="576" w:right="2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further post-effective amendment to this Registration Statement which indicates that all securities offered herby have been sold or which deregisters all securities then remaining unsold, shall be deemed to be incorporated by reference in this Registration Statement and to be a part hereof from the date of filing of such documents.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Weatherford Ireland’s articles of association also contain indemnification and expense advancement provisions for persons who are not directors or the secretary of Weatherford Ireland.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Irish companies may take out directors and officers liability insurance as well as other types of insurance, for their directors and officers.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580" w:right="239" w:bottom="1440" w:gutter="0" w:footer="0" w:header="0"/>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a part of this registration statement or incorporated by reference herein:</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r>
      <w:tr>
        <w:trPr>
          <w:trHeight w:val="40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Memorandum and Articles of Association of Weatherford International public limited company</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3.1 to Weatherford International plc’s Current Report on Form 8-K</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June 17, 2014).</w:t>
            </w:r>
          </w:p>
        </w:tc>
      </w:tr>
      <w:tr>
        <w:trPr>
          <w:trHeight w:val="2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Inc. Foreign Executive Deferred Compensation Stock Plan (incorporated by</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10.4 to Weatherford International plc’s Current Report on Form 8-K filed December</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2008).</w:t>
            </w:r>
          </w:p>
        </w:tc>
      </w:tr>
      <w:tr>
        <w:trPr>
          <w:trHeight w:val="2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Ltd. Deferred Compensation Plan for Non-Employee Directors (incorporated</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to Exhibit 10.5 to the Company's Current Report on Form 8-K filed December 31, 2008).</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of Matheson regarding the legality of securities being registered.</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Matheson (included in Exhibit 5.1).</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 (included on the signature page to the Registration Statement).</w:t>
            </w:r>
          </w:p>
        </w:tc>
      </w:tr>
    </w:tbl>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6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63" w:lineRule="exact"/>
        <w:rPr>
          <w:rFonts w:ascii="Times New Roman" w:cs="Times New Roman" w:eastAsia="Times New Roman" w:hAnsi="Times New Roman"/>
          <w:sz w:val="18"/>
          <w:szCs w:val="18"/>
          <w:color w:val="auto"/>
        </w:rPr>
      </w:pPr>
    </w:p>
    <w:p>
      <w:pPr>
        <w:jc w:val="both"/>
        <w:ind w:left="1960" w:hanging="331"/>
        <w:spacing w:after="0" w:line="255"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7" w:lineRule="exact"/>
        <w:rPr>
          <w:rFonts w:ascii="Times New Roman" w:cs="Times New Roman" w:eastAsia="Times New Roman" w:hAnsi="Times New Roman"/>
          <w:sz w:val="18"/>
          <w:szCs w:val="18"/>
          <w:color w:val="auto"/>
        </w:rPr>
      </w:pPr>
    </w:p>
    <w:p>
      <w:pPr>
        <w:jc w:val="both"/>
        <w:ind w:left="1960" w:hanging="331"/>
        <w:spacing w:after="0" w:line="256"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32" w:lineRule="exact"/>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37"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w:t>
      </w:r>
    </w:p>
    <w:p>
      <w:pPr>
        <w:sectPr>
          <w:pgSz w:w="11900" w:h="16838" w:orient="portrait"/>
          <w:cols w:equalWidth="0" w:num="1">
            <w:col w:w="11420"/>
          </w:cols>
          <w:pgMar w:left="240" w:top="576" w:right="239" w:bottom="1440" w:gutter="0" w:footer="0" w:header="0"/>
        </w:sectPr>
      </w:pPr>
    </w:p>
    <w:bookmarkStart w:id="4" w:name="page5"/>
    <w:bookmarkEnd w:id="4"/>
    <w:p>
      <w:pPr>
        <w:jc w:val="both"/>
        <w:spacing w:after="0" w:line="303" w:lineRule="auto"/>
        <w:rPr>
          <w:sz w:val="20"/>
          <w:szCs w:val="20"/>
          <w:color w:val="auto"/>
        </w:rPr>
      </w:pPr>
      <w:r>
        <w:rPr>
          <w:rFonts w:ascii="Times New Roman" w:cs="Times New Roman" w:eastAsia="Times New Roman" w:hAnsi="Times New Roman"/>
          <w:sz w:val="18"/>
          <w:szCs w:val="18"/>
          <w:color w:val="auto"/>
        </w:rPr>
        <w:t>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60"/>
          </w:cols>
          <w:pgMar w:left="900" w:top="60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No. 2 to the Registration Statement to be signed on its behalf by the undersigned, thereunto duly authorized, in the City of Houston, State of Texas on June 17, 2014.</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15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/s/Dr. Bernard J. Duroc-Danner</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Dr. Bernard J. Duroc-Danner</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President, Chief Executive Officer, Chairman of the Board</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and Director (Principal Executive Officer)</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Dr.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2 to the Registration Statement on Form S-8 has been signed by the following persons in the capacities indicated below on June 17, 2014.</w:t>
      </w:r>
    </w:p>
    <w:p>
      <w:pPr>
        <w:sectPr>
          <w:pgSz w:w="11900" w:h="16838" w:orient="portrait"/>
          <w:cols w:equalWidth="0" w:num="1">
            <w:col w:w="11420"/>
          </w:cols>
          <w:pgMar w:left="240" w:top="576" w:right="239" w:bottom="1440" w:gutter="0" w:footer="0" w:header="0"/>
        </w:sectPr>
      </w:pPr>
    </w:p>
    <w:p>
      <w:pPr>
        <w:spacing w:after="0" w:line="104"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u w:val="single" w:color="auto"/>
          <w:color w:val="auto"/>
        </w:rPr>
        <w:t>/s/Dr. Bernard J. Duroc-Danner</w:t>
      </w:r>
    </w:p>
    <w:p>
      <w:pPr>
        <w:spacing w:after="0" w:line="39"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Dr. Bernard J. Duroc-Danner</w:t>
      </w:r>
    </w:p>
    <w:p>
      <w:pPr>
        <w:spacing w:after="0" w:line="4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u w:val="single" w:color="auto"/>
          <w:color w:val="auto"/>
        </w:rPr>
        <w:t>/s/Krishna Shivram</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Krishna Shivram</w:t>
      </w:r>
    </w:p>
    <w:p>
      <w:pPr>
        <w:spacing w:after="0" w:line="4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u w:val="single" w:color="auto"/>
          <w:color w:val="auto"/>
        </w:rPr>
        <w:t>/s/Douglas M. Mills</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Douglas M. Mills</w:t>
      </w:r>
    </w:p>
    <w:p>
      <w:pPr>
        <w:spacing w:after="0" w:line="45"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u w:val="single" w:color="auto"/>
          <w:color w:val="auto"/>
        </w:rPr>
        <w:t>/s/David J. Butters</w:t>
      </w:r>
    </w:p>
    <w:p>
      <w:pPr>
        <w:spacing w:after="0" w:line="27"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color w:val="auto"/>
        </w:rPr>
        <w:t>David J. Butters</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/s/John D. Gass</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John D. Gass</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/s/Francis S. Kalman</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Francis S. Kalman</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/s/William E. Macaulay</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William E. Macaulay</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/s/Robert K. Moses, Jr.</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Robert K. Moses, Jr.</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/s/Dr. Guillermo Ortiz</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Dr. Guillermo Ortiz</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/s/Sir Emyr Jones Parry</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Sir Emyr Jones Parry</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/s/Robert A. Rayne</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Robert A. Rayne</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/s/Alejandro Cestero</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36830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61" w:lineRule="exact"/>
        <w:rPr>
          <w:sz w:val="20"/>
          <w:szCs w:val="20"/>
          <w:color w:val="auto"/>
        </w:rPr>
      </w:pPr>
    </w:p>
    <w:p>
      <w:pPr>
        <w:ind w:right="1760"/>
        <w:spacing w:after="0" w:line="281" w:lineRule="auto"/>
        <w:rPr>
          <w:sz w:val="20"/>
          <w:szCs w:val="20"/>
          <w:color w:val="auto"/>
        </w:rPr>
      </w:pPr>
      <w:r>
        <w:rPr>
          <w:rFonts w:ascii="Times New Roman" w:cs="Times New Roman" w:eastAsia="Times New Roman" w:hAnsi="Times New Roman"/>
          <w:sz w:val="18"/>
          <w:szCs w:val="18"/>
          <w:color w:val="auto"/>
        </w:rPr>
        <w:t>President, Chief Executive Officer, Chairman of the Board and Director (Principal Executive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U.S. Representative</w:t>
      </w:r>
    </w:p>
    <w:p>
      <w:pPr>
        <w:sectPr>
          <w:pgSz w:w="11900" w:h="16838" w:orient="portrait"/>
          <w:cols w:equalWidth="0" w:num="2">
            <w:col w:w="3760" w:space="720"/>
            <w:col w:w="6940"/>
          </w:cols>
          <w:pgMar w:left="240" w:top="576"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Number</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07"/>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Memorandum and Articles of Association of Weatherford International public limited company (incorporated by reference to</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3.1 to Weatherford International plc’s Current Report on Form 8-K filed on June 17, 2014).</w:t>
            </w:r>
          </w:p>
        </w:tc>
      </w:tr>
      <w:tr>
        <w:trPr>
          <w:trHeight w:val="252"/>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Weatherford International, Inc. Foreign Executive Deferred Compensation Stock Plan (incorporated by reference to Exhibit 10.4 to</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Weatherford International plc’s Current Report on Form 8-K filed December 31, 2008).</w:t>
            </w:r>
          </w:p>
        </w:tc>
      </w:tr>
      <w:tr>
        <w:trPr>
          <w:trHeight w:val="252"/>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Weatherford International Ltd. Deferred Compensation Plan for Non-Employee Directors (incorporated by reference to Exhibit</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 to the Company's Current Report on Form 8-K filed December 31, 2008).</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of Attorney (included on the signature page to the Registration Statement).</w:t>
            </w:r>
          </w:p>
        </w:tc>
      </w:tr>
    </w:tbl>
    <w:p>
      <w:pPr>
        <w:sectPr>
          <w:pgSz w:w="11900" w:h="16838" w:orient="portrait"/>
          <w:cols w:equalWidth="0" w:num="1">
            <w:col w:w="11420"/>
          </w:cols>
          <w:pgMar w:left="240" w:top="738"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88265</wp:posOffset>
            </wp:positionV>
            <wp:extent cx="3164205"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420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Weatherford International plc</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Alpenstrasse 15</w:t>
      </w:r>
    </w:p>
    <w:p>
      <w:pPr>
        <w:ind w:left="700"/>
        <w:spacing w:after="0" w:line="234" w:lineRule="auto"/>
        <w:rPr>
          <w:sz w:val="20"/>
          <w:szCs w:val="20"/>
          <w:color w:val="auto"/>
        </w:rPr>
      </w:pPr>
      <w:r>
        <w:rPr>
          <w:rFonts w:ascii="Arial" w:cs="Arial" w:eastAsia="Arial" w:hAnsi="Arial"/>
          <w:sz w:val="18"/>
          <w:szCs w:val="18"/>
          <w:color w:val="auto"/>
        </w:rPr>
        <w:t>6300 Zug</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399" w:lineRule="exact"/>
        <w:rPr>
          <w:sz w:val="20"/>
          <w:szCs w:val="20"/>
          <w:color w:val="auto"/>
        </w:rPr>
      </w:pPr>
    </w:p>
    <w:p>
      <w:pPr>
        <w:ind w:left="720"/>
        <w:spacing w:after="0"/>
        <w:tabs>
          <w:tab w:leader="none" w:pos="4120" w:val="left"/>
          <w:tab w:leader="none" w:pos="9740" w:val="left"/>
        </w:tabs>
        <w:rPr>
          <w:sz w:val="20"/>
          <w:szCs w:val="20"/>
          <w:color w:val="auto"/>
        </w:rPr>
      </w:pPr>
      <w:r>
        <w:rPr>
          <w:rFonts w:ascii="Times New Roman" w:cs="Times New Roman" w:eastAsia="Times New Roman" w:hAnsi="Times New Roman"/>
          <w:sz w:val="14"/>
          <w:szCs w:val="14"/>
          <w:color w:val="auto"/>
        </w:rPr>
        <w:t>Our Ref</w:t>
      </w:r>
      <w:r>
        <w:rPr>
          <w:sz w:val="20"/>
          <w:szCs w:val="20"/>
          <w:color w:val="auto"/>
        </w:rPr>
        <w:tab/>
      </w:r>
      <w:r>
        <w:rPr>
          <w:rFonts w:ascii="Times New Roman" w:cs="Times New Roman" w:eastAsia="Times New Roman" w:hAnsi="Times New Roman"/>
          <w:sz w:val="14"/>
          <w:szCs w:val="14"/>
          <w:color w:val="auto"/>
        </w:rPr>
        <w:t>Your Ref</w:t>
      </w:r>
      <w:r>
        <w:rPr>
          <w:sz w:val="20"/>
          <w:szCs w:val="20"/>
          <w:color w:val="auto"/>
        </w:rPr>
        <w:tab/>
      </w:r>
      <w:r>
        <w:rPr>
          <w:rFonts w:ascii="Times New Roman" w:cs="Times New Roman" w:eastAsia="Times New Roman" w:hAnsi="Times New Roman"/>
          <w:sz w:val="17"/>
          <w:szCs w:val="17"/>
          <w:color w:val="auto"/>
        </w:rPr>
        <w:t>17 June 2014</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FBO 661725.4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7" w:lineRule="exact"/>
        <w:rPr>
          <w:sz w:val="20"/>
          <w:szCs w:val="20"/>
          <w:color w:val="auto"/>
        </w:rPr>
      </w:pPr>
    </w:p>
    <w:p>
      <w:pPr>
        <w:ind w:right="4620"/>
        <w:spacing w:after="0" w:line="293" w:lineRule="auto"/>
        <w:rPr>
          <w:sz w:val="20"/>
          <w:szCs w:val="20"/>
          <w:color w:val="auto"/>
        </w:rPr>
      </w:pPr>
      <w:r>
        <w:rPr>
          <w:rFonts w:ascii="Arial" w:cs="Arial" w:eastAsia="Arial" w:hAnsi="Arial"/>
          <w:sz w:val="20"/>
          <w:szCs w:val="20"/>
          <w:b w:val="1"/>
          <w:bCs w:val="1"/>
          <w:color w:val="auto"/>
        </w:rPr>
        <w:t>Weatherford International plc, an Irish public company limited by shares Post-Effective Amendment on Form S-8 (File No. 333-112378)</w:t>
      </w:r>
    </w:p>
    <w:p>
      <w:pPr>
        <w:spacing w:after="0" w:line="177"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We have acted on behalf of Weatherford International plc,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post-effective amendment to the registration statement on Form S-8 (File No. 333-112378) (the “</w:t>
      </w:r>
      <w:r>
        <w:rPr>
          <w:rFonts w:ascii="Arial" w:cs="Arial" w:eastAsia="Arial" w:hAnsi="Arial"/>
          <w:sz w:val="18"/>
          <w:szCs w:val="18"/>
          <w:b w:val="1"/>
          <w:bCs w:val="1"/>
          <w:color w:val="auto"/>
        </w:rPr>
        <w:t>Post-Effective Amendment</w:t>
      </w:r>
      <w:r>
        <w:rPr>
          <w:rFonts w:ascii="Arial" w:cs="Arial" w:eastAsia="Arial" w:hAnsi="Arial"/>
          <w:sz w:val="18"/>
          <w:szCs w:val="18"/>
          <w:color w:val="auto"/>
        </w:rPr>
        <w:t>”) to be filed by the Company, pursuant to the Securities Act of 1933 of the United States of America,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Securities and Exchange Commission of the United States of America (the “</w:t>
      </w:r>
      <w:r>
        <w:rPr>
          <w:rFonts w:ascii="Arial" w:cs="Arial" w:eastAsia="Arial" w:hAnsi="Arial"/>
          <w:sz w:val="18"/>
          <w:szCs w:val="18"/>
          <w:b w:val="1"/>
          <w:bCs w:val="1"/>
          <w:color w:val="auto"/>
        </w:rPr>
        <w:t>SEC</w:t>
      </w:r>
      <w:r>
        <w:rPr>
          <w:rFonts w:ascii="Arial" w:cs="Arial" w:eastAsia="Arial" w:hAnsi="Arial"/>
          <w:sz w:val="18"/>
          <w:szCs w:val="18"/>
          <w:color w:val="auto"/>
        </w:rPr>
        <w:t>”) with respect to the Company’s ordinary shares (nominal value of US$0.001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to be issued and delivered under the Weatherford International, Inc. Foreign Executive Deferred Compensation Stock Plan, the Weatherford International, LLC 401(k) Savings Plan and the Weatherford International Ltd. Deferred Compensation Plan for Non-Employee Directors (together,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60" w:lineRule="exact"/>
        <w:rPr>
          <w:sz w:val="20"/>
          <w:szCs w:val="20"/>
          <w:color w:val="auto"/>
        </w:rPr>
      </w:pPr>
    </w:p>
    <w:p>
      <w:pPr>
        <w:ind w:left="620" w:hanging="612"/>
        <w:spacing w:after="0"/>
        <w:tabs>
          <w:tab w:leader="none" w:pos="6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Scope of appointment and basis of opinion</w:t>
      </w:r>
    </w:p>
    <w:p>
      <w:pPr>
        <w:spacing w:after="0" w:line="1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Arial" w:cs="Arial" w:eastAsia="Arial" w:hAnsi="Arial"/>
          <w:sz w:val="17"/>
          <w:szCs w:val="17"/>
          <w:color w:val="auto"/>
        </w:rPr>
        <w:t>We have been requested by the Company to provide this opinion.</w:t>
      </w:r>
    </w:p>
    <w:p>
      <w:pPr>
        <w:spacing w:after="0" w:line="10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104" w:lineRule="exact"/>
        <w:rPr>
          <w:sz w:val="20"/>
          <w:szCs w:val="20"/>
          <w:color w:val="auto"/>
        </w:rPr>
      </w:pPr>
    </w:p>
    <w:p>
      <w:pPr>
        <w:ind w:left="1260" w:hanging="644"/>
        <w:spacing w:after="0"/>
        <w:tabs>
          <w:tab w:leader="none" w:pos="12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final form of the Post-Effective Amendment to be filed by the Company with the SEC;</w:t>
      </w:r>
    </w:p>
    <w:p>
      <w:pPr>
        <w:spacing w:after="0" w:line="102" w:lineRule="exact"/>
        <w:rPr>
          <w:rFonts w:ascii="Times New Roman" w:cs="Times New Roman" w:eastAsia="Times New Roman" w:hAnsi="Times New Roman"/>
          <w:sz w:val="18"/>
          <w:szCs w:val="18"/>
          <w:color w:val="auto"/>
        </w:rPr>
      </w:pPr>
    </w:p>
    <w:p>
      <w:pPr>
        <w:ind w:left="1260" w:hanging="644"/>
        <w:spacing w:after="0" w:line="400" w:lineRule="auto"/>
        <w:tabs>
          <w:tab w:leader="none" w:pos="12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 copy of the memorandum and articles of association of the Company, certified by the secretary of the Company as being true, complete and up-to-date;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848985" cy="98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98615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ind w:left="1260" w:hanging="644"/>
        <w:spacing w:after="0" w:line="359" w:lineRule="auto"/>
        <w:tabs>
          <w:tab w:leader="none" w:pos="12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copy minutes of a meeting of the board of directors’ of the Company held on 3 March 2014 and 6 June 2014, certified by the secretary to be a true and complete copy of those board minutes which have not since been amended or rescinded;</w:t>
      </w:r>
    </w:p>
    <w:p>
      <w:pPr>
        <w:ind w:left="1260" w:hanging="644"/>
        <w:spacing w:after="0" w:line="358" w:lineRule="auto"/>
        <w:tabs>
          <w:tab w:leader="none" w:pos="12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copy written resolutions of the shareholders of the Company dated 6 June 2014, certified by the secretary to be true and complete copies of those shareholders’ resolutions which have not since been amended or rescinded;</w:t>
      </w:r>
    </w:p>
    <w:p>
      <w:pPr>
        <w:ind w:left="1260" w:hanging="644"/>
        <w:spacing w:after="0"/>
        <w:tabs>
          <w:tab w:leader="none" w:pos="12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 certificate of the secretary of the Company (the “</w:t>
      </w:r>
      <w:r>
        <w:rPr>
          <w:rFonts w:ascii="Arial" w:cs="Arial" w:eastAsia="Arial" w:hAnsi="Arial"/>
          <w:sz w:val="18"/>
          <w:szCs w:val="18"/>
          <w:b w:val="1"/>
          <w:bCs w:val="1"/>
          <w:color w:val="auto"/>
        </w:rPr>
        <w:t>Certificate</w:t>
      </w:r>
      <w:r>
        <w:rPr>
          <w:rFonts w:ascii="Arial" w:cs="Arial" w:eastAsia="Arial" w:hAnsi="Arial"/>
          <w:sz w:val="18"/>
          <w:szCs w:val="18"/>
          <w:color w:val="auto"/>
        </w:rPr>
        <w:t>”); and</w:t>
      </w:r>
    </w:p>
    <w:p>
      <w:pPr>
        <w:spacing w:after="0" w:line="104" w:lineRule="exact"/>
        <w:rPr>
          <w:rFonts w:ascii="Times New Roman" w:cs="Times New Roman" w:eastAsia="Times New Roman" w:hAnsi="Times New Roman"/>
          <w:sz w:val="18"/>
          <w:szCs w:val="18"/>
          <w:color w:val="auto"/>
        </w:rPr>
      </w:pPr>
    </w:p>
    <w:p>
      <w:pPr>
        <w:jc w:val="both"/>
        <w:ind w:left="1260" w:hanging="644"/>
        <w:spacing w:after="0" w:line="359" w:lineRule="auto"/>
        <w:tabs>
          <w:tab w:leader="none" w:pos="12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2" w:lineRule="exact"/>
        <w:rPr>
          <w:sz w:val="20"/>
          <w:szCs w:val="20"/>
          <w:color w:val="auto"/>
        </w:rPr>
      </w:pPr>
    </w:p>
    <w:p>
      <w:pPr>
        <w:jc w:val="both"/>
        <w:ind w:left="620" w:hanging="620"/>
        <w:spacing w:after="0" w:line="360" w:lineRule="auto"/>
        <w:tabs>
          <w:tab w:leader="none" w:pos="6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jc w:val="both"/>
        <w:ind w:left="620" w:hanging="620"/>
        <w:spacing w:after="0" w:line="360" w:lineRule="auto"/>
        <w:tabs>
          <w:tab w:leader="none" w:pos="6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Arial" w:cs="Arial" w:eastAsia="Arial" w:hAnsi="Arial"/>
          <w:sz w:val="18"/>
          <w:szCs w:val="18"/>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Post-Effective Amendment or the Plan nor have we attempted to determine whether any material facts have been omitted therefrom.</w:t>
      </w:r>
    </w:p>
    <w:p>
      <w:pPr>
        <w:spacing w:after="0" w:line="1" w:lineRule="exact"/>
        <w:rPr>
          <w:sz w:val="20"/>
          <w:szCs w:val="20"/>
          <w:color w:val="auto"/>
        </w:rPr>
      </w:pPr>
    </w:p>
    <w:p>
      <w:pPr>
        <w:jc w:val="both"/>
        <w:ind w:left="620" w:hanging="620"/>
        <w:spacing w:after="0" w:line="360" w:lineRule="auto"/>
        <w:tabs>
          <w:tab w:leader="none" w:pos="6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Arial" w:cs="Arial" w:eastAsia="Arial" w:hAnsi="Arial"/>
          <w:sz w:val="18"/>
          <w:szCs w:val="18"/>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jc w:val="both"/>
        <w:ind w:left="620" w:hanging="620"/>
        <w:spacing w:after="0" w:line="359" w:lineRule="auto"/>
        <w:tabs>
          <w:tab w:leader="none" w:pos="6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Arial" w:cs="Arial" w:eastAsia="Arial" w:hAnsi="Arial"/>
          <w:sz w:val="18"/>
          <w:szCs w:val="18"/>
          <w:color w:val="auto"/>
        </w:rPr>
        <w:t>This opinion is to be construed in accordance with</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governed by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laws of Ireland, and is given solely on the basis that any issues of interpretation or liability arising hereunder may only be brought before the Irish courts, which will have exclusive jurisdiction in respect of such matters.</w:t>
      </w:r>
    </w:p>
    <w:p>
      <w:pPr>
        <w:spacing w:after="0" w:line="2" w:lineRule="exact"/>
        <w:rPr>
          <w:sz w:val="20"/>
          <w:szCs w:val="20"/>
          <w:color w:val="auto"/>
        </w:rPr>
      </w:pPr>
    </w:p>
    <w:p>
      <w:pPr>
        <w:jc w:val="both"/>
        <w:ind w:left="620" w:hanging="620"/>
        <w:spacing w:after="0" w:line="360" w:lineRule="auto"/>
        <w:tabs>
          <w:tab w:leader="none" w:pos="60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Arial" w:cs="Arial" w:eastAsia="Arial" w:hAnsi="Arial"/>
          <w:sz w:val="18"/>
          <w:szCs w:val="18"/>
          <w:color w:val="auto"/>
        </w:rPr>
        <w:t>This opinion is delivered in connection with the filing of the Post-Effective Amendment with the SEC and is strictly limited to the matters stated herein and does not extend to, and is not to be read as extending by implication to, any other matter. We hereby consent to the filing of this opinion as an exhibit to the Post-Effective Amendment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Post-Effective Amendment and is not to be use, circulated, quoted or otherwise referred to for any other purpose without our express written consent.</w:t>
      </w:r>
    </w:p>
    <w:p>
      <w:pPr>
        <w:spacing w:after="0" w:line="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Arial" w:cs="Arial" w:eastAsia="Arial" w:hAnsi="Arial"/>
          <w:sz w:val="17"/>
          <w:szCs w:val="17"/>
          <w:color w:val="auto"/>
        </w:rPr>
        <w:t>We assume no obligation to update the opinions set forth in this letter.</w:t>
      </w:r>
    </w:p>
    <w:p>
      <w:pPr>
        <w:spacing w:after="0" w:line="95" w:lineRule="exact"/>
        <w:rPr>
          <w:sz w:val="20"/>
          <w:szCs w:val="20"/>
          <w:color w:val="auto"/>
        </w:rPr>
      </w:pPr>
    </w:p>
    <w:p>
      <w:pPr>
        <w:ind w:left="620" w:hanging="612"/>
        <w:spacing w:after="0"/>
        <w:tabs>
          <w:tab w:leader="none" w:pos="6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Assumptions</w:t>
      </w:r>
    </w:p>
    <w:p>
      <w:pPr>
        <w:spacing w:after="0" w:line="115"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Arial" w:cs="Arial" w:eastAsia="Arial" w:hAnsi="Arial"/>
          <w:sz w:val="18"/>
          <w:szCs w:val="18"/>
          <w:color w:val="auto"/>
        </w:rPr>
        <w:t>For the purpose of giving this opinion we have assumed:</w:t>
      </w:r>
    </w:p>
    <w:p>
      <w:pPr>
        <w:spacing w:after="0" w:line="319"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999999"/>
        </w:rPr>
        <w:t>30574310.1</w:t>
      </w:r>
    </w:p>
    <w:p>
      <w:pPr>
        <w:sectPr>
          <w:pgSz w:w="11900" w:h="16838" w:orient="portrait"/>
          <w:cols w:equalWidth="0" w:num="1">
            <w:col w:w="11420"/>
          </w:cols>
          <w:pgMar w:left="240" w:top="954" w:right="239" w:bottom="1440" w:gutter="0" w:footer="0" w:header="0"/>
        </w:sectPr>
      </w:pPr>
    </w:p>
    <w:bookmarkStart w:id="9" w:name="page10"/>
    <w:bookmarkEnd w:id="9"/>
    <w:p>
      <w:pPr>
        <w:ind w:left="1260" w:hanging="644"/>
        <w:spacing w:after="0" w:line="359"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the completeness and conformity to originals of all documents supplied to us as certified, conformed or photostatic copies or received by us by facsimile or email transmission and the authenticity and completeness of the originals of such documents;</w:t>
      </w:r>
    </w:p>
    <w:p>
      <w:pPr>
        <w:ind w:left="1260" w:hanging="644"/>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102" w:lineRule="exact"/>
        <w:rPr>
          <w:rFonts w:ascii="Times New Roman" w:cs="Times New Roman" w:eastAsia="Times New Roman" w:hAnsi="Times New Roman"/>
          <w:sz w:val="18"/>
          <w:szCs w:val="18"/>
          <w:color w:val="auto"/>
        </w:rPr>
      </w:pPr>
    </w:p>
    <w:p>
      <w:pPr>
        <w:jc w:val="both"/>
        <w:ind w:left="1260" w:hanging="644"/>
        <w:spacing w:after="0" w:line="359"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that the proceedings described in the copy minutes of the meeting of the board of directors of the Company referred to above and examined for the purposes of this opinion were conducted in the manner therein described, that the meeting was properly convened and constituted and that the resolutions referred to therein were duly passed and adopted and have not since been amended or rescinded;</w:t>
      </w:r>
    </w:p>
    <w:p>
      <w:pPr>
        <w:spacing w:after="0" w:line="2" w:lineRule="exact"/>
        <w:rPr>
          <w:rFonts w:ascii="Times New Roman" w:cs="Times New Roman" w:eastAsia="Times New Roman" w:hAnsi="Times New Roman"/>
          <w:sz w:val="18"/>
          <w:szCs w:val="18"/>
          <w:color w:val="auto"/>
        </w:rPr>
      </w:pPr>
    </w:p>
    <w:p>
      <w:pPr>
        <w:ind w:left="1260" w:hanging="644"/>
        <w:spacing w:after="0" w:line="359"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that the written resolutions of the shareholders referred to above were duly passed and adopted and have not since been amended or rescinded;</w:t>
      </w:r>
    </w:p>
    <w:p>
      <w:pPr>
        <w:jc w:val="both"/>
        <w:ind w:left="1260" w:hanging="644"/>
        <w:spacing w:after="0" w:line="359"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that, at the time of the allotment of any Shares: (i) the Company will have a sufficient number of authorised but unissued Shares in its capital (at least equal to the number of Shares to be allotted and issued); (ii) the directors of the Company will have been generally and unconditionally authorised by ordinary resolution of the shareholders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accordance with section 20 of the Companies (Amendment) Act 1983, as amended (the “</w:t>
      </w:r>
      <w:r>
        <w:rPr>
          <w:rFonts w:ascii="Arial" w:cs="Arial" w:eastAsia="Arial" w:hAnsi="Arial"/>
          <w:sz w:val="18"/>
          <w:szCs w:val="18"/>
          <w:b w:val="1"/>
          <w:bCs w:val="1"/>
          <w:color w:val="auto"/>
        </w:rPr>
        <w:t>1983 Act</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to allot a sufficient number of Shares (at least equal to the number of Shares to be allotted and issued); and (iii) if issued for cash consideration, such Shares will be allotted and issued in accordance with section 23(1) of the 1983 Act or the directors will have been empowered, by special resolution of the shareholders, passed in accordance with section 23 and section 24(1) of the 1983 Act, to allot and issue such Shares as of the said section 23(1) did not apply to such allotment and issue;</w:t>
      </w:r>
    </w:p>
    <w:p>
      <w:pPr>
        <w:spacing w:after="0" w:line="4" w:lineRule="exact"/>
        <w:rPr>
          <w:rFonts w:ascii="Times New Roman" w:cs="Times New Roman" w:eastAsia="Times New Roman" w:hAnsi="Times New Roman"/>
          <w:sz w:val="18"/>
          <w:szCs w:val="18"/>
          <w:color w:val="auto"/>
        </w:rPr>
      </w:pPr>
    </w:p>
    <w:p>
      <w:pPr>
        <w:ind w:left="1260" w:hanging="644"/>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that, at the time of the allotment of any Shares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Post-Effective Amendment will be effective and continue to be effective;</w:t>
      </w:r>
    </w:p>
    <w:p>
      <w:pPr>
        <w:spacing w:after="0" w:line="102" w:lineRule="exact"/>
        <w:rPr>
          <w:rFonts w:ascii="Times New Roman" w:cs="Times New Roman" w:eastAsia="Times New Roman" w:hAnsi="Times New Roman"/>
          <w:sz w:val="18"/>
          <w:szCs w:val="18"/>
          <w:color w:val="auto"/>
        </w:rPr>
      </w:pPr>
    </w:p>
    <w:p>
      <w:pPr>
        <w:jc w:val="both"/>
        <w:ind w:left="1260" w:hanging="644"/>
        <w:spacing w:after="0" w:line="359"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that any Shares allotted and issued in accordance with the Post-Effective Amendment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29 to 33 of the 1983 Act have been complied with;</w:t>
      </w:r>
    </w:p>
    <w:p>
      <w:pPr>
        <w:spacing w:after="0" w:line="3" w:lineRule="exact"/>
        <w:rPr>
          <w:rFonts w:ascii="Times New Roman" w:cs="Times New Roman" w:eastAsia="Times New Roman" w:hAnsi="Times New Roman"/>
          <w:sz w:val="18"/>
          <w:szCs w:val="18"/>
          <w:color w:val="auto"/>
        </w:rPr>
      </w:pPr>
    </w:p>
    <w:p>
      <w:pPr>
        <w:jc w:val="both"/>
        <w:ind w:left="1260" w:hanging="644"/>
        <w:spacing w:after="0" w:line="359"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2" w:lineRule="exact"/>
        <w:rPr>
          <w:rFonts w:ascii="Times New Roman" w:cs="Times New Roman" w:eastAsia="Times New Roman" w:hAnsi="Times New Roman"/>
          <w:sz w:val="18"/>
          <w:szCs w:val="18"/>
          <w:color w:val="auto"/>
        </w:rPr>
      </w:pPr>
    </w:p>
    <w:p>
      <w:pPr>
        <w:jc w:val="both"/>
        <w:ind w:left="1260" w:hanging="644"/>
        <w:spacing w:after="0" w:line="380"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999999"/>
        </w:rPr>
        <w:t>30574310.1</w:t>
      </w:r>
    </w:p>
    <w:p>
      <w:pPr>
        <w:sectPr>
          <w:pgSz w:w="11900" w:h="16838" w:orient="portrait"/>
          <w:cols w:equalWidth="0" w:num="1">
            <w:col w:w="11420"/>
          </w:cols>
          <w:pgMar w:left="240" w:top="738" w:right="239" w:bottom="1440" w:gutter="0" w:footer="0" w:header="0"/>
        </w:sectPr>
      </w:pPr>
    </w:p>
    <w:bookmarkStart w:id="10" w:name="page11"/>
    <w:bookmarkEnd w:id="10"/>
    <w:p>
      <w:pPr>
        <w:jc w:val="both"/>
        <w:ind w:left="1260" w:hanging="644"/>
        <w:spacing w:after="0" w:line="359" w:lineRule="auto"/>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6" w:lineRule="exact"/>
        <w:rPr>
          <w:rFonts w:ascii="Times New Roman" w:cs="Times New Roman" w:eastAsia="Times New Roman" w:hAnsi="Times New Roman"/>
          <w:sz w:val="18"/>
          <w:szCs w:val="18"/>
          <w:color w:val="auto"/>
        </w:rPr>
      </w:pPr>
    </w:p>
    <w:p>
      <w:pPr>
        <w:jc w:val="both"/>
        <w:ind w:left="1260" w:hanging="644"/>
        <w:spacing w:after="0" w:line="359" w:lineRule="auto"/>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that the Company has not given, nor shall it give, directly or indirectly, and whether by means of a loan, guarantee, the provision of security or otherwise, any financial assistance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as contemplated by section 60 of the Companies Act 1963, for the purpose of, or in connection with, the purchase or subscription by any person of or for any Shares save as permitted by, or pursuant to an exemption to, the said section 60;</w:t>
      </w:r>
    </w:p>
    <w:p>
      <w:pPr>
        <w:spacing w:after="0" w:line="1" w:lineRule="exact"/>
        <w:rPr>
          <w:rFonts w:ascii="Times New Roman" w:cs="Times New Roman" w:eastAsia="Times New Roman" w:hAnsi="Times New Roman"/>
          <w:sz w:val="18"/>
          <w:szCs w:val="18"/>
          <w:color w:val="auto"/>
        </w:rPr>
      </w:pPr>
    </w:p>
    <w:p>
      <w:pPr>
        <w:ind w:left="1260" w:hanging="644"/>
        <w:spacing w:after="0" w:line="359" w:lineRule="auto"/>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Post-Effective Amendment and the accuracy of the Certificate;</w:t>
      </w:r>
    </w:p>
    <w:p>
      <w:pPr>
        <w:ind w:left="1260" w:right="20" w:hanging="644"/>
        <w:spacing w:after="0" w:line="359" w:lineRule="auto"/>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Post-Effective Amendment or the Plan or in any way bear upon, or are inconsistent with, the contents of this opinion;</w:t>
      </w:r>
    </w:p>
    <w:p>
      <w:pPr>
        <w:jc w:val="both"/>
        <w:ind w:left="1260" w:hanging="644"/>
        <w:spacing w:after="0" w:line="359" w:lineRule="auto"/>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that, in approving the filing by the Company of the Post-Effective Amendment,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 w:lineRule="exact"/>
        <w:rPr>
          <w:rFonts w:ascii="Times New Roman" w:cs="Times New Roman" w:eastAsia="Times New Roman" w:hAnsi="Times New Roman"/>
          <w:sz w:val="18"/>
          <w:szCs w:val="18"/>
          <w:color w:val="auto"/>
        </w:rPr>
      </w:pPr>
    </w:p>
    <w:p>
      <w:pPr>
        <w:jc w:val="both"/>
        <w:ind w:left="1260" w:hanging="644"/>
        <w:spacing w:after="0" w:line="359" w:lineRule="auto"/>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2" w:lineRule="exact"/>
        <w:rPr>
          <w:rFonts w:ascii="Times New Roman" w:cs="Times New Roman" w:eastAsia="Times New Roman" w:hAnsi="Times New Roman"/>
          <w:sz w:val="18"/>
          <w:szCs w:val="18"/>
          <w:color w:val="auto"/>
        </w:rPr>
      </w:pPr>
    </w:p>
    <w:p>
      <w:pPr>
        <w:jc w:val="both"/>
        <w:ind w:left="1260" w:hanging="644"/>
        <w:spacing w:after="0" w:line="359" w:lineRule="auto"/>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that: (i) the Company was, or will be, fully solvent (A) at the time of, and immediately after, the filing of the Post-Effective Amendment and (B) at the date hereof; (ii) the Company would not, as a consequence of doing any act or thing which the Post-Effective Amendment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4" w:lineRule="exact"/>
        <w:rPr>
          <w:rFonts w:ascii="Times New Roman" w:cs="Times New Roman" w:eastAsia="Times New Roman" w:hAnsi="Times New Roman"/>
          <w:sz w:val="18"/>
          <w:szCs w:val="18"/>
          <w:color w:val="auto"/>
        </w:rPr>
      </w:pPr>
    </w:p>
    <w:p>
      <w:pPr>
        <w:ind w:left="1260" w:hanging="644"/>
        <w:spacing w:after="0" w:line="399" w:lineRule="auto"/>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999999"/>
        </w:rPr>
        <w:t>30574310.1</w:t>
      </w:r>
    </w:p>
    <w:p>
      <w:pPr>
        <w:sectPr>
          <w:pgSz w:w="11900" w:h="16838" w:orient="portrait"/>
          <w:cols w:equalWidth="0" w:num="1">
            <w:col w:w="11420"/>
          </w:cols>
          <w:pgMar w:left="240" w:top="738" w:right="239" w:bottom="1440" w:gutter="0" w:footer="0" w:header="0"/>
        </w:sectPr>
      </w:pPr>
    </w:p>
    <w:bookmarkStart w:id="11" w:name="page12"/>
    <w:bookmarkEnd w:id="11"/>
    <w:p>
      <w:pPr>
        <w:ind w:left="620" w:hanging="612"/>
        <w:spacing w:after="0"/>
        <w:tabs>
          <w:tab w:leader="none" w:pos="6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Opinion</w:t>
      </w:r>
    </w:p>
    <w:p>
      <w:pPr>
        <w:spacing w:after="0" w:line="115" w:lineRule="exact"/>
        <w:rPr>
          <w:rFonts w:ascii="Times New Roman" w:cs="Times New Roman" w:eastAsia="Times New Roman" w:hAnsi="Times New Roman"/>
          <w:sz w:val="20"/>
          <w:szCs w:val="20"/>
          <w:color w:val="auto"/>
        </w:rPr>
      </w:pPr>
    </w:p>
    <w:p>
      <w:pPr>
        <w:jc w:val="both"/>
        <w:ind w:left="620"/>
        <w:spacing w:after="0" w:line="367" w:lineRule="auto"/>
        <w:rPr>
          <w:rFonts w:ascii="Times New Roman" w:cs="Times New Roman" w:eastAsia="Times New Roman" w:hAnsi="Times New Roman"/>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are of the opinion that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170" w:lineRule="exact"/>
        <w:rPr>
          <w:sz w:val="20"/>
          <w:szCs w:val="20"/>
          <w:color w:val="auto"/>
        </w:rPr>
      </w:pPr>
    </w:p>
    <w:p>
      <w:pPr>
        <w:ind w:left="620" w:hanging="612"/>
        <w:spacing w:after="0"/>
        <w:tabs>
          <w:tab w:leader="none" w:pos="6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Qualifications</w:t>
      </w:r>
    </w:p>
    <w:p>
      <w:pPr>
        <w:spacing w:after="0" w:line="115"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Arial" w:cs="Arial" w:eastAsia="Arial" w:hAnsi="Arial"/>
          <w:sz w:val="18"/>
          <w:szCs w:val="18"/>
          <w:color w:val="auto"/>
        </w:rPr>
        <w:t>The opinions set forth in this opinion letter are given subject to the following qualifications:</w:t>
      </w:r>
    </w:p>
    <w:p>
      <w:pPr>
        <w:spacing w:after="0" w:line="319" w:lineRule="exact"/>
        <w:rPr>
          <w:rFonts w:ascii="Times New Roman" w:cs="Times New Roman" w:eastAsia="Times New Roman" w:hAnsi="Times New Roman"/>
          <w:sz w:val="20"/>
          <w:szCs w:val="20"/>
          <w:color w:val="auto"/>
        </w:rPr>
      </w:pPr>
    </w:p>
    <w:p>
      <w:pPr>
        <w:ind w:left="1540" w:hanging="911"/>
        <w:spacing w:after="0" w:line="359" w:lineRule="auto"/>
        <w:tabs>
          <w:tab w:leader="none" w:pos="1540" w:val="left"/>
        </w:tabs>
        <w:numPr>
          <w:ilvl w:val="1"/>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w:t>
      </w:r>
    </w:p>
    <w:p>
      <w:pPr>
        <w:ind w:left="1540" w:hanging="911"/>
        <w:spacing w:after="0" w:line="359" w:lineRule="auto"/>
        <w:tabs>
          <w:tab w:leader="none" w:pos="1540" w:val="left"/>
        </w:tabs>
        <w:numPr>
          <w:ilvl w:val="1"/>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search at the Registry of Winding up Petitions at the Central Office of the High Court is not capable of revealing whether or not a receiver has been appointed.</w:t>
      </w:r>
    </w:p>
    <w:p>
      <w:pPr>
        <w:spacing w:after="0" w:line="1" w:lineRule="exact"/>
        <w:rPr>
          <w:sz w:val="20"/>
          <w:szCs w:val="20"/>
          <w:color w:val="auto"/>
        </w:rPr>
      </w:pPr>
    </w:p>
    <w:p>
      <w:pPr>
        <w:jc w:val="both"/>
        <w:ind w:left="620"/>
        <w:spacing w:after="0" w:line="381"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999999"/>
        </w:rPr>
        <w:t>30574310.1</w:t>
      </w:r>
    </w:p>
    <w:p>
      <w:pPr>
        <w:sectPr>
          <w:pgSz w:w="11900" w:h="16838" w:orient="portrait"/>
          <w:cols w:equalWidth="0" w:num="1">
            <w:col w:w="11420"/>
          </w:cols>
          <w:pgMar w:left="240" w:top="729" w:right="2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of Weatherford International plc, successor issuer to Weatherford International Ltd., relating to the Weatherford International, Inc. Foreign Executive Deferred Compensation Stock Plan; the Weatherford International, LLC 401(K) Savings Plan; and the Weatherford International, Ltd. Deferred Compensation Plan for Non-Employee Directors,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which reports appear in the December 31, 2013 annual report on Form 10-K of Weatherford International Ltd.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2014</w:t>
      </w:r>
    </w:p>
    <w:p>
      <w:pPr>
        <w:sectPr>
          <w:pgSz w:w="11900" w:h="16838" w:orient="portrait"/>
          <w:cols w:equalWidth="0" w:num="1">
            <w:col w:w="11420"/>
          </w:cols>
          <w:pgMar w:left="240" w:top="576" w:right="2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No. 333-112378) pertaining to the Weatherford International, Inc. Foreign Executive Deferred Compensation Stock Plan; Weatherford International, LLC 401(k) Savings Plan; and the Weatherford International Ltd. Deferred Compensation Plan for Non-Employee Directors,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17, 2014</w:t>
      </w:r>
    </w:p>
    <w:sectPr>
      <w:pgSz w:w="11900" w:h="16838" w:orient="portrait"/>
      <w:cols w:equalWidth="0" w:num="1">
        <w:col w:w="11420"/>
      </w:cols>
      <w:pgMar w:left="24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713"/>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2"/>
      <w:numFmt w:val="bullet"/>
      <w:start w:val="1"/>
    </w:lvl>
    <w:lvl w:ilvl="1">
      <w:lvlJc w:val="left"/>
      <w:lvlText w:val="(%2)"/>
      <w:numFmt w:val="lowerLetter"/>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3"/>
      <w:numFmt w:val="bullet"/>
      <w:start w:val="1"/>
    </w:lvl>
  </w:abstractNum>
  <w:abstractNum w:abstractNumId="10">
    <w:nsid w:val="1F16E9E8"/>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2019-12-08T10:49:45Z</dcterms:created>
  <dcterms:modified xsi:type="dcterms:W3CDTF">2019-12-08T10:49:45Z</dcterms:modified>
</cp:coreProperties>
</file>