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GOLDMAN NEAL P</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120" w:type="dxa"/>
            <w:vAlign w:val="bottom"/>
            <w:tcBorders>
              <w:top w:val="single" w:sz="8" w:color="0000EE"/>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Weatherford International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WFRD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89"/>
              </w:rPr>
              <w:t>2000 ST. JAMES PLACE</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HOUSTON TX</w:t>
            </w:r>
          </w:p>
        </w:tc>
        <w:tc>
          <w:tcPr>
            <w:tcW w:w="1020" w:type="dxa"/>
            <w:vAlign w:val="bottom"/>
          </w:tcPr>
          <w:p>
            <w:pPr>
              <w:ind w:left="20"/>
              <w:spacing w:after="0"/>
              <w:rPr>
                <w:sz w:val="20"/>
                <w:szCs w:val="20"/>
                <w:color w:val="auto"/>
              </w:rPr>
            </w:pPr>
            <w:r>
              <w:rPr>
                <w:rFonts w:ascii="Arial" w:cs="Arial" w:eastAsia="Arial" w:hAnsi="Arial"/>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Restricted Share Units</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89"/>
              <w:spacing w:after="0"/>
              <w:rPr>
                <w:sz w:val="20"/>
                <w:szCs w:val="20"/>
                <w:color w:val="auto"/>
              </w:rPr>
            </w:pPr>
            <w:r>
              <w:rPr>
                <w:rFonts w:ascii="Arial" w:cs="Arial" w:eastAsia="Arial" w:hAnsi="Arial"/>
                <w:sz w:val="13"/>
                <w:szCs w:val="13"/>
                <w:color w:val="008000"/>
              </w:rPr>
              <w:t>(1)</w:t>
            </w:r>
          </w:p>
        </w:tc>
        <w:tc>
          <w:tcPr>
            <w:tcW w:w="1740" w:type="dxa"/>
            <w:vAlign w:val="bottom"/>
          </w:tcPr>
          <w:p>
            <w:pPr>
              <w:ind w:left="300"/>
              <w:spacing w:after="0"/>
              <w:rPr>
                <w:sz w:val="20"/>
                <w:szCs w:val="20"/>
                <w:color w:val="auto"/>
              </w:rPr>
            </w:pPr>
            <w:r>
              <w:rPr>
                <w:rFonts w:ascii="Arial" w:cs="Arial" w:eastAsia="Arial" w:hAnsi="Arial"/>
                <w:sz w:val="20"/>
                <w:szCs w:val="20"/>
                <w:color w:val="0000FF"/>
                <w:w w:val="97"/>
              </w:rPr>
              <w:t>Ordinary Shares</w:t>
            </w:r>
          </w:p>
        </w:tc>
        <w:tc>
          <w:tcPr>
            <w:tcW w:w="840" w:type="dxa"/>
            <w:vAlign w:val="bottom"/>
          </w:tcPr>
          <w:p>
            <w:pPr>
              <w:ind w:left="200"/>
              <w:spacing w:after="0"/>
              <w:rPr>
                <w:sz w:val="20"/>
                <w:szCs w:val="20"/>
                <w:color w:val="auto"/>
              </w:rPr>
            </w:pPr>
            <w:r>
              <w:rPr>
                <w:rFonts w:ascii="Arial" w:cs="Arial" w:eastAsia="Arial" w:hAnsi="Arial"/>
                <w:sz w:val="20"/>
                <w:szCs w:val="20"/>
                <w:color w:val="0000FF"/>
              </w:rPr>
              <w:t>47,506</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restricted share units ("RSUs") granted on January 4, 2021 pursuant to Issuer's Second Amended and Restated 2019 Equity Incentive Plan. The RSUs vest on the first anniversary of the date of grant.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Jonathan B. Wolens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06/10/2021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Power of Attorney</w:t>
            </w:r>
          </w:p>
        </w:tc>
        <w:tc>
          <w:tcPr>
            <w:tcW w:w="4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12774" TargetMode="External"/><Relationship Id="rId11"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2021-06-10T17:44:44Z</dcterms:created>
  <dcterms:modified xsi:type="dcterms:W3CDTF">2021-06-10T17:44:44Z</dcterms:modified>
</cp:coreProperties>
</file>