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14, 2021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4"/>
              </w:rPr>
              <w:t>Ireland</w:t>
            </w:r>
          </w:p>
        </w:tc>
        <w:tc>
          <w:tcPr>
            <w:tcW w:w="4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001-36504</w:t>
            </w:r>
          </w:p>
        </w:tc>
        <w:tc>
          <w:tcPr>
            <w:tcW w:w="34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tcPr>
          <w:p>
            <w:pPr>
              <w:jc w:val="center"/>
              <w:ind w:right="52"/>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center"/>
              <w:ind w:right="270"/>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362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2000 St. James Place,</w:t>
            </w:r>
          </w:p>
        </w:tc>
        <w:tc>
          <w:tcPr>
            <w:tcW w:w="41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Houston, Texas</w:t>
            </w:r>
          </w:p>
        </w:tc>
        <w:tc>
          <w:tcPr>
            <w:tcW w:w="41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77056</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Arial" w:cs="Arial" w:eastAsia="Arial" w:hAnsi="Arial"/>
                <w:sz w:val="18"/>
                <w:szCs w:val="18"/>
                <w:color w:val="auto"/>
                <w:w w:val="94"/>
              </w:rPr>
              <w:t>(Zip Code)</w:t>
            </w:r>
          </w:p>
        </w:tc>
      </w:tr>
      <w:tr>
        <w:trPr>
          <w:trHeight w:val="382"/>
        </w:trPr>
        <w:tc>
          <w:tcPr>
            <w:tcW w:w="3620" w:type="dxa"/>
            <w:vAlign w:val="bottom"/>
          </w:tcPr>
          <w:p>
            <w:pPr>
              <w:spacing w:after="0"/>
              <w:rPr>
                <w:sz w:val="24"/>
                <w:szCs w:val="24"/>
                <w:color w:val="auto"/>
              </w:rPr>
            </w:pPr>
          </w:p>
        </w:tc>
        <w:tc>
          <w:tcPr>
            <w:tcW w:w="4160" w:type="dxa"/>
            <w:vAlign w:val="bottom"/>
          </w:tcPr>
          <w:p>
            <w:pPr>
              <w:jc w:val="center"/>
              <w:ind w:right="72"/>
              <w:spacing w:after="0"/>
              <w:rPr>
                <w:sz w:val="20"/>
                <w:szCs w:val="20"/>
                <w:color w:val="auto"/>
              </w:rPr>
            </w:pPr>
            <w:r>
              <w:rPr>
                <w:rFonts w:ascii="Arial" w:cs="Arial" w:eastAsia="Arial" w:hAnsi="Arial"/>
                <w:sz w:val="17"/>
                <w:szCs w:val="17"/>
                <w:b w:val="1"/>
                <w:bCs w:val="1"/>
                <w:color w:val="auto"/>
                <w:w w:val="89"/>
              </w:rPr>
              <w:t>Registrant’s telephone number, including area code:</w:t>
            </w:r>
          </w:p>
        </w:tc>
        <w:tc>
          <w:tcPr>
            <w:tcW w:w="346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4160" w:type="dxa"/>
            <w:vAlign w:val="bottom"/>
          </w:tcPr>
          <w:p>
            <w:pPr>
              <w:jc w:val="center"/>
              <w:ind w:right="52"/>
              <w:spacing w:after="0"/>
              <w:rPr>
                <w:sz w:val="20"/>
                <w:szCs w:val="20"/>
                <w:color w:val="auto"/>
              </w:rPr>
            </w:pPr>
            <w:r>
              <w:rPr>
                <w:rFonts w:ascii="Arial" w:cs="Arial" w:eastAsia="Arial" w:hAnsi="Arial"/>
                <w:sz w:val="17"/>
                <w:szCs w:val="17"/>
                <w:b w:val="1"/>
                <w:bCs w:val="1"/>
                <w:color w:val="auto"/>
                <w:w w:val="90"/>
              </w:rPr>
              <w:t>713.836.4000</w:t>
            </w:r>
          </w:p>
        </w:tc>
        <w:tc>
          <w:tcPr>
            <w:tcW w:w="3460" w:type="dxa"/>
            <w:vAlign w:val="bottom"/>
          </w:tcPr>
          <w:p>
            <w:pPr>
              <w:spacing w:after="0"/>
              <w:rPr>
                <w:sz w:val="19"/>
                <w:szCs w:val="19"/>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5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$0.001 par value per share</w:t>
            </w: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6"/>
              </w:rPr>
              <w:t>WFRD</w:t>
            </w:r>
          </w:p>
        </w:tc>
        <w:tc>
          <w:tcPr>
            <w:tcW w:w="1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October 14, 2021, Weatherford International plc (the “Company”), its wholly owned subsidiary, Weatherford International Ltd. (the “Issuer”), and certain other subsidiaries of the Company (the “Guarantors”) that are the same subsidiaries of the Company that guarantee the Issuer’s 6.50% Senior Secured First Lien Notes due 2028 entered into a purchase agreement (the “Purchase Agreement”) with Morgan Stanley &amp; Co. LLC, as the representative of the initial purchasers (the “Initial Purchasers”) relating to the private offering by the Issuer (the “Offering”) of $1,600.0 million in aggregate principal amount of 8.625% senior notes due 2030 (the “Notes”). Pursuant to the Purchase Agreement, the Issuer agreed to issue and sell to the Initial Purchasers, and the Initial Purchases have agreed to purchase, the Notes.</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Notes will be senior unsecured obligations of the Issuer and will be guaranteed by the Guarantors on a senior unsecured basis. The sale of the Notes is expected to close on October 27, 2021, subject to the satisfaction of customary closing conditions.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Purchase Agreement contains customary representations, warranties and agreements by the Issuer and the Guarantors and customary conditions to closing. The Issuer and the Guarantors have agreed to indemnify the Initial Purchasers against certain liabilities, including liabilities under the Securities Act of 1933, as amended (the “Securities Act”), or to contribute to payments the Initial Purchasers may be required to make because of any of those liabilities.</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Offering</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October 14, 2021, the Company issued a press release announcing the pricing of the Offering. A copy of the press release relating to the Offering is furnished hereto as Exhibit 99.1 and is incorporated by reference into this Item 8.01.</w:t>
      </w:r>
    </w:p>
    <w:p>
      <w:pPr>
        <w:spacing w:after="0" w:line="8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Notes will be offered and sold only to persons reasonably believed to be qualified institutional buyers in the United States pursuant to Rule 144A under the Securities Act, and outside the United States, only to non-U.S. investors pursuant to Regulation S under the Securities Act.</w:t>
      </w:r>
    </w:p>
    <w:p>
      <w:pPr>
        <w:spacing w:after="0" w:line="6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The Notes have not been and will not be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This Current Report on Form 8–K shall not constitute an offer to sell or a solicitation of an offer to purchase the Notes, or any other securities, and shall not constitute an offer, solicitation or sale in any state or jurisdiction in which such an offer, solicitation or sale would be unlawful.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 Offer</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On October 14, 2021, the Company announced that the Issuer is amending its previously announced tender offer (the “Tender Offer”) for its outstanding 11.00% Senior Notes due 2024 (the “11.00% Senior Notes”) by increasing the aggregate principal amount of the 11.00% Senior Notes that it would purchase for cash to up to $1,600 million from $1,500 million. No other terms of the Tender Offer are being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Conditional Notice of Partial Redemption</w:t>
      </w:r>
    </w:p>
    <w:p>
      <w:pPr>
        <w:spacing w:after="0" w:line="225" w:lineRule="exact"/>
        <w:rPr>
          <w:sz w:val="20"/>
          <w:szCs w:val="20"/>
          <w:color w:val="auto"/>
        </w:rPr>
      </w:pPr>
    </w:p>
    <w:p>
      <w:pPr>
        <w:jc w:val="both"/>
        <w:ind w:right="360" w:firstLine="648"/>
        <w:spacing w:after="0" w:line="287" w:lineRule="auto"/>
        <w:rPr>
          <w:sz w:val="20"/>
          <w:szCs w:val="20"/>
          <w:color w:val="auto"/>
        </w:rPr>
      </w:pPr>
      <w:r>
        <w:rPr>
          <w:rFonts w:ascii="Arial" w:cs="Arial" w:eastAsia="Arial" w:hAnsi="Arial"/>
          <w:sz w:val="16"/>
          <w:szCs w:val="16"/>
          <w:color w:val="auto"/>
        </w:rPr>
        <w:t>On October 14, 2021, the Issuer issued a conditional notice of partial optional redemption (the “Concurrent Redemption”) to the holders of its 11.00% Senior Notes, providing for the redemption of up to $1,600.0 million aggregate principal amount of the Issuer’s remaining outstanding 11.00% Senior Notes not tendered and purchased in the Tender Offer to purchase for cash up to $1,600.0 million aggregate principal amount of its outstanding</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11.00% Senior Notes. The principal amount of 11.00% Senior Notes to be redeemed will be equal to the difference between (i) $1,600.0 million and (ii) the aggregate principal amount of the 11.00% Senior Notes purchased by the Issuer in the Tender Offer. The redemption price for the 11.00% Senior Notes to be redeemed will be equal to 100% of the principal amount of the 11.00% Senior Notes to be redeemed plus the Make Whole Premium (as defined in the indenture governing the 11.00% Senior Notes) as of, and accrued and unpaid interest to, but excluding, the redemption date. The redemption date for the Concurrent Redemption will be November 15, 2021. The Concurrent Redemption is conditioned on (i) the Issuer receiving the funds from the offer and sale of at least $1,600.0 million aggregate principal amount of the Notes and the closing of the Offering and (ii) the Issuer purchasing less than $1,600.0 million aggregate principal amount of the 11.00% Senior Notes pursuant to the Tender Offer. The Issuer intends to use the net proceeds from the Offering and cash on hand to fund the Concurrent Redemption.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disclosure does not constitute a notice of redemption with respect to the 11.00% Senior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This Current Report on Form 8-K contains forward-looking statements concerning, among other things, the Company’s strategy and financing plans and goals. These forward-looking statements are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10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Document Description</w:t>
            </w: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gridSpan w:val="3"/>
          </w:tcPr>
          <w:p>
            <w:pPr>
              <w:ind w:left="20"/>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of Weatherford International plc relating to the pricing of the offering of the Notes, dated October 14, 2021.</w:t>
              </w:r>
            </w:hyperlink>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7"/>
                <w:szCs w:val="17"/>
                <w:color w:val="auto"/>
              </w:rPr>
            </w:pPr>
          </w:p>
        </w:tc>
        <w:tc>
          <w:tcPr>
            <w:tcW w:w="8780" w:type="dxa"/>
            <w:vAlign w:val="bottom"/>
            <w:tcBorders>
              <w:top w:val="single" w:sz="8" w:color="0000EE"/>
            </w:tcBorders>
            <w:gridSpan w:val="2"/>
          </w:tcPr>
          <w:p>
            <w:pPr>
              <w:ind w:left="20"/>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Press Release of Weatherford International plc relating to the upsizing of the Tender Offer, dated October 14, 2021.</w:t>
              </w:r>
            </w:hyperlink>
          </w:p>
        </w:tc>
        <w:tc>
          <w:tcPr>
            <w:tcW w:w="1220" w:type="dxa"/>
            <w:vAlign w:val="bottom"/>
          </w:tcPr>
          <w:p>
            <w:pPr>
              <w:spacing w:after="0"/>
              <w:rPr>
                <w:sz w:val="17"/>
                <w:szCs w:val="17"/>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8300" w:type="dxa"/>
            <w:vAlign w:val="bottom"/>
            <w:tcBorders>
              <w:top w:val="single" w:sz="8" w:color="0000EE"/>
            </w:tcBorders>
          </w:tcPr>
          <w:p>
            <w:pPr>
              <w:ind w:left="20"/>
              <w:spacing w:after="0"/>
              <w:rPr>
                <w:sz w:val="20"/>
                <w:szCs w:val="20"/>
                <w:color w:val="auto"/>
              </w:rPr>
            </w:pPr>
            <w:r>
              <w:rPr>
                <w:rFonts w:ascii="Arial" w:cs="Arial" w:eastAsia="Arial" w:hAnsi="Arial"/>
                <w:sz w:val="18"/>
                <w:szCs w:val="18"/>
                <w:color w:val="auto"/>
                <w:w w:val="94"/>
              </w:rPr>
              <w:t>Cover Page Interactive Data File - the cover page XBRL tags are embedded within the Inline XBRL document.</w:t>
            </w:r>
          </w:p>
        </w:tc>
        <w:tc>
          <w:tcPr>
            <w:tcW w:w="1700" w:type="dxa"/>
            <w:vAlign w:val="bottom"/>
            <w:gridSpan w:val="2"/>
          </w:tcPr>
          <w:p>
            <w:pPr>
              <w:spacing w:after="0"/>
              <w:rPr>
                <w:sz w:val="20"/>
                <w:szCs w:val="20"/>
                <w:color w:val="auto"/>
              </w:rPr>
            </w:pPr>
          </w:p>
        </w:tc>
      </w:tr>
      <w:tr>
        <w:trPr>
          <w:trHeight w:val="790"/>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195"/>
        </w:trPr>
        <w:tc>
          <w:tcPr>
            <w:tcW w:w="5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Scott C. Weatherholt</w:t>
            </w:r>
          </w:p>
        </w:tc>
      </w:tr>
      <w:tr>
        <w:trPr>
          <w:trHeight w:val="216"/>
        </w:trPr>
        <w:tc>
          <w:tcPr>
            <w:tcW w:w="5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Title:  Executive Vice President, General</w:t>
            </w:r>
          </w:p>
        </w:tc>
      </w:tr>
      <w:tr>
        <w:trPr>
          <w:trHeight w:val="216"/>
        </w:trPr>
        <w:tc>
          <w:tcPr>
            <w:tcW w:w="560" w:type="dxa"/>
            <w:vAlign w:val="bottom"/>
          </w:tcPr>
          <w:p>
            <w:pPr>
              <w:spacing w:after="0"/>
              <w:rPr>
                <w:sz w:val="18"/>
                <w:szCs w:val="18"/>
                <w:color w:val="auto"/>
              </w:rPr>
            </w:pPr>
          </w:p>
        </w:tc>
        <w:tc>
          <w:tcPr>
            <w:tcW w:w="3360" w:type="dxa"/>
            <w:vAlign w:val="bottom"/>
          </w:tcPr>
          <w:p>
            <w:pPr>
              <w:ind w:left="560"/>
              <w:spacing w:after="0"/>
              <w:rPr>
                <w:sz w:val="20"/>
                <w:szCs w:val="20"/>
                <w:color w:val="auto"/>
              </w:rPr>
            </w:pPr>
            <w:r>
              <w:rPr>
                <w:rFonts w:ascii="Arial" w:cs="Arial" w:eastAsia="Arial" w:hAnsi="Arial"/>
                <w:sz w:val="18"/>
                <w:szCs w:val="18"/>
                <w:color w:val="auto"/>
              </w:rPr>
              <w:t>Counsel and Chief Compliance</w:t>
            </w:r>
          </w:p>
        </w:tc>
      </w:tr>
      <w:tr>
        <w:trPr>
          <w:trHeight w:val="230"/>
        </w:trPr>
        <w:tc>
          <w:tcPr>
            <w:tcW w:w="560" w:type="dxa"/>
            <w:vAlign w:val="bottom"/>
          </w:tcPr>
          <w:p>
            <w:pPr>
              <w:spacing w:after="0"/>
              <w:rPr>
                <w:sz w:val="20"/>
                <w:szCs w:val="20"/>
                <w:color w:val="auto"/>
              </w:rPr>
            </w:pPr>
          </w:p>
        </w:tc>
        <w:tc>
          <w:tcPr>
            <w:tcW w:w="3360" w:type="dxa"/>
            <w:vAlign w:val="bottom"/>
          </w:tcPr>
          <w:p>
            <w:pPr>
              <w:ind w:left="56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5158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15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NEWS RELEASE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Announces the Upsizing and Pricing of a $1,600 Million Senior Notes Offering</w:t>
      </w:r>
    </w:p>
    <w:p>
      <w:pPr>
        <w:spacing w:after="0" w:line="225"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HOUSTON, October 14, 2021</w:t>
      </w:r>
      <w:r>
        <w:rPr>
          <w:rFonts w:ascii="Arial" w:cs="Arial" w:eastAsia="Arial" w:hAnsi="Arial"/>
          <w:sz w:val="16"/>
          <w:szCs w:val="16"/>
          <w:color w:val="auto"/>
        </w:rPr>
        <w:t>/PRNewswire/ -- Weatherford International plc (NASDAQ: WFRD) (“Weatherford” or the “Company”) today announced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its wholly owned subsidiary, Weatherford International Ltd. (the “Issuer”), has priced its previously announced offering of 8.625% senior notes due 2030 (the “Notes”) at an issue price of 100%. The aggregate principal amount of the Notes to be issued was increased from the previously announced $1,500.0 million to $1,600 million. The offering of the Notes is expected to close on October 27, 2021, subject to customary closing conditions.</w:t>
      </w:r>
    </w:p>
    <w:p>
      <w:pPr>
        <w:spacing w:after="0" w:line="15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Notes will pay interest semi-annually on June 1 and December 1 of each year, beginning on June 1, 2022 at a rate of 8.625% per year. The Notes will mature on April 30, 2030. The Notes will be guaranteed by the Company and the same subsidiaries of the Company that guarantee the Issuer’s 6.50% Senior Secured First Lien Notes due September 15, 2028.</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Issuer will use the net proceeds from the offering and cash on hand to purchase, in a separately announced tender offer, or redeem, up to $1,600.0 million principal amount of its 11.00% senior notes due December 1, 2024.</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Notes are being offered only to persons reasonably believed to be qualified institutional buyers in reliance on Rule 144A under the Securities Act of 1933, as amended (the “Securities Act”), and outside the United States, only to non-U.S. investors pursuant to Regulation S under the Securities Act.</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Notes will not be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buy the Notes or any other securities and shall not constitute an offer, solicitation or sale in any jurisdiction in which such offer, solicitation or sale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365 operating locations, including manufacturing, research and development, service, and training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Mohammed Topiwala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investor.relations@weatherford.com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Kelley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Global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kelley.hughes@weatherford.com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796" w:right="7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5158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15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NEWS RELEASE</w:t>
      </w:r>
    </w:p>
    <w:p>
      <w:pPr>
        <w:spacing w:after="0" w:line="200" w:lineRule="exact"/>
        <w:rPr>
          <w:sz w:val="20"/>
          <w:szCs w:val="20"/>
          <w:color w:val="auto"/>
        </w:rPr>
      </w:pPr>
    </w:p>
    <w:p>
      <w:pPr>
        <w:spacing w:after="0" w:line="28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Weatherford International plc Announces an Increase in the Maximum Tender Amount to $1.6 billion in the Previously Announced Cash Tender Offer for Weatherford International Ltd.’s 11.00% Senior Notes due 2024</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HOUSTON, October 14, 2021/PRNewswire/ -- Weatherford International plc (NASDAQ: WFRD) (“Weatherford” or the “Company”) today announced that its wholly owned subsidiary, Weatherford International Ltd. (the “Issuer”), is amending its previously announced tender offer (the “Tender Offer”) for its outstanding 11.00% Senior Notes due 2024 (the “Notes”) by increasing the aggregate principal amount of the Notes that it would purchase for cash to up to $1,600,000,000 from $1,500,000,000. No other terms of the Tender Offer are being amended.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and conditions of the Tender Offer are described in an Offer to Purchase, dated October 12, 2021 (as amended or supplemented from time to time, the “Offer to Purchase”). The following table summarizes the material pricing terms of the Tender Offer.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Tender Offer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Consideration</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Early Tender</w:t>
            </w: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Consideration</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2"/>
              </w:rPr>
              <w:t>Principal</w:t>
            </w:r>
          </w:p>
        </w:tc>
        <w:tc>
          <w:tcPr>
            <w:tcW w:w="15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9"/>
              </w:rPr>
              <w:t>Tender</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Title of Security</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w:t>
            </w:r>
          </w:p>
        </w:tc>
        <w:tc>
          <w:tcPr>
            <w:tcW w:w="1560" w:type="dxa"/>
            <w:vAlign w:val="bottom"/>
            <w:gridSpan w:val="2"/>
          </w:tcPr>
          <w:p>
            <w:pPr>
              <w:ind w:left="200"/>
              <w:spacing w:after="0"/>
              <w:rPr>
                <w:sz w:val="20"/>
                <w:szCs w:val="20"/>
                <w:color w:val="auto"/>
              </w:rPr>
            </w:pPr>
            <w:r>
              <w:rPr>
                <w:rFonts w:ascii="Arial" w:cs="Arial" w:eastAsia="Arial" w:hAnsi="Arial"/>
                <w:sz w:val="18"/>
                <w:szCs w:val="18"/>
                <w:b w:val="1"/>
                <w:bCs w:val="1"/>
                <w:color w:val="auto"/>
              </w:rPr>
              <w:t>CUSIP / ISIN</w:t>
            </w:r>
          </w:p>
        </w:tc>
        <w:tc>
          <w:tcPr>
            <w:tcW w:w="1460" w:type="dxa"/>
            <w:vAlign w:val="bottom"/>
          </w:tcPr>
          <w:p>
            <w:pPr>
              <w:jc w:val="right"/>
              <w:ind w:right="554"/>
              <w:spacing w:after="0"/>
              <w:rPr>
                <w:sz w:val="20"/>
                <w:szCs w:val="20"/>
                <w:color w:val="auto"/>
              </w:rPr>
            </w:pPr>
            <w:r>
              <w:rPr>
                <w:rFonts w:ascii="Arial" w:cs="Arial" w:eastAsia="Arial" w:hAnsi="Arial"/>
                <w:sz w:val="15"/>
                <w:szCs w:val="15"/>
                <w:b w:val="1"/>
                <w:bCs w:val="1"/>
                <w:color w:val="auto"/>
              </w:rPr>
              <w:t>(1)</w:t>
            </w:r>
          </w:p>
        </w:tc>
        <w:tc>
          <w:tcPr>
            <w:tcW w:w="120" w:type="dxa"/>
            <w:vAlign w:val="bottom"/>
          </w:tcPr>
          <w:p>
            <w:pPr>
              <w:spacing w:after="0"/>
              <w:rPr>
                <w:sz w:val="23"/>
                <w:szCs w:val="23"/>
                <w:color w:val="auto"/>
              </w:rPr>
            </w:pPr>
          </w:p>
        </w:tc>
        <w:tc>
          <w:tcPr>
            <w:tcW w:w="1560" w:type="dxa"/>
            <w:vAlign w:val="bottom"/>
            <w:gridSpan w:val="2"/>
          </w:tcPr>
          <w:p>
            <w:pPr>
              <w:jc w:val="center"/>
              <w:ind w:right="100"/>
              <w:spacing w:after="0" w:line="270" w:lineRule="exact"/>
              <w:rPr>
                <w:sz w:val="20"/>
                <w:szCs w:val="20"/>
                <w:color w:val="auto"/>
              </w:rPr>
            </w:pPr>
            <w:r>
              <w:rPr>
                <w:rFonts w:ascii="Arial" w:cs="Arial" w:eastAsia="Arial" w:hAnsi="Arial"/>
                <w:sz w:val="18"/>
                <w:szCs w:val="18"/>
                <w:b w:val="1"/>
                <w:bCs w:val="1"/>
                <w:color w:val="auto"/>
                <w:w w:val="87"/>
              </w:rPr>
              <w:t>Payment</w:t>
            </w:r>
            <w:r>
              <w:rPr>
                <w:rFonts w:ascii="Arial" w:cs="Arial" w:eastAsia="Arial" w:hAnsi="Arial"/>
                <w:sz w:val="29"/>
                <w:szCs w:val="29"/>
                <w:b w:val="1"/>
                <w:bCs w:val="1"/>
                <w:color w:val="auto"/>
                <w:w w:val="87"/>
                <w:vertAlign w:val="superscript"/>
              </w:rPr>
              <w:t>(2)</w:t>
            </w:r>
          </w:p>
        </w:tc>
        <w:tc>
          <w:tcPr>
            <w:tcW w:w="1460" w:type="dxa"/>
            <w:vAlign w:val="bottom"/>
          </w:tcPr>
          <w:p>
            <w:pPr>
              <w:jc w:val="right"/>
              <w:ind w:right="474"/>
              <w:spacing w:after="0"/>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196"/>
        </w:trPr>
        <w:tc>
          <w:tcPr>
            <w:tcW w:w="14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Senior Notes due</w:t>
            </w:r>
          </w:p>
        </w:tc>
        <w:tc>
          <w:tcPr>
            <w:tcW w:w="120" w:type="dxa"/>
            <w:vAlign w:val="bottom"/>
          </w:tcPr>
          <w:p>
            <w:pPr>
              <w:spacing w:after="0"/>
              <w:rPr>
                <w:sz w:val="17"/>
                <w:szCs w:val="17"/>
                <w:color w:val="auto"/>
              </w:rPr>
            </w:pPr>
          </w:p>
        </w:tc>
        <w:tc>
          <w:tcPr>
            <w:tcW w:w="1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4"/>
                <w:szCs w:val="14"/>
                <w:color w:val="auto"/>
              </w:rPr>
              <w:t>$2,100,000,000</w:t>
            </w:r>
            <w:r>
              <w:rPr>
                <w:rFonts w:ascii="Arial" w:cs="Arial" w:eastAsia="Arial" w:hAnsi="Arial"/>
                <w:sz w:val="22"/>
                <w:szCs w:val="22"/>
                <w:color w:val="auto"/>
                <w:vertAlign w:val="superscript"/>
              </w:rPr>
              <w:t>(4)</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$1,600,000,000</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947075AP2 /</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274"/>
              <w:spacing w:after="0" w:line="196" w:lineRule="exact"/>
              <w:rPr>
                <w:sz w:val="20"/>
                <w:szCs w:val="20"/>
                <w:color w:val="auto"/>
              </w:rPr>
            </w:pPr>
            <w:r>
              <w:rPr>
                <w:rFonts w:ascii="Arial" w:cs="Arial" w:eastAsia="Arial" w:hAnsi="Arial"/>
                <w:sz w:val="18"/>
                <w:szCs w:val="18"/>
                <w:color w:val="auto"/>
              </w:rPr>
              <w:t>$1,014.76</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$50.00</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274"/>
              <w:spacing w:after="0" w:line="196" w:lineRule="exact"/>
              <w:rPr>
                <w:sz w:val="20"/>
                <w:szCs w:val="20"/>
                <w:color w:val="auto"/>
              </w:rPr>
            </w:pPr>
            <w:r>
              <w:rPr>
                <w:rFonts w:ascii="Arial" w:cs="Arial" w:eastAsia="Arial" w:hAnsi="Arial"/>
                <w:sz w:val="18"/>
                <w:szCs w:val="18"/>
                <w:color w:val="auto"/>
              </w:rPr>
              <w:t>$1,064.76</w:t>
            </w:r>
          </w:p>
        </w:tc>
        <w:tc>
          <w:tcPr>
            <w:tcW w:w="0" w:type="dxa"/>
            <w:vAlign w:val="bottom"/>
          </w:tcPr>
          <w:p>
            <w:pPr>
              <w:spacing w:after="0"/>
              <w:rPr>
                <w:sz w:val="1"/>
                <w:szCs w:val="1"/>
                <w:color w:val="auto"/>
              </w:rPr>
            </w:pP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US947075AP29</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1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$1,000 principal amount of Notes validly tendered and accepted for payment.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 $1,000 principal amount of Notes validly tendered and not validly withdrawn prior to the Early Tender Deadline and accepted for payment.</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Tender Offer Consideration and Early Tender Payment.</w:t>
      </w:r>
    </w:p>
    <w:p>
      <w:pPr>
        <w:spacing w:after="0" w:line="22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Of the $2,100,000,000 outstanding aggregate principal amount of Notes as of the date hereof, $200,000,000 in aggregate principal amount of Notes have been called for redemption at a price of 103.000% of the principal amount thereof, plus accrued and unpaid interest to the redemption date. The redemption of such Notes in the $200,000,000 aggregate principal amount is expected to occur on October 20, 2021. Prior to December 1, 2022, the Issuer may redeem up to an additional $300 million in the aggregate principal amount of the Notes at a redemption price of 103.000% of the principal amount of the Notes being redeemed plus accrued and unpaid interest, if any, to the redemption date. The Issuer intends to issue a notice of conditional redemption providing for the redemption of up to $1,600,000,000 aggregate principal amount of the Issuer’s remaining outstanding Notes not tendered and purchased in the Tender Offer (the “Concurrent Redemption”). The principal amount of the Notes to be redeemed will be equal to the difference between (i) $1.6 billion and (ii) the aggregate principal amount of the Notes purchased by the Issuer in the Tender Offer. The redemption price for the Notes to be redeemed will be equal to 100.00% of the principal amount of the Notes to be redeemed plus the Make Whole Premium (as defined in the indenture governing the Notes) as of, and accrued and unpaid interest to, but excluding, the redemption date. The redemption date for the Concurrent Redemption is expected to be November 15, 2021. The Concurrent Redemption is conditioned on the satisfaction or waiver of the following conditions: (i) the consummation of a debt financing in the aggregate principal amount of at least $1.6 billion and (ii) the Issuer purchasing less than $1.6 billion aggregate principal amount of the Notes pursuant to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The Tender Offer will expire at Midnight, New York City time, at the end of November 8, 2021, unless extended or earlier terminated by the Issuer. In order to be eligible to receive the Total Consideration (as described above) for tendered Notes, holders must validly tender and not validly withdraw their Notes prior to 5:00 p.m., New York City time, on October 25, 2021, unless extended or earlier terminated by the Issuer.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complete terms and conditions of the Tender Offer are set forth in the Offer to Purchase. Holders are urged to read the Offer to Purchase carefully when they become available.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any security. No offer, solicitation, or sale will be made in any jurisdiction in which such an offer, solicitation, or sale would be unlawful. This disclosure does not constitute a notice of redemption with respect to the Notes.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Morgan Stanley &amp; Co. LLC is the dealer manager (the “Dealer Manager”) in the Tender Offer. D.F. King &amp; Co., Inc. has been retained to serve as both the tender and the information agent (the “Tender and Information Agent”) for the Tender Offer. Questions regarding the Tender Offer should be directed to the Dealer Manager at 1 (800) 624-1808 or (212) 761-1057. Requests for copies of the Offer to Purchase and other related materials should be directed to D.F. King &amp; Co., Inc. at weatherford@dfking.com (email), (800) 290-6428 (U.S. Toll-Free) or (212) 269-5550 (Banks and Brokers).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None of the Company, its board of directors, the Issuer, the Dealer Manager, the Tender and Information Agent, the Trustee under the Indenture, or any of the Issuer’s affiliates, makes any recommendation as to whether holders of the Notes should tender any Notes in response to the Tender Offer. The Tender Offer is made only by the Offer to Purchase. The Tender Offer is not being made to holders of Notes in any jurisdiction in which the making or acceptance thereof would not be in compliance with the securities, blue sky or other laws of such jurisdiction. In any jurisdiction in which the Tender Offer is required to be made by a licensed broker or dealer, the Tender Offer will be deemed to be made on behalf of the Issuer by the Dealer Manager or one or more registered brokers or dealers that are licensed under the laws of such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365 operating locations, including manufacturing, research and development, service, and training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Mohammed Topiwala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563C1"/>
        </w:rPr>
        <w:t>investor.relations@weatherford.com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Kelley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Global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kelley.hughes@weatherford.com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2021-10-14T16:26:37Z</dcterms:created>
  <dcterms:modified xsi:type="dcterms:W3CDTF">2021-10-14T16:26:37Z</dcterms:modified>
</cp:coreProperties>
</file>