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4"/>
        <w:spacing w:after="0"/>
        <w:rPr>
          <w:sz w:val="20"/>
          <w:szCs w:val="20"/>
          <w:color w:val="auto"/>
        </w:rPr>
      </w:pPr>
      <w:r>
        <w:rPr>
          <w:rFonts w:ascii="Courier New" w:cs="Courier New" w:eastAsia="Courier New" w:hAnsi="Courier New"/>
          <w:sz w:val="19"/>
          <w:szCs w:val="19"/>
          <w:color w:val="auto"/>
        </w:rPr>
        <w:t>UNITED STATES</w:t>
      </w:r>
    </w:p>
    <w:p>
      <w:pPr>
        <w:jc w:val="center"/>
        <w:ind w:right="2894"/>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jc w:val="center"/>
        <w:ind w:right="2894"/>
        <w:spacing w:after="0"/>
        <w:rPr>
          <w:sz w:val="20"/>
          <w:szCs w:val="20"/>
          <w:color w:val="auto"/>
        </w:rPr>
      </w:pPr>
      <w:r>
        <w:rPr>
          <w:rFonts w:ascii="Courier New" w:cs="Courier New" w:eastAsia="Courier New" w:hAnsi="Courier New"/>
          <w:sz w:val="19"/>
          <w:szCs w:val="19"/>
          <w:color w:val="auto"/>
        </w:rPr>
        <w:t>Washington, D.C. 20549</w:t>
      </w:r>
    </w:p>
    <w:p>
      <w:pPr>
        <w:spacing w:after="0" w:line="200" w:lineRule="exact"/>
        <w:rPr>
          <w:sz w:val="24"/>
          <w:szCs w:val="24"/>
          <w:color w:val="auto"/>
        </w:rPr>
      </w:pPr>
    </w:p>
    <w:p>
      <w:pPr>
        <w:spacing w:after="0" w:line="226" w:lineRule="exact"/>
        <w:rPr>
          <w:sz w:val="24"/>
          <w:szCs w:val="24"/>
          <w:color w:val="auto"/>
        </w:rPr>
      </w:pPr>
    </w:p>
    <w:p>
      <w:pPr>
        <w:jc w:val="center"/>
        <w:ind w:right="2894"/>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166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00" w:lineRule="exact"/>
        <w:rPr>
          <w:sz w:val="24"/>
          <w:szCs w:val="24"/>
          <w:color w:val="auto"/>
        </w:rPr>
      </w:pPr>
    </w:p>
    <w:p>
      <w:pPr>
        <w:spacing w:after="0" w:line="227" w:lineRule="exact"/>
        <w:rPr>
          <w:sz w:val="24"/>
          <w:szCs w:val="24"/>
          <w:color w:val="auto"/>
        </w:rPr>
      </w:pPr>
    </w:p>
    <w:p>
      <w:pPr>
        <w:ind w:left="3006"/>
        <w:spacing w:after="0"/>
        <w:rPr>
          <w:sz w:val="20"/>
          <w:szCs w:val="20"/>
          <w:color w:val="auto"/>
        </w:rPr>
      </w:pPr>
      <w:r>
        <w:rPr>
          <w:rFonts w:ascii="Courier New" w:cs="Courier New" w:eastAsia="Courier New" w:hAnsi="Courier New"/>
          <w:sz w:val="19"/>
          <w:szCs w:val="19"/>
          <w:color w:val="auto"/>
        </w:rPr>
        <w:t>(Amendment No. )*</w:t>
      </w:r>
    </w:p>
    <w:p>
      <w:pPr>
        <w:spacing w:after="0" w:line="200" w:lineRule="exact"/>
        <w:rPr>
          <w:sz w:val="24"/>
          <w:szCs w:val="24"/>
          <w:color w:val="auto"/>
        </w:rPr>
      </w:pPr>
    </w:p>
    <w:p>
      <w:pPr>
        <w:spacing w:after="0" w:line="227" w:lineRule="exact"/>
        <w:rPr>
          <w:sz w:val="24"/>
          <w:szCs w:val="24"/>
          <w:color w:val="auto"/>
        </w:rPr>
      </w:pPr>
    </w:p>
    <w:p>
      <w:pPr>
        <w:ind w:left="2446"/>
        <w:spacing w:after="0"/>
        <w:rPr>
          <w:sz w:val="20"/>
          <w:szCs w:val="20"/>
          <w:color w:val="auto"/>
        </w:rPr>
      </w:pPr>
      <w:r>
        <w:rPr>
          <w:rFonts w:ascii="Courier New" w:cs="Courier New" w:eastAsia="Courier New" w:hAnsi="Courier New"/>
          <w:sz w:val="19"/>
          <w:szCs w:val="19"/>
          <w:color w:val="auto"/>
        </w:rPr>
        <w:t>Weatherford International plc</w:t>
      </w:r>
    </w:p>
    <w:p>
      <w:pPr>
        <w:ind w:left="3226"/>
        <w:spacing w:after="0" w:line="238" w:lineRule="auto"/>
        <w:rPr>
          <w:sz w:val="20"/>
          <w:szCs w:val="20"/>
          <w:color w:val="auto"/>
        </w:rPr>
      </w:pPr>
      <w:r>
        <w:rPr>
          <w:rFonts w:ascii="Courier New" w:cs="Courier New" w:eastAsia="Courier New" w:hAnsi="Courier New"/>
          <w:sz w:val="19"/>
          <w:szCs w:val="19"/>
          <w:color w:val="auto"/>
        </w:rPr>
        <w:t>(Name of Issuer)</w:t>
      </w:r>
    </w:p>
    <w:p>
      <w:pPr>
        <w:spacing w:after="0" w:line="213" w:lineRule="exact"/>
        <w:rPr>
          <w:sz w:val="24"/>
          <w:szCs w:val="24"/>
          <w:color w:val="auto"/>
        </w:rPr>
      </w:pPr>
    </w:p>
    <w:p>
      <w:pPr>
        <w:ind w:left="3346"/>
        <w:spacing w:after="0"/>
        <w:rPr>
          <w:sz w:val="20"/>
          <w:szCs w:val="20"/>
          <w:color w:val="auto"/>
        </w:rPr>
      </w:pPr>
      <w:r>
        <w:rPr>
          <w:rFonts w:ascii="Courier New" w:cs="Courier New" w:eastAsia="Courier New" w:hAnsi="Courier New"/>
          <w:sz w:val="19"/>
          <w:szCs w:val="19"/>
          <w:color w:val="auto"/>
        </w:rPr>
        <w:t>Common Shares</w:t>
      </w:r>
    </w:p>
    <w:p>
      <w:pPr>
        <w:ind w:left="2446"/>
        <w:spacing w:after="0" w:line="238" w:lineRule="auto"/>
        <w:rPr>
          <w:sz w:val="20"/>
          <w:szCs w:val="20"/>
          <w:color w:val="auto"/>
        </w:rPr>
      </w:pPr>
      <w:r>
        <w:rPr>
          <w:rFonts w:ascii="Courier New" w:cs="Courier New" w:eastAsia="Courier New" w:hAnsi="Courier New"/>
          <w:sz w:val="19"/>
          <w:szCs w:val="19"/>
          <w:color w:val="auto"/>
        </w:rPr>
        <w:t>(Title of Class of Securities)</w:t>
      </w:r>
    </w:p>
    <w:p>
      <w:pPr>
        <w:spacing w:after="0" w:line="213" w:lineRule="exact"/>
        <w:rPr>
          <w:sz w:val="24"/>
          <w:szCs w:val="24"/>
          <w:color w:val="auto"/>
        </w:rPr>
      </w:pPr>
    </w:p>
    <w:p>
      <w:pPr>
        <w:ind w:left="3666"/>
        <w:spacing w:after="0"/>
        <w:rPr>
          <w:sz w:val="20"/>
          <w:szCs w:val="20"/>
          <w:color w:val="auto"/>
        </w:rPr>
      </w:pPr>
      <w:r>
        <w:rPr>
          <w:rFonts w:ascii="Courier New" w:cs="Courier New" w:eastAsia="Courier New" w:hAnsi="Courier New"/>
          <w:sz w:val="19"/>
          <w:szCs w:val="19"/>
          <w:color w:val="auto"/>
        </w:rPr>
        <w:t>BLNN369</w:t>
      </w:r>
    </w:p>
    <w:p>
      <w:pPr>
        <w:ind w:left="3346"/>
        <w:spacing w:after="0" w:line="238" w:lineRule="auto"/>
        <w:rPr>
          <w:sz w:val="20"/>
          <w:szCs w:val="20"/>
          <w:color w:val="auto"/>
        </w:rPr>
      </w:pPr>
      <w:r>
        <w:rPr>
          <w:rFonts w:ascii="Courier New" w:cs="Courier New" w:eastAsia="Courier New" w:hAnsi="Courier New"/>
          <w:sz w:val="19"/>
          <w:szCs w:val="19"/>
          <w:color w:val="auto"/>
        </w:rPr>
        <w:t>(CUSIP Number)</w:t>
      </w:r>
    </w:p>
    <w:p>
      <w:pPr>
        <w:spacing w:after="0" w:line="213" w:lineRule="exact"/>
        <w:rPr>
          <w:sz w:val="24"/>
          <w:szCs w:val="24"/>
          <w:color w:val="auto"/>
        </w:rPr>
      </w:pPr>
    </w:p>
    <w:p>
      <w:pPr>
        <w:jc w:val="center"/>
        <w:ind w:right="2554"/>
        <w:spacing w:after="0"/>
        <w:rPr>
          <w:sz w:val="20"/>
          <w:szCs w:val="20"/>
          <w:color w:val="auto"/>
        </w:rPr>
      </w:pPr>
      <w:r>
        <w:rPr>
          <w:rFonts w:ascii="Courier New" w:cs="Courier New" w:eastAsia="Courier New" w:hAnsi="Courier New"/>
          <w:sz w:val="19"/>
          <w:szCs w:val="19"/>
          <w:color w:val="auto"/>
        </w:rPr>
        <w:t>December 31, 2018</w:t>
      </w:r>
    </w:p>
    <w:p>
      <w:pPr>
        <w:jc w:val="center"/>
        <w:ind w:right="2554"/>
        <w:spacing w:after="0" w:line="238" w:lineRule="auto"/>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8" w:lineRule="auto"/>
        <w:rPr>
          <w:sz w:val="20"/>
          <w:szCs w:val="20"/>
          <w:color w:val="auto"/>
        </w:rPr>
      </w:pPr>
      <w:r>
        <w:rPr>
          <w:rFonts w:ascii="Courier New" w:cs="Courier New" w:eastAsia="Courier New" w:hAnsi="Courier New"/>
          <w:sz w:val="19"/>
          <w:szCs w:val="19"/>
          <w:color w:val="auto"/>
        </w:rPr>
        <w:t>Schedule is filed:</w:t>
      </w:r>
    </w:p>
    <w:p>
      <w:pPr>
        <w:spacing w:after="0" w:line="6"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jc w:val="both"/>
        <w:ind w:left="6" w:right="2900"/>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jc w:val="both"/>
        <w:ind w:left="6" w:right="2780"/>
        <w:spacing w:after="0" w:line="237" w:lineRule="auto"/>
        <w:rPr>
          <w:sz w:val="20"/>
          <w:szCs w:val="20"/>
          <w:color w:val="auto"/>
        </w:rPr>
      </w:pPr>
      <w:r>
        <w:rPr>
          <w:rFonts w:ascii="Courier New" w:cs="Courier New" w:eastAsia="Courier New" w:hAnsi="Courier New"/>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6"/>
        <w:spacing w:after="0"/>
        <w:tabs>
          <w:tab w:leader="none" w:pos="7106" w:val="left"/>
        </w:tabs>
        <w:rPr>
          <w:sz w:val="20"/>
          <w:szCs w:val="20"/>
          <w:color w:val="auto"/>
        </w:rPr>
      </w:pPr>
      <w:r>
        <w:rPr>
          <w:rFonts w:ascii="Courier New" w:cs="Courier New" w:eastAsia="Courier New" w:hAnsi="Courier New"/>
          <w:sz w:val="19"/>
          <w:szCs w:val="19"/>
          <w:color w:val="auto"/>
        </w:rPr>
        <w:t>CUSIP: BLNN369</w:t>
      </w:r>
      <w:r>
        <w:rPr>
          <w:sz w:val="20"/>
          <w:szCs w:val="20"/>
          <w:color w:val="auto"/>
        </w:rPr>
        <w:tab/>
      </w: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66" w:hanging="455"/>
        <w:spacing w:after="0"/>
        <w:tabs>
          <w:tab w:leader="none" w:pos="56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NAMES OF REPORTING PERSONS</w:t>
      </w:r>
    </w:p>
    <w:p>
      <w:pPr>
        <w:spacing w:after="0" w:line="5" w:lineRule="exact"/>
        <w:rPr>
          <w:rFonts w:ascii="Courier New" w:cs="Courier New" w:eastAsia="Courier New" w:hAnsi="Courier New"/>
          <w:sz w:val="19"/>
          <w:szCs w:val="19"/>
          <w:color w:val="auto"/>
        </w:rPr>
      </w:pPr>
    </w:p>
    <w:p>
      <w:pPr>
        <w:ind w:left="566" w:right="3560"/>
        <w:spacing w:after="0" w:line="257" w:lineRule="auto"/>
        <w:rPr>
          <w:rFonts w:ascii="Courier New" w:cs="Courier New" w:eastAsia="Courier New" w:hAnsi="Courier New"/>
          <w:sz w:val="19"/>
          <w:szCs w:val="19"/>
          <w:color w:val="auto"/>
        </w:rPr>
      </w:pPr>
      <w:r>
        <w:rPr>
          <w:rFonts w:ascii="Courier New" w:cs="Courier New" w:eastAsia="Courier New" w:hAnsi="Courier New"/>
          <w:sz w:val="18"/>
          <w:szCs w:val="18"/>
          <w:color w:val="auto"/>
        </w:rPr>
        <w:t>I.R.S. IDENTIFICATION NOS. OF ABOVE PERSONS (ENTITIES ONLY) American Funds Insurance Series Asset Allocation Fund</w:t>
      </w:r>
    </w:p>
    <w:p>
      <w:pPr>
        <w:spacing w:after="0" w:line="200" w:lineRule="exact"/>
        <w:rPr>
          <w:sz w:val="24"/>
          <w:szCs w:val="24"/>
          <w:color w:val="auto"/>
        </w:rPr>
      </w:pPr>
    </w:p>
    <w:p>
      <w:pPr>
        <w:spacing w:after="0" w:line="212" w:lineRule="exact"/>
        <w:rPr>
          <w:sz w:val="24"/>
          <w:szCs w:val="24"/>
          <w:color w:val="auto"/>
        </w:rPr>
      </w:pPr>
    </w:p>
    <w:p>
      <w:pPr>
        <w:ind w:left="566" w:hanging="455"/>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 (SEE</w:t>
      </w:r>
    </w:p>
    <w:p>
      <w:pPr>
        <w:ind w:left="566"/>
        <w:spacing w:after="0" w:line="238" w:lineRule="auto"/>
        <w:tabs>
          <w:tab w:leader="none" w:pos="7426" w:val="left"/>
        </w:tabs>
        <w:rPr>
          <w:sz w:val="20"/>
          <w:szCs w:val="20"/>
          <w:color w:val="auto"/>
        </w:rPr>
      </w:pPr>
      <w:r>
        <w:rPr>
          <w:rFonts w:ascii="Courier New" w:cs="Courier New" w:eastAsia="Courier New" w:hAnsi="Courier New"/>
          <w:sz w:val="19"/>
          <w:szCs w:val="19"/>
          <w:color w:val="auto"/>
        </w:rPr>
        <w:t>INSTRUCTIONS)</w:t>
      </w:r>
      <w:r>
        <w:rPr>
          <w:sz w:val="20"/>
          <w:szCs w:val="20"/>
          <w:color w:val="auto"/>
        </w:rPr>
        <w:tab/>
      </w:r>
      <w:r>
        <w:rPr>
          <w:rFonts w:ascii="Courier New" w:cs="Courier New" w:eastAsia="Courier New" w:hAnsi="Courier New"/>
          <w:sz w:val="19"/>
          <w:szCs w:val="19"/>
          <w:color w:val="auto"/>
        </w:rPr>
        <w:t>(a)</w:t>
      </w:r>
    </w:p>
    <w:p>
      <w:pPr>
        <w:sectPr>
          <w:pgSz w:w="12240" w:h="15840" w:orient="portrait"/>
          <w:cols w:equalWidth="0" w:num="1">
            <w:col w:w="10686"/>
          </w:cols>
          <w:pgMar w:left="114" w:top="109" w:right="1440" w:bottom="0" w:gutter="0" w:footer="0" w:header="0"/>
        </w:sectPr>
      </w:pPr>
    </w:p>
    <w:bookmarkStart w:id="1" w:name="page2"/>
    <w:bookmarkEnd w:id="1"/>
    <w:p>
      <w:pPr>
        <w:ind w:left="7560"/>
        <w:spacing w:after="0" w:line="235" w:lineRule="auto"/>
        <w:rPr>
          <w:sz w:val="20"/>
          <w:szCs w:val="20"/>
          <w:color w:val="auto"/>
        </w:rPr>
      </w:pPr>
      <w:r>
        <w:rPr>
          <w:rFonts w:ascii="Courier New" w:cs="Courier New" w:eastAsia="Courier New" w:hAnsi="Courier New"/>
          <w:sz w:val="19"/>
          <w:szCs w:val="19"/>
          <w:color w:val="auto"/>
        </w:rPr>
        <w:t>(b)</w:t>
      </w:r>
    </w:p>
    <w:p>
      <w:pPr>
        <w:ind w:left="560" w:hanging="455"/>
        <w:spacing w:after="0" w:line="238" w:lineRule="auto"/>
        <w:tabs>
          <w:tab w:leader="none" w:pos="560"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00" w:lineRule="exact"/>
        <w:rPr>
          <w:sz w:val="20"/>
          <w:szCs w:val="20"/>
          <w:color w:val="auto"/>
        </w:rPr>
      </w:pPr>
    </w:p>
    <w:p>
      <w:pPr>
        <w:spacing w:after="0" w:line="234" w:lineRule="exact"/>
        <w:rPr>
          <w:sz w:val="20"/>
          <w:szCs w:val="20"/>
          <w:color w:val="auto"/>
        </w:rPr>
      </w:pPr>
    </w:p>
    <w:p>
      <w:pPr>
        <w:ind w:left="560" w:right="6120" w:hanging="455"/>
        <w:spacing w:after="0" w:line="469" w:lineRule="auto"/>
        <w:tabs>
          <w:tab w:leader="none" w:pos="5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 Massachusetts</w:t>
      </w:r>
    </w:p>
    <w:p>
      <w:pPr>
        <w:spacing w:after="0" w:line="14" w:lineRule="exact"/>
        <w:rPr>
          <w:rFonts w:ascii="Courier New" w:cs="Courier New" w:eastAsia="Courier New" w:hAnsi="Courier New"/>
          <w:sz w:val="19"/>
          <w:szCs w:val="19"/>
          <w:color w:val="auto"/>
        </w:rPr>
      </w:pPr>
    </w:p>
    <w:p>
      <w:pPr>
        <w:ind w:left="2000" w:right="6900" w:hanging="556"/>
        <w:spacing w:after="0" w:line="469"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5 SOLE VOTING POWER NONE</w:t>
      </w:r>
    </w:p>
    <w:p>
      <w:pPr>
        <w:spacing w:after="0" w:line="222" w:lineRule="exact"/>
        <w:rPr>
          <w:sz w:val="20"/>
          <w:szCs w:val="20"/>
          <w:color w:val="auto"/>
        </w:rPr>
      </w:pPr>
    </w:p>
    <w:p>
      <w:pPr>
        <w:ind w:left="1880" w:hanging="440"/>
        <w:spacing w:after="0"/>
        <w:tabs>
          <w:tab w:leader="none" w:pos="1880"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ind w:left="100"/>
        <w:spacing w:after="0" w:line="238" w:lineRule="auto"/>
        <w:rPr>
          <w:sz w:val="20"/>
          <w:szCs w:val="20"/>
          <w:color w:val="auto"/>
        </w:rPr>
      </w:pPr>
      <w:r>
        <w:rPr>
          <w:rFonts w:ascii="Courier New" w:cs="Courier New" w:eastAsia="Courier New" w:hAnsi="Courier New"/>
          <w:sz w:val="19"/>
          <w:szCs w:val="19"/>
          <w:color w:val="auto"/>
        </w:rPr>
        <w:t>NUMBER OF</w:t>
      </w:r>
    </w:p>
    <w:p>
      <w:pPr>
        <w:ind w:left="320"/>
        <w:spacing w:after="0"/>
        <w:tabs>
          <w:tab w:leader="none" w:pos="1980" w:val="left"/>
        </w:tabs>
        <w:rPr>
          <w:sz w:val="20"/>
          <w:szCs w:val="20"/>
          <w:color w:val="auto"/>
        </w:rPr>
      </w:pPr>
      <w:r>
        <w:rPr>
          <w:rFonts w:ascii="Courier New" w:cs="Courier New" w:eastAsia="Courier New" w:hAnsi="Courier New"/>
          <w:sz w:val="19"/>
          <w:szCs w:val="19"/>
          <w:color w:val="auto"/>
        </w:rPr>
        <w:t>SHARES</w:t>
      </w:r>
      <w:r>
        <w:rPr>
          <w:sz w:val="20"/>
          <w:szCs w:val="20"/>
          <w:color w:val="auto"/>
        </w:rPr>
        <w:tab/>
      </w:r>
      <w:r>
        <w:rPr>
          <w:rFonts w:ascii="Courier New" w:cs="Courier New" w:eastAsia="Courier New" w:hAnsi="Courier New"/>
          <w:sz w:val="19"/>
          <w:szCs w:val="19"/>
          <w:color w:val="auto"/>
        </w:rPr>
        <w:t>NONE</w:t>
      </w:r>
    </w:p>
    <w:p>
      <w:pPr>
        <w:spacing w:after="0" w:line="237" w:lineRule="auto"/>
        <w:rPr>
          <w:sz w:val="20"/>
          <w:szCs w:val="20"/>
          <w:color w:val="auto"/>
        </w:rPr>
      </w:pPr>
      <w:r>
        <w:rPr>
          <w:rFonts w:ascii="Courier New" w:cs="Courier New" w:eastAsia="Courier New" w:hAnsi="Courier New"/>
          <w:sz w:val="19"/>
          <w:szCs w:val="19"/>
          <w:color w:val="auto"/>
        </w:rPr>
        <w:t>BENEFICIALL</w:t>
      </w:r>
    </w:p>
    <w:p>
      <w:pPr>
        <w:ind w:left="100"/>
        <w:spacing w:after="0"/>
        <w:rPr>
          <w:sz w:val="20"/>
          <w:szCs w:val="20"/>
          <w:color w:val="auto"/>
        </w:rPr>
      </w:pPr>
      <w:r>
        <w:rPr>
          <w:rFonts w:ascii="Courier New" w:cs="Courier New" w:eastAsia="Courier New" w:hAnsi="Courier New"/>
          <w:sz w:val="19"/>
          <w:szCs w:val="19"/>
          <w:color w:val="auto"/>
        </w:rPr>
        <w:t>Y OWNED BY</w:t>
      </w:r>
    </w:p>
    <w:p>
      <w:pPr>
        <w:ind w:left="1440"/>
        <w:spacing w:after="0" w:line="237" w:lineRule="auto"/>
        <w:tabs>
          <w:tab w:leader="none" w:pos="1860" w:val="left"/>
        </w:tabs>
        <w:rPr>
          <w:sz w:val="20"/>
          <w:szCs w:val="20"/>
          <w:color w:val="auto"/>
        </w:rPr>
      </w:pPr>
      <w:r>
        <w:rPr>
          <w:rFonts w:ascii="Courier New" w:cs="Courier New" w:eastAsia="Courier New" w:hAnsi="Courier New"/>
          <w:sz w:val="19"/>
          <w:szCs w:val="19"/>
          <w:color w:val="auto"/>
        </w:rPr>
        <w:t>7</w:t>
        <w:tab/>
        <w:t>SOLE DISPOSITIVE POWER</w:t>
      </w:r>
    </w:p>
    <w:p>
      <w:pPr>
        <w:ind w:left="440"/>
        <w:spacing w:after="0"/>
        <w:rPr>
          <w:sz w:val="20"/>
          <w:szCs w:val="20"/>
          <w:color w:val="auto"/>
        </w:rPr>
      </w:pPr>
      <w:r>
        <w:rPr>
          <w:rFonts w:ascii="Courier New" w:cs="Courier New" w:eastAsia="Courier New" w:hAnsi="Courier New"/>
          <w:sz w:val="19"/>
          <w:szCs w:val="19"/>
          <w:color w:val="auto"/>
        </w:rPr>
        <w:t>EACH</w:t>
      </w:r>
    </w:p>
    <w:p>
      <w:pPr>
        <w:ind w:left="100"/>
        <w:spacing w:after="0" w:line="237" w:lineRule="auto"/>
        <w:tabs>
          <w:tab w:leader="none" w:pos="1980" w:val="left"/>
        </w:tabs>
        <w:rPr>
          <w:sz w:val="20"/>
          <w:szCs w:val="20"/>
          <w:color w:val="auto"/>
        </w:rPr>
      </w:pPr>
      <w:r>
        <w:rPr>
          <w:rFonts w:ascii="Courier New" w:cs="Courier New" w:eastAsia="Courier New" w:hAnsi="Courier New"/>
          <w:sz w:val="19"/>
          <w:szCs w:val="19"/>
          <w:color w:val="auto"/>
        </w:rPr>
        <w:t>REPORTING</w:t>
      </w:r>
      <w:r>
        <w:rPr>
          <w:sz w:val="20"/>
          <w:szCs w:val="20"/>
          <w:color w:val="auto"/>
        </w:rPr>
        <w:tab/>
      </w:r>
      <w:r>
        <w:rPr>
          <w:rFonts w:ascii="Courier New" w:cs="Courier New" w:eastAsia="Courier New" w:hAnsi="Courier New"/>
          <w:sz w:val="19"/>
          <w:szCs w:val="19"/>
          <w:color w:val="auto"/>
        </w:rPr>
        <w:t>NONE</w:t>
      </w:r>
    </w:p>
    <w:p>
      <w:pPr>
        <w:ind w:left="320"/>
        <w:spacing w:after="0"/>
        <w:rPr>
          <w:sz w:val="20"/>
          <w:szCs w:val="20"/>
          <w:color w:val="auto"/>
        </w:rPr>
      </w:pPr>
      <w:r>
        <w:rPr>
          <w:rFonts w:ascii="Courier New" w:cs="Courier New" w:eastAsia="Courier New" w:hAnsi="Courier New"/>
          <w:sz w:val="19"/>
          <w:szCs w:val="19"/>
          <w:color w:val="auto"/>
        </w:rPr>
        <w:t>PERSON</w:t>
      </w:r>
    </w:p>
    <w:p>
      <w:pPr>
        <w:ind w:left="320"/>
        <w:spacing w:after="0" w:line="237" w:lineRule="auto"/>
        <w:rPr>
          <w:sz w:val="20"/>
          <w:szCs w:val="20"/>
          <w:color w:val="auto"/>
        </w:rPr>
      </w:pPr>
      <w:r>
        <w:rPr>
          <w:rFonts w:ascii="Courier New" w:cs="Courier New" w:eastAsia="Courier New" w:hAnsi="Courier New"/>
          <w:sz w:val="19"/>
          <w:szCs w:val="19"/>
          <w:color w:val="auto"/>
        </w:rPr>
        <w:t>WITH:</w:t>
      </w:r>
    </w:p>
    <w:p>
      <w:pPr>
        <w:spacing w:after="0" w:line="6" w:lineRule="exact"/>
        <w:rPr>
          <w:sz w:val="20"/>
          <w:szCs w:val="20"/>
          <w:color w:val="auto"/>
        </w:rPr>
      </w:pPr>
    </w:p>
    <w:p>
      <w:pPr>
        <w:ind w:left="2000" w:right="6120" w:hanging="560"/>
        <w:spacing w:after="0" w:line="469" w:lineRule="auto"/>
        <w:tabs>
          <w:tab w:leader="none" w:pos="1889"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 NONE</w:t>
      </w:r>
    </w:p>
    <w:p>
      <w:pPr>
        <w:spacing w:after="0" w:line="8" w:lineRule="exact"/>
        <w:rPr>
          <w:sz w:val="20"/>
          <w:szCs w:val="20"/>
          <w:color w:val="auto"/>
        </w:rPr>
      </w:pPr>
    </w:p>
    <w:p>
      <w:pPr>
        <w:ind w:left="560" w:hanging="455"/>
        <w:spacing w:after="0"/>
        <w:tabs>
          <w:tab w:leader="none" w:pos="560"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w:t>
      </w:r>
    </w:p>
    <w:p>
      <w:pPr>
        <w:spacing w:after="0" w:line="213" w:lineRule="exact"/>
        <w:rPr>
          <w:sz w:val="20"/>
          <w:szCs w:val="20"/>
          <w:color w:val="auto"/>
        </w:rPr>
      </w:pPr>
    </w:p>
    <w:p>
      <w:pPr>
        <w:ind w:left="560"/>
        <w:spacing w:after="0"/>
        <w:tabs>
          <w:tab w:leader="none" w:pos="2760" w:val="left"/>
        </w:tabs>
        <w:rPr>
          <w:sz w:val="20"/>
          <w:szCs w:val="20"/>
          <w:color w:val="auto"/>
        </w:rPr>
      </w:pPr>
      <w:r>
        <w:rPr>
          <w:rFonts w:ascii="Courier New" w:cs="Courier New" w:eastAsia="Courier New" w:hAnsi="Courier New"/>
          <w:sz w:val="19"/>
          <w:szCs w:val="19"/>
          <w:color w:val="auto"/>
        </w:rPr>
        <w:t>60,000,000</w:t>
      </w:r>
      <w:r>
        <w:rPr>
          <w:sz w:val="20"/>
          <w:szCs w:val="20"/>
          <w:color w:val="auto"/>
        </w:rPr>
        <w:tab/>
      </w:r>
      <w:r>
        <w:rPr>
          <w:rFonts w:ascii="Courier New" w:cs="Courier New" w:eastAsia="Courier New" w:hAnsi="Courier New"/>
          <w:sz w:val="19"/>
          <w:szCs w:val="19"/>
          <w:color w:val="auto"/>
        </w:rPr>
        <w:t>See Additional information in Item 4.</w:t>
      </w:r>
    </w:p>
    <w:p>
      <w:pPr>
        <w:spacing w:after="0" w:line="5" w:lineRule="exact"/>
        <w:rPr>
          <w:sz w:val="20"/>
          <w:szCs w:val="20"/>
          <w:color w:val="auto"/>
        </w:rPr>
      </w:pPr>
    </w:p>
    <w:p>
      <w:pPr>
        <w:ind w:left="560" w:right="2680"/>
        <w:spacing w:after="0" w:line="237" w:lineRule="auto"/>
        <w:rPr>
          <w:sz w:val="20"/>
          <w:szCs w:val="20"/>
          <w:color w:val="auto"/>
        </w:rPr>
      </w:pPr>
      <w:r>
        <w:rPr>
          <w:rFonts w:ascii="Courier New" w:cs="Courier New" w:eastAsia="Courier New" w:hAnsi="Courier New"/>
          <w:sz w:val="19"/>
          <w:szCs w:val="19"/>
          <w:color w:val="auto"/>
        </w:rPr>
        <w:t>Under certain circumstances, American Funds Insurance Series: Asset Allocation Fund may vote the shares of the fund. These shares may also be reflected in a filing made by Capital Research Global Investors, Capital International Investors, and/or Capital World Investors</w:t>
      </w:r>
    </w:p>
    <w:p>
      <w:pPr>
        <w:spacing w:after="0" w:line="7" w:lineRule="exact"/>
        <w:rPr>
          <w:sz w:val="20"/>
          <w:szCs w:val="20"/>
          <w:color w:val="auto"/>
        </w:rPr>
      </w:pPr>
    </w:p>
    <w:p>
      <w:pPr>
        <w:ind w:left="560" w:right="2560" w:hanging="455"/>
        <w:spacing w:after="0" w:line="235" w:lineRule="auto"/>
        <w:tabs>
          <w:tab w:leader="none" w:pos="560"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 (SEE INSTRUCTIONS)</w:t>
      </w:r>
    </w:p>
    <w:p>
      <w:pPr>
        <w:spacing w:after="0" w:line="200" w:lineRule="exact"/>
        <w:rPr>
          <w:rFonts w:ascii="Courier New" w:cs="Courier New" w:eastAsia="Courier New" w:hAnsi="Courier New"/>
          <w:sz w:val="19"/>
          <w:szCs w:val="19"/>
          <w:color w:val="auto"/>
        </w:rPr>
      </w:pPr>
    </w:p>
    <w:p>
      <w:pPr>
        <w:spacing w:after="0" w:line="234" w:lineRule="exact"/>
        <w:rPr>
          <w:rFonts w:ascii="Courier New" w:cs="Courier New" w:eastAsia="Courier New" w:hAnsi="Courier New"/>
          <w:sz w:val="19"/>
          <w:szCs w:val="19"/>
          <w:color w:val="auto"/>
        </w:rPr>
      </w:pPr>
    </w:p>
    <w:p>
      <w:pPr>
        <w:ind w:left="560" w:right="4900" w:hanging="455"/>
        <w:spacing w:after="0" w:line="469" w:lineRule="auto"/>
        <w:tabs>
          <w:tab w:leader="none" w:pos="560"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 5.9%</w:t>
      </w:r>
    </w:p>
    <w:p>
      <w:pPr>
        <w:spacing w:after="0" w:line="14" w:lineRule="exact"/>
        <w:rPr>
          <w:rFonts w:ascii="Courier New" w:cs="Courier New" w:eastAsia="Courier New" w:hAnsi="Courier New"/>
          <w:sz w:val="19"/>
          <w:szCs w:val="19"/>
          <w:color w:val="auto"/>
        </w:rPr>
      </w:pPr>
    </w:p>
    <w:p>
      <w:pPr>
        <w:ind w:left="560" w:right="5340" w:hanging="455"/>
        <w:spacing w:after="0" w:line="469" w:lineRule="auto"/>
        <w:tabs>
          <w:tab w:leader="none" w:pos="560"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 (SEE INSTRUCTIONS)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100" w:val="left"/>
        </w:tabs>
        <w:rPr>
          <w:sz w:val="20"/>
          <w:szCs w:val="20"/>
          <w:color w:val="auto"/>
        </w:rPr>
      </w:pPr>
      <w:r>
        <w:rPr>
          <w:rFonts w:ascii="Courier New" w:cs="Courier New" w:eastAsia="Courier New" w:hAnsi="Courier New"/>
          <w:sz w:val="19"/>
          <w:szCs w:val="19"/>
          <w:color w:val="auto"/>
        </w:rPr>
        <w:t>CUSIP: BLNN369</w:t>
      </w:r>
      <w:r>
        <w:rPr>
          <w:sz w:val="20"/>
          <w:szCs w:val="20"/>
          <w:color w:val="auto"/>
        </w:rPr>
        <w:tab/>
      </w:r>
      <w:r>
        <w:rPr>
          <w:rFonts w:ascii="Courier New" w:cs="Courier New" w:eastAsia="Courier New" w:hAnsi="Courier New"/>
          <w:sz w:val="18"/>
          <w:szCs w:val="18"/>
          <w:color w:val="auto"/>
        </w:rPr>
        <w:t>Page 2 of 4</w:t>
      </w:r>
    </w:p>
    <w:p>
      <w:pPr>
        <w:spacing w:after="0" w:line="200" w:lineRule="exact"/>
        <w:rPr>
          <w:sz w:val="20"/>
          <w:szCs w:val="20"/>
          <w:color w:val="auto"/>
        </w:rPr>
      </w:pPr>
    </w:p>
    <w:p>
      <w:pPr>
        <w:spacing w:after="0" w:line="227"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9"/>
          <w:szCs w:val="19"/>
          <w:color w:val="auto"/>
        </w:rPr>
        <w:t>SECURITIES AND EXCHANGE COMMISSION</w:t>
      </w:r>
    </w:p>
    <w:p>
      <w:pPr>
        <w:jc w:val="center"/>
        <w:ind w:right="2900"/>
        <w:spacing w:after="0" w:line="238" w:lineRule="auto"/>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9"/>
          <w:szCs w:val="19"/>
          <w:color w:val="auto"/>
        </w:rPr>
        <w:t>Schedule 13G</w:t>
      </w:r>
    </w:p>
    <w:p>
      <w:pPr>
        <w:jc w:val="center"/>
        <w:ind w:right="2780"/>
        <w:spacing w:after="0" w:line="238" w:lineRule="auto"/>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Amendment No.</w:t>
      </w:r>
    </w:p>
    <w:p>
      <w:pPr>
        <w:spacing w:after="0" w:line="21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9"/>
          <w:szCs w:val="19"/>
          <w:color w:val="auto"/>
        </w:rPr>
        <w:t>Item 1(a)</w:t>
      </w:r>
      <w:r>
        <w:rPr>
          <w:sz w:val="20"/>
          <w:szCs w:val="20"/>
          <w:color w:val="auto"/>
        </w:rPr>
        <w:tab/>
      </w:r>
      <w:r>
        <w:rPr>
          <w:rFonts w:ascii="Courier New" w:cs="Courier New" w:eastAsia="Courier New" w:hAnsi="Courier New"/>
          <w:sz w:val="18"/>
          <w:szCs w:val="18"/>
          <w:color w:val="auto"/>
        </w:rPr>
        <w:t>Name of Issuer:</w:t>
      </w:r>
    </w:p>
    <w:p>
      <w:pPr>
        <w:ind w:left="780"/>
        <w:spacing w:after="0" w:line="238" w:lineRule="auto"/>
        <w:rPr>
          <w:sz w:val="20"/>
          <w:szCs w:val="20"/>
          <w:color w:val="auto"/>
        </w:rPr>
      </w:pPr>
      <w:r>
        <w:rPr>
          <w:rFonts w:ascii="Courier New" w:cs="Courier New" w:eastAsia="Courier New" w:hAnsi="Courier New"/>
          <w:sz w:val="19"/>
          <w:szCs w:val="19"/>
          <w:color w:val="auto"/>
        </w:rPr>
        <w:t>Weatherford International plc</w:t>
      </w:r>
    </w:p>
    <w:p>
      <w:pPr>
        <w:spacing w:after="0" w:line="21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9"/>
          <w:szCs w:val="19"/>
          <w:color w:val="auto"/>
        </w:rPr>
        <w:t>Item 1(b)</w:t>
      </w:r>
      <w:r>
        <w:rPr>
          <w:sz w:val="20"/>
          <w:szCs w:val="20"/>
          <w:color w:val="auto"/>
        </w:rPr>
        <w:tab/>
      </w:r>
      <w:r>
        <w:rPr>
          <w:rFonts w:ascii="Courier New" w:cs="Courier New" w:eastAsia="Courier New" w:hAnsi="Courier New"/>
          <w:sz w:val="18"/>
          <w:szCs w:val="18"/>
          <w:color w:val="auto"/>
        </w:rPr>
        <w:t>Address of Issuer's Principal Executive Offices:</w:t>
      </w:r>
    </w:p>
    <w:p>
      <w:pPr>
        <w:ind w:left="780"/>
        <w:spacing w:after="0" w:line="238" w:lineRule="auto"/>
        <w:rPr>
          <w:sz w:val="20"/>
          <w:szCs w:val="20"/>
          <w:color w:val="auto"/>
        </w:rPr>
      </w:pPr>
      <w:r>
        <w:rPr>
          <w:rFonts w:ascii="Courier New" w:cs="Courier New" w:eastAsia="Courier New" w:hAnsi="Courier New"/>
          <w:sz w:val="19"/>
          <w:szCs w:val="19"/>
          <w:color w:val="auto"/>
        </w:rPr>
        <w:t>2000 St James Place</w:t>
      </w:r>
    </w:p>
    <w:p>
      <w:pPr>
        <w:ind w:left="780"/>
        <w:spacing w:after="0"/>
        <w:rPr>
          <w:sz w:val="20"/>
          <w:szCs w:val="20"/>
          <w:color w:val="auto"/>
        </w:rPr>
      </w:pPr>
      <w:r>
        <w:rPr>
          <w:rFonts w:ascii="Courier New" w:cs="Courier New" w:eastAsia="Courier New" w:hAnsi="Courier New"/>
          <w:sz w:val="19"/>
          <w:szCs w:val="19"/>
          <w:color w:val="auto"/>
        </w:rPr>
        <w:t>Houston, TX 77056</w:t>
      </w:r>
    </w:p>
    <w:p>
      <w:pPr>
        <w:spacing w:after="0" w:line="212"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9"/>
          <w:szCs w:val="19"/>
          <w:color w:val="auto"/>
        </w:rPr>
        <w:t>Item 2(a)</w:t>
      </w:r>
      <w:r>
        <w:rPr>
          <w:sz w:val="20"/>
          <w:szCs w:val="20"/>
          <w:color w:val="auto"/>
        </w:rPr>
        <w:tab/>
      </w:r>
      <w:r>
        <w:rPr>
          <w:rFonts w:ascii="Courier New" w:cs="Courier New" w:eastAsia="Courier New" w:hAnsi="Courier New"/>
          <w:sz w:val="18"/>
          <w:szCs w:val="18"/>
          <w:color w:val="auto"/>
        </w:rPr>
        <w:t>Name of Person(s) Filing:</w:t>
      </w:r>
    </w:p>
    <w:p>
      <w:pPr>
        <w:ind w:left="780"/>
        <w:spacing w:after="0" w:line="238" w:lineRule="auto"/>
        <w:rPr>
          <w:sz w:val="20"/>
          <w:szCs w:val="20"/>
          <w:color w:val="auto"/>
        </w:rPr>
      </w:pPr>
      <w:r>
        <w:rPr>
          <w:rFonts w:ascii="Courier New" w:cs="Courier New" w:eastAsia="Courier New" w:hAnsi="Courier New"/>
          <w:sz w:val="19"/>
          <w:szCs w:val="19"/>
          <w:color w:val="auto"/>
        </w:rPr>
        <w:t>American Funds Insurance Series Asset Allocation Fund</w:t>
      </w:r>
    </w:p>
    <w:p>
      <w:pPr>
        <w:sectPr>
          <w:pgSz w:w="12240" w:h="15840" w:orient="portrait"/>
          <w:cols w:equalWidth="0" w:num="1">
            <w:col w:w="10680"/>
          </w:cols>
          <w:pgMar w:left="120" w:top="0" w:right="1440" w:bottom="0" w:gutter="0" w:footer="0" w:header="0"/>
        </w:sectPr>
      </w:pPr>
    </w:p>
    <w:bookmarkStart w:id="2" w:name="page3"/>
    <w:bookmarkEnd w:id="2"/>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9"/>
          <w:szCs w:val="19"/>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w:t>
      </w:r>
    </w:p>
    <w:p>
      <w:pPr>
        <w:ind w:left="780"/>
        <w:spacing w:after="0" w:line="238" w:lineRule="auto"/>
        <w:rPr>
          <w:sz w:val="20"/>
          <w:szCs w:val="20"/>
          <w:color w:val="auto"/>
        </w:rPr>
      </w:pPr>
      <w:r>
        <w:rPr>
          <w:rFonts w:ascii="Courier New" w:cs="Courier New" w:eastAsia="Courier New" w:hAnsi="Courier New"/>
          <w:sz w:val="19"/>
          <w:szCs w:val="19"/>
          <w:color w:val="auto"/>
        </w:rPr>
        <w:t>Residence:</w:t>
      </w:r>
    </w:p>
    <w:p>
      <w:pPr>
        <w:ind w:left="780"/>
        <w:spacing w:after="0"/>
        <w:rPr>
          <w:sz w:val="20"/>
          <w:szCs w:val="20"/>
          <w:color w:val="auto"/>
        </w:rPr>
      </w:pPr>
      <w:r>
        <w:rPr>
          <w:rFonts w:ascii="Courier New" w:cs="Courier New" w:eastAsia="Courier New" w:hAnsi="Courier New"/>
          <w:sz w:val="19"/>
          <w:szCs w:val="19"/>
          <w:color w:val="auto"/>
        </w:rPr>
        <w:t>333 South Hope Street</w:t>
      </w:r>
    </w:p>
    <w:p>
      <w:pPr>
        <w:ind w:left="780"/>
        <w:spacing w:after="0"/>
        <w:tabs>
          <w:tab w:leader="none" w:pos="2640" w:val="left"/>
        </w:tabs>
        <w:rPr>
          <w:sz w:val="20"/>
          <w:szCs w:val="20"/>
          <w:color w:val="auto"/>
        </w:rPr>
      </w:pPr>
      <w:r>
        <w:rPr>
          <w:rFonts w:ascii="Courier New" w:cs="Courier New" w:eastAsia="Courier New" w:hAnsi="Courier New"/>
          <w:sz w:val="19"/>
          <w:szCs w:val="19"/>
          <w:color w:val="auto"/>
        </w:rPr>
        <w:t>Los Angeles, CA</w:t>
      </w:r>
      <w:r>
        <w:rPr>
          <w:sz w:val="20"/>
          <w:szCs w:val="20"/>
          <w:color w:val="auto"/>
        </w:rPr>
        <w:tab/>
      </w:r>
      <w:r>
        <w:rPr>
          <w:rFonts w:ascii="Courier New" w:cs="Courier New" w:eastAsia="Courier New" w:hAnsi="Courier New"/>
          <w:sz w:val="18"/>
          <w:szCs w:val="18"/>
          <w:color w:val="auto"/>
        </w:rPr>
        <w:t>90071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60" w:type="dxa"/>
            <w:vAlign w:val="bottom"/>
            <w:gridSpan w:val="2"/>
          </w:tcPr>
          <w:p>
            <w:pPr>
              <w:spacing w:after="0"/>
              <w:rPr>
                <w:sz w:val="20"/>
                <w:szCs w:val="20"/>
                <w:color w:val="auto"/>
              </w:rPr>
            </w:pPr>
            <w:r>
              <w:rPr>
                <w:rFonts w:ascii="Courier New" w:cs="Courier New" w:eastAsia="Courier New" w:hAnsi="Courier New"/>
                <w:sz w:val="19"/>
                <w:szCs w:val="19"/>
                <w:color w:val="auto"/>
              </w:rPr>
              <w:t>Item 2(c)</w:t>
            </w:r>
          </w:p>
        </w:tc>
        <w:tc>
          <w:tcPr>
            <w:tcW w:w="1540" w:type="dxa"/>
            <w:vAlign w:val="bottom"/>
          </w:tcPr>
          <w:p>
            <w:pPr>
              <w:spacing w:after="0"/>
              <w:rPr>
                <w:sz w:val="20"/>
                <w:szCs w:val="20"/>
                <w:color w:val="auto"/>
              </w:rPr>
            </w:pPr>
            <w:r>
              <w:rPr>
                <w:rFonts w:ascii="Courier New" w:cs="Courier New" w:eastAsia="Courier New" w:hAnsi="Courier New"/>
                <w:sz w:val="19"/>
                <w:szCs w:val="19"/>
                <w:color w:val="auto"/>
              </w:rPr>
              <w:t>Citizenship:</w:t>
            </w:r>
          </w:p>
        </w:tc>
        <w:tc>
          <w:tcPr>
            <w:tcW w:w="1680" w:type="dxa"/>
            <w:vAlign w:val="bottom"/>
          </w:tcPr>
          <w:p>
            <w:pPr>
              <w:ind w:left="120"/>
              <w:spacing w:after="0"/>
              <w:rPr>
                <w:sz w:val="20"/>
                <w:szCs w:val="20"/>
                <w:color w:val="auto"/>
              </w:rPr>
            </w:pPr>
            <w:r>
              <w:rPr>
                <w:rFonts w:ascii="Courier New" w:cs="Courier New" w:eastAsia="Courier New" w:hAnsi="Courier New"/>
                <w:sz w:val="19"/>
                <w:szCs w:val="19"/>
                <w:color w:val="auto"/>
              </w:rPr>
              <w:t>N/A</w:t>
            </w: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1060" w:type="dxa"/>
            <w:vAlign w:val="bottom"/>
          </w:tcPr>
          <w:p>
            <w:pPr>
              <w:ind w:left="60"/>
              <w:spacing w:after="0"/>
              <w:rPr>
                <w:sz w:val="20"/>
                <w:szCs w:val="20"/>
                <w:color w:val="auto"/>
              </w:rPr>
            </w:pPr>
            <w:r>
              <w:rPr>
                <w:rFonts w:ascii="Courier New" w:cs="Courier New" w:eastAsia="Courier New" w:hAnsi="Courier New"/>
                <w:sz w:val="19"/>
                <w:szCs w:val="19"/>
                <w:color w:val="auto"/>
              </w:rPr>
              <w:t>2(d)</w:t>
            </w:r>
          </w:p>
        </w:tc>
        <w:tc>
          <w:tcPr>
            <w:tcW w:w="3220" w:type="dxa"/>
            <w:vAlign w:val="bottom"/>
            <w:gridSpan w:val="2"/>
          </w:tcPr>
          <w:p>
            <w:pPr>
              <w:spacing w:after="0"/>
              <w:rPr>
                <w:sz w:val="20"/>
                <w:szCs w:val="20"/>
                <w:color w:val="auto"/>
              </w:rPr>
            </w:pPr>
            <w:r>
              <w:rPr>
                <w:rFonts w:ascii="Courier New" w:cs="Courier New" w:eastAsia="Courier New" w:hAnsi="Courier New"/>
                <w:sz w:val="19"/>
                <w:szCs w:val="19"/>
                <w:color w:val="auto"/>
                <w:w w:val="96"/>
              </w:rPr>
              <w:t>Title of Class of Securities:</w:t>
            </w:r>
          </w:p>
        </w:tc>
      </w:tr>
      <w:tr>
        <w:trPr>
          <w:trHeight w:val="214"/>
        </w:trPr>
        <w:tc>
          <w:tcPr>
            <w:tcW w:w="500" w:type="dxa"/>
            <w:vAlign w:val="bottom"/>
          </w:tcPr>
          <w:p>
            <w:pPr>
              <w:spacing w:after="0"/>
              <w:rPr>
                <w:sz w:val="18"/>
                <w:szCs w:val="18"/>
                <w:color w:val="auto"/>
              </w:rPr>
            </w:pP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rPr>
              <w:t>Common</w:t>
            </w:r>
          </w:p>
        </w:tc>
        <w:tc>
          <w:tcPr>
            <w:tcW w:w="1540" w:type="dxa"/>
            <w:vAlign w:val="bottom"/>
          </w:tcPr>
          <w:p>
            <w:pPr>
              <w:spacing w:after="0" w:line="214" w:lineRule="exact"/>
              <w:rPr>
                <w:sz w:val="20"/>
                <w:szCs w:val="20"/>
                <w:color w:val="auto"/>
              </w:rPr>
            </w:pPr>
            <w:r>
              <w:rPr>
                <w:rFonts w:ascii="Courier New" w:cs="Courier New" w:eastAsia="Courier New" w:hAnsi="Courier New"/>
                <w:sz w:val="19"/>
                <w:szCs w:val="19"/>
                <w:color w:val="auto"/>
              </w:rPr>
              <w:t>Shares</w:t>
            </w:r>
          </w:p>
        </w:tc>
        <w:tc>
          <w:tcPr>
            <w:tcW w:w="1680" w:type="dxa"/>
            <w:vAlign w:val="bottom"/>
          </w:tcPr>
          <w:p>
            <w:pPr>
              <w:spacing w:after="0"/>
              <w:rPr>
                <w:sz w:val="18"/>
                <w:szCs w:val="18"/>
                <w:color w:val="auto"/>
              </w:rPr>
            </w:pP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1060" w:type="dxa"/>
            <w:vAlign w:val="bottom"/>
          </w:tcPr>
          <w:p>
            <w:pPr>
              <w:ind w:left="60"/>
              <w:spacing w:after="0"/>
              <w:rPr>
                <w:sz w:val="20"/>
                <w:szCs w:val="20"/>
                <w:color w:val="auto"/>
              </w:rPr>
            </w:pPr>
            <w:r>
              <w:rPr>
                <w:rFonts w:ascii="Courier New" w:cs="Courier New" w:eastAsia="Courier New" w:hAnsi="Courier New"/>
                <w:sz w:val="19"/>
                <w:szCs w:val="19"/>
                <w:color w:val="auto"/>
              </w:rPr>
              <w:t>2(e)</w:t>
            </w:r>
          </w:p>
        </w:tc>
        <w:tc>
          <w:tcPr>
            <w:tcW w:w="1540" w:type="dxa"/>
            <w:vAlign w:val="bottom"/>
          </w:tcPr>
          <w:p>
            <w:pPr>
              <w:spacing w:after="0"/>
              <w:rPr>
                <w:sz w:val="20"/>
                <w:szCs w:val="20"/>
                <w:color w:val="auto"/>
              </w:rPr>
            </w:pPr>
            <w:r>
              <w:rPr>
                <w:rFonts w:ascii="Courier New" w:cs="Courier New" w:eastAsia="Courier New" w:hAnsi="Courier New"/>
                <w:sz w:val="19"/>
                <w:szCs w:val="19"/>
                <w:color w:val="auto"/>
              </w:rPr>
              <w:t>CUSIP Number:</w:t>
            </w:r>
          </w:p>
        </w:tc>
        <w:tc>
          <w:tcPr>
            <w:tcW w:w="168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1060" w:type="dxa"/>
            <w:vAlign w:val="bottom"/>
          </w:tcPr>
          <w:p>
            <w:pPr>
              <w:ind w:left="280"/>
              <w:spacing w:after="0" w:line="214" w:lineRule="exact"/>
              <w:rPr>
                <w:sz w:val="20"/>
                <w:szCs w:val="20"/>
                <w:color w:val="auto"/>
              </w:rPr>
            </w:pPr>
            <w:r>
              <w:rPr>
                <w:rFonts w:ascii="Courier New" w:cs="Courier New" w:eastAsia="Courier New" w:hAnsi="Courier New"/>
                <w:sz w:val="19"/>
                <w:szCs w:val="19"/>
                <w:color w:val="auto"/>
                <w:w w:val="95"/>
              </w:rPr>
              <w:t>BLNN369</w:t>
            </w: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21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9"/>
          <w:szCs w:val="19"/>
          <w:color w:val="auto"/>
        </w:rPr>
        <w:t>Item 3</w:t>
      </w:r>
      <w:r>
        <w:rPr>
          <w:sz w:val="20"/>
          <w:szCs w:val="20"/>
          <w:color w:val="auto"/>
        </w:rPr>
        <w:tab/>
      </w:r>
      <w:r>
        <w:rPr>
          <w:rFonts w:ascii="Courier New" w:cs="Courier New" w:eastAsia="Courier New" w:hAnsi="Courier New"/>
          <w:sz w:val="18"/>
          <w:szCs w:val="18"/>
          <w:color w:val="auto"/>
        </w:rPr>
        <w:t>If this statement is filed pursuant to sections 240.13d-1(b)</w:t>
      </w:r>
    </w:p>
    <w:p>
      <w:pPr>
        <w:ind w:left="780"/>
        <w:spacing w:after="0" w:line="238" w:lineRule="auto"/>
        <w:rPr>
          <w:sz w:val="20"/>
          <w:szCs w:val="20"/>
          <w:color w:val="auto"/>
        </w:rPr>
      </w:pPr>
      <w:r>
        <w:rPr>
          <w:rFonts w:ascii="Courier New" w:cs="Courier New" w:eastAsia="Courier New" w:hAnsi="Courier New"/>
          <w:sz w:val="19"/>
          <w:szCs w:val="19"/>
          <w:color w:val="auto"/>
        </w:rPr>
        <w:t>or 240.13d-2(b) or (c), check whether the person filing is a:</w:t>
      </w:r>
    </w:p>
    <w:p>
      <w:pPr>
        <w:spacing w:after="0" w:line="6" w:lineRule="exact"/>
        <w:rPr>
          <w:sz w:val="20"/>
          <w:szCs w:val="20"/>
          <w:color w:val="auto"/>
        </w:rPr>
      </w:pPr>
    </w:p>
    <w:p>
      <w:pPr>
        <w:ind w:left="1320" w:right="3020" w:hanging="436"/>
        <w:spacing w:after="0" w:line="257" w:lineRule="auto"/>
        <w:tabs>
          <w:tab w:leader="none" w:pos="176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19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9"/>
          <w:szCs w:val="19"/>
          <w:color w:val="auto"/>
        </w:rPr>
        <w:t>Item 4</w:t>
      </w:r>
      <w:r>
        <w:rPr>
          <w:sz w:val="20"/>
          <w:szCs w:val="20"/>
          <w:color w:val="auto"/>
        </w:rPr>
        <w:tab/>
      </w:r>
      <w:r>
        <w:rPr>
          <w:rFonts w:ascii="Courier New" w:cs="Courier New" w:eastAsia="Courier New" w:hAnsi="Courier New"/>
          <w:sz w:val="18"/>
          <w:szCs w:val="18"/>
          <w:color w:val="auto"/>
        </w:rPr>
        <w:t>Ownership</w:t>
      </w:r>
    </w:p>
    <w:p>
      <w:pPr>
        <w:spacing w:after="0" w:line="219" w:lineRule="exact"/>
        <w:rPr>
          <w:sz w:val="20"/>
          <w:szCs w:val="20"/>
          <w:color w:val="auto"/>
        </w:rPr>
      </w:pPr>
    </w:p>
    <w:p>
      <w:pPr>
        <w:ind w:left="780" w:right="3020"/>
        <w:spacing w:after="0" w:line="236" w:lineRule="auto"/>
        <w:rPr>
          <w:sz w:val="20"/>
          <w:szCs w:val="20"/>
          <w:color w:val="auto"/>
        </w:rPr>
      </w:pPr>
      <w:r>
        <w:rPr>
          <w:rFonts w:ascii="Courier New" w:cs="Courier New" w:eastAsia="Courier New" w:hAnsi="Courier New"/>
          <w:sz w:val="19"/>
          <w:szCs w:val="19"/>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28" w:lineRule="exact"/>
        <w:rPr>
          <w:sz w:val="20"/>
          <w:szCs w:val="20"/>
          <w:color w:val="auto"/>
        </w:rPr>
      </w:pPr>
    </w:p>
    <w:p>
      <w:pPr>
        <w:ind w:left="1560" w:hanging="787"/>
        <w:spacing w:after="0"/>
        <w:tabs>
          <w:tab w:leader="none" w:pos="1560"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w:t>
      </w:r>
    </w:p>
    <w:p>
      <w:pPr>
        <w:ind w:left="1560" w:hanging="787"/>
        <w:spacing w:after="0" w:line="238" w:lineRule="auto"/>
        <w:tabs>
          <w:tab w:leader="none" w:pos="1560"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w:t>
      </w:r>
    </w:p>
    <w:p>
      <w:pPr>
        <w:ind w:left="1560" w:hanging="787"/>
        <w:spacing w:after="0" w:line="238" w:lineRule="auto"/>
        <w:tabs>
          <w:tab w:leader="none" w:pos="1560"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the person has:</w:t>
      </w:r>
    </w:p>
    <w:p>
      <w:pPr>
        <w:ind w:left="1560" w:hanging="787"/>
        <w:spacing w:after="0"/>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w:t>
      </w:r>
    </w:p>
    <w:p>
      <w:pPr>
        <w:ind w:left="1560" w:hanging="787"/>
        <w:spacing w:after="0" w:line="238" w:lineRule="auto"/>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w:t>
      </w:r>
    </w:p>
    <w:p>
      <w:pPr>
        <w:ind w:left="1560" w:hanging="787"/>
        <w:spacing w:after="0" w:line="238" w:lineRule="auto"/>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dispose or to direct the disposition of:</w:t>
      </w:r>
    </w:p>
    <w:p>
      <w:pPr>
        <w:ind w:left="1560" w:hanging="787"/>
        <w:spacing w:after="0" w:line="238" w:lineRule="auto"/>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780"/>
        <w:spacing w:after="0"/>
        <w:rPr>
          <w:sz w:val="20"/>
          <w:szCs w:val="20"/>
          <w:color w:val="auto"/>
        </w:rPr>
      </w:pPr>
      <w:r>
        <w:rPr>
          <w:rFonts w:ascii="Courier New" w:cs="Courier New" w:eastAsia="Courier New" w:hAnsi="Courier New"/>
          <w:sz w:val="19"/>
          <w:szCs w:val="19"/>
          <w:color w:val="auto"/>
        </w:rPr>
        <w:t>See page 2</w:t>
      </w:r>
    </w:p>
    <w:p>
      <w:pPr>
        <w:spacing w:after="0" w:line="219" w:lineRule="exact"/>
        <w:rPr>
          <w:sz w:val="20"/>
          <w:szCs w:val="20"/>
          <w:color w:val="auto"/>
        </w:rPr>
      </w:pPr>
    </w:p>
    <w:p>
      <w:pPr>
        <w:ind w:left="780" w:right="2900"/>
        <w:spacing w:after="0" w:line="251" w:lineRule="auto"/>
        <w:rPr>
          <w:sz w:val="20"/>
          <w:szCs w:val="20"/>
          <w:color w:val="auto"/>
        </w:rPr>
      </w:pPr>
      <w:r>
        <w:rPr>
          <w:rFonts w:ascii="Courier New" w:cs="Courier New" w:eastAsia="Courier New" w:hAnsi="Courier New"/>
          <w:sz w:val="18"/>
          <w:szCs w:val="18"/>
          <w:color w:val="auto"/>
        </w:rPr>
        <w:t>American Funds Insurance Series Asset Allocation Fund, an investment company registered under the Investment Company Act of 1940, which is advised by Capital Research and Management Company ("CRMC"), is the beneficial owner of 60,000,000 shares or 5.9% of the 1,000,922,469 shares believed to be outstanding.</w:t>
      </w:r>
    </w:p>
    <w:p>
      <w:pPr>
        <w:ind w:left="780"/>
        <w:spacing w:after="0" w:line="236" w:lineRule="auto"/>
        <w:rPr>
          <w:sz w:val="20"/>
          <w:szCs w:val="20"/>
          <w:color w:val="auto"/>
        </w:rPr>
      </w:pPr>
      <w:r>
        <w:rPr>
          <w:rFonts w:ascii="Courier New" w:cs="Courier New" w:eastAsia="Courier New" w:hAnsi="Courier New"/>
          <w:sz w:val="19"/>
          <w:szCs w:val="19"/>
          <w:color w:val="auto"/>
        </w:rPr>
        <w:t>CRMC manages equity assets for various investment companies</w:t>
      </w:r>
    </w:p>
    <w:p>
      <w:pPr>
        <w:ind w:left="780"/>
        <w:spacing w:after="0" w:line="238" w:lineRule="auto"/>
        <w:rPr>
          <w:sz w:val="20"/>
          <w:szCs w:val="20"/>
          <w:color w:val="auto"/>
        </w:rPr>
      </w:pPr>
      <w:r>
        <w:rPr>
          <w:rFonts w:ascii="Courier New" w:cs="Courier New" w:eastAsia="Courier New" w:hAnsi="Courier New"/>
          <w:sz w:val="19"/>
          <w:szCs w:val="19"/>
          <w:color w:val="auto"/>
        </w:rPr>
        <w:t>through three divisions, Capital Research Global Investors,</w:t>
      </w:r>
    </w:p>
    <w:p>
      <w:pPr>
        <w:spacing w:after="0"/>
        <w:tabs>
          <w:tab w:leader="none" w:pos="7100" w:val="left"/>
        </w:tabs>
        <w:rPr>
          <w:sz w:val="20"/>
          <w:szCs w:val="20"/>
          <w:color w:val="auto"/>
        </w:rPr>
      </w:pPr>
      <w:r>
        <w:rPr>
          <w:rFonts w:ascii="Courier New" w:cs="Courier New" w:eastAsia="Courier New" w:hAnsi="Courier New"/>
          <w:sz w:val="19"/>
          <w:szCs w:val="19"/>
          <w:color w:val="auto"/>
        </w:rPr>
        <w:t>CUSIP: BLNN369</w:t>
      </w:r>
      <w:r>
        <w:rPr>
          <w:sz w:val="20"/>
          <w:szCs w:val="20"/>
          <w:color w:val="auto"/>
        </w:rPr>
        <w:tab/>
      </w:r>
      <w:r>
        <w:rPr>
          <w:rFonts w:ascii="Courier New" w:cs="Courier New" w:eastAsia="Courier New" w:hAnsi="Courier New"/>
          <w:sz w:val="18"/>
          <w:szCs w:val="18"/>
          <w:color w:val="auto"/>
        </w:rPr>
        <w:t>Page 3 of 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80" w:right="3120"/>
        <w:spacing w:after="0" w:line="253" w:lineRule="auto"/>
        <w:rPr>
          <w:sz w:val="20"/>
          <w:szCs w:val="20"/>
          <w:color w:val="auto"/>
        </w:rPr>
      </w:pPr>
      <w:r>
        <w:rPr>
          <w:rFonts w:ascii="Courier New" w:cs="Courier New" w:eastAsia="Courier New" w:hAnsi="Courier New"/>
          <w:sz w:val="18"/>
          <w:szCs w:val="18"/>
          <w:color w:val="auto"/>
        </w:rPr>
        <w:t>Capital World Investors, and Capital International Investors. These divisions generally function separately from each other with respect to investment research activities and they make investment decisions and proxy voting decisions for the investment companies on a separate basis.</w:t>
      </w:r>
    </w:p>
    <w:p>
      <w:pPr>
        <w:spacing w:after="0" w:line="209" w:lineRule="exact"/>
        <w:rPr>
          <w:sz w:val="20"/>
          <w:szCs w:val="20"/>
          <w:color w:val="auto"/>
        </w:rPr>
      </w:pPr>
    </w:p>
    <w:p>
      <w:pPr>
        <w:ind w:left="780" w:right="2900" w:hanging="778"/>
        <w:spacing w:after="0" w:line="237" w:lineRule="auto"/>
        <w:tabs>
          <w:tab w:leader="none" w:pos="760" w:val="left"/>
        </w:tabs>
        <w:rPr>
          <w:sz w:val="20"/>
          <w:szCs w:val="20"/>
          <w:color w:val="auto"/>
        </w:rPr>
      </w:pPr>
      <w:r>
        <w:rPr>
          <w:rFonts w:ascii="Courier New" w:cs="Courier New" w:eastAsia="Courier New" w:hAnsi="Courier New"/>
          <w:sz w:val="19"/>
          <w:szCs w:val="19"/>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21" w:lineRule="exact"/>
        <w:rPr>
          <w:sz w:val="20"/>
          <w:szCs w:val="20"/>
          <w:color w:val="auto"/>
        </w:rPr>
      </w:pPr>
    </w:p>
    <w:p>
      <w:pPr>
        <w:ind w:left="780" w:right="3240" w:hanging="778"/>
        <w:spacing w:after="0" w:line="235" w:lineRule="auto"/>
        <w:tabs>
          <w:tab w:leader="none" w:pos="760" w:val="left"/>
        </w:tabs>
        <w:rPr>
          <w:sz w:val="20"/>
          <w:szCs w:val="20"/>
          <w:color w:val="auto"/>
        </w:rPr>
      </w:pPr>
      <w:r>
        <w:rPr>
          <w:rFonts w:ascii="Courier New" w:cs="Courier New" w:eastAsia="Courier New" w:hAnsi="Courier New"/>
          <w:sz w:val="19"/>
          <w:szCs w:val="19"/>
          <w:color w:val="auto"/>
        </w:rPr>
        <w:t>Item 6</w:t>
        <w:tab/>
        <w:t>Ownership of More than Five Percent on Behalf of Another Person: N/A</w:t>
      </w:r>
    </w:p>
    <w:p>
      <w:pPr>
        <w:spacing w:after="0" w:line="220" w:lineRule="exact"/>
        <w:rPr>
          <w:sz w:val="20"/>
          <w:szCs w:val="20"/>
          <w:color w:val="auto"/>
        </w:rPr>
      </w:pPr>
    </w:p>
    <w:p>
      <w:pPr>
        <w:jc w:val="both"/>
        <w:ind w:left="780" w:right="3120" w:hanging="778"/>
        <w:spacing w:after="0" w:line="236" w:lineRule="auto"/>
        <w:tabs>
          <w:tab w:leader="none" w:pos="760" w:val="left"/>
        </w:tabs>
        <w:rPr>
          <w:sz w:val="20"/>
          <w:szCs w:val="20"/>
          <w:color w:val="auto"/>
        </w:rPr>
      </w:pPr>
      <w:r>
        <w:rPr>
          <w:rFonts w:ascii="Courier New" w:cs="Courier New" w:eastAsia="Courier New" w:hAnsi="Courier New"/>
          <w:sz w:val="19"/>
          <w:szCs w:val="19"/>
          <w:color w:val="auto"/>
        </w:rPr>
        <w:t>Item 7</w:t>
        <w:tab/>
        <w:t>Identification and Classification of the Subsidiary Which Acquired the Security Being Reported on By the Parent Holding Company or Control Person: N/A</w:t>
      </w:r>
    </w:p>
    <w:p>
      <w:pPr>
        <w:spacing w:after="0" w:line="21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9"/>
          <w:szCs w:val="19"/>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ind w:left="780"/>
        <w:spacing w:after="0" w:line="238" w:lineRule="auto"/>
        <w:rPr>
          <w:sz w:val="20"/>
          <w:szCs w:val="20"/>
          <w:color w:val="auto"/>
        </w:rPr>
      </w:pPr>
      <w:r>
        <w:rPr>
          <w:rFonts w:ascii="Courier New" w:cs="Courier New" w:eastAsia="Courier New" w:hAnsi="Courier New"/>
          <w:sz w:val="19"/>
          <w:szCs w:val="19"/>
          <w:color w:val="auto"/>
        </w:rPr>
        <w:t>N/A</w:t>
      </w:r>
    </w:p>
    <w:p>
      <w:pPr>
        <w:spacing w:after="0" w:line="213" w:lineRule="exact"/>
        <w:rPr>
          <w:sz w:val="20"/>
          <w:szCs w:val="20"/>
          <w:color w:val="auto"/>
        </w:rPr>
      </w:pPr>
    </w:p>
    <w:p>
      <w:pPr>
        <w:spacing w:after="0"/>
        <w:tabs>
          <w:tab w:leader="none" w:pos="1200" w:val="left"/>
          <w:tab w:leader="none" w:pos="4860" w:val="left"/>
        </w:tabs>
        <w:rPr>
          <w:sz w:val="20"/>
          <w:szCs w:val="20"/>
          <w:color w:val="auto"/>
        </w:rPr>
      </w:pPr>
      <w:r>
        <w:rPr>
          <w:rFonts w:ascii="Courier New" w:cs="Courier New" w:eastAsia="Courier New" w:hAnsi="Courier New"/>
          <w:sz w:val="19"/>
          <w:szCs w:val="19"/>
          <w:color w:val="auto"/>
        </w:rPr>
        <w:t>Item 9</w:t>
      </w:r>
      <w:r>
        <w:rPr>
          <w:sz w:val="20"/>
          <w:szCs w:val="20"/>
          <w:color w:val="auto"/>
        </w:rPr>
        <w:tab/>
      </w:r>
      <w:r>
        <w:rPr>
          <w:rFonts w:ascii="Courier New" w:cs="Courier New" w:eastAsia="Courier New" w:hAnsi="Courier New"/>
          <w:sz w:val="19"/>
          <w:szCs w:val="19"/>
          <w:color w:val="auto"/>
        </w:rPr>
        <w:t>Notice of Dissolution of Group:</w:t>
      </w:r>
      <w:r>
        <w:rPr>
          <w:sz w:val="20"/>
          <w:szCs w:val="20"/>
          <w:color w:val="auto"/>
        </w:rPr>
        <w:tab/>
      </w:r>
      <w:r>
        <w:rPr>
          <w:rFonts w:ascii="Courier New" w:cs="Courier New" w:eastAsia="Courier New" w:hAnsi="Courier New"/>
          <w:sz w:val="18"/>
          <w:szCs w:val="18"/>
          <w:color w:val="auto"/>
        </w:rPr>
        <w:t>N/A</w:t>
      </w:r>
    </w:p>
    <w:p>
      <w:pPr>
        <w:spacing w:after="0" w:line="21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9"/>
          <w:szCs w:val="19"/>
          <w:color w:val="auto"/>
        </w:rPr>
        <w:t>Item 10</w:t>
      </w:r>
      <w:r>
        <w:rPr>
          <w:sz w:val="20"/>
          <w:szCs w:val="20"/>
          <w:color w:val="auto"/>
        </w:rPr>
        <w:tab/>
      </w:r>
      <w:r>
        <w:rPr>
          <w:rFonts w:ascii="Courier New" w:cs="Courier New" w:eastAsia="Courier New" w:hAnsi="Courier New"/>
          <w:sz w:val="18"/>
          <w:szCs w:val="18"/>
          <w:color w:val="auto"/>
        </w:rPr>
        <w:t>Certification</w:t>
      </w:r>
    </w:p>
    <w:p>
      <w:pPr>
        <w:spacing w:after="0" w:line="219" w:lineRule="exact"/>
        <w:rPr>
          <w:sz w:val="20"/>
          <w:szCs w:val="20"/>
          <w:color w:val="auto"/>
        </w:rPr>
      </w:pPr>
    </w:p>
    <w:p>
      <w:pPr>
        <w:ind w:left="780" w:right="3020"/>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w:t>
      </w:r>
    </w:p>
    <w:p>
      <w:pPr>
        <w:sectPr>
          <w:pgSz w:w="12240" w:h="16013" w:orient="portrait"/>
          <w:cols w:equalWidth="0" w:num="1">
            <w:col w:w="10680"/>
          </w:cols>
          <w:pgMar w:left="120" w:top="0" w:right="1440" w:bottom="0" w:gutter="0" w:footer="0" w:header="0"/>
        </w:sectPr>
      </w:pPr>
    </w:p>
    <w:bookmarkStart w:id="3" w:name="page4"/>
    <w:bookmarkEnd w:id="3"/>
    <w:p>
      <w:pPr>
        <w:ind w:left="780" w:right="2900"/>
        <w:spacing w:after="0" w:line="237" w:lineRule="auto"/>
        <w:rPr>
          <w:sz w:val="20"/>
          <w:szCs w:val="20"/>
          <w:color w:val="auto"/>
        </w:rPr>
      </w:pPr>
      <w:r>
        <w:rPr>
          <w:rFonts w:ascii="Courier New" w:cs="Courier New" w:eastAsia="Courier New" w:hAnsi="Courier New"/>
          <w:sz w:val="19"/>
          <w:szCs w:val="19"/>
          <w:color w:val="auto"/>
        </w:rPr>
        <w:t>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780" w:right="32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tbl>
      <w:tblPr>
        <w:tblLayout w:type="fixed"/>
        <w:tblInd w:w="880" w:type="dxa"/>
        <w:tblCellMar>
          <w:top w:w="0" w:type="dxa"/>
          <w:left w:w="0" w:type="dxa"/>
          <w:bottom w:w="0" w:type="dxa"/>
          <w:right w:w="0" w:type="dxa"/>
        </w:tblCellMar>
      </w:tblPr>
      <w:tr>
        <w:trPr>
          <w:trHeight w:val="215"/>
        </w:trPr>
        <w:tc>
          <w:tcPr>
            <w:tcW w:w="1460" w:type="dxa"/>
            <w:vAlign w:val="bottom"/>
          </w:tcPr>
          <w:p>
            <w:pPr>
              <w:spacing w:after="0"/>
              <w:rPr>
                <w:sz w:val="20"/>
                <w:szCs w:val="20"/>
                <w:color w:val="auto"/>
              </w:rPr>
            </w:pPr>
            <w:r>
              <w:rPr>
                <w:rFonts w:ascii="Courier New" w:cs="Courier New" w:eastAsia="Courier New" w:hAnsi="Courier New"/>
                <w:sz w:val="19"/>
                <w:szCs w:val="19"/>
                <w:color w:val="auto"/>
              </w:rPr>
              <w:t>Date:</w:t>
            </w:r>
          </w:p>
        </w:tc>
        <w:tc>
          <w:tcPr>
            <w:tcW w:w="4320" w:type="dxa"/>
            <w:vAlign w:val="bottom"/>
            <w:gridSpan w:val="2"/>
          </w:tcPr>
          <w:p>
            <w:pPr>
              <w:ind w:left="220"/>
              <w:spacing w:after="0"/>
              <w:rPr>
                <w:sz w:val="20"/>
                <w:szCs w:val="20"/>
                <w:color w:val="auto"/>
              </w:rPr>
            </w:pPr>
            <w:r>
              <w:rPr>
                <w:rFonts w:ascii="Courier New" w:cs="Courier New" w:eastAsia="Courier New" w:hAnsi="Courier New"/>
                <w:sz w:val="19"/>
                <w:szCs w:val="19"/>
                <w:color w:val="auto"/>
              </w:rPr>
              <w:t>February 8, 2019</w:t>
            </w:r>
          </w:p>
        </w:tc>
      </w:tr>
      <w:tr>
        <w:trPr>
          <w:trHeight w:val="428"/>
        </w:trPr>
        <w:tc>
          <w:tcPr>
            <w:tcW w:w="1460" w:type="dxa"/>
            <w:vAlign w:val="bottom"/>
          </w:tcPr>
          <w:p>
            <w:pPr>
              <w:spacing w:after="0"/>
              <w:rPr>
                <w:sz w:val="20"/>
                <w:szCs w:val="20"/>
                <w:color w:val="auto"/>
              </w:rPr>
            </w:pPr>
            <w:r>
              <w:rPr>
                <w:rFonts w:ascii="Courier New" w:cs="Courier New" w:eastAsia="Courier New" w:hAnsi="Courier New"/>
                <w:sz w:val="19"/>
                <w:szCs w:val="19"/>
                <w:color w:val="auto"/>
              </w:rPr>
              <w:t>Signature:</w:t>
            </w:r>
          </w:p>
        </w:tc>
        <w:tc>
          <w:tcPr>
            <w:tcW w:w="1380" w:type="dxa"/>
            <w:vAlign w:val="bottom"/>
          </w:tcPr>
          <w:p>
            <w:pPr>
              <w:ind w:left="220"/>
              <w:spacing w:after="0"/>
              <w:rPr>
                <w:sz w:val="20"/>
                <w:szCs w:val="20"/>
                <w:color w:val="auto"/>
              </w:rPr>
            </w:pPr>
            <w:r>
              <w:rPr>
                <w:rFonts w:ascii="Courier New" w:cs="Courier New" w:eastAsia="Courier New" w:hAnsi="Courier New"/>
                <w:sz w:val="19"/>
                <w:szCs w:val="19"/>
                <w:color w:val="auto"/>
                <w:w w:val="99"/>
              </w:rPr>
              <w:t>/s/ Steven</w:t>
            </w:r>
          </w:p>
        </w:tc>
        <w:tc>
          <w:tcPr>
            <w:tcW w:w="2940" w:type="dxa"/>
            <w:vAlign w:val="bottom"/>
          </w:tcPr>
          <w:p>
            <w:pPr>
              <w:ind w:left="60"/>
              <w:spacing w:after="0"/>
              <w:rPr>
                <w:sz w:val="20"/>
                <w:szCs w:val="20"/>
                <w:color w:val="auto"/>
              </w:rPr>
            </w:pPr>
            <w:r>
              <w:rPr>
                <w:rFonts w:ascii="Courier New" w:cs="Courier New" w:eastAsia="Courier New" w:hAnsi="Courier New"/>
                <w:sz w:val="19"/>
                <w:szCs w:val="19"/>
                <w:color w:val="auto"/>
              </w:rPr>
              <w:t>I. Koszalka</w:t>
            </w:r>
          </w:p>
        </w:tc>
      </w:tr>
      <w:tr>
        <w:trPr>
          <w:trHeight w:val="214"/>
        </w:trPr>
        <w:tc>
          <w:tcPr>
            <w:tcW w:w="1460" w:type="dxa"/>
            <w:vAlign w:val="bottom"/>
          </w:tcPr>
          <w:p>
            <w:pPr>
              <w:spacing w:after="0" w:line="214" w:lineRule="exact"/>
              <w:rPr>
                <w:sz w:val="20"/>
                <w:szCs w:val="20"/>
                <w:color w:val="auto"/>
              </w:rPr>
            </w:pPr>
            <w:r>
              <w:rPr>
                <w:rFonts w:ascii="Courier New" w:cs="Courier New" w:eastAsia="Courier New" w:hAnsi="Courier New"/>
                <w:sz w:val="19"/>
                <w:szCs w:val="19"/>
                <w:color w:val="auto"/>
              </w:rPr>
              <w:t>Name/Title:</w:t>
            </w:r>
          </w:p>
        </w:tc>
        <w:tc>
          <w:tcPr>
            <w:tcW w:w="43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rPr>
              <w:t>Steven I. Koszalka - Secretary</w:t>
            </w:r>
          </w:p>
        </w:tc>
      </w:tr>
      <w:tr>
        <w:trPr>
          <w:trHeight w:val="214"/>
        </w:trPr>
        <w:tc>
          <w:tcPr>
            <w:tcW w:w="1460" w:type="dxa"/>
            <w:vAlign w:val="bottom"/>
          </w:tcPr>
          <w:p>
            <w:pPr>
              <w:spacing w:after="0"/>
              <w:rPr>
                <w:sz w:val="18"/>
                <w:szCs w:val="18"/>
                <w:color w:val="auto"/>
              </w:rPr>
            </w:pPr>
          </w:p>
        </w:tc>
        <w:tc>
          <w:tcPr>
            <w:tcW w:w="43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w w:val="96"/>
              </w:rPr>
              <w:t>American Funds Insurance Series Asset</w:t>
            </w:r>
          </w:p>
        </w:tc>
      </w:tr>
      <w:tr>
        <w:trPr>
          <w:trHeight w:val="214"/>
        </w:trPr>
        <w:tc>
          <w:tcPr>
            <w:tcW w:w="1460" w:type="dxa"/>
            <w:vAlign w:val="bottom"/>
          </w:tcPr>
          <w:p>
            <w:pPr>
              <w:spacing w:after="0"/>
              <w:rPr>
                <w:sz w:val="18"/>
                <w:szCs w:val="18"/>
                <w:color w:val="auto"/>
              </w:rPr>
            </w:pPr>
          </w:p>
        </w:tc>
        <w:tc>
          <w:tcPr>
            <w:tcW w:w="1380" w:type="dxa"/>
            <w:vAlign w:val="bottom"/>
          </w:tcPr>
          <w:p>
            <w:pPr>
              <w:ind w:left="220"/>
              <w:spacing w:after="0" w:line="214" w:lineRule="exact"/>
              <w:rPr>
                <w:sz w:val="20"/>
                <w:szCs w:val="20"/>
                <w:color w:val="auto"/>
              </w:rPr>
            </w:pPr>
            <w:r>
              <w:rPr>
                <w:rFonts w:ascii="Courier New" w:cs="Courier New" w:eastAsia="Courier New" w:hAnsi="Courier New"/>
                <w:sz w:val="19"/>
                <w:szCs w:val="19"/>
                <w:color w:val="auto"/>
                <w:w w:val="99"/>
              </w:rPr>
              <w:t>Allocation</w:t>
            </w:r>
          </w:p>
        </w:tc>
        <w:tc>
          <w:tcPr>
            <w:tcW w:w="294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Fund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100" w:val="left"/>
        </w:tabs>
        <w:rPr>
          <w:sz w:val="20"/>
          <w:szCs w:val="20"/>
          <w:color w:val="auto"/>
        </w:rPr>
      </w:pPr>
      <w:r>
        <w:rPr>
          <w:rFonts w:ascii="Courier New" w:cs="Courier New" w:eastAsia="Courier New" w:hAnsi="Courier New"/>
          <w:sz w:val="19"/>
          <w:szCs w:val="19"/>
          <w:color w:val="auto"/>
        </w:rPr>
        <w:t>CUSIP: BLNN369</w:t>
      </w:r>
      <w:r>
        <w:rPr>
          <w:sz w:val="20"/>
          <w:szCs w:val="20"/>
          <w:color w:val="auto"/>
        </w:rPr>
        <w:tab/>
      </w:r>
      <w:r>
        <w:rPr>
          <w:rFonts w:ascii="Courier New" w:cs="Courier New" w:eastAsia="Courier New" w:hAnsi="Courier New"/>
          <w:sz w:val="18"/>
          <w:szCs w:val="18"/>
          <w:color w:val="auto"/>
        </w:rPr>
        <w:t>Page 4 of 4</w:t>
      </w:r>
    </w:p>
    <w:p>
      <w:pPr>
        <w:sectPr>
          <w:pgSz w:w="12240" w:h="15840" w:orient="portrait"/>
          <w:cols w:equalWidth="0" w:num="1">
            <w:col w:w="10680"/>
          </w:cols>
          <w:pgMar w:left="120" w:top="2" w:right="1440" w:bottom="1440" w:gutter="0" w:footer="0" w:header="0"/>
        </w:sectPr>
      </w:pPr>
    </w:p>
    <w:bookmarkStart w:id="4" w:name="page5"/>
    <w:bookmarkEnd w:id="4"/>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2019-12-19T21:44:41Z</dcterms:created>
  <dcterms:modified xsi:type="dcterms:W3CDTF">2019-12-19T21:44:41Z</dcterms:modified>
</cp:coreProperties>
</file>